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B2D2BB">
      <w:pPr>
        <w:spacing w:after="120"/>
        <w:jc w:val="center"/>
        <w:rPr>
          <w:rFonts w:hint="eastAsia" w:ascii="宋体" w:hAnsi="宋体" w:eastAsia="宋体" w:cs="Times New Roman"/>
          <w:b/>
          <w:bCs/>
          <w:color w:val="auto"/>
          <w:kern w:val="0"/>
          <w:sz w:val="48"/>
          <w:szCs w:val="48"/>
          <w:highlight w:val="none"/>
          <w:lang w:val="en-US" w:eastAsia="zh-CN"/>
        </w:rPr>
      </w:pPr>
      <w:r>
        <w:rPr>
          <w:rFonts w:hint="eastAsia" w:ascii="宋体" w:hAnsi="宋体" w:eastAsia="宋体" w:cs="Times New Roman"/>
          <w:b/>
          <w:bCs/>
          <w:color w:val="auto"/>
          <w:kern w:val="0"/>
          <w:sz w:val="48"/>
          <w:szCs w:val="48"/>
          <w:highlight w:val="none"/>
          <w:lang w:val="en-US" w:eastAsia="zh-CN"/>
        </w:rPr>
        <w:t>三门峡市产品质量检验检测中心</w:t>
      </w:r>
    </w:p>
    <w:p w14:paraId="61E4AA53">
      <w:pPr>
        <w:spacing w:after="120"/>
        <w:jc w:val="center"/>
        <w:rPr>
          <w:rFonts w:hint="default" w:ascii="Times New Roman" w:hAnsi="Times New Roman" w:eastAsia="宋体" w:cs="Times New Roman"/>
          <w:color w:val="auto"/>
          <w:kern w:val="0"/>
          <w:sz w:val="20"/>
          <w:szCs w:val="24"/>
          <w:highlight w:val="none"/>
          <w:lang w:val="en-US"/>
        </w:rPr>
      </w:pPr>
      <w:r>
        <w:rPr>
          <w:rFonts w:hint="eastAsia" w:ascii="宋体" w:hAnsi="宋体" w:eastAsia="宋体" w:cs="Times New Roman"/>
          <w:b/>
          <w:bCs/>
          <w:color w:val="auto"/>
          <w:kern w:val="0"/>
          <w:sz w:val="48"/>
          <w:szCs w:val="48"/>
          <w:highlight w:val="none"/>
          <w:lang w:val="en-US" w:eastAsia="zh-CN"/>
        </w:rPr>
        <w:t>计量检测设备更新项目</w:t>
      </w:r>
    </w:p>
    <w:p w14:paraId="179D328F">
      <w:pPr>
        <w:spacing w:after="120"/>
        <w:rPr>
          <w:rFonts w:ascii="Times New Roman" w:hAnsi="Times New Roman" w:eastAsia="宋体" w:cs="Times New Roman"/>
          <w:color w:val="auto"/>
          <w:kern w:val="0"/>
          <w:sz w:val="20"/>
          <w:szCs w:val="24"/>
          <w:highlight w:val="none"/>
        </w:rPr>
      </w:pPr>
    </w:p>
    <w:p w14:paraId="4ED78402">
      <w:pPr>
        <w:spacing w:after="120"/>
        <w:rPr>
          <w:rFonts w:ascii="Times New Roman" w:hAnsi="Times New Roman" w:eastAsia="宋体" w:cs="Times New Roman"/>
          <w:color w:val="auto"/>
          <w:kern w:val="0"/>
          <w:sz w:val="20"/>
          <w:szCs w:val="24"/>
          <w:highlight w:val="none"/>
        </w:rPr>
      </w:pPr>
    </w:p>
    <w:p w14:paraId="323B668A">
      <w:pPr>
        <w:pStyle w:val="18"/>
        <w:rPr>
          <w:color w:val="auto"/>
          <w:highlight w:val="none"/>
        </w:rPr>
      </w:pPr>
    </w:p>
    <w:p w14:paraId="3187118E">
      <w:pPr>
        <w:pStyle w:val="6"/>
        <w:rPr>
          <w:color w:val="auto"/>
          <w:highlight w:val="none"/>
        </w:rPr>
      </w:pPr>
    </w:p>
    <w:p w14:paraId="171FDD85">
      <w:pPr>
        <w:widowControl/>
        <w:spacing w:line="360" w:lineRule="auto"/>
        <w:ind w:firstLine="2162" w:firstLineChars="300"/>
        <w:rPr>
          <w:rFonts w:hint="eastAsia" w:ascii="宋体" w:hAnsi="宋体" w:eastAsia="宋体" w:cs="Times New Roman"/>
          <w:b/>
          <w:bCs/>
          <w:color w:val="auto"/>
          <w:kern w:val="0"/>
          <w:sz w:val="72"/>
          <w:szCs w:val="72"/>
          <w:highlight w:val="none"/>
        </w:rPr>
      </w:pPr>
      <w:r>
        <w:rPr>
          <w:rFonts w:hint="eastAsia" w:ascii="宋体" w:hAnsi="宋体" w:eastAsia="宋体" w:cs="Times New Roman"/>
          <w:b/>
          <w:bCs/>
          <w:color w:val="auto"/>
          <w:kern w:val="0"/>
          <w:sz w:val="72"/>
          <w:szCs w:val="72"/>
          <w:highlight w:val="none"/>
        </w:rPr>
        <w:t>招 标 文 件</w:t>
      </w:r>
    </w:p>
    <w:p w14:paraId="21C2F758">
      <w:pPr>
        <w:widowControl/>
        <w:spacing w:line="360" w:lineRule="auto"/>
        <w:ind w:firstLine="2162" w:firstLineChars="300"/>
        <w:rPr>
          <w:rFonts w:hint="eastAsia" w:ascii="宋体" w:hAnsi="宋体" w:eastAsia="宋体" w:cs="Times New Roman"/>
          <w:b/>
          <w:bCs/>
          <w:color w:val="auto"/>
          <w:kern w:val="0"/>
          <w:sz w:val="72"/>
          <w:szCs w:val="72"/>
          <w:highlight w:val="none"/>
        </w:rPr>
      </w:pPr>
    </w:p>
    <w:p w14:paraId="135C6688">
      <w:pPr>
        <w:widowControl/>
        <w:spacing w:line="360" w:lineRule="auto"/>
        <w:jc w:val="center"/>
        <w:rPr>
          <w:rFonts w:ascii="Times New Roman" w:hAnsi="Times New Roman" w:eastAsia="宋体" w:cs="Times New Roman"/>
          <w:color w:val="auto"/>
          <w:szCs w:val="21"/>
          <w:highlight w:val="none"/>
        </w:rPr>
      </w:pPr>
    </w:p>
    <w:p w14:paraId="6028C272">
      <w:pPr>
        <w:widowControl/>
        <w:spacing w:line="360" w:lineRule="auto"/>
        <w:jc w:val="center"/>
        <w:rPr>
          <w:rFonts w:ascii="Times New Roman" w:hAnsi="Times New Roman" w:eastAsia="宋体" w:cs="Times New Roman"/>
          <w:color w:val="auto"/>
          <w:szCs w:val="21"/>
          <w:highlight w:val="none"/>
        </w:rPr>
      </w:pPr>
    </w:p>
    <w:p w14:paraId="6F15D47C">
      <w:pPr>
        <w:pStyle w:val="19"/>
        <w:ind w:left="0" w:leftChars="0" w:firstLine="0" w:firstLineChars="0"/>
        <w:jc w:val="center"/>
        <w:rPr>
          <w:rFonts w:hint="eastAsia" w:ascii="宋体" w:hAnsi="宋体" w:eastAsia="宋体" w:cs="宋体"/>
          <w:b/>
          <w:bCs/>
          <w:color w:val="auto"/>
          <w:kern w:val="0"/>
          <w:sz w:val="30"/>
          <w:szCs w:val="30"/>
          <w:highlight w:val="none"/>
          <w:lang w:eastAsia="zh-CN"/>
        </w:rPr>
      </w:pPr>
      <w:r>
        <w:rPr>
          <w:rFonts w:hint="eastAsia" w:ascii="宋体" w:hAnsi="宋体" w:eastAsia="宋体" w:cs="宋体"/>
          <w:b/>
          <w:bCs/>
          <w:color w:val="auto"/>
          <w:kern w:val="0"/>
          <w:sz w:val="30"/>
          <w:szCs w:val="30"/>
          <w:highlight w:val="none"/>
        </w:rPr>
        <w:t>项目编号</w:t>
      </w:r>
      <w:r>
        <w:rPr>
          <w:rFonts w:hint="eastAsia" w:ascii="宋体" w:hAnsi="宋体" w:eastAsia="宋体" w:cs="宋体"/>
          <w:b/>
          <w:bCs/>
          <w:color w:val="auto"/>
          <w:kern w:val="0"/>
          <w:sz w:val="30"/>
          <w:szCs w:val="30"/>
          <w:highlight w:val="none"/>
          <w:lang w:eastAsia="zh-CN"/>
        </w:rPr>
        <w:t>：SGZ[2026]334-ZC240</w:t>
      </w:r>
    </w:p>
    <w:p w14:paraId="4D599FCD">
      <w:pPr>
        <w:pStyle w:val="19"/>
        <w:ind w:left="0" w:leftChars="0" w:firstLine="0" w:firstLineChars="0"/>
        <w:jc w:val="center"/>
        <w:rPr>
          <w:rFonts w:hint="eastAsia" w:ascii="宋体" w:hAnsi="宋体" w:eastAsia="宋体" w:cs="宋体"/>
          <w:b/>
          <w:bCs/>
          <w:color w:val="auto"/>
          <w:kern w:val="0"/>
          <w:sz w:val="30"/>
          <w:szCs w:val="30"/>
          <w:highlight w:val="none"/>
          <w:lang w:val="en-US" w:eastAsia="zh-CN" w:bidi="ar-SA"/>
        </w:rPr>
      </w:pPr>
      <w:r>
        <w:rPr>
          <w:rFonts w:hint="eastAsia" w:ascii="宋体" w:hAnsi="宋体" w:eastAsia="宋体" w:cs="宋体"/>
          <w:b/>
          <w:bCs/>
          <w:color w:val="auto"/>
          <w:kern w:val="0"/>
          <w:sz w:val="30"/>
          <w:szCs w:val="30"/>
          <w:highlight w:val="none"/>
          <w:lang w:eastAsia="zh-CN"/>
        </w:rPr>
        <w:t>三财公开采购-2026-46</w:t>
      </w:r>
    </w:p>
    <w:p w14:paraId="07F73367">
      <w:pPr>
        <w:pStyle w:val="2"/>
        <w:ind w:left="0" w:leftChars="0" w:firstLine="2800" w:firstLineChars="1400"/>
        <w:rPr>
          <w:rFonts w:hint="eastAsia" w:ascii="宋体" w:hAnsi="宋体" w:eastAsia="宋体" w:cs="宋体"/>
          <w:color w:val="auto"/>
          <w:highlight w:val="none"/>
          <w:lang w:val="en-US" w:eastAsia="zh-CN"/>
        </w:rPr>
      </w:pPr>
    </w:p>
    <w:p w14:paraId="1D116C9A">
      <w:pPr>
        <w:pStyle w:val="6"/>
        <w:rPr>
          <w:rFonts w:ascii="宋体" w:hAnsi="宋体" w:eastAsia="宋体" w:cs="Times New Roman"/>
          <w:b/>
          <w:bCs/>
          <w:color w:val="auto"/>
          <w:kern w:val="0"/>
          <w:sz w:val="28"/>
          <w:szCs w:val="28"/>
          <w:highlight w:val="none"/>
        </w:rPr>
      </w:pPr>
      <w:bookmarkStart w:id="0" w:name="_Toc22953395"/>
      <w:bookmarkEnd w:id="0"/>
      <w:bookmarkStart w:id="1" w:name="_Toc22568789"/>
      <w:bookmarkEnd w:id="1"/>
      <w:bookmarkStart w:id="2" w:name="_Toc22953398"/>
      <w:bookmarkEnd w:id="2"/>
      <w:bookmarkStart w:id="3" w:name="_Toc22804073"/>
      <w:bookmarkEnd w:id="3"/>
    </w:p>
    <w:p w14:paraId="4235976D">
      <w:pPr>
        <w:pStyle w:val="7"/>
        <w:rPr>
          <w:rFonts w:ascii="宋体" w:hAnsi="宋体" w:eastAsia="宋体" w:cs="Times New Roman"/>
          <w:b/>
          <w:bCs/>
          <w:color w:val="auto"/>
          <w:kern w:val="0"/>
          <w:sz w:val="28"/>
          <w:szCs w:val="28"/>
          <w:highlight w:val="none"/>
        </w:rPr>
      </w:pPr>
    </w:p>
    <w:p w14:paraId="5A2FD133">
      <w:pPr>
        <w:pStyle w:val="7"/>
        <w:rPr>
          <w:rFonts w:ascii="宋体" w:hAnsi="宋体" w:eastAsia="宋体" w:cs="Times New Roman"/>
          <w:b/>
          <w:bCs/>
          <w:color w:val="auto"/>
          <w:kern w:val="0"/>
          <w:sz w:val="28"/>
          <w:szCs w:val="28"/>
          <w:highlight w:val="none"/>
        </w:rPr>
      </w:pPr>
    </w:p>
    <w:p w14:paraId="02ACB6E4">
      <w:pPr>
        <w:pStyle w:val="7"/>
        <w:rPr>
          <w:rFonts w:ascii="宋体" w:hAnsi="宋体" w:eastAsia="宋体" w:cs="Times New Roman"/>
          <w:b/>
          <w:bCs/>
          <w:color w:val="auto"/>
          <w:kern w:val="0"/>
          <w:sz w:val="28"/>
          <w:szCs w:val="28"/>
          <w:highlight w:val="none"/>
        </w:rPr>
      </w:pPr>
    </w:p>
    <w:p w14:paraId="6D3CC74D">
      <w:pPr>
        <w:pStyle w:val="7"/>
        <w:rPr>
          <w:rFonts w:ascii="宋体" w:hAnsi="宋体" w:eastAsia="宋体" w:cs="Times New Roman"/>
          <w:b/>
          <w:bCs/>
          <w:color w:val="auto"/>
          <w:kern w:val="0"/>
          <w:sz w:val="28"/>
          <w:szCs w:val="28"/>
          <w:highlight w:val="none"/>
        </w:rPr>
      </w:pPr>
    </w:p>
    <w:p w14:paraId="429B6C19">
      <w:pPr>
        <w:pStyle w:val="7"/>
        <w:rPr>
          <w:color w:val="auto"/>
          <w:highlight w:val="none"/>
        </w:rPr>
      </w:pPr>
    </w:p>
    <w:p w14:paraId="5A8AC600">
      <w:pPr>
        <w:widowControl/>
        <w:ind w:firstLine="1379" w:firstLineChars="492"/>
        <w:rPr>
          <w:rFonts w:hint="eastAsia" w:ascii="宋体" w:hAnsi="宋体" w:eastAsia="宋体" w:cs="Times New Roman"/>
          <w:b/>
          <w:bCs/>
          <w:color w:val="auto"/>
          <w:kern w:val="0"/>
          <w:sz w:val="28"/>
          <w:szCs w:val="28"/>
          <w:highlight w:val="none"/>
          <w:lang w:eastAsia="zh-CN"/>
        </w:rPr>
      </w:pPr>
      <w:r>
        <w:rPr>
          <w:rFonts w:hint="eastAsia" w:ascii="宋体" w:hAnsi="宋体" w:eastAsia="宋体" w:cs="Times New Roman"/>
          <w:b/>
          <w:bCs/>
          <w:color w:val="auto"/>
          <w:kern w:val="0"/>
          <w:sz w:val="28"/>
          <w:szCs w:val="28"/>
          <w:highlight w:val="none"/>
        </w:rPr>
        <w:t xml:space="preserve">采   购  </w:t>
      </w:r>
      <w:r>
        <w:rPr>
          <w:rFonts w:hint="eastAsia" w:ascii="宋体" w:hAnsi="宋体" w:eastAsia="宋体" w:cs="Times New Roman"/>
          <w:b/>
          <w:bCs/>
          <w:color w:val="auto"/>
          <w:kern w:val="0"/>
          <w:sz w:val="28"/>
          <w:szCs w:val="28"/>
          <w:highlight w:val="none"/>
          <w:lang w:val="en-US" w:eastAsia="zh-CN"/>
        </w:rPr>
        <w:t xml:space="preserve"> </w:t>
      </w:r>
      <w:r>
        <w:rPr>
          <w:rFonts w:hint="eastAsia" w:ascii="宋体" w:hAnsi="宋体" w:eastAsia="宋体" w:cs="Times New Roman"/>
          <w:b/>
          <w:bCs/>
          <w:color w:val="auto"/>
          <w:kern w:val="0"/>
          <w:sz w:val="28"/>
          <w:szCs w:val="28"/>
          <w:highlight w:val="none"/>
        </w:rPr>
        <w:t>人:</w:t>
      </w:r>
      <w:r>
        <w:rPr>
          <w:rFonts w:hint="eastAsia" w:ascii="宋体" w:hAnsi="宋体" w:eastAsia="宋体" w:cs="Times New Roman"/>
          <w:b/>
          <w:bCs/>
          <w:color w:val="auto"/>
          <w:kern w:val="0"/>
          <w:sz w:val="28"/>
          <w:szCs w:val="28"/>
          <w:highlight w:val="none"/>
          <w:lang w:eastAsia="zh-CN"/>
        </w:rPr>
        <w:t>三门峡市产品质量检验检测中心</w:t>
      </w:r>
    </w:p>
    <w:p w14:paraId="01851090">
      <w:pPr>
        <w:widowControl/>
        <w:ind w:firstLine="1379" w:firstLineChars="492"/>
        <w:rPr>
          <w:rFonts w:hint="eastAsia" w:ascii="Times New Roman" w:hAnsi="Times New Roman" w:eastAsia="宋体" w:cs="Times New Roman"/>
          <w:color w:val="auto"/>
          <w:kern w:val="0"/>
          <w:sz w:val="28"/>
          <w:szCs w:val="28"/>
          <w:highlight w:val="none"/>
          <w:lang w:eastAsia="zh-CN"/>
        </w:rPr>
      </w:pPr>
      <w:r>
        <w:rPr>
          <w:rFonts w:hint="eastAsia" w:ascii="宋体" w:hAnsi="宋体" w:eastAsia="宋体" w:cs="Times New Roman"/>
          <w:b/>
          <w:bCs/>
          <w:color w:val="auto"/>
          <w:kern w:val="0"/>
          <w:sz w:val="28"/>
          <w:szCs w:val="28"/>
          <w:highlight w:val="none"/>
        </w:rPr>
        <w:t>采购代理机构：</w:t>
      </w:r>
      <w:r>
        <w:rPr>
          <w:rFonts w:hint="eastAsia" w:ascii="宋体" w:hAnsi="宋体" w:eastAsia="宋体" w:cs="Times New Roman"/>
          <w:b/>
          <w:bCs/>
          <w:color w:val="auto"/>
          <w:kern w:val="0"/>
          <w:sz w:val="28"/>
          <w:szCs w:val="28"/>
          <w:highlight w:val="none"/>
          <w:lang w:eastAsia="zh-CN"/>
        </w:rPr>
        <w:t>中恒晟（北京）工程管理有限公司</w:t>
      </w:r>
    </w:p>
    <w:p w14:paraId="469FDFC2">
      <w:pPr>
        <w:widowControl/>
        <w:ind w:firstLine="1379" w:firstLineChars="492"/>
        <w:rPr>
          <w:rFonts w:ascii="Times New Roman" w:hAnsi="Times New Roman" w:eastAsia="宋体" w:cs="Times New Roman"/>
          <w:color w:val="auto"/>
          <w:kern w:val="0"/>
          <w:sz w:val="28"/>
          <w:szCs w:val="28"/>
          <w:highlight w:val="none"/>
        </w:rPr>
      </w:pPr>
      <w:r>
        <w:rPr>
          <w:rFonts w:hint="eastAsia" w:ascii="宋体" w:hAnsi="宋体" w:eastAsia="宋体" w:cs="Times New Roman"/>
          <w:b/>
          <w:bCs/>
          <w:color w:val="auto"/>
          <w:kern w:val="0"/>
          <w:sz w:val="28"/>
          <w:szCs w:val="28"/>
          <w:highlight w:val="none"/>
        </w:rPr>
        <w:t>日        期：二〇二</w:t>
      </w:r>
      <w:r>
        <w:rPr>
          <w:rFonts w:hint="eastAsia" w:ascii="宋体" w:hAnsi="宋体" w:eastAsia="宋体" w:cs="Times New Roman"/>
          <w:b/>
          <w:bCs/>
          <w:color w:val="auto"/>
          <w:kern w:val="0"/>
          <w:sz w:val="28"/>
          <w:szCs w:val="28"/>
          <w:highlight w:val="none"/>
          <w:lang w:val="en-US" w:eastAsia="zh-CN"/>
        </w:rPr>
        <w:t>六</w:t>
      </w:r>
      <w:r>
        <w:rPr>
          <w:rFonts w:hint="eastAsia" w:ascii="宋体" w:hAnsi="宋体" w:eastAsia="宋体" w:cs="Times New Roman"/>
          <w:b/>
          <w:bCs/>
          <w:color w:val="auto"/>
          <w:kern w:val="0"/>
          <w:sz w:val="28"/>
          <w:szCs w:val="28"/>
          <w:highlight w:val="none"/>
        </w:rPr>
        <w:t>年</w:t>
      </w:r>
      <w:r>
        <w:rPr>
          <w:rFonts w:hint="eastAsia" w:ascii="宋体" w:hAnsi="宋体" w:eastAsia="宋体" w:cs="Times New Roman"/>
          <w:b/>
          <w:bCs/>
          <w:color w:val="auto"/>
          <w:kern w:val="0"/>
          <w:sz w:val="28"/>
          <w:szCs w:val="28"/>
          <w:highlight w:val="none"/>
          <w:lang w:val="en-US" w:eastAsia="zh-CN"/>
        </w:rPr>
        <w:t>十</w:t>
      </w:r>
      <w:r>
        <w:rPr>
          <w:rFonts w:hint="eastAsia" w:ascii="宋体" w:hAnsi="宋体" w:eastAsia="宋体" w:cs="Times New Roman"/>
          <w:b/>
          <w:bCs/>
          <w:color w:val="auto"/>
          <w:kern w:val="0"/>
          <w:sz w:val="28"/>
          <w:szCs w:val="28"/>
          <w:highlight w:val="none"/>
        </w:rPr>
        <w:t>月</w:t>
      </w:r>
    </w:p>
    <w:p w14:paraId="006728E3">
      <w:pPr>
        <w:widowControl/>
        <w:spacing w:line="490" w:lineRule="atLeast"/>
        <w:jc w:val="both"/>
        <w:rPr>
          <w:rFonts w:hint="eastAsia" w:ascii="宋体" w:hAnsi="宋体" w:eastAsia="宋体" w:cs="Times New Roman"/>
          <w:b/>
          <w:bCs/>
          <w:color w:val="auto"/>
          <w:kern w:val="0"/>
          <w:sz w:val="44"/>
          <w:szCs w:val="44"/>
          <w:highlight w:val="none"/>
          <w:lang w:eastAsia="zh-CN"/>
        </w:rPr>
      </w:pPr>
    </w:p>
    <w:p w14:paraId="6B50DCAC">
      <w:pPr>
        <w:rPr>
          <w:rFonts w:hint="eastAsia" w:ascii="宋体" w:hAnsi="宋体" w:eastAsia="宋体" w:cs="Times New Roman"/>
          <w:b/>
          <w:bCs/>
          <w:color w:val="auto"/>
          <w:kern w:val="0"/>
          <w:sz w:val="44"/>
          <w:szCs w:val="44"/>
          <w:highlight w:val="none"/>
        </w:rPr>
      </w:pPr>
      <w:r>
        <w:rPr>
          <w:rFonts w:hint="eastAsia" w:ascii="宋体" w:hAnsi="宋体" w:eastAsia="宋体" w:cs="Times New Roman"/>
          <w:b/>
          <w:bCs/>
          <w:color w:val="auto"/>
          <w:kern w:val="0"/>
          <w:sz w:val="44"/>
          <w:szCs w:val="44"/>
          <w:highlight w:val="none"/>
        </w:rPr>
        <w:br w:type="page"/>
      </w:r>
    </w:p>
    <w:p w14:paraId="54793C89">
      <w:pPr>
        <w:widowControl/>
        <w:spacing w:line="490" w:lineRule="atLeast"/>
        <w:jc w:val="center"/>
        <w:rPr>
          <w:rFonts w:ascii="Times New Roman" w:hAnsi="Times New Roman" w:eastAsia="宋体" w:cs="Times New Roman"/>
          <w:color w:val="auto"/>
          <w:kern w:val="0"/>
          <w:sz w:val="20"/>
          <w:szCs w:val="24"/>
          <w:highlight w:val="none"/>
        </w:rPr>
      </w:pPr>
      <w:r>
        <w:rPr>
          <w:rFonts w:hint="eastAsia" w:ascii="宋体" w:hAnsi="宋体" w:eastAsia="宋体" w:cs="Times New Roman"/>
          <w:b/>
          <w:bCs/>
          <w:color w:val="auto"/>
          <w:kern w:val="0"/>
          <w:sz w:val="44"/>
          <w:szCs w:val="44"/>
          <w:highlight w:val="none"/>
        </w:rPr>
        <w:t>目 录</w:t>
      </w:r>
    </w:p>
    <w:p w14:paraId="0D464428">
      <w:pPr>
        <w:widowControl/>
        <w:spacing w:line="720" w:lineRule="auto"/>
        <w:ind w:firstLine="706" w:firstLineChars="196"/>
        <w:rPr>
          <w:rFonts w:ascii="Times New Roman" w:hAnsi="Times New Roman" w:eastAsia="宋体" w:cs="Times New Roman"/>
          <w:color w:val="auto"/>
          <w:kern w:val="0"/>
          <w:sz w:val="20"/>
          <w:szCs w:val="24"/>
          <w:highlight w:val="none"/>
        </w:rPr>
      </w:pPr>
      <w:r>
        <w:rPr>
          <w:rFonts w:hint="eastAsia" w:ascii="宋体" w:hAnsi="宋体" w:eastAsia="宋体" w:cs="Times New Roman"/>
          <w:b/>
          <w:bCs/>
          <w:color w:val="auto"/>
          <w:kern w:val="0"/>
          <w:sz w:val="36"/>
          <w:szCs w:val="36"/>
          <w:highlight w:val="none"/>
        </w:rPr>
        <w:t>第一章 招标公告</w:t>
      </w:r>
    </w:p>
    <w:p w14:paraId="27B7974F">
      <w:pPr>
        <w:widowControl/>
        <w:spacing w:line="720" w:lineRule="auto"/>
        <w:ind w:firstLine="706" w:firstLineChars="196"/>
        <w:rPr>
          <w:rFonts w:ascii="Times New Roman" w:hAnsi="Times New Roman" w:eastAsia="宋体" w:cs="Times New Roman"/>
          <w:color w:val="auto"/>
          <w:kern w:val="0"/>
          <w:sz w:val="20"/>
          <w:szCs w:val="24"/>
          <w:highlight w:val="none"/>
        </w:rPr>
      </w:pPr>
      <w:r>
        <w:rPr>
          <w:rFonts w:hint="eastAsia" w:ascii="宋体" w:hAnsi="宋体" w:eastAsia="宋体" w:cs="Times New Roman"/>
          <w:b/>
          <w:bCs/>
          <w:color w:val="auto"/>
          <w:kern w:val="0"/>
          <w:sz w:val="36"/>
          <w:szCs w:val="36"/>
          <w:highlight w:val="none"/>
        </w:rPr>
        <w:t xml:space="preserve">第二章 </w:t>
      </w:r>
      <w:r>
        <w:rPr>
          <w:rFonts w:hint="eastAsia" w:ascii="宋体" w:hAnsi="宋体" w:eastAsia="宋体" w:cs="Times New Roman"/>
          <w:b/>
          <w:bCs/>
          <w:color w:val="auto"/>
          <w:kern w:val="0"/>
          <w:sz w:val="36"/>
          <w:szCs w:val="36"/>
          <w:highlight w:val="none"/>
          <w:lang w:eastAsia="zh-CN"/>
        </w:rPr>
        <w:t>投标供应商</w:t>
      </w:r>
      <w:r>
        <w:rPr>
          <w:rFonts w:hint="eastAsia" w:ascii="宋体" w:hAnsi="宋体" w:eastAsia="宋体" w:cs="Times New Roman"/>
          <w:b/>
          <w:bCs/>
          <w:color w:val="auto"/>
          <w:kern w:val="0"/>
          <w:sz w:val="36"/>
          <w:szCs w:val="36"/>
          <w:highlight w:val="none"/>
        </w:rPr>
        <w:t>须知</w:t>
      </w:r>
    </w:p>
    <w:p w14:paraId="37A0C787">
      <w:pPr>
        <w:widowControl/>
        <w:spacing w:line="720" w:lineRule="auto"/>
        <w:rPr>
          <w:rFonts w:ascii="Times New Roman" w:hAnsi="Times New Roman" w:eastAsia="宋体" w:cs="Times New Roman"/>
          <w:color w:val="auto"/>
          <w:kern w:val="0"/>
          <w:sz w:val="20"/>
          <w:szCs w:val="24"/>
          <w:highlight w:val="none"/>
        </w:rPr>
      </w:pPr>
      <w:r>
        <w:rPr>
          <w:rFonts w:hint="eastAsia" w:ascii="宋体" w:hAnsi="宋体" w:eastAsia="宋体" w:cs="Times New Roman"/>
          <w:b/>
          <w:bCs/>
          <w:color w:val="auto"/>
          <w:kern w:val="0"/>
          <w:sz w:val="36"/>
          <w:szCs w:val="36"/>
          <w:highlight w:val="none"/>
        </w:rPr>
        <w:t xml:space="preserve">    第三章 采购内容</w:t>
      </w:r>
    </w:p>
    <w:p w14:paraId="325C16B7">
      <w:pPr>
        <w:widowControl/>
        <w:spacing w:line="720" w:lineRule="auto"/>
        <w:rPr>
          <w:rFonts w:ascii="Times New Roman" w:hAnsi="Times New Roman" w:eastAsia="宋体" w:cs="Times New Roman"/>
          <w:color w:val="auto"/>
          <w:kern w:val="0"/>
          <w:sz w:val="20"/>
          <w:szCs w:val="24"/>
          <w:highlight w:val="none"/>
        </w:rPr>
      </w:pPr>
      <w:r>
        <w:rPr>
          <w:rFonts w:hint="eastAsia" w:ascii="宋体" w:hAnsi="宋体" w:eastAsia="宋体" w:cs="Times New Roman"/>
          <w:b/>
          <w:bCs/>
          <w:color w:val="auto"/>
          <w:kern w:val="0"/>
          <w:sz w:val="36"/>
          <w:szCs w:val="36"/>
          <w:highlight w:val="none"/>
        </w:rPr>
        <w:t xml:space="preserve">    第四章 评标办法</w:t>
      </w:r>
    </w:p>
    <w:p w14:paraId="0DFBA57E">
      <w:pPr>
        <w:widowControl/>
        <w:spacing w:line="720" w:lineRule="auto"/>
        <w:rPr>
          <w:rFonts w:ascii="Times New Roman" w:hAnsi="Times New Roman" w:eastAsia="宋体" w:cs="Times New Roman"/>
          <w:color w:val="auto"/>
          <w:kern w:val="0"/>
          <w:sz w:val="20"/>
          <w:szCs w:val="24"/>
          <w:highlight w:val="none"/>
        </w:rPr>
      </w:pPr>
      <w:r>
        <w:rPr>
          <w:rFonts w:hint="eastAsia" w:ascii="宋体" w:hAnsi="宋体" w:eastAsia="宋体" w:cs="Times New Roman"/>
          <w:b/>
          <w:bCs/>
          <w:color w:val="auto"/>
          <w:kern w:val="0"/>
          <w:sz w:val="36"/>
          <w:szCs w:val="36"/>
          <w:highlight w:val="none"/>
        </w:rPr>
        <w:t xml:space="preserve">    第五章 合同条款及格式</w:t>
      </w:r>
    </w:p>
    <w:p w14:paraId="0D3C574D">
      <w:pPr>
        <w:widowControl/>
        <w:spacing w:line="720" w:lineRule="auto"/>
        <w:ind w:firstLine="706" w:firstLineChars="196"/>
        <w:rPr>
          <w:rFonts w:ascii="Times New Roman" w:hAnsi="Times New Roman" w:eastAsia="宋体" w:cs="Times New Roman"/>
          <w:color w:val="auto"/>
          <w:kern w:val="0"/>
          <w:sz w:val="20"/>
          <w:szCs w:val="24"/>
          <w:highlight w:val="none"/>
        </w:rPr>
      </w:pPr>
      <w:r>
        <w:rPr>
          <w:rFonts w:hint="eastAsia" w:ascii="宋体" w:hAnsi="宋体" w:eastAsia="宋体" w:cs="Times New Roman"/>
          <w:b/>
          <w:bCs/>
          <w:color w:val="auto"/>
          <w:kern w:val="0"/>
          <w:sz w:val="36"/>
          <w:szCs w:val="36"/>
          <w:highlight w:val="none"/>
        </w:rPr>
        <w:t>第六章 投标文件格式</w:t>
      </w:r>
    </w:p>
    <w:p w14:paraId="3DEEB857">
      <w:pPr>
        <w:widowControl/>
        <w:spacing w:line="720" w:lineRule="auto"/>
        <w:ind w:firstLine="720"/>
        <w:rPr>
          <w:rFonts w:ascii="Times New Roman" w:hAnsi="Times New Roman" w:eastAsia="宋体" w:cs="Times New Roman"/>
          <w:color w:val="auto"/>
          <w:kern w:val="0"/>
          <w:sz w:val="20"/>
          <w:szCs w:val="24"/>
          <w:highlight w:val="none"/>
        </w:rPr>
      </w:pPr>
    </w:p>
    <w:p w14:paraId="603F3D33">
      <w:pPr>
        <w:widowControl/>
        <w:spacing w:line="720" w:lineRule="auto"/>
        <w:ind w:firstLine="720"/>
        <w:rPr>
          <w:rFonts w:ascii="Times New Roman" w:hAnsi="Times New Roman" w:eastAsia="宋体" w:cs="Times New Roman"/>
          <w:color w:val="auto"/>
          <w:kern w:val="0"/>
          <w:sz w:val="20"/>
          <w:szCs w:val="24"/>
          <w:highlight w:val="none"/>
        </w:rPr>
      </w:pPr>
    </w:p>
    <w:p w14:paraId="1F34BE42">
      <w:pPr>
        <w:widowControl/>
        <w:spacing w:line="720" w:lineRule="auto"/>
        <w:ind w:firstLine="720"/>
        <w:rPr>
          <w:rFonts w:ascii="Times New Roman" w:hAnsi="Times New Roman" w:eastAsia="宋体" w:cs="Times New Roman"/>
          <w:color w:val="auto"/>
          <w:kern w:val="0"/>
          <w:sz w:val="20"/>
          <w:szCs w:val="24"/>
          <w:highlight w:val="none"/>
        </w:rPr>
      </w:pPr>
    </w:p>
    <w:p w14:paraId="654FAAD1">
      <w:pPr>
        <w:widowControl/>
        <w:spacing w:line="720" w:lineRule="auto"/>
        <w:ind w:firstLine="720"/>
        <w:rPr>
          <w:rFonts w:ascii="Times New Roman" w:hAnsi="Times New Roman" w:eastAsia="宋体" w:cs="Times New Roman"/>
          <w:color w:val="auto"/>
          <w:kern w:val="0"/>
          <w:sz w:val="20"/>
          <w:szCs w:val="24"/>
          <w:highlight w:val="none"/>
        </w:rPr>
      </w:pPr>
    </w:p>
    <w:p w14:paraId="6A8059DB">
      <w:pPr>
        <w:widowControl/>
        <w:jc w:val="left"/>
        <w:rPr>
          <w:rFonts w:ascii="宋体" w:hAnsi="宋体" w:eastAsia="宋体" w:cs="宋体"/>
          <w:b/>
          <w:bCs/>
          <w:color w:val="auto"/>
          <w:kern w:val="0"/>
          <w:sz w:val="44"/>
          <w:szCs w:val="44"/>
          <w:highlight w:val="none"/>
        </w:rPr>
        <w:sectPr>
          <w:headerReference r:id="rId3" w:type="default"/>
          <w:footerReference r:id="rId4" w:type="default"/>
          <w:pgSz w:w="11906" w:h="16838"/>
          <w:pgMar w:top="1440" w:right="1800" w:bottom="1440" w:left="1800" w:header="720" w:footer="720" w:gutter="0"/>
          <w:cols w:space="720" w:num="1"/>
          <w:docGrid w:type="lines" w:linePitch="312" w:charSpace="0"/>
        </w:sectPr>
      </w:pPr>
    </w:p>
    <w:p w14:paraId="5F9FF59C">
      <w:pPr>
        <w:widowControl/>
        <w:jc w:val="center"/>
        <w:rPr>
          <w:rFonts w:ascii="Times New Roman" w:hAnsi="Times New Roman" w:eastAsia="宋体" w:cs="Times New Roman"/>
          <w:color w:val="auto"/>
          <w:kern w:val="0"/>
          <w:sz w:val="20"/>
          <w:szCs w:val="24"/>
          <w:highlight w:val="none"/>
        </w:rPr>
      </w:pPr>
      <w:r>
        <w:rPr>
          <w:rFonts w:ascii="宋体" w:hAnsi="宋体" w:eastAsia="宋体" w:cs="Times New Roman"/>
          <w:b/>
          <w:bCs/>
          <w:color w:val="auto"/>
          <w:kern w:val="0"/>
          <w:sz w:val="44"/>
          <w:szCs w:val="44"/>
          <w:highlight w:val="none"/>
        </w:rPr>
        <w:br w:type="page"/>
      </w:r>
      <w:r>
        <w:rPr>
          <w:rFonts w:hint="eastAsia" w:ascii="宋体" w:hAnsi="宋体" w:eastAsia="宋体" w:cs="Times New Roman"/>
          <w:b/>
          <w:bCs/>
          <w:color w:val="auto"/>
          <w:kern w:val="0"/>
          <w:sz w:val="44"/>
          <w:szCs w:val="44"/>
          <w:highlight w:val="none"/>
        </w:rPr>
        <w:t>第一章 招标公告</w:t>
      </w:r>
    </w:p>
    <w:p w14:paraId="170527B0">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项目概况</w:t>
      </w:r>
    </w:p>
    <w:p w14:paraId="5BD9529F">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三门峡市产品质量检验检测中心计量检测设备更新项目的潜在</w:t>
      </w:r>
      <w:r>
        <w:rPr>
          <w:rFonts w:hint="eastAsia" w:ascii="宋体" w:hAnsi="宋体" w:eastAsia="宋体" w:cs="Times New Roman"/>
          <w:bCs/>
          <w:color w:val="auto"/>
          <w:sz w:val="24"/>
          <w:szCs w:val="24"/>
          <w:highlight w:val="none"/>
          <w:lang w:eastAsia="zh-CN"/>
        </w:rPr>
        <w:t>投标供应商</w:t>
      </w:r>
      <w:r>
        <w:rPr>
          <w:rFonts w:hint="eastAsia" w:ascii="宋体" w:hAnsi="宋体" w:eastAsia="宋体" w:cs="Times New Roman"/>
          <w:bCs/>
          <w:color w:val="auto"/>
          <w:sz w:val="24"/>
          <w:szCs w:val="24"/>
          <w:highlight w:val="none"/>
        </w:rPr>
        <w:t>应在三门峡市公共资源交易中心获取招标文件，并于</w:t>
      </w:r>
      <w:r>
        <w:rPr>
          <w:rFonts w:hint="eastAsia" w:ascii="宋体" w:hAnsi="宋体" w:eastAsia="宋体" w:cs="Times New Roman"/>
          <w:bCs/>
          <w:color w:val="auto"/>
          <w:sz w:val="24"/>
          <w:szCs w:val="24"/>
          <w:highlight w:val="none"/>
          <w:lang w:val="en-US" w:eastAsia="zh-CN"/>
        </w:rPr>
        <w:t>2026年11月02日08时30分</w:t>
      </w:r>
      <w:r>
        <w:rPr>
          <w:rFonts w:hint="eastAsia" w:ascii="宋体" w:hAnsi="宋体" w:eastAsia="宋体" w:cs="Times New Roman"/>
          <w:bCs/>
          <w:color w:val="auto"/>
          <w:sz w:val="24"/>
          <w:szCs w:val="24"/>
          <w:highlight w:val="none"/>
        </w:rPr>
        <w:t>（北京时间）前递交</w:t>
      </w:r>
      <w:r>
        <w:rPr>
          <w:rFonts w:hint="eastAsia" w:ascii="宋体" w:hAnsi="宋体" w:eastAsia="宋体" w:cs="Times New Roman"/>
          <w:bCs/>
          <w:color w:val="auto"/>
          <w:sz w:val="24"/>
          <w:szCs w:val="24"/>
          <w:highlight w:val="none"/>
          <w:lang w:val="en-US" w:eastAsia="zh-CN"/>
        </w:rPr>
        <w:t>投标</w:t>
      </w:r>
      <w:r>
        <w:rPr>
          <w:rFonts w:hint="eastAsia" w:ascii="宋体" w:hAnsi="宋体" w:eastAsia="宋体" w:cs="Times New Roman"/>
          <w:bCs/>
          <w:color w:val="auto"/>
          <w:sz w:val="24"/>
          <w:szCs w:val="24"/>
          <w:highlight w:val="none"/>
        </w:rPr>
        <w:t>文件。</w:t>
      </w:r>
    </w:p>
    <w:p w14:paraId="16F63C48">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一、项目基本情况</w:t>
      </w:r>
    </w:p>
    <w:p w14:paraId="51C8F786">
      <w:pPr>
        <w:spacing w:line="360" w:lineRule="auto"/>
        <w:ind w:firstLine="480" w:firstLineChars="200"/>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1、项目编号：SGZ[2026]334-ZC240</w:t>
      </w:r>
      <w:r>
        <w:rPr>
          <w:rFonts w:hint="eastAsia" w:ascii="宋体" w:hAnsi="宋体" w:eastAsia="宋体" w:cs="Times New Roman"/>
          <w:bCs/>
          <w:color w:val="auto"/>
          <w:sz w:val="24"/>
          <w:szCs w:val="24"/>
          <w:highlight w:val="none"/>
          <w:lang w:val="en-US" w:eastAsia="zh-CN"/>
        </w:rPr>
        <w:t xml:space="preserve"> </w:t>
      </w:r>
      <w:r>
        <w:rPr>
          <w:rFonts w:hint="eastAsia" w:ascii="宋体" w:hAnsi="宋体" w:eastAsia="宋体" w:cs="Times New Roman"/>
          <w:bCs/>
          <w:color w:val="auto"/>
          <w:sz w:val="24"/>
          <w:szCs w:val="24"/>
          <w:highlight w:val="none"/>
        </w:rPr>
        <w:t>三财公开采购-2026-46</w:t>
      </w:r>
    </w:p>
    <w:p w14:paraId="38640C5D">
      <w:pPr>
        <w:spacing w:line="360" w:lineRule="auto"/>
        <w:ind w:firstLine="480" w:firstLineChars="200"/>
        <w:rPr>
          <w:rFonts w:hint="eastAsia" w:ascii="宋体" w:hAnsi="宋体" w:eastAsia="宋体" w:cs="Times New Roman"/>
          <w:bCs/>
          <w:color w:val="auto"/>
          <w:sz w:val="24"/>
          <w:szCs w:val="24"/>
          <w:highlight w:val="none"/>
          <w:lang w:eastAsia="zh-CN"/>
        </w:rPr>
      </w:pPr>
      <w:r>
        <w:rPr>
          <w:rFonts w:hint="eastAsia" w:ascii="宋体" w:hAnsi="宋体" w:eastAsia="宋体" w:cs="Times New Roman"/>
          <w:bCs/>
          <w:color w:val="auto"/>
          <w:sz w:val="24"/>
          <w:szCs w:val="24"/>
          <w:highlight w:val="none"/>
        </w:rPr>
        <w:t>2、项目名称：</w:t>
      </w:r>
      <w:r>
        <w:rPr>
          <w:rFonts w:hint="eastAsia" w:ascii="宋体" w:hAnsi="宋体" w:eastAsia="宋体" w:cs="Times New Roman"/>
          <w:bCs/>
          <w:color w:val="auto"/>
          <w:sz w:val="24"/>
          <w:szCs w:val="24"/>
          <w:highlight w:val="none"/>
          <w:lang w:eastAsia="zh-CN"/>
        </w:rPr>
        <w:t>三门峡市产品质量检验检测中心计量检测设备更新</w:t>
      </w:r>
      <w:bookmarkStart w:id="30" w:name="_GoBack"/>
      <w:bookmarkEnd w:id="30"/>
      <w:r>
        <w:rPr>
          <w:rFonts w:hint="eastAsia" w:ascii="宋体" w:hAnsi="宋体" w:eastAsia="宋体" w:cs="Times New Roman"/>
          <w:bCs/>
          <w:color w:val="auto"/>
          <w:sz w:val="24"/>
          <w:szCs w:val="24"/>
          <w:highlight w:val="none"/>
          <w:lang w:eastAsia="zh-CN"/>
        </w:rPr>
        <w:t>项目</w:t>
      </w:r>
    </w:p>
    <w:p w14:paraId="045060FF">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3、采购方式：公开招标</w:t>
      </w:r>
    </w:p>
    <w:p w14:paraId="0ECA3A22">
      <w:pPr>
        <w:spacing w:line="360" w:lineRule="auto"/>
        <w:ind w:firstLine="480" w:firstLineChars="200"/>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4、预算金额：</w:t>
      </w:r>
      <w:r>
        <w:rPr>
          <w:rFonts w:hint="eastAsia" w:ascii="宋体" w:hAnsi="宋体" w:eastAsia="宋体" w:cs="Times New Roman"/>
          <w:bCs/>
          <w:color w:val="auto"/>
          <w:sz w:val="24"/>
          <w:szCs w:val="24"/>
          <w:highlight w:val="none"/>
          <w:lang w:val="en-US" w:eastAsia="zh-CN"/>
        </w:rPr>
        <w:t>3501900.00</w:t>
      </w:r>
      <w:r>
        <w:rPr>
          <w:rFonts w:hint="eastAsia" w:ascii="宋体" w:hAnsi="宋体" w:eastAsia="宋体" w:cs="Times New Roman"/>
          <w:bCs/>
          <w:color w:val="auto"/>
          <w:sz w:val="24"/>
          <w:szCs w:val="24"/>
          <w:highlight w:val="none"/>
        </w:rPr>
        <w:t>元</w:t>
      </w:r>
    </w:p>
    <w:p w14:paraId="67002F2F">
      <w:pPr>
        <w:spacing w:line="360" w:lineRule="auto"/>
        <w:ind w:firstLine="480" w:firstLineChars="200"/>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最高限价：</w:t>
      </w:r>
      <w:r>
        <w:rPr>
          <w:rFonts w:hint="eastAsia" w:ascii="宋体" w:hAnsi="宋体" w:eastAsia="宋体" w:cs="Times New Roman"/>
          <w:bCs/>
          <w:color w:val="auto"/>
          <w:sz w:val="24"/>
          <w:szCs w:val="24"/>
          <w:highlight w:val="none"/>
          <w:lang w:val="en-US" w:eastAsia="zh-CN"/>
        </w:rPr>
        <w:t>3501900.00</w:t>
      </w:r>
      <w:r>
        <w:rPr>
          <w:rFonts w:hint="eastAsia" w:ascii="宋体" w:hAnsi="宋体" w:eastAsia="宋体" w:cs="Times New Roman"/>
          <w:bCs/>
          <w:color w:val="auto"/>
          <w:sz w:val="24"/>
          <w:szCs w:val="24"/>
          <w:highlight w:val="none"/>
        </w:rPr>
        <w:t>元</w:t>
      </w:r>
    </w:p>
    <w:tbl>
      <w:tblPr>
        <w:tblStyle w:val="14"/>
        <w:tblW w:w="105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0"/>
        <w:gridCol w:w="2675"/>
        <w:gridCol w:w="3580"/>
        <w:gridCol w:w="1622"/>
        <w:gridCol w:w="1890"/>
      </w:tblGrid>
      <w:tr w14:paraId="1EC567AD">
        <w:trPr>
          <w:trHeight w:val="561" w:hRule="atLeast"/>
          <w:jc w:val="center"/>
        </w:trPr>
        <w:tc>
          <w:tcPr>
            <w:tcW w:w="770" w:type="dxa"/>
          </w:tcPr>
          <w:p w14:paraId="51A17021">
            <w:pPr>
              <w:spacing w:line="360" w:lineRule="auto"/>
              <w:jc w:val="center"/>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序号</w:t>
            </w:r>
          </w:p>
        </w:tc>
        <w:tc>
          <w:tcPr>
            <w:tcW w:w="2675" w:type="dxa"/>
          </w:tcPr>
          <w:p w14:paraId="3AD29B8D">
            <w:pPr>
              <w:spacing w:line="360" w:lineRule="auto"/>
              <w:ind w:firstLine="480" w:firstLineChars="200"/>
              <w:jc w:val="center"/>
              <w:rPr>
                <w:rFonts w:hint="default" w:ascii="宋体" w:hAnsi="宋体" w:eastAsia="宋体" w:cs="Times New Roman"/>
                <w:bCs/>
                <w:color w:val="auto"/>
                <w:sz w:val="24"/>
                <w:szCs w:val="24"/>
                <w:highlight w:val="none"/>
                <w:lang w:val="en-US" w:eastAsia="zh-CN"/>
              </w:rPr>
            </w:pPr>
            <w:r>
              <w:rPr>
                <w:rFonts w:hint="eastAsia" w:ascii="宋体" w:hAnsi="宋体" w:eastAsia="宋体" w:cs="Times New Roman"/>
                <w:bCs/>
                <w:color w:val="auto"/>
                <w:sz w:val="24"/>
                <w:szCs w:val="24"/>
                <w:highlight w:val="none"/>
                <w:lang w:val="en-US" w:eastAsia="zh-CN"/>
              </w:rPr>
              <w:t>标段号</w:t>
            </w:r>
          </w:p>
        </w:tc>
        <w:tc>
          <w:tcPr>
            <w:tcW w:w="3580" w:type="dxa"/>
          </w:tcPr>
          <w:p w14:paraId="610C46E2">
            <w:pPr>
              <w:spacing w:line="360" w:lineRule="auto"/>
              <w:ind w:firstLine="480" w:firstLineChars="200"/>
              <w:jc w:val="center"/>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lang w:val="en-US" w:eastAsia="zh-CN"/>
              </w:rPr>
              <w:t>标段</w:t>
            </w:r>
            <w:r>
              <w:rPr>
                <w:rFonts w:hint="eastAsia" w:ascii="宋体" w:hAnsi="宋体" w:eastAsia="宋体" w:cs="Times New Roman"/>
                <w:bCs/>
                <w:color w:val="auto"/>
                <w:sz w:val="24"/>
                <w:szCs w:val="24"/>
                <w:highlight w:val="none"/>
              </w:rPr>
              <w:t>名称</w:t>
            </w:r>
          </w:p>
        </w:tc>
        <w:tc>
          <w:tcPr>
            <w:tcW w:w="1622" w:type="dxa"/>
          </w:tcPr>
          <w:p w14:paraId="6510E6DE">
            <w:pPr>
              <w:spacing w:line="360" w:lineRule="auto"/>
              <w:jc w:val="center"/>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lang w:val="en-US" w:eastAsia="zh-CN"/>
              </w:rPr>
              <w:t>标段</w:t>
            </w:r>
            <w:r>
              <w:rPr>
                <w:rFonts w:hint="eastAsia" w:ascii="宋体" w:hAnsi="宋体" w:eastAsia="宋体" w:cs="Times New Roman"/>
                <w:bCs/>
                <w:color w:val="auto"/>
                <w:sz w:val="24"/>
                <w:szCs w:val="24"/>
                <w:highlight w:val="none"/>
              </w:rPr>
              <w:t>预算（元）</w:t>
            </w:r>
          </w:p>
        </w:tc>
        <w:tc>
          <w:tcPr>
            <w:tcW w:w="1890" w:type="dxa"/>
          </w:tcPr>
          <w:p w14:paraId="782E2C03">
            <w:pPr>
              <w:spacing w:line="360" w:lineRule="auto"/>
              <w:jc w:val="center"/>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lang w:val="en-US" w:eastAsia="zh-CN"/>
              </w:rPr>
              <w:t>标段</w:t>
            </w:r>
            <w:r>
              <w:rPr>
                <w:rFonts w:hint="eastAsia" w:ascii="宋体" w:hAnsi="宋体" w:eastAsia="宋体" w:cs="Times New Roman"/>
                <w:bCs/>
                <w:color w:val="auto"/>
                <w:sz w:val="24"/>
                <w:szCs w:val="24"/>
                <w:highlight w:val="none"/>
              </w:rPr>
              <w:t>最高限价（元）</w:t>
            </w:r>
          </w:p>
        </w:tc>
      </w:tr>
      <w:tr w14:paraId="759BC687">
        <w:trPr>
          <w:trHeight w:val="1307" w:hRule="atLeast"/>
          <w:jc w:val="center"/>
        </w:trPr>
        <w:tc>
          <w:tcPr>
            <w:tcW w:w="770" w:type="dxa"/>
            <w:vAlign w:val="center"/>
          </w:tcPr>
          <w:p w14:paraId="72EA338F">
            <w:pPr>
              <w:spacing w:line="360" w:lineRule="auto"/>
              <w:ind w:firstLine="240" w:firstLineChars="1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1</w:t>
            </w:r>
          </w:p>
        </w:tc>
        <w:tc>
          <w:tcPr>
            <w:tcW w:w="2675" w:type="dxa"/>
            <w:vAlign w:val="center"/>
          </w:tcPr>
          <w:p w14:paraId="50CED2CB">
            <w:pPr>
              <w:spacing w:line="360" w:lineRule="auto"/>
              <w:rPr>
                <w:rFonts w:hint="default" w:ascii="宋体" w:hAnsi="宋体" w:eastAsia="宋体" w:cs="Times New Roman"/>
                <w:bCs/>
                <w:color w:val="auto"/>
                <w:sz w:val="24"/>
                <w:szCs w:val="24"/>
                <w:highlight w:val="none"/>
                <w:lang w:val="en-US" w:eastAsia="zh-CN"/>
              </w:rPr>
            </w:pPr>
            <w:r>
              <w:rPr>
                <w:rFonts w:hint="default" w:ascii="宋体" w:hAnsi="宋体" w:eastAsia="宋体" w:cs="Times New Roman"/>
                <w:bCs/>
                <w:color w:val="auto"/>
                <w:sz w:val="24"/>
                <w:szCs w:val="24"/>
                <w:highlight w:val="none"/>
                <w:lang w:val="en-US" w:eastAsia="zh-CN"/>
              </w:rPr>
              <w:t>SGZ[2026]334-ZC240</w:t>
            </w:r>
            <w:r>
              <w:rPr>
                <w:rFonts w:hint="eastAsia" w:ascii="宋体" w:hAnsi="宋体" w:eastAsia="宋体" w:cs="Times New Roman"/>
                <w:bCs/>
                <w:color w:val="auto"/>
                <w:sz w:val="24"/>
                <w:szCs w:val="24"/>
                <w:highlight w:val="none"/>
                <w:lang w:val="en-US" w:eastAsia="zh-CN"/>
              </w:rPr>
              <w:t>-1</w:t>
            </w:r>
          </w:p>
        </w:tc>
        <w:tc>
          <w:tcPr>
            <w:tcW w:w="3580" w:type="dxa"/>
            <w:vAlign w:val="center"/>
          </w:tcPr>
          <w:p w14:paraId="50202EC0">
            <w:pPr>
              <w:spacing w:line="360" w:lineRule="auto"/>
              <w:jc w:val="center"/>
              <w:rPr>
                <w:rFonts w:hint="default" w:ascii="宋体" w:hAnsi="宋体" w:eastAsia="宋体" w:cs="Times New Roman"/>
                <w:bCs/>
                <w:color w:val="auto"/>
                <w:sz w:val="24"/>
                <w:szCs w:val="24"/>
                <w:highlight w:val="none"/>
                <w:lang w:val="en-US" w:eastAsia="zh-CN"/>
              </w:rPr>
            </w:pPr>
            <w:r>
              <w:rPr>
                <w:rFonts w:hint="eastAsia" w:ascii="宋体" w:hAnsi="宋体" w:eastAsia="宋体" w:cs="Times New Roman"/>
                <w:bCs/>
                <w:color w:val="auto"/>
                <w:sz w:val="24"/>
                <w:szCs w:val="24"/>
                <w:highlight w:val="none"/>
                <w:lang w:eastAsia="zh-CN"/>
              </w:rPr>
              <w:t>三门峡市产品质量检验检测中心计量检测设备更新项目</w:t>
            </w:r>
            <w:r>
              <w:rPr>
                <w:rFonts w:hint="eastAsia" w:ascii="宋体" w:hAnsi="宋体" w:eastAsia="宋体" w:cs="Times New Roman"/>
                <w:bCs/>
                <w:color w:val="auto"/>
                <w:sz w:val="24"/>
                <w:szCs w:val="24"/>
                <w:highlight w:val="none"/>
                <w:lang w:val="en-US" w:eastAsia="zh-CN"/>
              </w:rPr>
              <w:t>1标段</w:t>
            </w:r>
          </w:p>
          <w:p w14:paraId="221372EC">
            <w:pPr>
              <w:spacing w:line="360" w:lineRule="auto"/>
              <w:jc w:val="center"/>
              <w:rPr>
                <w:rFonts w:hint="default" w:ascii="宋体" w:hAnsi="宋体" w:eastAsia="宋体" w:cs="Times New Roman"/>
                <w:bCs/>
                <w:color w:val="auto"/>
                <w:sz w:val="24"/>
                <w:szCs w:val="24"/>
                <w:highlight w:val="none"/>
                <w:lang w:val="en-US" w:eastAsia="zh-CN"/>
              </w:rPr>
            </w:pPr>
            <w:r>
              <w:rPr>
                <w:rFonts w:hint="eastAsia" w:ascii="宋体" w:hAnsi="宋体" w:eastAsia="宋体" w:cs="Times New Roman"/>
                <w:bCs/>
                <w:color w:val="auto"/>
                <w:sz w:val="24"/>
                <w:szCs w:val="24"/>
                <w:highlight w:val="none"/>
                <w:lang w:val="en-US" w:eastAsia="zh-CN"/>
              </w:rPr>
              <w:t>（产业包）</w:t>
            </w:r>
          </w:p>
        </w:tc>
        <w:tc>
          <w:tcPr>
            <w:tcW w:w="1622" w:type="dxa"/>
            <w:vAlign w:val="center"/>
          </w:tcPr>
          <w:p w14:paraId="110A4EC2">
            <w:pPr>
              <w:spacing w:line="360" w:lineRule="auto"/>
              <w:jc w:val="center"/>
              <w:rPr>
                <w:rFonts w:hint="default" w:ascii="宋体" w:hAnsi="宋体" w:eastAsia="宋体" w:cs="Times New Roman"/>
                <w:bCs/>
                <w:color w:val="auto"/>
                <w:sz w:val="24"/>
                <w:szCs w:val="24"/>
                <w:highlight w:val="none"/>
                <w:lang w:val="en-US" w:eastAsia="zh-CN"/>
              </w:rPr>
            </w:pPr>
            <w:r>
              <w:rPr>
                <w:rFonts w:hint="eastAsia" w:ascii="宋体" w:hAnsi="宋体" w:eastAsia="宋体" w:cs="Times New Roman"/>
                <w:bCs/>
                <w:color w:val="auto"/>
                <w:sz w:val="24"/>
                <w:szCs w:val="24"/>
                <w:highlight w:val="none"/>
                <w:lang w:val="en-US" w:eastAsia="zh-CN"/>
              </w:rPr>
              <w:t>1760300.00</w:t>
            </w:r>
          </w:p>
        </w:tc>
        <w:tc>
          <w:tcPr>
            <w:tcW w:w="1890" w:type="dxa"/>
            <w:vAlign w:val="center"/>
          </w:tcPr>
          <w:p w14:paraId="64D282B8">
            <w:pPr>
              <w:spacing w:line="360" w:lineRule="auto"/>
              <w:jc w:val="center"/>
              <w:rPr>
                <w:rFonts w:hint="default" w:ascii="宋体" w:hAnsi="宋体" w:eastAsia="宋体" w:cs="Times New Roman"/>
                <w:bCs/>
                <w:color w:val="auto"/>
                <w:sz w:val="24"/>
                <w:szCs w:val="24"/>
                <w:highlight w:val="none"/>
                <w:lang w:val="en-US"/>
              </w:rPr>
            </w:pPr>
            <w:r>
              <w:rPr>
                <w:rFonts w:hint="eastAsia" w:ascii="宋体" w:hAnsi="宋体" w:eastAsia="宋体" w:cs="Times New Roman"/>
                <w:bCs/>
                <w:color w:val="auto"/>
                <w:sz w:val="24"/>
                <w:szCs w:val="24"/>
                <w:highlight w:val="none"/>
                <w:lang w:val="en-US" w:eastAsia="zh-CN"/>
              </w:rPr>
              <w:t>1760300.00</w:t>
            </w:r>
          </w:p>
        </w:tc>
      </w:tr>
      <w:tr w14:paraId="24B6E7D9">
        <w:trPr>
          <w:trHeight w:val="1316" w:hRule="atLeast"/>
          <w:jc w:val="center"/>
        </w:trPr>
        <w:tc>
          <w:tcPr>
            <w:tcW w:w="770" w:type="dxa"/>
            <w:vAlign w:val="center"/>
          </w:tcPr>
          <w:p w14:paraId="6BBAA7EB">
            <w:pPr>
              <w:spacing w:line="360" w:lineRule="auto"/>
              <w:ind w:firstLine="240" w:firstLineChars="100"/>
              <w:rPr>
                <w:rFonts w:hint="eastAsia" w:ascii="宋体" w:hAnsi="宋体" w:eastAsia="宋体" w:cs="Times New Roman"/>
                <w:bCs/>
                <w:color w:val="auto"/>
                <w:sz w:val="24"/>
                <w:szCs w:val="24"/>
                <w:highlight w:val="none"/>
                <w:lang w:val="en-US" w:eastAsia="zh-CN"/>
              </w:rPr>
            </w:pPr>
            <w:r>
              <w:rPr>
                <w:rFonts w:hint="eastAsia" w:ascii="宋体" w:hAnsi="宋体" w:eastAsia="宋体" w:cs="Times New Roman"/>
                <w:bCs/>
                <w:color w:val="auto"/>
                <w:sz w:val="24"/>
                <w:szCs w:val="24"/>
                <w:highlight w:val="none"/>
                <w:lang w:val="en-US" w:eastAsia="zh-CN"/>
              </w:rPr>
              <w:t>2</w:t>
            </w:r>
          </w:p>
        </w:tc>
        <w:tc>
          <w:tcPr>
            <w:tcW w:w="2675" w:type="dxa"/>
            <w:vAlign w:val="center"/>
          </w:tcPr>
          <w:p w14:paraId="77F1FB8D">
            <w:pPr>
              <w:spacing w:line="360" w:lineRule="auto"/>
              <w:rPr>
                <w:rFonts w:hint="default" w:ascii="宋体" w:hAnsi="宋体" w:eastAsia="宋体" w:cs="Times New Roman"/>
                <w:bCs/>
                <w:color w:val="auto"/>
                <w:sz w:val="24"/>
                <w:szCs w:val="24"/>
                <w:highlight w:val="none"/>
                <w:lang w:val="en-US" w:eastAsia="zh-CN"/>
              </w:rPr>
            </w:pPr>
            <w:r>
              <w:rPr>
                <w:rFonts w:hint="default" w:ascii="宋体" w:hAnsi="宋体" w:eastAsia="宋体" w:cs="Times New Roman"/>
                <w:bCs/>
                <w:color w:val="auto"/>
                <w:sz w:val="24"/>
                <w:szCs w:val="24"/>
                <w:highlight w:val="none"/>
                <w:lang w:val="en-US" w:eastAsia="zh-CN"/>
              </w:rPr>
              <w:t>SGZ[2026]334-ZC240</w:t>
            </w:r>
            <w:r>
              <w:rPr>
                <w:rFonts w:hint="eastAsia" w:ascii="宋体" w:hAnsi="宋体" w:eastAsia="宋体" w:cs="Times New Roman"/>
                <w:bCs/>
                <w:color w:val="auto"/>
                <w:sz w:val="24"/>
                <w:szCs w:val="24"/>
                <w:highlight w:val="none"/>
                <w:lang w:val="en-US" w:eastAsia="zh-CN"/>
              </w:rPr>
              <w:t>-2</w:t>
            </w:r>
          </w:p>
        </w:tc>
        <w:tc>
          <w:tcPr>
            <w:tcW w:w="3580" w:type="dxa"/>
            <w:vAlign w:val="center"/>
          </w:tcPr>
          <w:p w14:paraId="6AC0D6CD">
            <w:pPr>
              <w:spacing w:line="360" w:lineRule="auto"/>
              <w:jc w:val="center"/>
              <w:rPr>
                <w:rFonts w:hint="eastAsia" w:ascii="宋体" w:hAnsi="宋体" w:eastAsia="宋体" w:cs="Times New Roman"/>
                <w:bCs/>
                <w:color w:val="auto"/>
                <w:sz w:val="24"/>
                <w:szCs w:val="24"/>
                <w:highlight w:val="none"/>
                <w:lang w:val="en-US" w:eastAsia="zh-CN"/>
              </w:rPr>
            </w:pPr>
            <w:r>
              <w:rPr>
                <w:rFonts w:hint="eastAsia" w:ascii="宋体" w:hAnsi="宋体" w:eastAsia="宋体" w:cs="Times New Roman"/>
                <w:bCs/>
                <w:color w:val="auto"/>
                <w:sz w:val="24"/>
                <w:szCs w:val="24"/>
                <w:highlight w:val="none"/>
                <w:lang w:eastAsia="zh-CN"/>
              </w:rPr>
              <w:t>三门峡市产品质量检验检测中心计量检测设备更新项目</w:t>
            </w:r>
            <w:r>
              <w:rPr>
                <w:rFonts w:hint="eastAsia" w:ascii="宋体" w:hAnsi="宋体" w:eastAsia="宋体" w:cs="Times New Roman"/>
                <w:bCs/>
                <w:color w:val="auto"/>
                <w:sz w:val="24"/>
                <w:szCs w:val="24"/>
                <w:highlight w:val="none"/>
                <w:lang w:val="en-US" w:eastAsia="zh-CN"/>
              </w:rPr>
              <w:t>2标段</w:t>
            </w:r>
          </w:p>
          <w:p w14:paraId="3B2C0531">
            <w:pPr>
              <w:spacing w:line="360" w:lineRule="auto"/>
              <w:jc w:val="center"/>
              <w:rPr>
                <w:rFonts w:hint="default" w:ascii="宋体" w:hAnsi="宋体" w:eastAsia="宋体" w:cs="Times New Roman"/>
                <w:bCs/>
                <w:color w:val="auto"/>
                <w:sz w:val="24"/>
                <w:szCs w:val="24"/>
                <w:highlight w:val="none"/>
                <w:lang w:val="en-US" w:eastAsia="zh-CN"/>
              </w:rPr>
            </w:pPr>
            <w:r>
              <w:rPr>
                <w:rFonts w:hint="eastAsia" w:ascii="宋体" w:hAnsi="宋体" w:eastAsia="宋体" w:cs="Times New Roman"/>
                <w:bCs/>
                <w:color w:val="auto"/>
                <w:sz w:val="24"/>
                <w:szCs w:val="24"/>
                <w:highlight w:val="none"/>
                <w:lang w:val="en-US" w:eastAsia="zh-CN"/>
              </w:rPr>
              <w:t>（民生包）</w:t>
            </w:r>
          </w:p>
        </w:tc>
        <w:tc>
          <w:tcPr>
            <w:tcW w:w="1622" w:type="dxa"/>
            <w:vAlign w:val="center"/>
          </w:tcPr>
          <w:p w14:paraId="0A38A236">
            <w:pPr>
              <w:spacing w:line="360" w:lineRule="auto"/>
              <w:jc w:val="center"/>
              <w:rPr>
                <w:rFonts w:hint="default" w:ascii="宋体" w:hAnsi="宋体" w:eastAsia="宋体" w:cs="Times New Roman"/>
                <w:bCs/>
                <w:color w:val="auto"/>
                <w:sz w:val="24"/>
                <w:szCs w:val="24"/>
                <w:highlight w:val="none"/>
                <w:lang w:val="en-US" w:eastAsia="zh-CN"/>
              </w:rPr>
            </w:pPr>
            <w:r>
              <w:rPr>
                <w:rFonts w:hint="eastAsia" w:ascii="宋体" w:hAnsi="宋体" w:eastAsia="宋体" w:cs="Times New Roman"/>
                <w:bCs/>
                <w:color w:val="auto"/>
                <w:sz w:val="24"/>
                <w:szCs w:val="24"/>
                <w:highlight w:val="none"/>
                <w:lang w:val="en-US" w:eastAsia="zh-CN"/>
              </w:rPr>
              <w:t xml:space="preserve">1741600.00 </w:t>
            </w:r>
          </w:p>
        </w:tc>
        <w:tc>
          <w:tcPr>
            <w:tcW w:w="1890" w:type="dxa"/>
            <w:vAlign w:val="center"/>
          </w:tcPr>
          <w:p w14:paraId="521F5B99">
            <w:pPr>
              <w:spacing w:line="360" w:lineRule="auto"/>
              <w:jc w:val="center"/>
              <w:rPr>
                <w:rFonts w:hint="eastAsia" w:ascii="宋体" w:hAnsi="宋体" w:eastAsia="宋体" w:cs="Times New Roman"/>
                <w:bCs/>
                <w:color w:val="auto"/>
                <w:sz w:val="24"/>
                <w:szCs w:val="24"/>
                <w:highlight w:val="none"/>
                <w:lang w:val="en-US" w:eastAsia="zh-CN"/>
              </w:rPr>
            </w:pPr>
            <w:r>
              <w:rPr>
                <w:rFonts w:hint="eastAsia" w:ascii="宋体" w:hAnsi="宋体" w:eastAsia="宋体" w:cs="Times New Roman"/>
                <w:bCs/>
                <w:color w:val="auto"/>
                <w:sz w:val="24"/>
                <w:szCs w:val="24"/>
                <w:highlight w:val="none"/>
                <w:lang w:val="en-US" w:eastAsia="zh-CN"/>
              </w:rPr>
              <w:t xml:space="preserve">1741600.00 </w:t>
            </w:r>
          </w:p>
        </w:tc>
      </w:tr>
    </w:tbl>
    <w:p w14:paraId="3C9E9606">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5、采购需求（包括但不限于标的的名称、数量、简要技术需求或服务要求等）</w:t>
      </w:r>
      <w:r>
        <w:rPr>
          <w:rFonts w:hint="eastAsia" w:ascii="宋体" w:hAnsi="宋体" w:eastAsia="宋体" w:cs="Times New Roman"/>
          <w:bCs/>
          <w:color w:val="auto"/>
          <w:sz w:val="24"/>
          <w:szCs w:val="24"/>
          <w:highlight w:val="none"/>
        </w:rPr>
        <w:tab/>
      </w:r>
    </w:p>
    <w:p w14:paraId="3E3ABD67">
      <w:pPr>
        <w:spacing w:line="360" w:lineRule="auto"/>
        <w:ind w:firstLine="480" w:firstLineChars="200"/>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5.1采购内容：本项目为</w:t>
      </w:r>
      <w:r>
        <w:rPr>
          <w:rFonts w:hint="eastAsia" w:ascii="宋体" w:hAnsi="宋体" w:eastAsia="宋体" w:cs="Times New Roman"/>
          <w:bCs/>
          <w:color w:val="auto"/>
          <w:sz w:val="24"/>
          <w:szCs w:val="24"/>
          <w:highlight w:val="none"/>
          <w:lang w:eastAsia="zh-CN"/>
        </w:rPr>
        <w:t>三门峡市产品质量检验检测中心计量检测设备更新项目</w:t>
      </w:r>
      <w:r>
        <w:rPr>
          <w:rFonts w:hint="eastAsia" w:ascii="宋体" w:hAnsi="宋体" w:eastAsia="宋体" w:cs="Times New Roman"/>
          <w:bCs/>
          <w:color w:val="auto"/>
          <w:sz w:val="24"/>
          <w:szCs w:val="24"/>
          <w:highlight w:val="none"/>
          <w:lang w:val="en-US" w:eastAsia="zh-CN"/>
        </w:rPr>
        <w:t>的</w:t>
      </w:r>
      <w:r>
        <w:rPr>
          <w:rFonts w:hint="eastAsia" w:ascii="宋体" w:hAnsi="宋体" w:eastAsia="宋体" w:cs="Times New Roman"/>
          <w:bCs/>
          <w:color w:val="auto"/>
          <w:sz w:val="24"/>
          <w:szCs w:val="24"/>
          <w:highlight w:val="none"/>
        </w:rPr>
        <w:t>采购及安装、调试、验收、培训、质保期服务、与货物有关的运输和保险及其他伴随服务，具体采购内容及参数要求详见招标文件。</w:t>
      </w:r>
    </w:p>
    <w:p w14:paraId="63275617">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5.2资金来源：</w:t>
      </w:r>
      <w:r>
        <w:rPr>
          <w:rFonts w:hint="eastAsia" w:ascii="宋体" w:hAnsi="宋体" w:eastAsia="宋体" w:cs="Times New Roman"/>
          <w:bCs/>
          <w:color w:val="auto"/>
          <w:sz w:val="24"/>
          <w:szCs w:val="24"/>
          <w:highlight w:val="none"/>
          <w:lang w:eastAsia="zh-CN"/>
        </w:rPr>
        <w:t>财政资金</w:t>
      </w:r>
      <w:r>
        <w:rPr>
          <w:rFonts w:hint="eastAsia" w:ascii="宋体" w:hAnsi="宋体" w:eastAsia="宋体" w:cs="Times New Roman"/>
          <w:bCs/>
          <w:color w:val="auto"/>
          <w:sz w:val="24"/>
          <w:szCs w:val="24"/>
          <w:highlight w:val="none"/>
        </w:rPr>
        <w:t>，已落实。</w:t>
      </w:r>
    </w:p>
    <w:p w14:paraId="5E7C7DE4">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5.3交货地点：</w:t>
      </w:r>
      <w:r>
        <w:rPr>
          <w:rFonts w:hint="eastAsia" w:ascii="宋体" w:hAnsi="宋体" w:eastAsia="宋体" w:cs="Times New Roman"/>
          <w:color w:val="auto"/>
          <w:sz w:val="24"/>
          <w:szCs w:val="24"/>
          <w:highlight w:val="none"/>
        </w:rPr>
        <w:t>采购人指定地点</w:t>
      </w:r>
      <w:r>
        <w:rPr>
          <w:rFonts w:hint="eastAsia" w:ascii="宋体" w:hAnsi="宋体" w:eastAsia="宋体" w:cs="Times New Roman"/>
          <w:bCs/>
          <w:color w:val="auto"/>
          <w:sz w:val="24"/>
          <w:szCs w:val="24"/>
          <w:highlight w:val="none"/>
        </w:rPr>
        <w:t>。</w:t>
      </w:r>
    </w:p>
    <w:p w14:paraId="1EF69D08">
      <w:pPr>
        <w:spacing w:line="360" w:lineRule="auto"/>
        <w:ind w:firstLine="480" w:firstLineChars="200"/>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5.4</w:t>
      </w:r>
      <w:r>
        <w:rPr>
          <w:rFonts w:hint="eastAsia" w:ascii="宋体" w:hAnsi="宋体" w:eastAsia="宋体" w:cs="Times New Roman"/>
          <w:bCs/>
          <w:color w:val="auto"/>
          <w:sz w:val="24"/>
          <w:szCs w:val="24"/>
          <w:highlight w:val="none"/>
          <w:lang w:eastAsia="zh-CN"/>
        </w:rPr>
        <w:t>质量要求</w:t>
      </w:r>
      <w:r>
        <w:rPr>
          <w:rFonts w:hint="eastAsia" w:ascii="宋体" w:hAnsi="宋体" w:eastAsia="宋体" w:cs="Times New Roman"/>
          <w:bCs/>
          <w:color w:val="auto"/>
          <w:sz w:val="24"/>
          <w:szCs w:val="24"/>
          <w:highlight w:val="none"/>
        </w:rPr>
        <w:t>：合格。</w:t>
      </w:r>
      <w:r>
        <w:rPr>
          <w:rFonts w:hint="eastAsia" w:ascii="宋体" w:hAnsi="宋体" w:eastAsia="宋体" w:cs="Times New Roman"/>
          <w:bCs/>
          <w:color w:val="auto"/>
          <w:sz w:val="24"/>
          <w:szCs w:val="24"/>
          <w:highlight w:val="none"/>
        </w:rPr>
        <w:tab/>
      </w:r>
    </w:p>
    <w:p w14:paraId="2568AF99">
      <w:pPr>
        <w:spacing w:line="360" w:lineRule="auto"/>
        <w:ind w:firstLine="480" w:firstLineChars="200"/>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5.5</w:t>
      </w:r>
      <w:r>
        <w:rPr>
          <w:rFonts w:hint="eastAsia" w:ascii="宋体" w:hAnsi="宋体" w:eastAsia="宋体" w:cs="Times New Roman"/>
          <w:bCs/>
          <w:color w:val="auto"/>
          <w:sz w:val="24"/>
          <w:szCs w:val="24"/>
          <w:highlight w:val="none"/>
          <w:lang w:eastAsia="zh-CN"/>
        </w:rPr>
        <w:t>交货期</w:t>
      </w:r>
      <w:r>
        <w:rPr>
          <w:rFonts w:hint="eastAsia" w:ascii="宋体" w:hAnsi="宋体" w:eastAsia="宋体" w:cs="Times New Roman"/>
          <w:bCs/>
          <w:color w:val="auto"/>
          <w:sz w:val="24"/>
          <w:szCs w:val="24"/>
          <w:highlight w:val="none"/>
        </w:rPr>
        <w:t>：</w:t>
      </w:r>
      <w:r>
        <w:rPr>
          <w:rFonts w:hint="eastAsia" w:ascii="宋体" w:hAnsi="宋体" w:eastAsia="宋体" w:cs="Times New Roman"/>
          <w:bCs/>
          <w:color w:val="auto"/>
          <w:sz w:val="24"/>
          <w:szCs w:val="24"/>
          <w:highlight w:val="none"/>
          <w:lang w:eastAsia="zh-CN"/>
        </w:rPr>
        <w:t>自签订合同之日起30日历天内</w:t>
      </w:r>
      <w:r>
        <w:rPr>
          <w:rFonts w:hint="eastAsia" w:ascii="宋体" w:hAnsi="宋体" w:eastAsia="宋体" w:cs="Times New Roman"/>
          <w:bCs/>
          <w:color w:val="auto"/>
          <w:sz w:val="24"/>
          <w:szCs w:val="24"/>
          <w:highlight w:val="none"/>
        </w:rPr>
        <w:t>。</w:t>
      </w:r>
    </w:p>
    <w:p w14:paraId="51E7C219">
      <w:pPr>
        <w:spacing w:line="360" w:lineRule="auto"/>
        <w:ind w:firstLine="480" w:firstLineChars="200"/>
        <w:rPr>
          <w:rFonts w:hint="default" w:ascii="宋体" w:hAnsi="宋体" w:eastAsia="宋体" w:cs="Times New Roman"/>
          <w:bCs/>
          <w:color w:val="auto"/>
          <w:sz w:val="24"/>
          <w:szCs w:val="24"/>
          <w:highlight w:val="none"/>
          <w:lang w:val="en-US" w:eastAsia="zh-CN"/>
        </w:rPr>
      </w:pPr>
      <w:r>
        <w:rPr>
          <w:rFonts w:hint="eastAsia" w:ascii="宋体" w:hAnsi="宋体" w:eastAsia="宋体" w:cs="Times New Roman"/>
          <w:bCs/>
          <w:color w:val="auto"/>
          <w:sz w:val="24"/>
          <w:szCs w:val="24"/>
          <w:highlight w:val="none"/>
          <w:lang w:val="en-US" w:eastAsia="zh-CN"/>
        </w:rPr>
        <w:t>5.6质保期：3年。</w:t>
      </w:r>
    </w:p>
    <w:p w14:paraId="18825FE8">
      <w:pPr>
        <w:spacing w:line="360" w:lineRule="auto"/>
        <w:ind w:firstLine="480" w:firstLineChars="200"/>
        <w:rPr>
          <w:rFonts w:hint="eastAsia" w:ascii="宋体" w:hAnsi="宋体" w:eastAsia="宋体" w:cs="Times New Roman"/>
          <w:bCs/>
          <w:color w:val="auto"/>
          <w:sz w:val="24"/>
          <w:szCs w:val="24"/>
          <w:highlight w:val="none"/>
          <w:lang w:eastAsia="zh-CN"/>
        </w:rPr>
      </w:pPr>
      <w:r>
        <w:rPr>
          <w:rFonts w:hint="eastAsia" w:ascii="宋体" w:hAnsi="宋体" w:eastAsia="宋体" w:cs="Times New Roman"/>
          <w:bCs/>
          <w:color w:val="auto"/>
          <w:sz w:val="24"/>
          <w:szCs w:val="24"/>
          <w:highlight w:val="none"/>
        </w:rPr>
        <w:t>5.</w:t>
      </w:r>
      <w:r>
        <w:rPr>
          <w:rFonts w:hint="eastAsia" w:ascii="宋体" w:hAnsi="宋体" w:eastAsia="宋体" w:cs="Times New Roman"/>
          <w:bCs/>
          <w:color w:val="auto"/>
          <w:sz w:val="24"/>
          <w:szCs w:val="24"/>
          <w:highlight w:val="none"/>
          <w:lang w:val="en-US" w:eastAsia="zh-CN"/>
        </w:rPr>
        <w:t xml:space="preserve">7 </w:t>
      </w:r>
      <w:r>
        <w:rPr>
          <w:rFonts w:hint="eastAsia" w:ascii="宋体" w:hAnsi="宋体" w:eastAsia="宋体" w:cs="Times New Roman"/>
          <w:bCs/>
          <w:color w:val="auto"/>
          <w:sz w:val="24"/>
          <w:szCs w:val="24"/>
          <w:highlight w:val="none"/>
        </w:rPr>
        <w:t>标段划分：本项目划分</w:t>
      </w:r>
      <w:r>
        <w:rPr>
          <w:rFonts w:hint="eastAsia" w:ascii="宋体" w:hAnsi="宋体" w:eastAsia="宋体" w:cs="Times New Roman"/>
          <w:bCs/>
          <w:color w:val="auto"/>
          <w:sz w:val="24"/>
          <w:szCs w:val="24"/>
          <w:highlight w:val="none"/>
          <w:lang w:val="en-US" w:eastAsia="zh-CN"/>
        </w:rPr>
        <w:t>2个</w:t>
      </w:r>
      <w:r>
        <w:rPr>
          <w:rFonts w:hint="eastAsia" w:ascii="宋体" w:hAnsi="宋体" w:eastAsia="宋体" w:cs="Times New Roman"/>
          <w:bCs/>
          <w:color w:val="auto"/>
          <w:sz w:val="24"/>
          <w:szCs w:val="24"/>
          <w:highlight w:val="none"/>
        </w:rPr>
        <w:t>标段</w:t>
      </w:r>
      <w:r>
        <w:rPr>
          <w:rFonts w:hint="eastAsia" w:ascii="宋体" w:hAnsi="宋体" w:eastAsia="宋体" w:cs="Times New Roman"/>
          <w:bCs/>
          <w:color w:val="auto"/>
          <w:sz w:val="24"/>
          <w:szCs w:val="24"/>
          <w:highlight w:val="none"/>
          <w:lang w:eastAsia="zh-CN"/>
        </w:rPr>
        <w:t>。</w:t>
      </w:r>
    </w:p>
    <w:p w14:paraId="2F742843">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6、合同履行期限：自签订合同之日起30日历天内。</w:t>
      </w:r>
    </w:p>
    <w:p w14:paraId="4AD165BE">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7、本项目是否接受联合体投标：否</w:t>
      </w:r>
      <w:r>
        <w:rPr>
          <w:rFonts w:hint="eastAsia" w:ascii="宋体" w:hAnsi="宋体" w:eastAsia="宋体" w:cs="Times New Roman"/>
          <w:bCs/>
          <w:color w:val="auto"/>
          <w:sz w:val="24"/>
          <w:szCs w:val="24"/>
          <w:highlight w:val="none"/>
        </w:rPr>
        <w:tab/>
      </w:r>
    </w:p>
    <w:p w14:paraId="207E62D3">
      <w:pPr>
        <w:spacing w:line="360" w:lineRule="auto"/>
        <w:ind w:firstLine="480" w:firstLineChars="200"/>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8、是否接受进口产品：</w:t>
      </w:r>
      <w:r>
        <w:rPr>
          <w:rFonts w:hint="eastAsia" w:ascii="宋体" w:hAnsi="宋体" w:eastAsia="宋体" w:cs="Times New Roman"/>
          <w:bCs/>
          <w:color w:val="auto"/>
          <w:sz w:val="24"/>
          <w:szCs w:val="24"/>
          <w:highlight w:val="none"/>
          <w:lang w:val="en-US" w:eastAsia="zh-CN"/>
        </w:rPr>
        <w:t>否</w:t>
      </w:r>
      <w:r>
        <w:rPr>
          <w:rFonts w:hint="eastAsia" w:ascii="宋体" w:hAnsi="宋体" w:eastAsia="宋体" w:cs="Times New Roman"/>
          <w:bCs/>
          <w:color w:val="auto"/>
          <w:sz w:val="24"/>
          <w:szCs w:val="24"/>
          <w:highlight w:val="none"/>
        </w:rPr>
        <w:tab/>
      </w:r>
    </w:p>
    <w:p w14:paraId="4AB5914D">
      <w:pPr>
        <w:pStyle w:val="20"/>
        <w:ind w:firstLine="480" w:firstLineChars="200"/>
        <w:rPr>
          <w:rFonts w:hint="eastAsia" w:ascii="宋体" w:hAnsi="宋体" w:eastAsia="宋体" w:cs="Times New Roman"/>
          <w:bCs/>
          <w:color w:val="auto"/>
          <w:kern w:val="2"/>
          <w:sz w:val="24"/>
          <w:szCs w:val="24"/>
          <w:highlight w:val="none"/>
          <w:lang w:val="en-US" w:eastAsia="zh-CN" w:bidi="ar-SA"/>
        </w:rPr>
      </w:pPr>
      <w:r>
        <w:rPr>
          <w:rFonts w:hint="eastAsia" w:ascii="宋体" w:hAnsi="宋体" w:eastAsia="宋体" w:cs="Times New Roman"/>
          <w:bCs/>
          <w:color w:val="auto"/>
          <w:kern w:val="2"/>
          <w:sz w:val="24"/>
          <w:szCs w:val="24"/>
          <w:highlight w:val="none"/>
          <w:lang w:val="en-US" w:eastAsia="zh-CN" w:bidi="ar-SA"/>
        </w:rPr>
        <w:t>9、是否专门面向中小企业：否</w:t>
      </w:r>
    </w:p>
    <w:p w14:paraId="3A13534B">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二、申请人资格要求：</w:t>
      </w:r>
      <w:r>
        <w:rPr>
          <w:rFonts w:hint="eastAsia" w:ascii="宋体" w:hAnsi="宋体" w:eastAsia="宋体" w:cs="Times New Roman"/>
          <w:bCs/>
          <w:color w:val="auto"/>
          <w:sz w:val="24"/>
          <w:szCs w:val="24"/>
          <w:highlight w:val="none"/>
        </w:rPr>
        <w:tab/>
      </w:r>
    </w:p>
    <w:p w14:paraId="2F411C39">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1、满足《中华人民共和国政府采购法》第二十二条规定；</w:t>
      </w:r>
      <w:r>
        <w:rPr>
          <w:rFonts w:hint="eastAsia" w:ascii="宋体" w:hAnsi="宋体" w:eastAsia="宋体" w:cs="Times New Roman"/>
          <w:bCs/>
          <w:color w:val="auto"/>
          <w:sz w:val="24"/>
          <w:szCs w:val="24"/>
          <w:highlight w:val="none"/>
        </w:rPr>
        <w:tab/>
      </w:r>
    </w:p>
    <w:p w14:paraId="50E7A64E">
      <w:pPr>
        <w:spacing w:line="360" w:lineRule="auto"/>
        <w:ind w:firstLine="480" w:firstLineChars="200"/>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2、落实政府采购政策满足的资格要求</w:t>
      </w:r>
      <w:r>
        <w:rPr>
          <w:rFonts w:hint="eastAsia" w:ascii="宋体" w:hAnsi="宋体" w:eastAsia="宋体" w:cs="Times New Roman"/>
          <w:bCs/>
          <w:color w:val="auto"/>
          <w:sz w:val="24"/>
          <w:szCs w:val="24"/>
          <w:highlight w:val="none"/>
          <w:lang w:val="en-US" w:eastAsia="zh-CN"/>
        </w:rPr>
        <w:t>:促进中小微企业、监狱企业及残疾人福利性单位发展扶持政策、政府强制采购节能产品强制采购、节能产品及环境标志产品优先采购，支持政采贷</w:t>
      </w:r>
      <w:r>
        <w:rPr>
          <w:rFonts w:hint="eastAsia" w:ascii="宋体" w:hAnsi="宋体" w:eastAsia="宋体" w:cs="Times New Roman"/>
          <w:bCs/>
          <w:color w:val="auto"/>
          <w:sz w:val="24"/>
          <w:szCs w:val="24"/>
          <w:highlight w:val="none"/>
        </w:rPr>
        <w:t>。</w:t>
      </w:r>
    </w:p>
    <w:p w14:paraId="2BA871A1">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3、本项目的特定资格要求</w:t>
      </w:r>
      <w:r>
        <w:rPr>
          <w:rFonts w:hint="eastAsia" w:ascii="宋体" w:hAnsi="宋体" w:eastAsia="宋体" w:cs="Times New Roman"/>
          <w:bCs/>
          <w:color w:val="auto"/>
          <w:sz w:val="24"/>
          <w:szCs w:val="24"/>
          <w:highlight w:val="none"/>
        </w:rPr>
        <w:tab/>
      </w:r>
    </w:p>
    <w:p w14:paraId="5940917F">
      <w:pPr>
        <w:spacing w:line="360" w:lineRule="auto"/>
        <w:ind w:firstLine="480" w:firstLineChars="200"/>
        <w:rPr>
          <w:rFonts w:hint="eastAsia" w:ascii="宋体" w:hAnsi="宋体" w:eastAsia="宋体" w:cs="Times New Roman"/>
          <w:bCs/>
          <w:color w:val="auto"/>
          <w:sz w:val="24"/>
          <w:szCs w:val="24"/>
          <w:highlight w:val="none"/>
          <w:lang w:val="en-US" w:eastAsia="zh-CN"/>
        </w:rPr>
      </w:pPr>
      <w:r>
        <w:rPr>
          <w:rFonts w:hint="eastAsia" w:ascii="宋体" w:hAnsi="宋体" w:eastAsia="宋体" w:cs="Times New Roman"/>
          <w:bCs/>
          <w:color w:val="auto"/>
          <w:sz w:val="24"/>
          <w:szCs w:val="24"/>
          <w:highlight w:val="none"/>
          <w:lang w:val="en-US" w:eastAsia="zh-CN"/>
        </w:rPr>
        <w:t xml:space="preserve">3.1、投标供应商须具有合法有效的营业执照（可使用电子营业执照）；   </w:t>
      </w:r>
    </w:p>
    <w:p w14:paraId="56F41BD1">
      <w:pPr>
        <w:spacing w:line="360" w:lineRule="auto"/>
        <w:ind w:firstLine="480" w:firstLineChars="200"/>
        <w:rPr>
          <w:rFonts w:hint="eastAsia" w:ascii="宋体" w:hAnsi="宋体" w:eastAsia="宋体" w:cs="Times New Roman"/>
          <w:bCs/>
          <w:color w:val="auto"/>
          <w:sz w:val="24"/>
          <w:szCs w:val="24"/>
          <w:highlight w:val="none"/>
          <w:lang w:eastAsia="zh-CN"/>
        </w:rPr>
      </w:pPr>
      <w:r>
        <w:rPr>
          <w:rFonts w:hint="eastAsia" w:ascii="宋体" w:hAnsi="宋体" w:eastAsia="宋体" w:cs="Times New Roman"/>
          <w:bCs/>
          <w:color w:val="auto"/>
          <w:sz w:val="24"/>
          <w:szCs w:val="24"/>
          <w:highlight w:val="none"/>
          <w:lang w:val="en-US" w:eastAsia="zh-CN"/>
        </w:rPr>
        <w:t>3.2、</w:t>
      </w:r>
      <w:r>
        <w:rPr>
          <w:rFonts w:hint="eastAsia" w:ascii="宋体" w:hAnsi="宋体" w:eastAsia="宋体" w:cs="Times New Roman"/>
          <w:bCs/>
          <w:color w:val="auto"/>
          <w:sz w:val="24"/>
          <w:szCs w:val="24"/>
          <w:highlight w:val="none"/>
          <w:lang w:eastAsia="zh-CN"/>
        </w:rPr>
        <w:t>投标供应商</w:t>
      </w:r>
      <w:r>
        <w:rPr>
          <w:rFonts w:hint="eastAsia" w:ascii="宋体" w:hAnsi="宋体" w:eastAsia="宋体" w:cs="Times New Roman"/>
          <w:bCs/>
          <w:color w:val="auto"/>
          <w:sz w:val="24"/>
          <w:szCs w:val="24"/>
          <w:highlight w:val="none"/>
        </w:rPr>
        <w:t>须承诺本企业无商业贿赂和不正当竞争行为</w:t>
      </w:r>
      <w:r>
        <w:rPr>
          <w:rFonts w:hint="eastAsia" w:ascii="宋体" w:hAnsi="宋体" w:eastAsia="宋体" w:cs="Times New Roman"/>
          <w:bCs/>
          <w:color w:val="auto"/>
          <w:sz w:val="24"/>
          <w:szCs w:val="24"/>
          <w:highlight w:val="none"/>
          <w:lang w:eastAsia="zh-CN"/>
        </w:rPr>
        <w:t>；</w:t>
      </w:r>
    </w:p>
    <w:p w14:paraId="112DC183">
      <w:pPr>
        <w:spacing w:line="360" w:lineRule="auto"/>
        <w:ind w:firstLine="480" w:firstLineChars="200"/>
        <w:rPr>
          <w:rFonts w:hint="eastAsia" w:ascii="宋体" w:hAnsi="宋体" w:eastAsia="宋体" w:cs="Times New Roman"/>
          <w:bCs/>
          <w:color w:val="auto"/>
          <w:sz w:val="24"/>
          <w:szCs w:val="24"/>
          <w:highlight w:val="none"/>
          <w:lang w:val="en-US" w:eastAsia="zh-CN"/>
        </w:rPr>
      </w:pPr>
      <w:r>
        <w:rPr>
          <w:rFonts w:hint="eastAsia" w:ascii="宋体" w:hAnsi="宋体" w:eastAsia="宋体" w:cs="Times New Roman"/>
          <w:bCs/>
          <w:color w:val="auto"/>
          <w:sz w:val="24"/>
          <w:szCs w:val="24"/>
          <w:highlight w:val="none"/>
        </w:rPr>
        <w:t>3.</w:t>
      </w:r>
      <w:r>
        <w:rPr>
          <w:rFonts w:hint="eastAsia" w:ascii="宋体" w:hAnsi="宋体" w:eastAsia="宋体" w:cs="Times New Roman"/>
          <w:bCs/>
          <w:color w:val="auto"/>
          <w:sz w:val="24"/>
          <w:szCs w:val="24"/>
          <w:highlight w:val="none"/>
          <w:lang w:val="en-US" w:eastAsia="zh-CN"/>
        </w:rPr>
        <w:t>3、根据《关于在政府采购活动中查询及使用信用记录有关问题的通知》(财库[2016]125号)和豫财购【2016】15号的规定，对列入失信被执行人、重大税收违法失信主体、政府采购严重违法失信行为记录名单的供应商，拒绝参与本项目采购活动；须提供中国执行信息公开网（http://zxgk.court.gov.cn/）关于“失信被执行人”查询截图；信用中国(www.creditchina.gov.cn）关于“重大税收违法失信主体”查询截图；中国政府采购网（www.ccgp.gov.cn）关于“政府采购严重违法失信行为记录名单”查询截图。查询日期自公告发布之日起，查询截止时间为投标截止时间止；</w:t>
      </w:r>
    </w:p>
    <w:p w14:paraId="527156F3">
      <w:pPr>
        <w:spacing w:line="360" w:lineRule="auto"/>
        <w:ind w:firstLine="480" w:firstLineChars="200"/>
        <w:rPr>
          <w:rFonts w:hint="default" w:ascii="宋体" w:hAnsi="宋体" w:eastAsia="宋体" w:cs="Times New Roman"/>
          <w:bCs/>
          <w:color w:val="auto"/>
          <w:sz w:val="24"/>
          <w:szCs w:val="24"/>
          <w:highlight w:val="none"/>
          <w:lang w:val="en-US" w:eastAsia="zh-CN"/>
        </w:rPr>
      </w:pPr>
      <w:r>
        <w:rPr>
          <w:rFonts w:hint="eastAsia" w:ascii="宋体" w:hAnsi="宋体" w:eastAsia="宋体" w:cs="Times New Roman"/>
          <w:bCs/>
          <w:color w:val="auto"/>
          <w:sz w:val="24"/>
          <w:szCs w:val="24"/>
          <w:highlight w:val="none"/>
          <w:lang w:val="en-US" w:eastAsia="zh-CN"/>
        </w:rPr>
        <w:t>3.4、单位负责人为同一人或者存在直接控股、管理关系的不同供应商，不得同时参加同一项目的投标（提供“国家企业信用信息公示系统”中公示的公司基础信息、股东或投资人信息，查询结果清晰可见）。</w:t>
      </w:r>
    </w:p>
    <w:p w14:paraId="47C4EA2A">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三、获取招标文件</w:t>
      </w:r>
      <w:r>
        <w:rPr>
          <w:rFonts w:hint="eastAsia" w:ascii="宋体" w:hAnsi="宋体" w:eastAsia="宋体" w:cs="Times New Roman"/>
          <w:bCs/>
          <w:color w:val="auto"/>
          <w:sz w:val="24"/>
          <w:szCs w:val="24"/>
          <w:highlight w:val="none"/>
        </w:rPr>
        <w:tab/>
      </w:r>
    </w:p>
    <w:p w14:paraId="5598EAB7">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1.时间：</w:t>
      </w:r>
      <w:r>
        <w:rPr>
          <w:rFonts w:hint="eastAsia" w:ascii="宋体" w:hAnsi="宋体" w:eastAsia="宋体" w:cs="Times New Roman"/>
          <w:bCs/>
          <w:color w:val="auto"/>
          <w:sz w:val="24"/>
          <w:szCs w:val="24"/>
          <w:highlight w:val="none"/>
          <w:lang w:val="en-US" w:eastAsia="zh-CN"/>
        </w:rPr>
        <w:t>2026</w:t>
      </w:r>
      <w:r>
        <w:rPr>
          <w:rFonts w:hint="eastAsia" w:ascii="宋体" w:hAnsi="宋体" w:eastAsia="宋体" w:cs="Times New Roman"/>
          <w:bCs/>
          <w:color w:val="auto"/>
          <w:sz w:val="24"/>
          <w:szCs w:val="24"/>
          <w:highlight w:val="none"/>
          <w:lang w:eastAsia="zh-CN"/>
        </w:rPr>
        <w:t>年</w:t>
      </w:r>
      <w:r>
        <w:rPr>
          <w:rFonts w:hint="eastAsia" w:ascii="宋体" w:hAnsi="宋体" w:eastAsia="宋体" w:cs="Times New Roman"/>
          <w:bCs/>
          <w:color w:val="auto"/>
          <w:sz w:val="24"/>
          <w:szCs w:val="24"/>
          <w:highlight w:val="none"/>
          <w:lang w:val="en-US" w:eastAsia="zh-CN"/>
        </w:rPr>
        <w:t>10</w:t>
      </w:r>
      <w:r>
        <w:rPr>
          <w:rFonts w:hint="eastAsia" w:ascii="宋体" w:hAnsi="宋体" w:eastAsia="宋体" w:cs="Times New Roman"/>
          <w:bCs/>
          <w:color w:val="auto"/>
          <w:sz w:val="24"/>
          <w:szCs w:val="24"/>
          <w:highlight w:val="none"/>
          <w:lang w:eastAsia="zh-CN"/>
        </w:rPr>
        <w:t>月</w:t>
      </w:r>
      <w:r>
        <w:rPr>
          <w:rFonts w:hint="eastAsia" w:ascii="宋体" w:hAnsi="宋体" w:eastAsia="宋体" w:cs="Times New Roman"/>
          <w:bCs/>
          <w:color w:val="auto"/>
          <w:sz w:val="24"/>
          <w:szCs w:val="24"/>
          <w:highlight w:val="none"/>
          <w:lang w:val="en-US" w:eastAsia="zh-CN"/>
        </w:rPr>
        <w:t>13</w:t>
      </w:r>
      <w:r>
        <w:rPr>
          <w:rFonts w:hint="eastAsia" w:ascii="宋体" w:hAnsi="宋体" w:eastAsia="宋体" w:cs="Times New Roman"/>
          <w:bCs/>
          <w:color w:val="auto"/>
          <w:sz w:val="24"/>
          <w:szCs w:val="24"/>
          <w:highlight w:val="none"/>
          <w:lang w:eastAsia="zh-CN"/>
        </w:rPr>
        <w:t>日</w:t>
      </w:r>
      <w:r>
        <w:rPr>
          <w:rFonts w:hint="eastAsia" w:ascii="宋体" w:hAnsi="宋体" w:eastAsia="宋体" w:cs="Times New Roman"/>
          <w:bCs/>
          <w:color w:val="auto"/>
          <w:sz w:val="24"/>
          <w:szCs w:val="24"/>
          <w:highlight w:val="none"/>
        </w:rPr>
        <w:t xml:space="preserve">至 </w:t>
      </w:r>
      <w:r>
        <w:rPr>
          <w:rFonts w:hint="eastAsia" w:ascii="宋体" w:hAnsi="宋体" w:eastAsia="宋体" w:cs="Times New Roman"/>
          <w:bCs/>
          <w:color w:val="auto"/>
          <w:sz w:val="24"/>
          <w:szCs w:val="24"/>
          <w:highlight w:val="none"/>
          <w:lang w:val="en-US" w:eastAsia="zh-CN"/>
        </w:rPr>
        <w:t>2026</w:t>
      </w:r>
      <w:r>
        <w:rPr>
          <w:rFonts w:hint="eastAsia" w:ascii="宋体" w:hAnsi="宋体" w:eastAsia="宋体" w:cs="Times New Roman"/>
          <w:bCs/>
          <w:color w:val="auto"/>
          <w:sz w:val="24"/>
          <w:szCs w:val="24"/>
          <w:highlight w:val="none"/>
        </w:rPr>
        <w:t>年</w:t>
      </w:r>
      <w:r>
        <w:rPr>
          <w:rFonts w:hint="eastAsia" w:ascii="宋体" w:hAnsi="宋体" w:eastAsia="宋体" w:cs="Times New Roman"/>
          <w:bCs/>
          <w:color w:val="auto"/>
          <w:sz w:val="24"/>
          <w:szCs w:val="24"/>
          <w:highlight w:val="none"/>
          <w:lang w:val="en-US" w:eastAsia="zh-CN"/>
        </w:rPr>
        <w:t xml:space="preserve"> 11</w:t>
      </w:r>
      <w:r>
        <w:rPr>
          <w:rFonts w:hint="eastAsia" w:ascii="宋体" w:hAnsi="宋体" w:eastAsia="宋体" w:cs="Times New Roman"/>
          <w:bCs/>
          <w:color w:val="auto"/>
          <w:sz w:val="24"/>
          <w:szCs w:val="24"/>
          <w:highlight w:val="none"/>
        </w:rPr>
        <w:t>月</w:t>
      </w:r>
      <w:r>
        <w:rPr>
          <w:rFonts w:hint="eastAsia" w:ascii="宋体" w:hAnsi="宋体" w:eastAsia="宋体" w:cs="Times New Roman"/>
          <w:bCs/>
          <w:color w:val="auto"/>
          <w:sz w:val="24"/>
          <w:szCs w:val="24"/>
          <w:highlight w:val="none"/>
          <w:lang w:val="en-US" w:eastAsia="zh-CN"/>
        </w:rPr>
        <w:t>01</w:t>
      </w:r>
      <w:r>
        <w:rPr>
          <w:rFonts w:hint="eastAsia" w:ascii="宋体" w:hAnsi="宋体" w:eastAsia="宋体" w:cs="Times New Roman"/>
          <w:bCs/>
          <w:color w:val="auto"/>
          <w:sz w:val="24"/>
          <w:szCs w:val="24"/>
          <w:highlight w:val="none"/>
        </w:rPr>
        <w:t>日，每天上午00:00至12:00，下午12:00至23:59（北京时间，法定节假日除外。）</w:t>
      </w:r>
      <w:r>
        <w:rPr>
          <w:rFonts w:hint="eastAsia" w:ascii="宋体" w:hAnsi="宋体" w:eastAsia="宋体" w:cs="Times New Roman"/>
          <w:bCs/>
          <w:color w:val="auto"/>
          <w:sz w:val="24"/>
          <w:szCs w:val="24"/>
          <w:highlight w:val="none"/>
        </w:rPr>
        <w:tab/>
      </w:r>
    </w:p>
    <w:p w14:paraId="41CA3C2D">
      <w:pPr>
        <w:widowControl/>
        <w:spacing w:line="480" w:lineRule="exact"/>
        <w:ind w:firstLine="480" w:firstLineChars="200"/>
        <w:jc w:val="left"/>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2.地点：三门峡市公共资源交易中心（</w:t>
      </w:r>
      <w:r>
        <w:rPr>
          <w:rFonts w:ascii="宋体" w:hAnsi="宋体" w:eastAsia="宋体" w:cs="宋体"/>
          <w:color w:val="auto"/>
          <w:kern w:val="0"/>
          <w:sz w:val="24"/>
          <w:szCs w:val="24"/>
          <w:highlight w:val="none"/>
        </w:rPr>
        <w:t>gzjy.smx.gov.cn</w:t>
      </w:r>
      <w:r>
        <w:rPr>
          <w:rFonts w:hint="eastAsia" w:ascii="宋体" w:hAnsi="宋体" w:eastAsia="宋体" w:cs="Times New Roman"/>
          <w:bCs/>
          <w:color w:val="auto"/>
          <w:sz w:val="24"/>
          <w:szCs w:val="24"/>
          <w:highlight w:val="none"/>
        </w:rPr>
        <w:t>）</w:t>
      </w:r>
    </w:p>
    <w:p w14:paraId="7EF50F9F">
      <w:pPr>
        <w:widowControl/>
        <w:spacing w:line="480" w:lineRule="exact"/>
        <w:ind w:firstLine="480" w:firstLineChars="200"/>
        <w:jc w:val="left"/>
        <w:rPr>
          <w:rFonts w:ascii="宋体" w:hAnsi="宋体" w:eastAsia="宋体"/>
          <w:color w:val="auto"/>
          <w:highlight w:val="none"/>
        </w:rPr>
      </w:pPr>
      <w:r>
        <w:rPr>
          <w:rFonts w:hint="eastAsia" w:ascii="宋体" w:hAnsi="宋体" w:eastAsia="宋体" w:cs="Times New Roman"/>
          <w:bCs/>
          <w:color w:val="auto"/>
          <w:sz w:val="24"/>
          <w:szCs w:val="24"/>
          <w:highlight w:val="none"/>
        </w:rPr>
        <w:t>3.方式：供应商凭CA数字证书通过三门峡市公共资源交易中心网（网址：http://gzjy.smx.gov.cn/），点击交易平台选择“交易主体登录”，登陆系统后，点击采购业务-业务管理-招标文件领取菜单-点击领取按钮-领取.smxzf格式的电子招标文件。</w:t>
      </w:r>
    </w:p>
    <w:p w14:paraId="7B7A4470">
      <w:pPr>
        <w:widowControl/>
        <w:spacing w:line="480" w:lineRule="exact"/>
        <w:ind w:left="479" w:leftChars="228" w:firstLine="0" w:firstLineChars="0"/>
        <w:jc w:val="left"/>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lang w:val="en-US" w:eastAsia="zh-CN"/>
        </w:rPr>
        <w:t>办理</w:t>
      </w:r>
      <w:r>
        <w:rPr>
          <w:rFonts w:hint="eastAsia" w:ascii="宋体" w:hAnsi="宋体" w:eastAsia="宋体" w:cs="Times New Roman"/>
          <w:bCs/>
          <w:color w:val="auto"/>
          <w:sz w:val="24"/>
          <w:szCs w:val="24"/>
          <w:highlight w:val="none"/>
        </w:rPr>
        <w:t>CA证书：http://gzjy.smx.gov.cn/fwzn/004003/20201019/a8fae6a0-baed-499b-bb50-8ecc8828a2ca.html</w:t>
      </w:r>
    </w:p>
    <w:p w14:paraId="32C6F990">
      <w:pPr>
        <w:widowControl/>
        <w:spacing w:line="480" w:lineRule="exact"/>
        <w:ind w:firstLine="480" w:firstLineChars="200"/>
        <w:jc w:val="left"/>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根据《关于进一步加强公共资源交易管理持续优化营商环境的通知》（三公管办[2020]2号）文件的要求，采购文件费用不再收取。</w:t>
      </w:r>
    </w:p>
    <w:p w14:paraId="22F7862E">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4.售价：0元</w:t>
      </w:r>
      <w:r>
        <w:rPr>
          <w:rFonts w:hint="eastAsia" w:ascii="宋体" w:hAnsi="宋体" w:eastAsia="宋体" w:cs="Times New Roman"/>
          <w:bCs/>
          <w:color w:val="auto"/>
          <w:sz w:val="24"/>
          <w:szCs w:val="24"/>
          <w:highlight w:val="none"/>
        </w:rPr>
        <w:tab/>
      </w:r>
    </w:p>
    <w:p w14:paraId="061277F2">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四、投标截止时间及地点</w:t>
      </w:r>
    </w:p>
    <w:p w14:paraId="5DF0F4D9">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1.时间：</w:t>
      </w:r>
      <w:r>
        <w:rPr>
          <w:rFonts w:hint="eastAsia" w:ascii="宋体" w:hAnsi="宋体" w:eastAsia="宋体" w:cs="Times New Roman"/>
          <w:bCs/>
          <w:color w:val="auto"/>
          <w:sz w:val="24"/>
          <w:szCs w:val="24"/>
          <w:highlight w:val="none"/>
          <w:lang w:eastAsia="zh-CN"/>
        </w:rPr>
        <w:t>202</w:t>
      </w:r>
      <w:r>
        <w:rPr>
          <w:rFonts w:hint="eastAsia" w:ascii="宋体" w:hAnsi="宋体" w:eastAsia="宋体" w:cs="Times New Roman"/>
          <w:bCs/>
          <w:color w:val="auto"/>
          <w:sz w:val="24"/>
          <w:szCs w:val="24"/>
          <w:highlight w:val="none"/>
          <w:lang w:val="en-US" w:eastAsia="zh-CN"/>
        </w:rPr>
        <w:t>6</w:t>
      </w:r>
      <w:r>
        <w:rPr>
          <w:rFonts w:hint="eastAsia" w:ascii="宋体" w:hAnsi="宋体" w:eastAsia="宋体" w:cs="Times New Roman"/>
          <w:bCs/>
          <w:color w:val="auto"/>
          <w:sz w:val="24"/>
          <w:szCs w:val="24"/>
          <w:highlight w:val="none"/>
          <w:lang w:eastAsia="zh-CN"/>
        </w:rPr>
        <w:t>年</w:t>
      </w:r>
      <w:r>
        <w:rPr>
          <w:rFonts w:hint="eastAsia" w:ascii="宋体" w:hAnsi="宋体" w:eastAsia="宋体" w:cs="Times New Roman"/>
          <w:bCs/>
          <w:color w:val="auto"/>
          <w:sz w:val="24"/>
          <w:szCs w:val="24"/>
          <w:highlight w:val="none"/>
          <w:lang w:val="en-US" w:eastAsia="zh-CN"/>
        </w:rPr>
        <w:t>11</w:t>
      </w:r>
      <w:r>
        <w:rPr>
          <w:rFonts w:hint="eastAsia" w:ascii="宋体" w:hAnsi="宋体" w:eastAsia="宋体" w:cs="Times New Roman"/>
          <w:bCs/>
          <w:color w:val="auto"/>
          <w:sz w:val="24"/>
          <w:szCs w:val="24"/>
          <w:highlight w:val="none"/>
          <w:lang w:eastAsia="zh-CN"/>
        </w:rPr>
        <w:t>月</w:t>
      </w:r>
      <w:r>
        <w:rPr>
          <w:rFonts w:hint="eastAsia" w:ascii="宋体" w:hAnsi="宋体" w:eastAsia="宋体" w:cs="Times New Roman"/>
          <w:bCs/>
          <w:color w:val="auto"/>
          <w:sz w:val="24"/>
          <w:szCs w:val="24"/>
          <w:highlight w:val="none"/>
          <w:lang w:val="en-US" w:eastAsia="zh-CN"/>
        </w:rPr>
        <w:t>02</w:t>
      </w:r>
      <w:r>
        <w:rPr>
          <w:rFonts w:hint="eastAsia" w:ascii="宋体" w:hAnsi="宋体" w:eastAsia="宋体" w:cs="Times New Roman"/>
          <w:bCs/>
          <w:color w:val="auto"/>
          <w:sz w:val="24"/>
          <w:szCs w:val="24"/>
          <w:highlight w:val="none"/>
          <w:lang w:eastAsia="zh-CN"/>
        </w:rPr>
        <w:t>日08时</w:t>
      </w:r>
      <w:r>
        <w:rPr>
          <w:rFonts w:hint="eastAsia" w:ascii="宋体" w:hAnsi="宋体" w:eastAsia="宋体" w:cs="Times New Roman"/>
          <w:bCs/>
          <w:color w:val="auto"/>
          <w:sz w:val="24"/>
          <w:szCs w:val="24"/>
          <w:highlight w:val="none"/>
          <w:lang w:val="en-US" w:eastAsia="zh-CN"/>
        </w:rPr>
        <w:t>3</w:t>
      </w:r>
      <w:r>
        <w:rPr>
          <w:rFonts w:hint="eastAsia" w:ascii="宋体" w:hAnsi="宋体" w:eastAsia="宋体" w:cs="Times New Roman"/>
          <w:bCs/>
          <w:color w:val="auto"/>
          <w:sz w:val="24"/>
          <w:szCs w:val="24"/>
          <w:highlight w:val="none"/>
          <w:lang w:eastAsia="zh-CN"/>
        </w:rPr>
        <w:t>0分</w:t>
      </w:r>
      <w:r>
        <w:rPr>
          <w:rFonts w:hint="eastAsia" w:ascii="宋体" w:hAnsi="宋体" w:eastAsia="宋体" w:cs="Times New Roman"/>
          <w:bCs/>
          <w:color w:val="auto"/>
          <w:sz w:val="24"/>
          <w:szCs w:val="24"/>
          <w:highlight w:val="none"/>
        </w:rPr>
        <w:t>（北京时间）</w:t>
      </w:r>
      <w:r>
        <w:rPr>
          <w:rFonts w:hint="eastAsia" w:ascii="宋体" w:hAnsi="宋体" w:eastAsia="宋体" w:cs="Times New Roman"/>
          <w:bCs/>
          <w:color w:val="auto"/>
          <w:sz w:val="24"/>
          <w:szCs w:val="24"/>
          <w:highlight w:val="none"/>
        </w:rPr>
        <w:tab/>
      </w:r>
    </w:p>
    <w:p w14:paraId="3FFDACC2">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2.地点：在三门峡市公共资源交易中心网中上传加密</w:t>
      </w:r>
      <w:r>
        <w:rPr>
          <w:rFonts w:hint="eastAsia" w:ascii="宋体" w:hAnsi="宋体" w:eastAsia="宋体" w:cs="Times New Roman"/>
          <w:bCs/>
          <w:color w:val="auto"/>
          <w:sz w:val="24"/>
          <w:szCs w:val="24"/>
          <w:highlight w:val="none"/>
          <w:lang w:val="en-US" w:eastAsia="zh-CN"/>
        </w:rPr>
        <w:t>投标</w:t>
      </w:r>
      <w:r>
        <w:rPr>
          <w:rFonts w:hint="eastAsia" w:ascii="宋体" w:hAnsi="宋体" w:eastAsia="宋体" w:cs="Times New Roman"/>
          <w:bCs/>
          <w:color w:val="auto"/>
          <w:sz w:val="24"/>
          <w:szCs w:val="24"/>
          <w:highlight w:val="none"/>
        </w:rPr>
        <w:t>文件。</w:t>
      </w:r>
    </w:p>
    <w:p w14:paraId="7140FAB5">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五、开标时间及地点</w:t>
      </w:r>
      <w:r>
        <w:rPr>
          <w:rFonts w:hint="eastAsia" w:ascii="宋体" w:hAnsi="宋体" w:eastAsia="宋体" w:cs="Times New Roman"/>
          <w:bCs/>
          <w:color w:val="auto"/>
          <w:sz w:val="24"/>
          <w:szCs w:val="24"/>
          <w:highlight w:val="none"/>
        </w:rPr>
        <w:tab/>
      </w:r>
    </w:p>
    <w:p w14:paraId="7BA14B5B">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1.时间：</w:t>
      </w:r>
      <w:r>
        <w:rPr>
          <w:rFonts w:hint="eastAsia" w:ascii="宋体" w:hAnsi="宋体" w:eastAsia="宋体" w:cs="Times New Roman"/>
          <w:bCs/>
          <w:color w:val="auto"/>
          <w:sz w:val="24"/>
          <w:szCs w:val="24"/>
          <w:highlight w:val="none"/>
          <w:lang w:eastAsia="zh-CN"/>
        </w:rPr>
        <w:t>202</w:t>
      </w:r>
      <w:r>
        <w:rPr>
          <w:rFonts w:hint="eastAsia" w:ascii="宋体" w:hAnsi="宋体" w:eastAsia="宋体" w:cs="Times New Roman"/>
          <w:bCs/>
          <w:color w:val="auto"/>
          <w:sz w:val="24"/>
          <w:szCs w:val="24"/>
          <w:highlight w:val="none"/>
          <w:lang w:val="en-US" w:eastAsia="zh-CN"/>
        </w:rPr>
        <w:t>6</w:t>
      </w:r>
      <w:r>
        <w:rPr>
          <w:rFonts w:hint="eastAsia" w:ascii="宋体" w:hAnsi="宋体" w:eastAsia="宋体" w:cs="Times New Roman"/>
          <w:bCs/>
          <w:color w:val="auto"/>
          <w:sz w:val="24"/>
          <w:szCs w:val="24"/>
          <w:highlight w:val="none"/>
          <w:lang w:eastAsia="zh-CN"/>
        </w:rPr>
        <w:t>年</w:t>
      </w:r>
      <w:r>
        <w:rPr>
          <w:rFonts w:hint="eastAsia" w:ascii="宋体" w:hAnsi="宋体" w:eastAsia="宋体" w:cs="Times New Roman"/>
          <w:bCs/>
          <w:color w:val="auto"/>
          <w:sz w:val="24"/>
          <w:szCs w:val="24"/>
          <w:highlight w:val="none"/>
          <w:lang w:val="en-US" w:eastAsia="zh-CN"/>
        </w:rPr>
        <w:t>11</w:t>
      </w:r>
      <w:r>
        <w:rPr>
          <w:rFonts w:hint="eastAsia" w:ascii="宋体" w:hAnsi="宋体" w:eastAsia="宋体" w:cs="Times New Roman"/>
          <w:bCs/>
          <w:color w:val="auto"/>
          <w:sz w:val="24"/>
          <w:szCs w:val="24"/>
          <w:highlight w:val="none"/>
          <w:lang w:eastAsia="zh-CN"/>
        </w:rPr>
        <w:t>月</w:t>
      </w:r>
      <w:r>
        <w:rPr>
          <w:rFonts w:hint="eastAsia" w:ascii="宋体" w:hAnsi="宋体" w:eastAsia="宋体" w:cs="Times New Roman"/>
          <w:bCs/>
          <w:color w:val="auto"/>
          <w:sz w:val="24"/>
          <w:szCs w:val="24"/>
          <w:highlight w:val="none"/>
          <w:lang w:val="en-US" w:eastAsia="zh-CN"/>
        </w:rPr>
        <w:t>02</w:t>
      </w:r>
      <w:r>
        <w:rPr>
          <w:rFonts w:hint="eastAsia" w:ascii="宋体" w:hAnsi="宋体" w:eastAsia="宋体" w:cs="Times New Roman"/>
          <w:bCs/>
          <w:color w:val="auto"/>
          <w:sz w:val="24"/>
          <w:szCs w:val="24"/>
          <w:highlight w:val="none"/>
          <w:lang w:eastAsia="zh-CN"/>
        </w:rPr>
        <w:t>日08时</w:t>
      </w:r>
      <w:r>
        <w:rPr>
          <w:rFonts w:hint="eastAsia" w:ascii="宋体" w:hAnsi="宋体" w:eastAsia="宋体" w:cs="Times New Roman"/>
          <w:bCs/>
          <w:color w:val="auto"/>
          <w:sz w:val="24"/>
          <w:szCs w:val="24"/>
          <w:highlight w:val="none"/>
          <w:lang w:val="en-US" w:eastAsia="zh-CN"/>
        </w:rPr>
        <w:t>3</w:t>
      </w:r>
      <w:r>
        <w:rPr>
          <w:rFonts w:hint="eastAsia" w:ascii="宋体" w:hAnsi="宋体" w:eastAsia="宋体" w:cs="Times New Roman"/>
          <w:bCs/>
          <w:color w:val="auto"/>
          <w:sz w:val="24"/>
          <w:szCs w:val="24"/>
          <w:highlight w:val="none"/>
          <w:lang w:eastAsia="zh-CN"/>
        </w:rPr>
        <w:t>0分</w:t>
      </w:r>
      <w:r>
        <w:rPr>
          <w:rFonts w:hint="eastAsia" w:ascii="宋体" w:hAnsi="宋体" w:eastAsia="宋体" w:cs="Times New Roman"/>
          <w:bCs/>
          <w:color w:val="auto"/>
          <w:sz w:val="24"/>
          <w:szCs w:val="24"/>
          <w:highlight w:val="none"/>
        </w:rPr>
        <w:t>（北京时间）</w:t>
      </w:r>
      <w:r>
        <w:rPr>
          <w:rFonts w:hint="eastAsia" w:ascii="宋体" w:hAnsi="宋体" w:eastAsia="宋体" w:cs="Times New Roman"/>
          <w:bCs/>
          <w:color w:val="auto"/>
          <w:sz w:val="24"/>
          <w:szCs w:val="24"/>
          <w:highlight w:val="none"/>
        </w:rPr>
        <w:tab/>
      </w:r>
    </w:p>
    <w:p w14:paraId="1E2F4C98">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2.地点：</w:t>
      </w:r>
      <w:r>
        <w:rPr>
          <w:rFonts w:hint="eastAsia" w:ascii="宋体" w:hAnsi="宋体" w:eastAsia="宋体" w:cs="Times New Roman"/>
          <w:bCs/>
          <w:color w:val="auto"/>
          <w:sz w:val="24"/>
          <w:szCs w:val="24"/>
          <w:highlight w:val="none"/>
          <w:lang w:eastAsia="zh-CN"/>
        </w:rPr>
        <w:t>三门峡市公共资源交易中心五楼开标区</w:t>
      </w:r>
      <w:r>
        <w:rPr>
          <w:rFonts w:hint="eastAsia" w:ascii="宋体" w:hAnsi="宋体" w:eastAsia="宋体" w:cs="Times New Roman"/>
          <w:bCs/>
          <w:color w:val="auto"/>
          <w:sz w:val="24"/>
          <w:szCs w:val="24"/>
          <w:highlight w:val="none"/>
        </w:rPr>
        <w:t>。</w:t>
      </w:r>
      <w:r>
        <w:rPr>
          <w:rFonts w:hint="eastAsia" w:ascii="宋体" w:hAnsi="宋体" w:eastAsia="宋体" w:cs="Times New Roman"/>
          <w:bCs/>
          <w:color w:val="auto"/>
          <w:sz w:val="24"/>
          <w:szCs w:val="24"/>
          <w:highlight w:val="none"/>
        </w:rPr>
        <w:tab/>
      </w:r>
    </w:p>
    <w:p w14:paraId="55190B65">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六、发布公告的媒介及招标公告期限</w:t>
      </w:r>
      <w:r>
        <w:rPr>
          <w:rFonts w:hint="eastAsia" w:ascii="宋体" w:hAnsi="宋体" w:eastAsia="宋体" w:cs="Times New Roman"/>
          <w:bCs/>
          <w:color w:val="auto"/>
          <w:sz w:val="24"/>
          <w:szCs w:val="24"/>
          <w:highlight w:val="none"/>
        </w:rPr>
        <w:tab/>
      </w:r>
    </w:p>
    <w:p w14:paraId="25C47704">
      <w:pPr>
        <w:spacing w:line="360" w:lineRule="auto"/>
        <w:ind w:firstLine="480" w:firstLineChars="200"/>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本次招标公告在《河南省政府采购网》、《三门峡市公共资源交易中心网》和《中国招标投标公共服务平台》上发布，招标公告期限为五个工作日 。</w:t>
      </w:r>
    </w:p>
    <w:p w14:paraId="72712DB8">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七、其他补充事宜</w:t>
      </w:r>
      <w:r>
        <w:rPr>
          <w:rFonts w:hint="eastAsia" w:ascii="宋体" w:hAnsi="宋体" w:eastAsia="宋体" w:cs="Times New Roman"/>
          <w:bCs/>
          <w:color w:val="auto"/>
          <w:sz w:val="24"/>
          <w:szCs w:val="24"/>
          <w:highlight w:val="none"/>
        </w:rPr>
        <w:tab/>
      </w:r>
    </w:p>
    <w:p w14:paraId="0B4666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本项目实行资格后审，根据优化营商环境的要求，评标时审查内容以投标文件为准：</w:t>
      </w:r>
      <w:r>
        <w:rPr>
          <w:rFonts w:hint="eastAsia" w:ascii="宋体" w:hAnsi="宋体" w:eastAsia="宋体" w:cs="Times New Roman"/>
          <w:bCs/>
          <w:color w:val="auto"/>
          <w:sz w:val="24"/>
          <w:szCs w:val="24"/>
          <w:highlight w:val="none"/>
        </w:rPr>
        <w:br w:type="textWrapping"/>
      </w:r>
      <w:r>
        <w:rPr>
          <w:rFonts w:hint="eastAsia" w:ascii="宋体" w:hAnsi="宋体" w:eastAsia="宋体" w:cs="Times New Roman"/>
          <w:bCs/>
          <w:color w:val="auto"/>
          <w:sz w:val="24"/>
          <w:szCs w:val="24"/>
          <w:highlight w:val="none"/>
          <w:lang w:val="en-US" w:eastAsia="zh-CN"/>
        </w:rPr>
        <w:t xml:space="preserve">    </w:t>
      </w:r>
      <w:r>
        <w:rPr>
          <w:rFonts w:hint="eastAsia" w:ascii="宋体" w:hAnsi="宋体" w:eastAsia="宋体" w:cs="Times New Roman"/>
          <w:bCs/>
          <w:color w:val="auto"/>
          <w:sz w:val="24"/>
          <w:szCs w:val="24"/>
          <w:highlight w:val="none"/>
        </w:rPr>
        <w:t>1、资格评（预）审部分：资格评（预）审以投标文件为准，其上传资料真实性由</w:t>
      </w:r>
      <w:r>
        <w:rPr>
          <w:rFonts w:hint="eastAsia" w:ascii="宋体" w:hAnsi="宋体" w:eastAsia="宋体" w:cs="Times New Roman"/>
          <w:bCs/>
          <w:color w:val="auto"/>
          <w:sz w:val="24"/>
          <w:szCs w:val="24"/>
          <w:highlight w:val="none"/>
          <w:lang w:eastAsia="zh-CN"/>
        </w:rPr>
        <w:t>投标供应商</w:t>
      </w:r>
      <w:r>
        <w:rPr>
          <w:rFonts w:hint="eastAsia" w:ascii="宋体" w:hAnsi="宋体" w:eastAsia="宋体" w:cs="Times New Roman"/>
          <w:bCs/>
          <w:color w:val="auto"/>
          <w:sz w:val="24"/>
          <w:szCs w:val="24"/>
          <w:highlight w:val="none"/>
        </w:rPr>
        <w:t>自行承担。</w:t>
      </w:r>
      <w:r>
        <w:rPr>
          <w:rFonts w:hint="eastAsia" w:ascii="宋体" w:hAnsi="宋体" w:eastAsia="宋体" w:cs="Times New Roman"/>
          <w:bCs/>
          <w:color w:val="auto"/>
          <w:sz w:val="24"/>
          <w:szCs w:val="24"/>
          <w:highlight w:val="none"/>
        </w:rPr>
        <w:br w:type="textWrapping"/>
      </w:r>
      <w:r>
        <w:rPr>
          <w:rFonts w:hint="eastAsia" w:ascii="宋体" w:hAnsi="宋体" w:eastAsia="宋体" w:cs="Times New Roman"/>
          <w:bCs/>
          <w:color w:val="auto"/>
          <w:sz w:val="24"/>
          <w:szCs w:val="24"/>
          <w:highlight w:val="none"/>
          <w:lang w:val="en-US" w:eastAsia="zh-CN"/>
        </w:rPr>
        <w:t xml:space="preserve">    </w:t>
      </w:r>
      <w:r>
        <w:rPr>
          <w:rFonts w:hint="eastAsia" w:ascii="宋体" w:hAnsi="宋体" w:eastAsia="宋体" w:cs="Times New Roman"/>
          <w:bCs/>
          <w:color w:val="auto"/>
          <w:sz w:val="24"/>
          <w:szCs w:val="24"/>
          <w:highlight w:val="none"/>
        </w:rPr>
        <w:t>2、评标打分部分：评标打分部分仍按照100分制原则进行，涉及到资格审查、企业荣誉、人员业绩、企业业绩等计分部分时，以投标单位自行上传到投标文件中的相应内容为准。</w:t>
      </w:r>
      <w:r>
        <w:rPr>
          <w:rFonts w:hint="eastAsia" w:ascii="宋体" w:hAnsi="宋体" w:eastAsia="宋体" w:cs="Times New Roman"/>
          <w:bCs/>
          <w:color w:val="auto"/>
          <w:sz w:val="24"/>
          <w:szCs w:val="24"/>
          <w:highlight w:val="none"/>
        </w:rPr>
        <w:br w:type="textWrapping"/>
      </w:r>
      <w:r>
        <w:rPr>
          <w:rFonts w:hint="eastAsia" w:ascii="宋体" w:hAnsi="宋体" w:eastAsia="宋体" w:cs="Times New Roman"/>
          <w:bCs/>
          <w:color w:val="auto"/>
          <w:sz w:val="24"/>
          <w:szCs w:val="24"/>
          <w:highlight w:val="none"/>
          <w:lang w:val="en-US" w:eastAsia="zh-CN"/>
        </w:rPr>
        <w:t xml:space="preserve">    </w:t>
      </w:r>
      <w:r>
        <w:rPr>
          <w:rFonts w:hint="eastAsia" w:ascii="宋体" w:hAnsi="宋体" w:eastAsia="宋体" w:cs="Times New Roman"/>
          <w:bCs/>
          <w:color w:val="auto"/>
          <w:sz w:val="24"/>
          <w:szCs w:val="24"/>
          <w:highlight w:val="none"/>
        </w:rPr>
        <w:t>3、投标文件编制部分：在招标文件中要求</w:t>
      </w:r>
      <w:r>
        <w:rPr>
          <w:rFonts w:hint="eastAsia" w:ascii="宋体" w:hAnsi="宋体" w:eastAsia="宋体" w:cs="Times New Roman"/>
          <w:bCs/>
          <w:color w:val="auto"/>
          <w:sz w:val="24"/>
          <w:szCs w:val="24"/>
          <w:highlight w:val="none"/>
          <w:lang w:eastAsia="zh-CN"/>
        </w:rPr>
        <w:t>投标供应商</w:t>
      </w:r>
      <w:r>
        <w:rPr>
          <w:rFonts w:hint="eastAsia" w:ascii="宋体" w:hAnsi="宋体" w:eastAsia="宋体" w:cs="Times New Roman"/>
          <w:bCs/>
          <w:color w:val="auto"/>
          <w:sz w:val="24"/>
          <w:szCs w:val="24"/>
          <w:highlight w:val="none"/>
        </w:rPr>
        <w:t>按照投标文件格式进行投标文件编制，在投标文件编制时，应明确将投标单位企业基本情况、资质情况、人员情况、财务情况、业绩情况编入投标文件，便于进行资格审查及评标打分。</w:t>
      </w:r>
      <w:r>
        <w:rPr>
          <w:rFonts w:hint="eastAsia" w:ascii="宋体" w:hAnsi="宋体" w:eastAsia="宋体" w:cs="Times New Roman"/>
          <w:bCs/>
          <w:color w:val="auto"/>
          <w:sz w:val="24"/>
          <w:szCs w:val="24"/>
          <w:highlight w:val="none"/>
        </w:rPr>
        <w:br w:type="textWrapping"/>
      </w:r>
      <w:r>
        <w:rPr>
          <w:rFonts w:hint="eastAsia" w:ascii="宋体" w:hAnsi="宋体" w:eastAsia="宋体" w:cs="Times New Roman"/>
          <w:bCs/>
          <w:color w:val="auto"/>
          <w:sz w:val="24"/>
          <w:szCs w:val="24"/>
          <w:highlight w:val="none"/>
          <w:lang w:val="en-US" w:eastAsia="zh-CN"/>
        </w:rPr>
        <w:t xml:space="preserve">    </w:t>
      </w:r>
      <w:r>
        <w:rPr>
          <w:rFonts w:hint="eastAsia" w:ascii="宋体" w:hAnsi="宋体" w:eastAsia="宋体" w:cs="Times New Roman"/>
          <w:bCs/>
          <w:color w:val="auto"/>
          <w:sz w:val="24"/>
          <w:szCs w:val="24"/>
          <w:highlight w:val="none"/>
        </w:rPr>
        <w:t>4、我单位（采购人）严格按三财购【2021】9号文要求的时限发布中标结果公告，发出中标通知书，签订采购合同，上传采购合同。</w:t>
      </w:r>
    </w:p>
    <w:p w14:paraId="065A330E">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八、凡对本次招标提出询问，请按照以下方式联系</w:t>
      </w:r>
      <w:r>
        <w:rPr>
          <w:rFonts w:hint="eastAsia" w:ascii="宋体" w:hAnsi="宋体" w:eastAsia="宋体" w:cs="Times New Roman"/>
          <w:bCs/>
          <w:color w:val="auto"/>
          <w:sz w:val="24"/>
          <w:szCs w:val="24"/>
          <w:highlight w:val="none"/>
        </w:rPr>
        <w:tab/>
      </w:r>
    </w:p>
    <w:p w14:paraId="20C98FEA">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1. 采购人信息</w:t>
      </w:r>
      <w:r>
        <w:rPr>
          <w:rFonts w:hint="eastAsia" w:ascii="宋体" w:hAnsi="宋体" w:eastAsia="宋体" w:cs="Times New Roman"/>
          <w:bCs/>
          <w:color w:val="auto"/>
          <w:sz w:val="24"/>
          <w:szCs w:val="24"/>
          <w:highlight w:val="none"/>
        </w:rPr>
        <w:tab/>
      </w:r>
    </w:p>
    <w:p w14:paraId="284F675F">
      <w:pPr>
        <w:spacing w:line="360" w:lineRule="auto"/>
        <w:ind w:firstLine="480" w:firstLineChars="200"/>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名称：</w:t>
      </w:r>
      <w:r>
        <w:rPr>
          <w:rFonts w:hint="eastAsia" w:ascii="宋体" w:hAnsi="宋体" w:eastAsia="宋体" w:cs="Times New Roman"/>
          <w:bCs/>
          <w:color w:val="auto"/>
          <w:sz w:val="24"/>
          <w:szCs w:val="24"/>
          <w:highlight w:val="none"/>
          <w:lang w:eastAsia="zh-CN"/>
        </w:rPr>
        <w:t>三门峡市产品质量检验检测中心</w:t>
      </w:r>
      <w:r>
        <w:rPr>
          <w:rFonts w:hint="eastAsia" w:ascii="宋体" w:hAnsi="宋体" w:eastAsia="宋体" w:cs="Times New Roman"/>
          <w:bCs/>
          <w:color w:val="auto"/>
          <w:sz w:val="24"/>
          <w:szCs w:val="24"/>
          <w:highlight w:val="none"/>
        </w:rPr>
        <w:t xml:space="preserve"> </w:t>
      </w:r>
    </w:p>
    <w:p w14:paraId="26FE1947">
      <w:pPr>
        <w:spacing w:line="360" w:lineRule="auto"/>
        <w:ind w:firstLine="480" w:firstLineChars="200"/>
        <w:rPr>
          <w:rFonts w:hint="eastAsia" w:ascii="宋体" w:hAnsi="宋体" w:eastAsia="宋体" w:cs="Times New Roman"/>
          <w:bCs/>
          <w:color w:val="auto"/>
          <w:sz w:val="24"/>
          <w:szCs w:val="24"/>
          <w:highlight w:val="none"/>
          <w:lang w:eastAsia="zh-CN"/>
        </w:rPr>
      </w:pPr>
      <w:r>
        <w:rPr>
          <w:rFonts w:hint="eastAsia" w:ascii="宋体" w:hAnsi="宋体" w:eastAsia="宋体" w:cs="Times New Roman"/>
          <w:bCs/>
          <w:color w:val="auto"/>
          <w:sz w:val="24"/>
          <w:szCs w:val="24"/>
          <w:highlight w:val="none"/>
        </w:rPr>
        <w:t>地址：</w:t>
      </w:r>
      <w:r>
        <w:rPr>
          <w:rFonts w:hint="eastAsia" w:ascii="宋体" w:hAnsi="宋体" w:eastAsia="宋体" w:cs="Times New Roman"/>
          <w:bCs/>
          <w:color w:val="auto"/>
          <w:sz w:val="24"/>
          <w:szCs w:val="24"/>
          <w:highlight w:val="none"/>
          <w:lang w:val="en-US" w:eastAsia="zh-CN"/>
        </w:rPr>
        <w:t xml:space="preserve"> 河南省三门峡市湖滨区青龙路 3 号</w:t>
      </w:r>
    </w:p>
    <w:p w14:paraId="5EE12274">
      <w:pPr>
        <w:spacing w:line="360" w:lineRule="auto"/>
        <w:ind w:firstLine="480" w:firstLineChars="200"/>
        <w:jc w:val="left"/>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rPr>
        <w:t>联系人：</w:t>
      </w:r>
      <w:r>
        <w:rPr>
          <w:rFonts w:hint="eastAsia" w:ascii="宋体" w:hAnsi="宋体" w:eastAsia="宋体" w:cs="Times New Roman"/>
          <w:color w:val="auto"/>
          <w:sz w:val="24"/>
          <w:szCs w:val="24"/>
          <w:highlight w:val="none"/>
          <w:lang w:val="en-US" w:eastAsia="zh-CN"/>
        </w:rPr>
        <w:t>程先生</w:t>
      </w:r>
    </w:p>
    <w:p w14:paraId="3D1E194F">
      <w:pPr>
        <w:spacing w:line="360" w:lineRule="auto"/>
        <w:ind w:firstLine="480" w:firstLineChars="200"/>
        <w:jc w:val="left"/>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rPr>
        <w:t>联系方式：</w:t>
      </w:r>
      <w:r>
        <w:rPr>
          <w:rFonts w:hint="eastAsia" w:ascii="宋体" w:hAnsi="宋体" w:eastAsia="宋体" w:cs="Times New Roman"/>
          <w:color w:val="auto"/>
          <w:sz w:val="24"/>
          <w:szCs w:val="24"/>
          <w:highlight w:val="none"/>
          <w:lang w:val="en-US" w:eastAsia="zh-CN"/>
        </w:rPr>
        <w:t>0398- 2967058</w:t>
      </w:r>
    </w:p>
    <w:p w14:paraId="572F538D">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2.采购代理机构信息（如有）</w:t>
      </w:r>
      <w:r>
        <w:rPr>
          <w:rFonts w:hint="eastAsia" w:ascii="宋体" w:hAnsi="宋体" w:eastAsia="宋体" w:cs="Times New Roman"/>
          <w:bCs/>
          <w:color w:val="auto"/>
          <w:sz w:val="24"/>
          <w:szCs w:val="24"/>
          <w:highlight w:val="none"/>
        </w:rPr>
        <w:tab/>
      </w:r>
    </w:p>
    <w:p w14:paraId="6E95B3FD">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代理机构：</w:t>
      </w:r>
      <w:r>
        <w:rPr>
          <w:rFonts w:hint="eastAsia" w:ascii="宋体" w:hAnsi="宋体" w:eastAsia="宋体" w:cs="Times New Roman"/>
          <w:bCs/>
          <w:color w:val="auto"/>
          <w:sz w:val="24"/>
          <w:szCs w:val="24"/>
          <w:highlight w:val="none"/>
          <w:lang w:eastAsia="zh-CN"/>
        </w:rPr>
        <w:t>中恒晟（北京）工程管理有限公司</w:t>
      </w:r>
      <w:r>
        <w:rPr>
          <w:rFonts w:hint="eastAsia" w:ascii="宋体" w:hAnsi="宋体" w:eastAsia="宋体" w:cs="Times New Roman"/>
          <w:bCs/>
          <w:color w:val="auto"/>
          <w:sz w:val="24"/>
          <w:szCs w:val="24"/>
          <w:highlight w:val="none"/>
        </w:rPr>
        <w:tab/>
      </w:r>
    </w:p>
    <w:p w14:paraId="7F64A023">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地    址：</w:t>
      </w:r>
      <w:r>
        <w:rPr>
          <w:rFonts w:hint="eastAsia" w:ascii="宋体" w:hAnsi="宋体" w:eastAsia="宋体" w:cs="Times New Roman"/>
          <w:bCs/>
          <w:color w:val="auto"/>
          <w:sz w:val="24"/>
          <w:szCs w:val="24"/>
          <w:highlight w:val="none"/>
          <w:lang w:val="en-US" w:eastAsia="zh-CN"/>
        </w:rPr>
        <w:t xml:space="preserve"> 三门峡市鸿庆国际大厦1710室</w:t>
      </w:r>
      <w:r>
        <w:rPr>
          <w:rFonts w:hint="eastAsia" w:ascii="宋体" w:hAnsi="宋体" w:eastAsia="宋体" w:cs="Times New Roman"/>
          <w:bCs/>
          <w:color w:val="auto"/>
          <w:sz w:val="24"/>
          <w:szCs w:val="24"/>
          <w:highlight w:val="none"/>
        </w:rPr>
        <w:t xml:space="preserve"> </w:t>
      </w:r>
    </w:p>
    <w:p w14:paraId="2F3D1EC4">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联系人：</w:t>
      </w:r>
      <w:r>
        <w:rPr>
          <w:rFonts w:hint="eastAsia" w:ascii="宋体" w:hAnsi="宋体" w:eastAsia="宋体" w:cs="Times New Roman"/>
          <w:bCs/>
          <w:color w:val="auto"/>
          <w:sz w:val="24"/>
          <w:szCs w:val="24"/>
          <w:highlight w:val="none"/>
          <w:lang w:val="en-US" w:eastAsia="zh-CN"/>
        </w:rPr>
        <w:t>唐女士</w:t>
      </w:r>
      <w:r>
        <w:rPr>
          <w:rFonts w:hint="eastAsia" w:ascii="宋体" w:hAnsi="宋体" w:eastAsia="宋体" w:cs="Times New Roman"/>
          <w:bCs/>
          <w:color w:val="auto"/>
          <w:sz w:val="24"/>
          <w:szCs w:val="24"/>
          <w:highlight w:val="none"/>
        </w:rPr>
        <w:tab/>
      </w:r>
    </w:p>
    <w:p w14:paraId="014C81A2">
      <w:pPr>
        <w:spacing w:line="360" w:lineRule="auto"/>
        <w:ind w:firstLine="480" w:firstLineChars="200"/>
        <w:rPr>
          <w:rFonts w:hint="default" w:ascii="宋体" w:hAnsi="宋体" w:eastAsia="宋体" w:cs="Times New Roman"/>
          <w:bCs/>
          <w:color w:val="auto"/>
          <w:sz w:val="24"/>
          <w:szCs w:val="24"/>
          <w:highlight w:val="none"/>
          <w:lang w:val="en-US" w:eastAsia="zh-CN"/>
        </w:rPr>
      </w:pPr>
      <w:r>
        <w:rPr>
          <w:rFonts w:hint="eastAsia" w:ascii="宋体" w:hAnsi="宋体" w:eastAsia="宋体" w:cs="Times New Roman"/>
          <w:bCs/>
          <w:color w:val="auto"/>
          <w:sz w:val="24"/>
          <w:szCs w:val="24"/>
          <w:highlight w:val="none"/>
        </w:rPr>
        <w:t>联系电话：</w:t>
      </w:r>
      <w:r>
        <w:rPr>
          <w:rFonts w:hint="eastAsia" w:ascii="宋体" w:hAnsi="宋体" w:eastAsia="宋体" w:cs="Times New Roman"/>
          <w:bCs/>
          <w:color w:val="auto"/>
          <w:sz w:val="24"/>
          <w:szCs w:val="24"/>
          <w:highlight w:val="none"/>
          <w:lang w:val="en-US" w:eastAsia="zh-CN"/>
        </w:rPr>
        <w:t xml:space="preserve"> 15139820677</w:t>
      </w:r>
    </w:p>
    <w:p w14:paraId="37CE9C5D">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3.项目联系方式</w:t>
      </w:r>
      <w:r>
        <w:rPr>
          <w:rFonts w:hint="eastAsia" w:ascii="宋体" w:hAnsi="宋体" w:eastAsia="宋体" w:cs="Times New Roman"/>
          <w:bCs/>
          <w:color w:val="auto"/>
          <w:sz w:val="24"/>
          <w:szCs w:val="24"/>
          <w:highlight w:val="none"/>
        </w:rPr>
        <w:tab/>
      </w:r>
    </w:p>
    <w:p w14:paraId="11D2DA76">
      <w:pPr>
        <w:spacing w:line="360" w:lineRule="auto"/>
        <w:ind w:firstLine="480" w:firstLineChars="200"/>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联系人：唐女士</w:t>
      </w:r>
      <w:r>
        <w:rPr>
          <w:rFonts w:hint="eastAsia" w:ascii="宋体" w:hAnsi="宋体" w:eastAsia="宋体" w:cs="Times New Roman"/>
          <w:bCs/>
          <w:color w:val="auto"/>
          <w:sz w:val="24"/>
          <w:szCs w:val="24"/>
          <w:highlight w:val="none"/>
        </w:rPr>
        <w:tab/>
      </w:r>
    </w:p>
    <w:p w14:paraId="1CBD215F">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联系电话： 15139820677</w:t>
      </w:r>
    </w:p>
    <w:p w14:paraId="4562A6A5">
      <w:pPr>
        <w:spacing w:line="360" w:lineRule="auto"/>
        <w:ind w:firstLine="480" w:firstLineChars="200"/>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4、三门峡市财政局政府采购监督管理科</w:t>
      </w:r>
    </w:p>
    <w:p w14:paraId="6B2FEC51">
      <w:pPr>
        <w:spacing w:line="360" w:lineRule="auto"/>
        <w:ind w:firstLine="480" w:firstLineChars="200"/>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联系方式：0398－2608915</w:t>
      </w:r>
    </w:p>
    <w:p w14:paraId="53A0983B">
      <w:pPr>
        <w:jc w:val="center"/>
        <w:rPr>
          <w:rFonts w:ascii="宋体" w:hAnsi="宋体" w:eastAsia="宋体" w:cs="Times New Roman"/>
          <w:b/>
          <w:bCs/>
          <w:color w:val="auto"/>
          <w:kern w:val="0"/>
          <w:sz w:val="44"/>
          <w:szCs w:val="44"/>
          <w:highlight w:val="none"/>
        </w:rPr>
      </w:pPr>
    </w:p>
    <w:p w14:paraId="001C3F93">
      <w:pPr>
        <w:pStyle w:val="19"/>
        <w:rPr>
          <w:rFonts w:ascii="宋体" w:hAnsi="宋体" w:eastAsia="宋体" w:cs="Times New Roman"/>
          <w:b/>
          <w:bCs/>
          <w:color w:val="auto"/>
          <w:kern w:val="0"/>
          <w:sz w:val="44"/>
          <w:szCs w:val="44"/>
          <w:highlight w:val="none"/>
        </w:rPr>
      </w:pPr>
    </w:p>
    <w:p w14:paraId="207F0CA6">
      <w:pPr>
        <w:pStyle w:val="19"/>
        <w:rPr>
          <w:rFonts w:ascii="宋体" w:hAnsi="宋体" w:eastAsia="宋体" w:cs="Times New Roman"/>
          <w:b/>
          <w:bCs/>
          <w:color w:val="auto"/>
          <w:kern w:val="0"/>
          <w:sz w:val="44"/>
          <w:szCs w:val="44"/>
          <w:highlight w:val="none"/>
        </w:rPr>
      </w:pPr>
    </w:p>
    <w:p w14:paraId="3CA2BD48">
      <w:pPr>
        <w:pStyle w:val="19"/>
        <w:rPr>
          <w:rFonts w:ascii="宋体" w:hAnsi="宋体" w:eastAsia="宋体" w:cs="Times New Roman"/>
          <w:b/>
          <w:bCs/>
          <w:color w:val="auto"/>
          <w:kern w:val="0"/>
          <w:sz w:val="44"/>
          <w:szCs w:val="44"/>
          <w:highlight w:val="none"/>
        </w:rPr>
      </w:pPr>
    </w:p>
    <w:p w14:paraId="50AD4901">
      <w:pPr>
        <w:pStyle w:val="19"/>
        <w:rPr>
          <w:rFonts w:ascii="宋体" w:hAnsi="宋体" w:eastAsia="宋体" w:cs="Times New Roman"/>
          <w:b/>
          <w:bCs/>
          <w:color w:val="auto"/>
          <w:kern w:val="0"/>
          <w:sz w:val="44"/>
          <w:szCs w:val="44"/>
          <w:highlight w:val="none"/>
        </w:rPr>
      </w:pPr>
    </w:p>
    <w:p w14:paraId="5B16D0FF">
      <w:pPr>
        <w:pStyle w:val="19"/>
        <w:rPr>
          <w:rFonts w:ascii="宋体" w:hAnsi="宋体" w:eastAsia="宋体" w:cs="Times New Roman"/>
          <w:b/>
          <w:bCs/>
          <w:color w:val="auto"/>
          <w:kern w:val="0"/>
          <w:sz w:val="44"/>
          <w:szCs w:val="44"/>
          <w:highlight w:val="none"/>
        </w:rPr>
      </w:pPr>
    </w:p>
    <w:p w14:paraId="725F6773">
      <w:pPr>
        <w:pStyle w:val="19"/>
        <w:rPr>
          <w:rFonts w:ascii="宋体" w:hAnsi="宋体" w:eastAsia="宋体" w:cs="Times New Roman"/>
          <w:b/>
          <w:bCs/>
          <w:color w:val="auto"/>
          <w:kern w:val="0"/>
          <w:sz w:val="44"/>
          <w:szCs w:val="44"/>
          <w:highlight w:val="none"/>
        </w:rPr>
      </w:pPr>
    </w:p>
    <w:p w14:paraId="3A2FEFA3">
      <w:pPr>
        <w:pStyle w:val="19"/>
        <w:rPr>
          <w:rFonts w:ascii="宋体" w:hAnsi="宋体" w:eastAsia="宋体" w:cs="Times New Roman"/>
          <w:b/>
          <w:bCs/>
          <w:color w:val="auto"/>
          <w:kern w:val="0"/>
          <w:sz w:val="44"/>
          <w:szCs w:val="44"/>
          <w:highlight w:val="none"/>
        </w:rPr>
      </w:pPr>
    </w:p>
    <w:p w14:paraId="599A9636">
      <w:pPr>
        <w:pStyle w:val="19"/>
        <w:rPr>
          <w:rFonts w:ascii="宋体" w:hAnsi="宋体" w:eastAsia="宋体" w:cs="Times New Roman"/>
          <w:b/>
          <w:bCs/>
          <w:color w:val="auto"/>
          <w:kern w:val="0"/>
          <w:sz w:val="44"/>
          <w:szCs w:val="44"/>
          <w:highlight w:val="none"/>
        </w:rPr>
      </w:pPr>
    </w:p>
    <w:p w14:paraId="30EED4CB">
      <w:pPr>
        <w:pStyle w:val="19"/>
        <w:rPr>
          <w:rFonts w:ascii="宋体" w:hAnsi="宋体" w:eastAsia="宋体" w:cs="Times New Roman"/>
          <w:b/>
          <w:bCs/>
          <w:color w:val="auto"/>
          <w:kern w:val="0"/>
          <w:sz w:val="44"/>
          <w:szCs w:val="44"/>
          <w:highlight w:val="none"/>
        </w:rPr>
      </w:pPr>
    </w:p>
    <w:p w14:paraId="4F18C4AC">
      <w:pPr>
        <w:jc w:val="center"/>
        <w:rPr>
          <w:rFonts w:ascii="Times New Roman" w:hAnsi="Times New Roman" w:eastAsia="宋体" w:cs="Times New Roman"/>
          <w:color w:val="auto"/>
          <w:szCs w:val="21"/>
          <w:highlight w:val="none"/>
        </w:rPr>
      </w:pPr>
      <w:r>
        <w:rPr>
          <w:rFonts w:hint="eastAsia" w:ascii="宋体" w:hAnsi="宋体" w:eastAsia="宋体" w:cs="Times New Roman"/>
          <w:b/>
          <w:bCs/>
          <w:color w:val="auto"/>
          <w:kern w:val="0"/>
          <w:sz w:val="44"/>
          <w:szCs w:val="44"/>
          <w:highlight w:val="none"/>
        </w:rPr>
        <w:t xml:space="preserve">第二章 </w:t>
      </w:r>
      <w:r>
        <w:rPr>
          <w:rFonts w:hint="eastAsia" w:ascii="宋体" w:hAnsi="宋体" w:eastAsia="宋体" w:cs="Times New Roman"/>
          <w:b/>
          <w:bCs/>
          <w:color w:val="auto"/>
          <w:kern w:val="0"/>
          <w:sz w:val="44"/>
          <w:szCs w:val="44"/>
          <w:highlight w:val="none"/>
          <w:lang w:eastAsia="zh-CN"/>
        </w:rPr>
        <w:t>投标供应商</w:t>
      </w:r>
      <w:r>
        <w:rPr>
          <w:rFonts w:hint="eastAsia" w:ascii="宋体" w:hAnsi="宋体" w:eastAsia="宋体" w:cs="Times New Roman"/>
          <w:b/>
          <w:bCs/>
          <w:color w:val="auto"/>
          <w:kern w:val="0"/>
          <w:sz w:val="44"/>
          <w:szCs w:val="44"/>
          <w:highlight w:val="none"/>
        </w:rPr>
        <w:t>须知</w:t>
      </w:r>
    </w:p>
    <w:p w14:paraId="3EB9758C">
      <w:pPr>
        <w:widowControl/>
        <w:spacing w:line="720" w:lineRule="auto"/>
        <w:ind w:left="220" w:hanging="220"/>
        <w:jc w:val="center"/>
        <w:rPr>
          <w:rFonts w:ascii="Times New Roman" w:hAnsi="Times New Roman" w:eastAsia="宋体" w:cs="Times New Roman"/>
          <w:color w:val="auto"/>
          <w:kern w:val="0"/>
          <w:sz w:val="28"/>
          <w:szCs w:val="28"/>
          <w:highlight w:val="none"/>
        </w:rPr>
      </w:pPr>
      <w:r>
        <w:rPr>
          <w:rFonts w:hint="eastAsia" w:ascii="宋体" w:hAnsi="宋体" w:eastAsia="宋体" w:cs="Times New Roman"/>
          <w:b/>
          <w:bCs/>
          <w:color w:val="auto"/>
          <w:kern w:val="0"/>
          <w:sz w:val="28"/>
          <w:szCs w:val="28"/>
          <w:highlight w:val="none"/>
          <w:lang w:eastAsia="zh-CN"/>
        </w:rPr>
        <w:t>投标供应商</w:t>
      </w:r>
      <w:r>
        <w:rPr>
          <w:rFonts w:hint="eastAsia" w:ascii="宋体" w:hAnsi="宋体" w:eastAsia="宋体" w:cs="Times New Roman"/>
          <w:b/>
          <w:bCs/>
          <w:color w:val="auto"/>
          <w:kern w:val="0"/>
          <w:sz w:val="28"/>
          <w:szCs w:val="28"/>
          <w:highlight w:val="none"/>
        </w:rPr>
        <w:t>须知前附表</w:t>
      </w:r>
    </w:p>
    <w:tbl>
      <w:tblPr>
        <w:tblStyle w:val="14"/>
        <w:tblW w:w="8916" w:type="dxa"/>
        <w:jc w:val="center"/>
        <w:tblLayout w:type="fixed"/>
        <w:tblCellMar>
          <w:top w:w="0" w:type="dxa"/>
          <w:left w:w="108" w:type="dxa"/>
          <w:bottom w:w="0" w:type="dxa"/>
          <w:right w:w="108" w:type="dxa"/>
        </w:tblCellMar>
      </w:tblPr>
      <w:tblGrid>
        <w:gridCol w:w="976"/>
        <w:gridCol w:w="1424"/>
        <w:gridCol w:w="6516"/>
      </w:tblGrid>
      <w:tr w14:paraId="73BC3517">
        <w:trPr>
          <w:trHeight w:val="8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102CB459">
            <w:pPr>
              <w:widowControl/>
              <w:spacing w:line="360" w:lineRule="auto"/>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条款号</w:t>
            </w:r>
          </w:p>
        </w:tc>
        <w:tc>
          <w:tcPr>
            <w:tcW w:w="1424" w:type="dxa"/>
            <w:tcBorders>
              <w:top w:val="single" w:color="auto" w:sz="4" w:space="0"/>
              <w:left w:val="nil"/>
              <w:bottom w:val="single" w:color="auto" w:sz="4" w:space="0"/>
              <w:right w:val="single" w:color="auto" w:sz="4" w:space="0"/>
            </w:tcBorders>
            <w:vAlign w:val="center"/>
          </w:tcPr>
          <w:p w14:paraId="53DC1703">
            <w:pPr>
              <w:widowControl/>
              <w:spacing w:line="360" w:lineRule="auto"/>
              <w:jc w:val="center"/>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条款</w:t>
            </w:r>
          </w:p>
          <w:p w14:paraId="0753A4E5">
            <w:pPr>
              <w:widowControl/>
              <w:spacing w:line="360" w:lineRule="auto"/>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名称</w:t>
            </w:r>
          </w:p>
        </w:tc>
        <w:tc>
          <w:tcPr>
            <w:tcW w:w="6516" w:type="dxa"/>
            <w:tcBorders>
              <w:top w:val="single" w:color="auto" w:sz="4" w:space="0"/>
              <w:left w:val="nil"/>
              <w:bottom w:val="single" w:color="auto" w:sz="4" w:space="0"/>
              <w:right w:val="single" w:color="auto" w:sz="4" w:space="0"/>
            </w:tcBorders>
            <w:vAlign w:val="center"/>
          </w:tcPr>
          <w:p w14:paraId="423E6202">
            <w:pPr>
              <w:widowControl/>
              <w:spacing w:line="360" w:lineRule="auto"/>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编列内容</w:t>
            </w:r>
          </w:p>
        </w:tc>
      </w:tr>
      <w:tr w14:paraId="0162AE69">
        <w:trPr>
          <w:trHeight w:val="570"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78FEC22B">
            <w:pPr>
              <w:widowControl/>
              <w:spacing w:line="360" w:lineRule="auto"/>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1.1</w:t>
            </w:r>
          </w:p>
        </w:tc>
        <w:tc>
          <w:tcPr>
            <w:tcW w:w="1424" w:type="dxa"/>
            <w:tcBorders>
              <w:top w:val="single" w:color="auto" w:sz="4" w:space="0"/>
              <w:left w:val="nil"/>
              <w:bottom w:val="single" w:color="auto" w:sz="4" w:space="0"/>
              <w:right w:val="single" w:color="auto" w:sz="4" w:space="0"/>
            </w:tcBorders>
            <w:vAlign w:val="center"/>
          </w:tcPr>
          <w:p w14:paraId="3AD21F21">
            <w:pPr>
              <w:widowControl/>
              <w:spacing w:line="360" w:lineRule="auto"/>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采购人</w:t>
            </w:r>
          </w:p>
        </w:tc>
        <w:tc>
          <w:tcPr>
            <w:tcW w:w="6516" w:type="dxa"/>
            <w:tcBorders>
              <w:top w:val="single" w:color="auto" w:sz="4" w:space="0"/>
              <w:left w:val="nil"/>
              <w:bottom w:val="single" w:color="auto" w:sz="4" w:space="0"/>
              <w:right w:val="single" w:color="auto" w:sz="4" w:space="0"/>
            </w:tcBorders>
            <w:vAlign w:val="center"/>
          </w:tcPr>
          <w:p w14:paraId="08FAD029">
            <w:pPr>
              <w:spacing w:line="360" w:lineRule="auto"/>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lang w:eastAsia="zh-CN"/>
              </w:rPr>
              <w:t xml:space="preserve">名称：三门峡市产品质量检验检测中心 </w:t>
            </w:r>
          </w:p>
          <w:p w14:paraId="186B19C0">
            <w:pPr>
              <w:spacing w:line="360" w:lineRule="auto"/>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lang w:eastAsia="zh-CN"/>
              </w:rPr>
              <w:t>地址： 河南省三门峡市湖滨区青龙路 3 号</w:t>
            </w:r>
          </w:p>
          <w:p w14:paraId="5CE7A627">
            <w:pPr>
              <w:spacing w:line="360" w:lineRule="auto"/>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lang w:eastAsia="zh-CN"/>
              </w:rPr>
              <w:t>联系人：程先生</w:t>
            </w:r>
          </w:p>
          <w:p w14:paraId="078B1A0C">
            <w:pPr>
              <w:spacing w:line="360" w:lineRule="auto"/>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lang w:eastAsia="zh-CN"/>
              </w:rPr>
              <w:t xml:space="preserve">联系方式：联系方式：0398- 2967058 </w:t>
            </w:r>
          </w:p>
        </w:tc>
      </w:tr>
      <w:tr w14:paraId="45302F03">
        <w:trPr>
          <w:trHeight w:val="1998" w:hRule="atLeast"/>
          <w:jc w:val="center"/>
        </w:trPr>
        <w:tc>
          <w:tcPr>
            <w:tcW w:w="976" w:type="dxa"/>
            <w:tcBorders>
              <w:top w:val="nil"/>
              <w:left w:val="single" w:color="auto" w:sz="4" w:space="0"/>
              <w:bottom w:val="single" w:color="auto" w:sz="4" w:space="0"/>
              <w:right w:val="single" w:color="auto" w:sz="4" w:space="0"/>
            </w:tcBorders>
            <w:vAlign w:val="center"/>
          </w:tcPr>
          <w:p w14:paraId="3B02E304">
            <w:pPr>
              <w:widowControl/>
              <w:spacing w:line="360" w:lineRule="auto"/>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1.2</w:t>
            </w:r>
          </w:p>
        </w:tc>
        <w:tc>
          <w:tcPr>
            <w:tcW w:w="1424" w:type="dxa"/>
            <w:tcBorders>
              <w:top w:val="nil"/>
              <w:left w:val="nil"/>
              <w:bottom w:val="single" w:color="auto" w:sz="4" w:space="0"/>
              <w:right w:val="single" w:color="auto" w:sz="4" w:space="0"/>
            </w:tcBorders>
            <w:vAlign w:val="center"/>
          </w:tcPr>
          <w:p w14:paraId="557069E8">
            <w:pPr>
              <w:widowControl/>
              <w:spacing w:line="360" w:lineRule="auto"/>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采购代理机构</w:t>
            </w:r>
          </w:p>
        </w:tc>
        <w:tc>
          <w:tcPr>
            <w:tcW w:w="6516" w:type="dxa"/>
            <w:tcBorders>
              <w:top w:val="single" w:color="auto" w:sz="4" w:space="0"/>
              <w:left w:val="nil"/>
              <w:bottom w:val="single" w:color="auto" w:sz="4" w:space="0"/>
              <w:right w:val="single" w:color="auto" w:sz="4" w:space="0"/>
            </w:tcBorders>
            <w:vAlign w:val="center"/>
          </w:tcPr>
          <w:p w14:paraId="1113DE37">
            <w:pPr>
              <w:widowControl/>
              <w:spacing w:line="360" w:lineRule="auto"/>
              <w:jc w:val="left"/>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代理机构：中恒晟（北京）工程管理有限公司</w:t>
            </w:r>
            <w:r>
              <w:rPr>
                <w:rFonts w:hint="eastAsia" w:ascii="宋体" w:hAnsi="宋体" w:eastAsia="宋体" w:cs="Times New Roman"/>
                <w:color w:val="auto"/>
                <w:kern w:val="0"/>
                <w:sz w:val="24"/>
                <w:szCs w:val="24"/>
                <w:highlight w:val="none"/>
              </w:rPr>
              <w:tab/>
            </w:r>
          </w:p>
          <w:p w14:paraId="7BFF7DEA">
            <w:pPr>
              <w:widowControl/>
              <w:spacing w:line="360" w:lineRule="auto"/>
              <w:jc w:val="left"/>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地    址： 三门峡市鸿庆国际大厦1710室 </w:t>
            </w:r>
          </w:p>
          <w:p w14:paraId="47E2FF88">
            <w:pPr>
              <w:widowControl/>
              <w:spacing w:line="360" w:lineRule="auto"/>
              <w:jc w:val="left"/>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联系人：唐女士</w:t>
            </w:r>
            <w:r>
              <w:rPr>
                <w:rFonts w:hint="eastAsia" w:ascii="宋体" w:hAnsi="宋体" w:eastAsia="宋体" w:cs="Times New Roman"/>
                <w:color w:val="auto"/>
                <w:kern w:val="0"/>
                <w:sz w:val="24"/>
                <w:szCs w:val="24"/>
                <w:highlight w:val="none"/>
              </w:rPr>
              <w:tab/>
            </w:r>
          </w:p>
          <w:p w14:paraId="368CE648">
            <w:pPr>
              <w:widowControl/>
              <w:spacing w:line="360" w:lineRule="auto"/>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联系电话： 15139820677</w:t>
            </w:r>
          </w:p>
        </w:tc>
      </w:tr>
      <w:tr w14:paraId="7BD73A4D">
        <w:trPr>
          <w:trHeight w:val="840"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7FBFD5CB">
            <w:pPr>
              <w:widowControl/>
              <w:spacing w:line="360" w:lineRule="auto"/>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1.3</w:t>
            </w:r>
          </w:p>
        </w:tc>
        <w:tc>
          <w:tcPr>
            <w:tcW w:w="1424" w:type="dxa"/>
            <w:tcBorders>
              <w:top w:val="single" w:color="auto" w:sz="4" w:space="0"/>
              <w:left w:val="nil"/>
              <w:bottom w:val="single" w:color="auto" w:sz="4" w:space="0"/>
              <w:right w:val="single" w:color="auto" w:sz="4" w:space="0"/>
            </w:tcBorders>
            <w:vAlign w:val="center"/>
          </w:tcPr>
          <w:p w14:paraId="36CCFA71">
            <w:pPr>
              <w:widowControl/>
              <w:spacing w:line="360" w:lineRule="auto"/>
              <w:jc w:val="center"/>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项目</w:t>
            </w:r>
          </w:p>
          <w:p w14:paraId="4649D4A9">
            <w:pPr>
              <w:widowControl/>
              <w:spacing w:line="360" w:lineRule="auto"/>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名称</w:t>
            </w:r>
          </w:p>
        </w:tc>
        <w:tc>
          <w:tcPr>
            <w:tcW w:w="6516" w:type="dxa"/>
            <w:tcBorders>
              <w:top w:val="single" w:color="auto" w:sz="4" w:space="0"/>
              <w:left w:val="nil"/>
              <w:bottom w:val="single" w:color="auto" w:sz="4" w:space="0"/>
              <w:right w:val="single" w:color="auto" w:sz="4" w:space="0"/>
            </w:tcBorders>
            <w:vAlign w:val="center"/>
          </w:tcPr>
          <w:p w14:paraId="413E56C6">
            <w:pPr>
              <w:spacing w:line="360" w:lineRule="auto"/>
              <w:rPr>
                <w:rFonts w:hint="eastAsia" w:ascii="Times New Roman" w:hAnsi="Times New Roman" w:eastAsia="宋体" w:cs="Times New Roman"/>
                <w:bCs/>
                <w:iCs/>
                <w:color w:val="auto"/>
                <w:sz w:val="24"/>
                <w:szCs w:val="24"/>
                <w:highlight w:val="none"/>
                <w:lang w:eastAsia="zh-CN"/>
              </w:rPr>
            </w:pPr>
            <w:r>
              <w:rPr>
                <w:rFonts w:hint="eastAsia" w:ascii="宋体" w:hAnsi="宋体" w:eastAsia="宋体" w:cs="Times New Roman"/>
                <w:color w:val="auto"/>
                <w:sz w:val="24"/>
                <w:szCs w:val="24"/>
                <w:highlight w:val="none"/>
                <w:lang w:eastAsia="zh-CN"/>
              </w:rPr>
              <w:t>三门峡市产品质量检验检测中心计量检测设备更新项目</w:t>
            </w:r>
          </w:p>
        </w:tc>
      </w:tr>
      <w:tr w14:paraId="0CEA407D">
        <w:trPr>
          <w:trHeight w:val="8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5359A1E1">
            <w:pPr>
              <w:widowControl/>
              <w:spacing w:line="360" w:lineRule="auto"/>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1.4</w:t>
            </w:r>
          </w:p>
        </w:tc>
        <w:tc>
          <w:tcPr>
            <w:tcW w:w="1424" w:type="dxa"/>
            <w:tcBorders>
              <w:top w:val="single" w:color="auto" w:sz="4" w:space="0"/>
              <w:left w:val="nil"/>
              <w:bottom w:val="single" w:color="auto" w:sz="4" w:space="0"/>
              <w:right w:val="single" w:color="auto" w:sz="4" w:space="0"/>
            </w:tcBorders>
            <w:vAlign w:val="center"/>
          </w:tcPr>
          <w:p w14:paraId="4C4D496C">
            <w:pPr>
              <w:widowControl/>
              <w:spacing w:line="360" w:lineRule="auto"/>
              <w:jc w:val="center"/>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交货</w:t>
            </w:r>
          </w:p>
          <w:p w14:paraId="6DDC42C5">
            <w:pPr>
              <w:widowControl/>
              <w:spacing w:line="360" w:lineRule="auto"/>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地点</w:t>
            </w:r>
          </w:p>
        </w:tc>
        <w:tc>
          <w:tcPr>
            <w:tcW w:w="6516" w:type="dxa"/>
            <w:tcBorders>
              <w:top w:val="single" w:color="auto" w:sz="4" w:space="0"/>
              <w:left w:val="nil"/>
              <w:bottom w:val="single" w:color="auto" w:sz="4" w:space="0"/>
              <w:right w:val="single" w:color="auto" w:sz="4" w:space="0"/>
            </w:tcBorders>
            <w:vAlign w:val="center"/>
          </w:tcPr>
          <w:p w14:paraId="4F749A25">
            <w:pPr>
              <w:widowControl/>
              <w:spacing w:line="360" w:lineRule="auto"/>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sz w:val="24"/>
                <w:szCs w:val="24"/>
                <w:highlight w:val="none"/>
              </w:rPr>
              <w:t>采购人指定地点</w:t>
            </w:r>
          </w:p>
        </w:tc>
      </w:tr>
      <w:tr w14:paraId="129FDE64">
        <w:trPr>
          <w:trHeight w:val="8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0BC4959A">
            <w:pPr>
              <w:widowControl/>
              <w:spacing w:line="360" w:lineRule="auto"/>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1.5</w:t>
            </w:r>
          </w:p>
        </w:tc>
        <w:tc>
          <w:tcPr>
            <w:tcW w:w="1424" w:type="dxa"/>
            <w:tcBorders>
              <w:top w:val="single" w:color="auto" w:sz="4" w:space="0"/>
              <w:left w:val="nil"/>
              <w:bottom w:val="single" w:color="auto" w:sz="4" w:space="0"/>
              <w:right w:val="single" w:color="auto" w:sz="4" w:space="0"/>
            </w:tcBorders>
            <w:vAlign w:val="center"/>
          </w:tcPr>
          <w:p w14:paraId="7BCA3C9D">
            <w:pPr>
              <w:widowControl/>
              <w:spacing w:line="360" w:lineRule="auto"/>
              <w:jc w:val="center"/>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资金</w:t>
            </w:r>
          </w:p>
          <w:p w14:paraId="1EF35517">
            <w:pPr>
              <w:widowControl/>
              <w:spacing w:line="360" w:lineRule="auto"/>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来源</w:t>
            </w:r>
          </w:p>
        </w:tc>
        <w:tc>
          <w:tcPr>
            <w:tcW w:w="6516" w:type="dxa"/>
            <w:tcBorders>
              <w:top w:val="single" w:color="auto" w:sz="4" w:space="0"/>
              <w:left w:val="nil"/>
              <w:bottom w:val="single" w:color="auto" w:sz="4" w:space="0"/>
              <w:right w:val="single" w:color="auto" w:sz="4" w:space="0"/>
            </w:tcBorders>
            <w:vAlign w:val="center"/>
          </w:tcPr>
          <w:p w14:paraId="02DC3B10">
            <w:pPr>
              <w:widowControl/>
              <w:spacing w:line="360" w:lineRule="auto"/>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sz w:val="24"/>
                <w:szCs w:val="24"/>
                <w:highlight w:val="none"/>
                <w:lang w:eastAsia="zh-CN"/>
              </w:rPr>
              <w:t>财政资金</w:t>
            </w:r>
            <w:r>
              <w:rPr>
                <w:rFonts w:hint="eastAsia" w:ascii="宋体" w:hAnsi="宋体" w:eastAsia="宋体" w:cs="Times New Roman"/>
                <w:color w:val="auto"/>
                <w:sz w:val="24"/>
                <w:szCs w:val="24"/>
                <w:highlight w:val="none"/>
              </w:rPr>
              <w:t>，已落实；</w:t>
            </w:r>
          </w:p>
        </w:tc>
      </w:tr>
      <w:tr w14:paraId="4E6A6863">
        <w:trPr>
          <w:trHeight w:val="8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12ADC744">
            <w:pPr>
              <w:widowControl/>
              <w:spacing w:line="360" w:lineRule="auto"/>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1.7</w:t>
            </w:r>
          </w:p>
        </w:tc>
        <w:tc>
          <w:tcPr>
            <w:tcW w:w="1424" w:type="dxa"/>
            <w:tcBorders>
              <w:top w:val="single" w:color="auto" w:sz="4" w:space="0"/>
              <w:left w:val="nil"/>
              <w:bottom w:val="single" w:color="auto" w:sz="4" w:space="0"/>
              <w:right w:val="single" w:color="auto" w:sz="4" w:space="0"/>
            </w:tcBorders>
            <w:vAlign w:val="center"/>
          </w:tcPr>
          <w:p w14:paraId="1CBB4665">
            <w:pPr>
              <w:widowControl/>
              <w:spacing w:line="360" w:lineRule="auto"/>
              <w:jc w:val="center"/>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采购</w:t>
            </w:r>
          </w:p>
          <w:p w14:paraId="68F5601F">
            <w:pPr>
              <w:widowControl/>
              <w:spacing w:line="360" w:lineRule="auto"/>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内容</w:t>
            </w:r>
          </w:p>
        </w:tc>
        <w:tc>
          <w:tcPr>
            <w:tcW w:w="6516" w:type="dxa"/>
            <w:tcBorders>
              <w:top w:val="single" w:color="auto" w:sz="4" w:space="0"/>
              <w:left w:val="nil"/>
              <w:bottom w:val="single" w:color="auto" w:sz="4" w:space="0"/>
              <w:right w:val="single" w:color="auto" w:sz="4" w:space="0"/>
            </w:tcBorders>
            <w:vAlign w:val="center"/>
          </w:tcPr>
          <w:p w14:paraId="0C83A5FA">
            <w:pPr>
              <w:spacing w:line="360" w:lineRule="auto"/>
              <w:ind w:firstLine="0" w:firstLineChars="0"/>
              <w:rPr>
                <w:rFonts w:hint="eastAsia" w:ascii="宋体" w:hAnsi="宋体" w:eastAsia="宋体" w:cs="Times New Roman"/>
                <w:bCs/>
                <w:color w:val="auto"/>
                <w:sz w:val="24"/>
                <w:szCs w:val="24"/>
                <w:highlight w:val="none"/>
                <w:lang w:eastAsia="zh-CN"/>
              </w:rPr>
            </w:pPr>
            <w:r>
              <w:rPr>
                <w:rFonts w:hint="eastAsia" w:ascii="宋体" w:hAnsi="宋体" w:eastAsia="宋体" w:cs="Times New Roman"/>
                <w:bCs/>
                <w:color w:val="auto"/>
                <w:sz w:val="24"/>
                <w:szCs w:val="24"/>
                <w:highlight w:val="none"/>
                <w:lang w:eastAsia="zh-CN"/>
              </w:rPr>
              <w:t>本项目为三门峡市产品质量检验检测中心计量检测设备更新项目的采购及安装、调试、验收、培训、质保期服务、与货物有关的运输和保险及其他伴随服务，具体采购内容及参数要求详见招标文件。</w:t>
            </w:r>
          </w:p>
        </w:tc>
      </w:tr>
      <w:tr w14:paraId="2541357B">
        <w:trPr>
          <w:trHeight w:val="8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5C72052B">
            <w:pPr>
              <w:widowControl/>
              <w:spacing w:line="360" w:lineRule="auto"/>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1.8</w:t>
            </w:r>
          </w:p>
        </w:tc>
        <w:tc>
          <w:tcPr>
            <w:tcW w:w="1424" w:type="dxa"/>
            <w:tcBorders>
              <w:top w:val="single" w:color="auto" w:sz="4" w:space="0"/>
              <w:left w:val="nil"/>
              <w:bottom w:val="single" w:color="auto" w:sz="4" w:space="0"/>
              <w:right w:val="single" w:color="auto" w:sz="4" w:space="0"/>
            </w:tcBorders>
            <w:vAlign w:val="center"/>
          </w:tcPr>
          <w:p w14:paraId="647238D0">
            <w:pPr>
              <w:widowControl/>
              <w:spacing w:line="360" w:lineRule="auto"/>
              <w:jc w:val="center"/>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lang w:eastAsia="zh-CN"/>
              </w:rPr>
              <w:t>交货期</w:t>
            </w:r>
          </w:p>
        </w:tc>
        <w:tc>
          <w:tcPr>
            <w:tcW w:w="6516" w:type="dxa"/>
            <w:tcBorders>
              <w:top w:val="single" w:color="auto" w:sz="4" w:space="0"/>
              <w:left w:val="nil"/>
              <w:bottom w:val="single" w:color="auto" w:sz="4" w:space="0"/>
              <w:right w:val="single" w:color="auto" w:sz="4" w:space="0"/>
            </w:tcBorders>
            <w:vAlign w:val="center"/>
          </w:tcPr>
          <w:p w14:paraId="2FC89D1F">
            <w:pPr>
              <w:spacing w:line="360" w:lineRule="auto"/>
              <w:rPr>
                <w:rFonts w:hint="eastAsia" w:ascii="宋体" w:hAnsi="宋体" w:cs="Times New Roman" w:eastAsiaTheme="minorEastAsia"/>
                <w:color w:val="auto"/>
                <w:sz w:val="24"/>
                <w:szCs w:val="24"/>
                <w:highlight w:val="none"/>
                <w:lang w:val="en-US" w:eastAsia="zh-CN"/>
              </w:rPr>
            </w:pPr>
            <w:r>
              <w:rPr>
                <w:rFonts w:hint="eastAsia" w:cs="仿宋_GB2312" w:asciiTheme="minorEastAsia" w:hAnsiTheme="minorEastAsia"/>
                <w:b w:val="0"/>
                <w:bCs/>
                <w:color w:val="auto"/>
                <w:sz w:val="24"/>
                <w:szCs w:val="24"/>
                <w:highlight w:val="none"/>
                <w:lang w:eastAsia="zh-CN"/>
              </w:rPr>
              <w:t>自签订合同之日起30日历天内</w:t>
            </w:r>
          </w:p>
        </w:tc>
      </w:tr>
      <w:tr w14:paraId="67D15C5C">
        <w:trPr>
          <w:trHeight w:val="43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192FFE33">
            <w:pPr>
              <w:widowControl/>
              <w:spacing w:line="360" w:lineRule="auto"/>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1.9</w:t>
            </w:r>
          </w:p>
        </w:tc>
        <w:tc>
          <w:tcPr>
            <w:tcW w:w="1424" w:type="dxa"/>
            <w:tcBorders>
              <w:top w:val="single" w:color="auto" w:sz="4" w:space="0"/>
              <w:left w:val="nil"/>
              <w:bottom w:val="single" w:color="auto" w:sz="4" w:space="0"/>
              <w:right w:val="single" w:color="auto" w:sz="4" w:space="0"/>
            </w:tcBorders>
            <w:vAlign w:val="center"/>
          </w:tcPr>
          <w:p w14:paraId="3452321B">
            <w:pPr>
              <w:widowControl/>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质量</w:t>
            </w:r>
          </w:p>
          <w:p w14:paraId="3CA12476">
            <w:pPr>
              <w:widowControl/>
              <w:spacing w:line="360" w:lineRule="auto"/>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sz w:val="24"/>
                <w:szCs w:val="24"/>
                <w:highlight w:val="none"/>
              </w:rPr>
              <w:t>要求</w:t>
            </w:r>
          </w:p>
        </w:tc>
        <w:tc>
          <w:tcPr>
            <w:tcW w:w="6516" w:type="dxa"/>
            <w:tcBorders>
              <w:top w:val="single" w:color="auto" w:sz="4" w:space="0"/>
              <w:left w:val="nil"/>
              <w:bottom w:val="single" w:color="auto" w:sz="4" w:space="0"/>
              <w:right w:val="single" w:color="auto" w:sz="4" w:space="0"/>
            </w:tcBorders>
            <w:vAlign w:val="center"/>
          </w:tcPr>
          <w:p w14:paraId="39436A56">
            <w:pPr>
              <w:widowControl/>
              <w:spacing w:line="360" w:lineRule="auto"/>
              <w:jc w:val="left"/>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lang w:val="en-US" w:eastAsia="zh-CN"/>
              </w:rPr>
              <w:t>合格</w:t>
            </w:r>
            <w:r>
              <w:rPr>
                <w:rFonts w:ascii="Times New Roman" w:hAnsi="Times New Roman" w:eastAsia="宋体" w:cs="Times New Roman"/>
                <w:color w:val="auto"/>
                <w:kern w:val="0"/>
                <w:sz w:val="24"/>
                <w:szCs w:val="24"/>
                <w:highlight w:val="none"/>
              </w:rPr>
              <w:t xml:space="preserve"> </w:t>
            </w:r>
          </w:p>
        </w:tc>
      </w:tr>
      <w:tr w14:paraId="6230096A">
        <w:trPr>
          <w:trHeight w:val="540"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15E5F6D7">
            <w:pPr>
              <w:widowControl/>
              <w:spacing w:line="360" w:lineRule="auto"/>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2.0</w:t>
            </w:r>
          </w:p>
        </w:tc>
        <w:tc>
          <w:tcPr>
            <w:tcW w:w="1424" w:type="dxa"/>
            <w:tcBorders>
              <w:top w:val="single" w:color="auto" w:sz="4" w:space="0"/>
              <w:left w:val="nil"/>
              <w:bottom w:val="single" w:color="auto" w:sz="4" w:space="0"/>
              <w:right w:val="single" w:color="auto" w:sz="4" w:space="0"/>
            </w:tcBorders>
            <w:vAlign w:val="center"/>
          </w:tcPr>
          <w:p w14:paraId="5B7A9945">
            <w:pPr>
              <w:widowControl/>
              <w:spacing w:line="360" w:lineRule="auto"/>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供应商资格要求</w:t>
            </w:r>
          </w:p>
        </w:tc>
        <w:tc>
          <w:tcPr>
            <w:tcW w:w="6516" w:type="dxa"/>
            <w:tcBorders>
              <w:top w:val="single" w:color="auto" w:sz="4" w:space="0"/>
              <w:left w:val="nil"/>
              <w:bottom w:val="single" w:color="auto" w:sz="4" w:space="0"/>
              <w:right w:val="single" w:color="auto" w:sz="4" w:space="0"/>
            </w:tcBorders>
            <w:vAlign w:val="center"/>
          </w:tcPr>
          <w:p w14:paraId="7AD42591">
            <w:pPr>
              <w:spacing w:line="360" w:lineRule="auto"/>
              <w:rPr>
                <w:rFonts w:hint="eastAsia" w:ascii="宋体" w:hAnsi="宋体" w:eastAsia="宋体" w:cs="Times New Roman"/>
                <w:bCs/>
                <w:color w:val="auto"/>
                <w:sz w:val="24"/>
                <w:szCs w:val="24"/>
                <w:highlight w:val="none"/>
                <w:lang w:val="en-US" w:eastAsia="zh-CN"/>
              </w:rPr>
            </w:pPr>
            <w:r>
              <w:rPr>
                <w:rFonts w:hint="eastAsia" w:ascii="宋体" w:hAnsi="宋体" w:eastAsia="宋体" w:cs="Times New Roman"/>
                <w:bCs/>
                <w:color w:val="auto"/>
                <w:sz w:val="24"/>
                <w:szCs w:val="24"/>
                <w:highlight w:val="none"/>
                <w:lang w:val="en-US" w:eastAsia="zh-CN"/>
              </w:rPr>
              <w:t xml:space="preserve">1、投标供应商须具有合法有效的营业执照（可使用电子营业执照）；   </w:t>
            </w:r>
          </w:p>
          <w:p w14:paraId="0282EEEB">
            <w:pPr>
              <w:spacing w:line="360" w:lineRule="auto"/>
              <w:rPr>
                <w:rFonts w:hint="eastAsia" w:ascii="宋体" w:hAnsi="宋体" w:eastAsia="宋体" w:cs="Times New Roman"/>
                <w:bCs/>
                <w:color w:val="auto"/>
                <w:sz w:val="24"/>
                <w:szCs w:val="24"/>
                <w:highlight w:val="none"/>
                <w:lang w:val="en-US" w:eastAsia="zh-CN"/>
              </w:rPr>
            </w:pPr>
            <w:r>
              <w:rPr>
                <w:rFonts w:hint="eastAsia" w:ascii="宋体" w:hAnsi="宋体" w:eastAsia="宋体" w:cs="Times New Roman"/>
                <w:bCs/>
                <w:color w:val="auto"/>
                <w:sz w:val="24"/>
                <w:szCs w:val="24"/>
                <w:highlight w:val="none"/>
                <w:lang w:val="en-US" w:eastAsia="zh-CN"/>
              </w:rPr>
              <w:t>2、投标供应商须承诺本企业无商业贿赂和不正当竞争行为；</w:t>
            </w:r>
          </w:p>
          <w:p w14:paraId="23636CB1">
            <w:pPr>
              <w:spacing w:line="360" w:lineRule="auto"/>
              <w:rPr>
                <w:rFonts w:hint="eastAsia" w:ascii="宋体" w:hAnsi="宋体" w:eastAsia="宋体" w:cs="Times New Roman"/>
                <w:bCs/>
                <w:color w:val="auto"/>
                <w:sz w:val="24"/>
                <w:szCs w:val="24"/>
                <w:highlight w:val="none"/>
                <w:lang w:val="en-US" w:eastAsia="zh-CN"/>
              </w:rPr>
            </w:pPr>
            <w:r>
              <w:rPr>
                <w:rFonts w:hint="eastAsia" w:ascii="宋体" w:hAnsi="宋体" w:eastAsia="宋体" w:cs="Times New Roman"/>
                <w:bCs/>
                <w:color w:val="auto"/>
                <w:sz w:val="24"/>
                <w:szCs w:val="24"/>
                <w:highlight w:val="none"/>
                <w:lang w:val="en-US" w:eastAsia="zh-CN"/>
              </w:rPr>
              <w:t>3、根据《关于在政府采购活动中查询及使用信用记录有关问题的通知》(财库[2016]125号)和豫财购【2016】15号的规定，对列入失信被执行人、重大税收违法失信主体、政府采购严重违法失信行为记录名单的供应商，拒绝参与本项目采购活动；须提供中国执行信息公开网（http://zxgk.court.gov.cn/）关于“失信被执行人”查询截图；信用中国(www.creditchina.gov.cn）关于“重大税收违法失信主体”查询截图；中国政府采购网（www.ccgp.gov.cn）关于“政府采购严重违法失信行为记录名单”查询截图。查询日期自公告发布之日起，查询截止时间为投标截止时间止；</w:t>
            </w:r>
          </w:p>
          <w:p w14:paraId="497AE9C7">
            <w:pPr>
              <w:spacing w:line="360" w:lineRule="auto"/>
              <w:rPr>
                <w:rFonts w:hint="eastAsia" w:ascii="宋体" w:hAnsi="宋体" w:eastAsia="宋体" w:cs="Times New Roman"/>
                <w:bCs/>
                <w:color w:val="auto"/>
                <w:sz w:val="24"/>
                <w:szCs w:val="24"/>
                <w:highlight w:val="none"/>
                <w:lang w:val="en-US" w:eastAsia="zh-CN"/>
              </w:rPr>
            </w:pPr>
            <w:r>
              <w:rPr>
                <w:rFonts w:hint="eastAsia" w:ascii="宋体" w:hAnsi="宋体" w:eastAsia="宋体" w:cs="Times New Roman"/>
                <w:bCs/>
                <w:color w:val="auto"/>
                <w:sz w:val="24"/>
                <w:szCs w:val="24"/>
                <w:highlight w:val="none"/>
                <w:lang w:val="en-US" w:eastAsia="zh-CN"/>
              </w:rPr>
              <w:t>4、单位负责人为同一人或者存在直接控股、管理关系的不同供应商，不得同时参加同一项目的投标（提供“国家企业信用信息公示系统”中公示的公司基础信息、股东或投资人信息，查询结果清晰可见）。</w:t>
            </w:r>
          </w:p>
        </w:tc>
      </w:tr>
      <w:tr w14:paraId="5BE696F6">
        <w:trPr>
          <w:trHeight w:val="147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3F3149DF">
            <w:pPr>
              <w:widowControl/>
              <w:spacing w:line="360" w:lineRule="auto"/>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2.1</w:t>
            </w:r>
          </w:p>
        </w:tc>
        <w:tc>
          <w:tcPr>
            <w:tcW w:w="1424" w:type="dxa"/>
            <w:tcBorders>
              <w:top w:val="single" w:color="auto" w:sz="4" w:space="0"/>
              <w:left w:val="nil"/>
              <w:bottom w:val="single" w:color="auto" w:sz="4" w:space="0"/>
              <w:right w:val="single" w:color="auto" w:sz="4" w:space="0"/>
            </w:tcBorders>
            <w:vAlign w:val="center"/>
          </w:tcPr>
          <w:p w14:paraId="13A54F2A">
            <w:pPr>
              <w:widowControl/>
              <w:spacing w:line="360" w:lineRule="auto"/>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提出问题的截止时间</w:t>
            </w:r>
          </w:p>
        </w:tc>
        <w:tc>
          <w:tcPr>
            <w:tcW w:w="6516" w:type="dxa"/>
            <w:tcBorders>
              <w:top w:val="single" w:color="auto" w:sz="4" w:space="0"/>
              <w:left w:val="nil"/>
              <w:bottom w:val="single" w:color="auto" w:sz="4" w:space="0"/>
              <w:right w:val="single" w:color="auto" w:sz="4" w:space="0"/>
            </w:tcBorders>
            <w:vAlign w:val="center"/>
          </w:tcPr>
          <w:p w14:paraId="390063A0">
            <w:pPr>
              <w:widowControl/>
              <w:spacing w:line="360" w:lineRule="auto"/>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在知道或者应知其权益受到损害之日起7个工作日内，以书面形式向采购人、采购代理机构提出。</w:t>
            </w:r>
          </w:p>
        </w:tc>
      </w:tr>
      <w:tr w14:paraId="21BC8579">
        <w:trPr>
          <w:trHeight w:val="1132"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439338CE">
            <w:pPr>
              <w:widowControl/>
              <w:spacing w:line="360" w:lineRule="auto"/>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2.2</w:t>
            </w:r>
          </w:p>
        </w:tc>
        <w:tc>
          <w:tcPr>
            <w:tcW w:w="1424" w:type="dxa"/>
            <w:tcBorders>
              <w:top w:val="single" w:color="auto" w:sz="4" w:space="0"/>
              <w:left w:val="nil"/>
              <w:bottom w:val="single" w:color="auto" w:sz="4" w:space="0"/>
              <w:right w:val="single" w:color="auto" w:sz="4" w:space="0"/>
            </w:tcBorders>
            <w:vAlign w:val="center"/>
          </w:tcPr>
          <w:p w14:paraId="4CC3ADDF">
            <w:pPr>
              <w:widowControl/>
              <w:spacing w:line="360" w:lineRule="auto"/>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采购人澄清的时间</w:t>
            </w:r>
          </w:p>
        </w:tc>
        <w:tc>
          <w:tcPr>
            <w:tcW w:w="6516" w:type="dxa"/>
            <w:tcBorders>
              <w:top w:val="single" w:color="auto" w:sz="4" w:space="0"/>
              <w:left w:val="nil"/>
              <w:bottom w:val="single" w:color="auto" w:sz="4" w:space="0"/>
              <w:right w:val="single" w:color="auto" w:sz="4" w:space="0"/>
            </w:tcBorders>
            <w:vAlign w:val="center"/>
          </w:tcPr>
          <w:p w14:paraId="0F94A0AD">
            <w:pPr>
              <w:widowControl/>
              <w:spacing w:line="360" w:lineRule="auto"/>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投标截止时间15日前，</w:t>
            </w:r>
            <w:r>
              <w:rPr>
                <w:rFonts w:ascii="宋体" w:hAnsi="宋体" w:eastAsia="宋体" w:cs="Times New Roman"/>
                <w:color w:val="auto"/>
                <w:kern w:val="0"/>
                <w:sz w:val="24"/>
                <w:szCs w:val="24"/>
                <w:highlight w:val="none"/>
              </w:rPr>
              <w:t>招标人如对已发出的招标文件进行必要澄清或者修改的，将以变更公告方式向已获取招标文件的</w:t>
            </w:r>
            <w:r>
              <w:rPr>
                <w:rFonts w:hint="eastAsia" w:ascii="宋体" w:hAnsi="宋体" w:eastAsia="宋体" w:cs="Times New Roman"/>
                <w:color w:val="auto"/>
                <w:kern w:val="0"/>
                <w:sz w:val="24"/>
                <w:szCs w:val="24"/>
                <w:highlight w:val="none"/>
                <w:lang w:eastAsia="zh-CN"/>
              </w:rPr>
              <w:t>投标供应商</w:t>
            </w:r>
            <w:r>
              <w:rPr>
                <w:rFonts w:ascii="宋体" w:hAnsi="宋体" w:eastAsia="宋体" w:cs="Times New Roman"/>
                <w:color w:val="auto"/>
                <w:kern w:val="0"/>
                <w:sz w:val="24"/>
                <w:szCs w:val="24"/>
                <w:highlight w:val="none"/>
              </w:rPr>
              <w:t>发出，并发布在本次招标公告的同一媒体上，</w:t>
            </w:r>
            <w:r>
              <w:rPr>
                <w:rFonts w:hint="eastAsia" w:ascii="宋体" w:hAnsi="宋体" w:eastAsia="宋体" w:cs="Times New Roman"/>
                <w:color w:val="auto"/>
                <w:kern w:val="0"/>
                <w:sz w:val="24"/>
                <w:szCs w:val="24"/>
                <w:highlight w:val="none"/>
                <w:lang w:eastAsia="zh-CN"/>
              </w:rPr>
              <w:t>投标供应商</w:t>
            </w:r>
            <w:r>
              <w:rPr>
                <w:rFonts w:ascii="宋体" w:hAnsi="宋体" w:eastAsia="宋体" w:cs="Times New Roman"/>
                <w:color w:val="auto"/>
                <w:kern w:val="0"/>
                <w:sz w:val="24"/>
                <w:szCs w:val="24"/>
                <w:highlight w:val="none"/>
              </w:rPr>
              <w:t>应实时关注并及时下载。该澄清或者修改的内容为招标文件的组成部分。</w:t>
            </w:r>
          </w:p>
        </w:tc>
      </w:tr>
      <w:tr w14:paraId="1F5E9AA0">
        <w:trPr>
          <w:trHeight w:val="600"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6EAF047F">
            <w:pPr>
              <w:widowControl/>
              <w:spacing w:line="360" w:lineRule="auto"/>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2.3</w:t>
            </w:r>
          </w:p>
        </w:tc>
        <w:tc>
          <w:tcPr>
            <w:tcW w:w="1424" w:type="dxa"/>
            <w:tcBorders>
              <w:top w:val="single" w:color="auto" w:sz="4" w:space="0"/>
              <w:left w:val="nil"/>
              <w:bottom w:val="single" w:color="auto" w:sz="4" w:space="0"/>
              <w:right w:val="single" w:color="auto" w:sz="4" w:space="0"/>
            </w:tcBorders>
            <w:vAlign w:val="center"/>
          </w:tcPr>
          <w:p w14:paraId="7B0358D9">
            <w:pPr>
              <w:widowControl/>
              <w:spacing w:line="360" w:lineRule="auto"/>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偏离</w:t>
            </w:r>
          </w:p>
        </w:tc>
        <w:tc>
          <w:tcPr>
            <w:tcW w:w="6516" w:type="dxa"/>
            <w:tcBorders>
              <w:top w:val="single" w:color="auto" w:sz="4" w:space="0"/>
              <w:left w:val="nil"/>
              <w:bottom w:val="single" w:color="auto" w:sz="4" w:space="0"/>
              <w:right w:val="single" w:color="auto" w:sz="4" w:space="0"/>
            </w:tcBorders>
            <w:vAlign w:val="center"/>
          </w:tcPr>
          <w:p w14:paraId="12493CEA">
            <w:pPr>
              <w:widowControl/>
              <w:spacing w:line="360" w:lineRule="auto"/>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允许</w:t>
            </w:r>
          </w:p>
        </w:tc>
      </w:tr>
      <w:tr w14:paraId="4ACEED90">
        <w:trPr>
          <w:trHeight w:val="450"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2FAEBDC1">
            <w:pPr>
              <w:widowControl/>
              <w:spacing w:line="360" w:lineRule="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2.4</w:t>
            </w:r>
          </w:p>
        </w:tc>
        <w:tc>
          <w:tcPr>
            <w:tcW w:w="1424" w:type="dxa"/>
            <w:tcBorders>
              <w:top w:val="single" w:color="auto" w:sz="4" w:space="0"/>
              <w:left w:val="nil"/>
              <w:bottom w:val="single" w:color="auto" w:sz="4" w:space="0"/>
              <w:right w:val="single" w:color="auto" w:sz="4" w:space="0"/>
            </w:tcBorders>
            <w:vAlign w:val="center"/>
          </w:tcPr>
          <w:p w14:paraId="18207149">
            <w:pPr>
              <w:widowControl/>
              <w:spacing w:line="360" w:lineRule="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投标截止时间</w:t>
            </w:r>
          </w:p>
        </w:tc>
        <w:tc>
          <w:tcPr>
            <w:tcW w:w="6516" w:type="dxa"/>
            <w:tcBorders>
              <w:top w:val="single" w:color="auto" w:sz="4" w:space="0"/>
              <w:left w:val="nil"/>
              <w:bottom w:val="single" w:color="auto" w:sz="4" w:space="0"/>
              <w:right w:val="single" w:color="auto" w:sz="4" w:space="0"/>
            </w:tcBorders>
            <w:vAlign w:val="center"/>
          </w:tcPr>
          <w:p w14:paraId="54CEDFBC">
            <w:pPr>
              <w:spacing w:line="360" w:lineRule="auto"/>
              <w:rPr>
                <w:rFonts w:hint="eastAsia" w:ascii="宋体" w:hAnsi="宋体" w:eastAsia="宋体" w:cs="Times New Roman"/>
                <w:color w:val="auto"/>
                <w:sz w:val="24"/>
                <w:szCs w:val="24"/>
                <w:highlight w:val="none"/>
                <w:lang w:eastAsia="zh-CN"/>
              </w:rPr>
            </w:pPr>
            <w:r>
              <w:rPr>
                <w:rFonts w:hint="eastAsia" w:ascii="宋体" w:hAnsi="宋体" w:eastAsia="宋体" w:cs="Times New Roman"/>
                <w:bCs/>
                <w:color w:val="auto"/>
                <w:sz w:val="24"/>
                <w:szCs w:val="24"/>
                <w:highlight w:val="none"/>
                <w:lang w:eastAsia="zh-CN"/>
              </w:rPr>
              <w:t>202</w:t>
            </w:r>
            <w:r>
              <w:rPr>
                <w:rFonts w:hint="eastAsia" w:ascii="宋体" w:hAnsi="宋体" w:eastAsia="宋体" w:cs="Times New Roman"/>
                <w:bCs/>
                <w:color w:val="auto"/>
                <w:sz w:val="24"/>
                <w:szCs w:val="24"/>
                <w:highlight w:val="none"/>
                <w:lang w:val="en-US" w:eastAsia="zh-CN"/>
              </w:rPr>
              <w:t>6</w:t>
            </w:r>
            <w:r>
              <w:rPr>
                <w:rFonts w:hint="eastAsia" w:ascii="宋体" w:hAnsi="宋体" w:eastAsia="宋体" w:cs="Times New Roman"/>
                <w:bCs/>
                <w:color w:val="auto"/>
                <w:sz w:val="24"/>
                <w:szCs w:val="24"/>
                <w:highlight w:val="none"/>
                <w:lang w:eastAsia="zh-CN"/>
              </w:rPr>
              <w:t>年</w:t>
            </w:r>
            <w:r>
              <w:rPr>
                <w:rFonts w:hint="eastAsia" w:ascii="宋体" w:hAnsi="宋体" w:eastAsia="宋体" w:cs="Times New Roman"/>
                <w:bCs/>
                <w:color w:val="auto"/>
                <w:sz w:val="24"/>
                <w:szCs w:val="24"/>
                <w:highlight w:val="none"/>
                <w:lang w:val="en-US" w:eastAsia="zh-CN"/>
              </w:rPr>
              <w:t xml:space="preserve"> </w:t>
            </w:r>
            <w:r>
              <w:rPr>
                <w:rFonts w:hint="eastAsia" w:ascii="宋体" w:hAnsi="宋体" w:eastAsia="宋体" w:cs="Times New Roman"/>
                <w:bCs/>
                <w:color w:val="auto"/>
                <w:sz w:val="24"/>
                <w:szCs w:val="24"/>
                <w:highlight w:val="none"/>
                <w:lang w:eastAsia="zh-CN"/>
              </w:rPr>
              <w:t>月</w:t>
            </w:r>
            <w:r>
              <w:rPr>
                <w:rFonts w:hint="eastAsia" w:ascii="宋体" w:hAnsi="宋体" w:eastAsia="宋体" w:cs="Times New Roman"/>
                <w:bCs/>
                <w:color w:val="auto"/>
                <w:sz w:val="24"/>
                <w:szCs w:val="24"/>
                <w:highlight w:val="none"/>
                <w:lang w:val="en-US" w:eastAsia="zh-CN"/>
              </w:rPr>
              <w:t xml:space="preserve"> </w:t>
            </w:r>
            <w:r>
              <w:rPr>
                <w:rFonts w:hint="eastAsia" w:ascii="宋体" w:hAnsi="宋体" w:eastAsia="宋体" w:cs="Times New Roman"/>
                <w:bCs/>
                <w:color w:val="auto"/>
                <w:sz w:val="24"/>
                <w:szCs w:val="24"/>
                <w:highlight w:val="none"/>
                <w:lang w:eastAsia="zh-CN"/>
              </w:rPr>
              <w:t>日08时</w:t>
            </w:r>
            <w:r>
              <w:rPr>
                <w:rFonts w:hint="eastAsia" w:ascii="宋体" w:hAnsi="宋体" w:eastAsia="宋体" w:cs="Times New Roman"/>
                <w:bCs/>
                <w:color w:val="auto"/>
                <w:sz w:val="24"/>
                <w:szCs w:val="24"/>
                <w:highlight w:val="none"/>
                <w:lang w:val="en-US" w:eastAsia="zh-CN"/>
              </w:rPr>
              <w:t>3</w:t>
            </w:r>
            <w:r>
              <w:rPr>
                <w:rFonts w:hint="eastAsia" w:ascii="宋体" w:hAnsi="宋体" w:eastAsia="宋体" w:cs="Times New Roman"/>
                <w:bCs/>
                <w:color w:val="auto"/>
                <w:sz w:val="24"/>
                <w:szCs w:val="24"/>
                <w:highlight w:val="none"/>
                <w:lang w:eastAsia="zh-CN"/>
              </w:rPr>
              <w:t>0分</w:t>
            </w:r>
          </w:p>
        </w:tc>
      </w:tr>
      <w:tr w14:paraId="6BCBE923">
        <w:trPr>
          <w:trHeight w:val="8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29B74403">
            <w:pPr>
              <w:widowControl/>
              <w:spacing w:line="360" w:lineRule="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2.5</w:t>
            </w:r>
          </w:p>
        </w:tc>
        <w:tc>
          <w:tcPr>
            <w:tcW w:w="1424" w:type="dxa"/>
            <w:tcBorders>
              <w:top w:val="single" w:color="auto" w:sz="4" w:space="0"/>
              <w:left w:val="nil"/>
              <w:bottom w:val="single" w:color="auto" w:sz="4" w:space="0"/>
              <w:right w:val="single" w:color="auto" w:sz="4" w:space="0"/>
            </w:tcBorders>
            <w:vAlign w:val="center"/>
          </w:tcPr>
          <w:p w14:paraId="3C99263E">
            <w:pPr>
              <w:widowControl/>
              <w:spacing w:line="360" w:lineRule="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投标有效期</w:t>
            </w:r>
          </w:p>
        </w:tc>
        <w:tc>
          <w:tcPr>
            <w:tcW w:w="6516" w:type="dxa"/>
            <w:tcBorders>
              <w:top w:val="single" w:color="auto" w:sz="4" w:space="0"/>
              <w:left w:val="nil"/>
              <w:bottom w:val="single" w:color="auto" w:sz="4" w:space="0"/>
              <w:right w:val="single" w:color="auto" w:sz="4" w:space="0"/>
            </w:tcBorders>
            <w:vAlign w:val="center"/>
          </w:tcPr>
          <w:p w14:paraId="27712205">
            <w:pPr>
              <w:widowControl/>
              <w:spacing w:line="360" w:lineRule="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60日历天</w:t>
            </w:r>
          </w:p>
        </w:tc>
      </w:tr>
      <w:tr w14:paraId="58863A26">
        <w:trPr>
          <w:trHeight w:val="1641" w:hRule="atLeast"/>
          <w:jc w:val="center"/>
        </w:trPr>
        <w:tc>
          <w:tcPr>
            <w:tcW w:w="976" w:type="dxa"/>
            <w:tcBorders>
              <w:top w:val="nil"/>
              <w:left w:val="single" w:color="auto" w:sz="4" w:space="0"/>
              <w:bottom w:val="single" w:color="auto" w:sz="4" w:space="0"/>
              <w:right w:val="single" w:color="auto" w:sz="4" w:space="0"/>
            </w:tcBorders>
            <w:vAlign w:val="center"/>
          </w:tcPr>
          <w:p w14:paraId="18604A8E">
            <w:pPr>
              <w:widowControl/>
              <w:spacing w:line="360" w:lineRule="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2.6</w:t>
            </w:r>
          </w:p>
        </w:tc>
        <w:tc>
          <w:tcPr>
            <w:tcW w:w="1424" w:type="dxa"/>
            <w:tcBorders>
              <w:top w:val="nil"/>
              <w:left w:val="nil"/>
              <w:bottom w:val="single" w:color="auto" w:sz="4" w:space="0"/>
              <w:right w:val="single" w:color="auto" w:sz="4" w:space="0"/>
            </w:tcBorders>
            <w:vAlign w:val="center"/>
          </w:tcPr>
          <w:p w14:paraId="41CECB37">
            <w:pPr>
              <w:widowControl/>
              <w:spacing w:line="360" w:lineRule="auto"/>
              <w:jc w:val="lef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投标保证金</w:t>
            </w:r>
          </w:p>
        </w:tc>
        <w:tc>
          <w:tcPr>
            <w:tcW w:w="6516" w:type="dxa"/>
            <w:tcBorders>
              <w:top w:val="single" w:color="auto" w:sz="4" w:space="0"/>
              <w:left w:val="nil"/>
              <w:bottom w:val="nil"/>
              <w:right w:val="single" w:color="auto" w:sz="4" w:space="0"/>
            </w:tcBorders>
            <w:vAlign w:val="center"/>
          </w:tcPr>
          <w:p w14:paraId="33254396">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按照《河南省财政厅</w:t>
            </w:r>
            <w:r>
              <w:rPr>
                <w:rFonts w:hint="eastAsia" w:ascii="宋体" w:hAnsi="宋体" w:eastAsia="宋体" w:cs="Times New Roman"/>
                <w:bCs/>
                <w:color w:val="auto"/>
                <w:sz w:val="24"/>
                <w:szCs w:val="24"/>
                <w:highlight w:val="none"/>
              </w:rPr>
              <w:t>关于优化政府采购营商环境有关问题的通知</w:t>
            </w:r>
            <w:r>
              <w:rPr>
                <w:rFonts w:hint="eastAsia" w:ascii="宋体" w:hAnsi="宋体" w:eastAsia="宋体" w:cs="Times New Roman"/>
                <w:color w:val="auto"/>
                <w:sz w:val="24"/>
                <w:szCs w:val="24"/>
                <w:highlight w:val="none"/>
              </w:rPr>
              <w:t>》（豫财购[2019]4号文）的要求本项目不再收取投标保证金。</w:t>
            </w:r>
            <w:r>
              <w:rPr>
                <w:rFonts w:hint="eastAsia" w:ascii="宋体" w:hAnsi="宋体" w:cs="宋体"/>
                <w:color w:val="auto"/>
                <w:sz w:val="24"/>
                <w:szCs w:val="24"/>
                <w:highlight w:val="none"/>
              </w:rPr>
              <w:t>需提供</w:t>
            </w:r>
            <w:r>
              <w:rPr>
                <w:rFonts w:hint="eastAsia" w:ascii="宋体" w:hAnsi="宋体" w:cs="宋体"/>
                <w:color w:val="auto"/>
                <w:sz w:val="24"/>
                <w:szCs w:val="24"/>
                <w:highlight w:val="none"/>
                <w:lang w:val="en-US" w:eastAsia="zh-CN"/>
              </w:rPr>
              <w:t>投标</w:t>
            </w:r>
            <w:r>
              <w:rPr>
                <w:rFonts w:hint="eastAsia" w:ascii="宋体" w:hAnsi="宋体" w:cs="宋体"/>
                <w:color w:val="auto"/>
                <w:sz w:val="24"/>
                <w:szCs w:val="24"/>
                <w:highlight w:val="none"/>
              </w:rPr>
              <w:t>承诺函</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rPr>
              <w:t>（详见</w:t>
            </w:r>
            <w:r>
              <w:rPr>
                <w:rFonts w:hint="eastAsia" w:ascii="宋体" w:hAnsi="宋体" w:cs="宋体"/>
                <w:color w:val="auto"/>
                <w:sz w:val="24"/>
                <w:szCs w:val="24"/>
                <w:highlight w:val="none"/>
                <w:lang w:val="en-US" w:eastAsia="zh-CN"/>
              </w:rPr>
              <w:t>投标</w:t>
            </w:r>
            <w:r>
              <w:rPr>
                <w:rFonts w:hint="eastAsia" w:ascii="宋体" w:hAnsi="宋体" w:cs="宋体"/>
                <w:color w:val="auto"/>
                <w:sz w:val="24"/>
                <w:szCs w:val="24"/>
                <w:highlight w:val="none"/>
              </w:rPr>
              <w:t>文件格式）</w:t>
            </w:r>
          </w:p>
        </w:tc>
      </w:tr>
      <w:tr w14:paraId="543C177F">
        <w:trPr>
          <w:trHeight w:val="190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50B6A0B3">
            <w:pPr>
              <w:widowControl/>
              <w:spacing w:line="360" w:lineRule="auto"/>
              <w:jc w:val="left"/>
              <w:rPr>
                <w:rFonts w:ascii="宋体" w:hAnsi="宋体" w:eastAsia="宋体" w:cs="Times New Roman"/>
                <w:color w:val="auto"/>
                <w:kern w:val="0"/>
                <w:sz w:val="24"/>
                <w:szCs w:val="24"/>
                <w:highlight w:val="none"/>
                <w:shd w:val="clear" w:color="auto" w:fill="FFFFFF"/>
              </w:rPr>
            </w:pPr>
          </w:p>
          <w:p w14:paraId="5F3F49CE">
            <w:pPr>
              <w:widowControl/>
              <w:spacing w:line="360" w:lineRule="auto"/>
              <w:jc w:val="left"/>
              <w:rPr>
                <w:rFonts w:hint="eastAsia" w:ascii="宋体" w:hAnsi="宋体" w:eastAsia="宋体" w:cs="Times New Roman"/>
                <w:color w:val="auto"/>
                <w:kern w:val="0"/>
                <w:sz w:val="24"/>
                <w:szCs w:val="24"/>
                <w:highlight w:val="none"/>
                <w:shd w:val="clear" w:color="auto" w:fill="FFFFFF"/>
                <w:lang w:eastAsia="zh-CN"/>
              </w:rPr>
            </w:pPr>
            <w:r>
              <w:rPr>
                <w:rFonts w:hint="eastAsia" w:ascii="宋体" w:hAnsi="宋体" w:eastAsia="宋体" w:cs="Times New Roman"/>
                <w:color w:val="auto"/>
                <w:kern w:val="0"/>
                <w:sz w:val="24"/>
                <w:szCs w:val="24"/>
                <w:highlight w:val="none"/>
                <w:shd w:val="clear" w:color="auto" w:fill="FFFFFF"/>
              </w:rPr>
              <w:t>3.</w:t>
            </w:r>
            <w:r>
              <w:rPr>
                <w:rFonts w:hint="eastAsia" w:ascii="宋体" w:hAnsi="宋体" w:eastAsia="宋体" w:cs="Times New Roman"/>
                <w:color w:val="auto"/>
                <w:kern w:val="0"/>
                <w:sz w:val="24"/>
                <w:szCs w:val="24"/>
                <w:highlight w:val="none"/>
                <w:shd w:val="clear" w:color="auto" w:fill="FFFFFF"/>
                <w:lang w:val="en-US" w:eastAsia="zh-CN"/>
              </w:rPr>
              <w:t>0</w:t>
            </w:r>
          </w:p>
        </w:tc>
        <w:tc>
          <w:tcPr>
            <w:tcW w:w="1424" w:type="dxa"/>
            <w:tcBorders>
              <w:top w:val="single" w:color="auto" w:sz="4" w:space="0"/>
              <w:left w:val="nil"/>
              <w:bottom w:val="single" w:color="auto" w:sz="4" w:space="0"/>
              <w:right w:val="single" w:color="auto" w:sz="4" w:space="0"/>
            </w:tcBorders>
            <w:vAlign w:val="center"/>
          </w:tcPr>
          <w:p w14:paraId="063D8F7B">
            <w:pPr>
              <w:widowControl/>
              <w:spacing w:line="360" w:lineRule="auto"/>
              <w:jc w:val="left"/>
              <w:rPr>
                <w:rFonts w:ascii="宋体" w:hAnsi="宋体" w:eastAsia="宋体" w:cs="Times New Roman"/>
                <w:color w:val="auto"/>
                <w:kern w:val="0"/>
                <w:sz w:val="24"/>
                <w:szCs w:val="24"/>
                <w:highlight w:val="none"/>
                <w:shd w:val="clear" w:color="auto" w:fill="FFFFFF"/>
              </w:rPr>
            </w:pPr>
            <w:r>
              <w:rPr>
                <w:rFonts w:hint="eastAsia" w:ascii="宋体" w:hAnsi="宋体" w:eastAsia="宋体" w:cs="Times New Roman"/>
                <w:color w:val="auto"/>
                <w:kern w:val="0"/>
                <w:sz w:val="24"/>
                <w:szCs w:val="24"/>
                <w:highlight w:val="none"/>
                <w:shd w:val="clear" w:color="auto" w:fill="FFFFFF"/>
              </w:rPr>
              <w:t>递交投标文件地点和时间</w:t>
            </w:r>
          </w:p>
        </w:tc>
        <w:tc>
          <w:tcPr>
            <w:tcW w:w="6516" w:type="dxa"/>
            <w:tcBorders>
              <w:top w:val="single" w:color="auto" w:sz="4" w:space="0"/>
              <w:left w:val="nil"/>
              <w:bottom w:val="single" w:color="auto" w:sz="4" w:space="0"/>
              <w:right w:val="single" w:color="auto" w:sz="4" w:space="0"/>
            </w:tcBorders>
            <w:vAlign w:val="center"/>
          </w:tcPr>
          <w:p w14:paraId="7E9E63CE">
            <w:pPr>
              <w:spacing w:line="360" w:lineRule="auto"/>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kern w:val="0"/>
                <w:sz w:val="24"/>
                <w:szCs w:val="24"/>
                <w:highlight w:val="none"/>
                <w:shd w:val="clear" w:color="auto" w:fill="FFFFFF"/>
              </w:rPr>
              <w:t>时间:</w:t>
            </w:r>
            <w:r>
              <w:rPr>
                <w:rFonts w:hint="eastAsia" w:ascii="宋体" w:hAnsi="宋体" w:eastAsia="宋体" w:cs="Times New Roman"/>
                <w:bCs/>
                <w:color w:val="auto"/>
                <w:sz w:val="24"/>
                <w:szCs w:val="24"/>
                <w:highlight w:val="none"/>
                <w:lang w:eastAsia="zh-CN"/>
              </w:rPr>
              <w:t>202</w:t>
            </w:r>
            <w:r>
              <w:rPr>
                <w:rFonts w:hint="eastAsia" w:ascii="宋体" w:hAnsi="宋体" w:eastAsia="宋体" w:cs="Times New Roman"/>
                <w:bCs/>
                <w:color w:val="auto"/>
                <w:sz w:val="24"/>
                <w:szCs w:val="24"/>
                <w:highlight w:val="none"/>
                <w:lang w:val="en-US" w:eastAsia="zh-CN"/>
              </w:rPr>
              <w:t>6</w:t>
            </w:r>
            <w:r>
              <w:rPr>
                <w:rFonts w:hint="eastAsia" w:ascii="宋体" w:hAnsi="宋体" w:eastAsia="宋体" w:cs="Times New Roman"/>
                <w:bCs/>
                <w:color w:val="auto"/>
                <w:sz w:val="24"/>
                <w:szCs w:val="24"/>
                <w:highlight w:val="none"/>
                <w:lang w:eastAsia="zh-CN"/>
              </w:rPr>
              <w:t>年</w:t>
            </w:r>
            <w:r>
              <w:rPr>
                <w:rFonts w:hint="eastAsia" w:ascii="宋体" w:hAnsi="宋体" w:eastAsia="宋体" w:cs="Times New Roman"/>
                <w:bCs/>
                <w:color w:val="auto"/>
                <w:sz w:val="24"/>
                <w:szCs w:val="24"/>
                <w:highlight w:val="none"/>
                <w:lang w:val="en-US" w:eastAsia="zh-CN"/>
              </w:rPr>
              <w:t>11</w:t>
            </w:r>
            <w:r>
              <w:rPr>
                <w:rFonts w:hint="eastAsia" w:ascii="宋体" w:hAnsi="宋体" w:eastAsia="宋体" w:cs="Times New Roman"/>
                <w:bCs/>
                <w:color w:val="auto"/>
                <w:sz w:val="24"/>
                <w:szCs w:val="24"/>
                <w:highlight w:val="none"/>
                <w:lang w:eastAsia="zh-CN"/>
              </w:rPr>
              <w:t>月</w:t>
            </w:r>
            <w:r>
              <w:rPr>
                <w:rFonts w:hint="eastAsia" w:ascii="宋体" w:hAnsi="宋体" w:eastAsia="宋体" w:cs="Times New Roman"/>
                <w:bCs/>
                <w:color w:val="auto"/>
                <w:sz w:val="24"/>
                <w:szCs w:val="24"/>
                <w:highlight w:val="none"/>
                <w:lang w:val="en-US" w:eastAsia="zh-CN"/>
              </w:rPr>
              <w:t>02</w:t>
            </w:r>
            <w:r>
              <w:rPr>
                <w:rFonts w:hint="eastAsia" w:ascii="宋体" w:hAnsi="宋体" w:eastAsia="宋体" w:cs="Times New Roman"/>
                <w:bCs/>
                <w:color w:val="auto"/>
                <w:sz w:val="24"/>
                <w:szCs w:val="24"/>
                <w:highlight w:val="none"/>
                <w:lang w:eastAsia="zh-CN"/>
              </w:rPr>
              <w:t>日08时</w:t>
            </w:r>
            <w:r>
              <w:rPr>
                <w:rFonts w:hint="eastAsia" w:ascii="宋体" w:hAnsi="宋体" w:eastAsia="宋体" w:cs="Times New Roman"/>
                <w:bCs/>
                <w:color w:val="auto"/>
                <w:sz w:val="24"/>
                <w:szCs w:val="24"/>
                <w:highlight w:val="none"/>
                <w:lang w:val="en-US" w:eastAsia="zh-CN"/>
              </w:rPr>
              <w:t>3</w:t>
            </w:r>
            <w:r>
              <w:rPr>
                <w:rFonts w:hint="eastAsia" w:ascii="宋体" w:hAnsi="宋体" w:eastAsia="宋体" w:cs="Times New Roman"/>
                <w:bCs/>
                <w:color w:val="auto"/>
                <w:sz w:val="24"/>
                <w:szCs w:val="24"/>
                <w:highlight w:val="none"/>
                <w:lang w:eastAsia="zh-CN"/>
              </w:rPr>
              <w:t>0分</w:t>
            </w:r>
          </w:p>
          <w:p w14:paraId="4D2C8392">
            <w:pPr>
              <w:widowControl/>
              <w:spacing w:line="360" w:lineRule="auto"/>
              <w:jc w:val="left"/>
              <w:rPr>
                <w:rFonts w:ascii="宋体" w:hAnsi="宋体" w:eastAsia="宋体" w:cs="Times New Roman"/>
                <w:color w:val="auto"/>
                <w:kern w:val="0"/>
                <w:sz w:val="24"/>
                <w:szCs w:val="24"/>
                <w:highlight w:val="none"/>
                <w:shd w:val="clear" w:color="auto" w:fill="FFFFFF"/>
              </w:rPr>
            </w:pPr>
            <w:r>
              <w:rPr>
                <w:rFonts w:hint="eastAsia" w:ascii="宋体" w:hAnsi="宋体" w:eastAsia="宋体" w:cs="Times New Roman"/>
                <w:color w:val="auto"/>
                <w:kern w:val="0"/>
                <w:sz w:val="24"/>
                <w:szCs w:val="24"/>
                <w:highlight w:val="none"/>
                <w:shd w:val="clear" w:color="auto" w:fill="FFFFFF"/>
                <w:lang w:val="en-US" w:eastAsia="zh-CN"/>
              </w:rPr>
              <w:t>地点：</w:t>
            </w:r>
            <w:r>
              <w:rPr>
                <w:rFonts w:hint="eastAsia" w:ascii="宋体" w:hAnsi="宋体" w:eastAsia="宋体" w:cs="Times New Roman"/>
                <w:color w:val="auto"/>
                <w:kern w:val="0"/>
                <w:sz w:val="24"/>
                <w:szCs w:val="24"/>
                <w:highlight w:val="none"/>
                <w:shd w:val="clear" w:color="auto" w:fill="FFFFFF"/>
              </w:rPr>
              <w:t>在开标截止时间前上传至“三门峡市公共资源交易中心网站”</w:t>
            </w:r>
          </w:p>
        </w:tc>
      </w:tr>
      <w:tr w14:paraId="3D1EE5B5">
        <w:trPr>
          <w:trHeight w:val="124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2096031F">
            <w:pPr>
              <w:widowControl/>
              <w:spacing w:line="360" w:lineRule="auto"/>
              <w:jc w:val="left"/>
              <w:rPr>
                <w:rFonts w:hint="eastAsia" w:ascii="Times New Roman" w:hAnsi="Times New Roman" w:eastAsia="宋体" w:cs="Times New Roman"/>
                <w:color w:val="auto"/>
                <w:kern w:val="0"/>
                <w:sz w:val="24"/>
                <w:szCs w:val="24"/>
                <w:highlight w:val="none"/>
                <w:lang w:eastAsia="zh-CN"/>
              </w:rPr>
            </w:pPr>
            <w:r>
              <w:rPr>
                <w:rFonts w:hint="eastAsia" w:ascii="宋体" w:hAnsi="宋体" w:eastAsia="宋体" w:cs="Times New Roman"/>
                <w:color w:val="auto"/>
                <w:kern w:val="0"/>
                <w:sz w:val="24"/>
                <w:szCs w:val="24"/>
                <w:highlight w:val="none"/>
              </w:rPr>
              <w:t>3.</w:t>
            </w:r>
            <w:r>
              <w:rPr>
                <w:rFonts w:hint="eastAsia" w:ascii="宋体" w:hAnsi="宋体" w:eastAsia="宋体" w:cs="Times New Roman"/>
                <w:color w:val="auto"/>
                <w:kern w:val="0"/>
                <w:sz w:val="24"/>
                <w:szCs w:val="24"/>
                <w:highlight w:val="none"/>
                <w:lang w:val="en-US" w:eastAsia="zh-CN"/>
              </w:rPr>
              <w:t>1</w:t>
            </w:r>
          </w:p>
        </w:tc>
        <w:tc>
          <w:tcPr>
            <w:tcW w:w="1424" w:type="dxa"/>
            <w:tcBorders>
              <w:top w:val="single" w:color="auto" w:sz="4" w:space="0"/>
              <w:left w:val="nil"/>
              <w:bottom w:val="single" w:color="auto" w:sz="4" w:space="0"/>
              <w:right w:val="single" w:color="auto" w:sz="4" w:space="0"/>
            </w:tcBorders>
            <w:vAlign w:val="center"/>
          </w:tcPr>
          <w:p w14:paraId="711CBA76">
            <w:pPr>
              <w:widowControl/>
              <w:spacing w:line="360" w:lineRule="auto"/>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投标报价</w:t>
            </w:r>
          </w:p>
        </w:tc>
        <w:tc>
          <w:tcPr>
            <w:tcW w:w="6516" w:type="dxa"/>
            <w:tcBorders>
              <w:top w:val="single" w:color="auto" w:sz="4" w:space="0"/>
              <w:left w:val="nil"/>
              <w:bottom w:val="single" w:color="auto" w:sz="4" w:space="0"/>
              <w:right w:val="single" w:color="auto" w:sz="4" w:space="0"/>
            </w:tcBorders>
            <w:vAlign w:val="center"/>
          </w:tcPr>
          <w:p w14:paraId="57439E00">
            <w:pPr>
              <w:widowControl/>
              <w:spacing w:line="360" w:lineRule="auto"/>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1）投标报价应完全包括招标文件规定的货物和服务范围，不得任意分割或合并所规定的分项；</w:t>
            </w:r>
          </w:p>
          <w:p w14:paraId="4EF2605E">
            <w:pPr>
              <w:widowControl/>
              <w:spacing w:line="360" w:lineRule="auto"/>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对每项货物只允许有一个报价，采购人和采购代理机构不接受有任何选择报价的投标。（注：单价的合计须等于各项物的价格之和，本项目不允许提交备选方案）；</w:t>
            </w:r>
          </w:p>
          <w:p w14:paraId="43E04584">
            <w:pPr>
              <w:widowControl/>
              <w:spacing w:line="360" w:lineRule="auto"/>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3）</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不得以任何理由在开标后对投标报价予以修改，报价在投标有效期内是固定的，不因任何原因而改变。任何包含价格调整要求和条件的投标，将被视为非实质性响应投标而予以拒绝；</w:t>
            </w:r>
          </w:p>
        </w:tc>
      </w:tr>
      <w:tr w14:paraId="1902A6E0">
        <w:trPr>
          <w:trHeight w:val="407"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35DE343F">
            <w:pPr>
              <w:widowControl/>
              <w:spacing w:line="360" w:lineRule="auto"/>
              <w:jc w:val="left"/>
              <w:rPr>
                <w:rFonts w:hint="eastAsia" w:ascii="Times New Roman" w:hAnsi="Times New Roman" w:eastAsia="宋体" w:cs="Times New Roman"/>
                <w:color w:val="auto"/>
                <w:kern w:val="0"/>
                <w:sz w:val="24"/>
                <w:szCs w:val="24"/>
                <w:highlight w:val="none"/>
                <w:lang w:eastAsia="zh-CN"/>
              </w:rPr>
            </w:pPr>
            <w:r>
              <w:rPr>
                <w:rFonts w:hint="eastAsia" w:ascii="宋体" w:hAnsi="宋体" w:eastAsia="宋体" w:cs="Times New Roman"/>
                <w:color w:val="auto"/>
                <w:kern w:val="0"/>
                <w:sz w:val="24"/>
                <w:szCs w:val="24"/>
                <w:highlight w:val="none"/>
              </w:rPr>
              <w:t>3.</w:t>
            </w:r>
            <w:r>
              <w:rPr>
                <w:rFonts w:hint="eastAsia" w:ascii="宋体" w:hAnsi="宋体" w:eastAsia="宋体" w:cs="Times New Roman"/>
                <w:color w:val="auto"/>
                <w:kern w:val="0"/>
                <w:sz w:val="24"/>
                <w:szCs w:val="24"/>
                <w:highlight w:val="none"/>
                <w:lang w:val="en-US" w:eastAsia="zh-CN"/>
              </w:rPr>
              <w:t>2</w:t>
            </w:r>
          </w:p>
        </w:tc>
        <w:tc>
          <w:tcPr>
            <w:tcW w:w="1424" w:type="dxa"/>
            <w:tcBorders>
              <w:top w:val="single" w:color="auto" w:sz="4" w:space="0"/>
              <w:left w:val="nil"/>
              <w:bottom w:val="single" w:color="auto" w:sz="4" w:space="0"/>
              <w:right w:val="single" w:color="auto" w:sz="4" w:space="0"/>
            </w:tcBorders>
            <w:vAlign w:val="center"/>
          </w:tcPr>
          <w:p w14:paraId="4A803180">
            <w:pPr>
              <w:widowControl/>
              <w:spacing w:line="360" w:lineRule="auto"/>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投标</w:t>
            </w:r>
          </w:p>
          <w:p w14:paraId="269D89D8">
            <w:pPr>
              <w:widowControl/>
              <w:spacing w:line="360" w:lineRule="auto"/>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货币</w:t>
            </w:r>
          </w:p>
        </w:tc>
        <w:tc>
          <w:tcPr>
            <w:tcW w:w="6516" w:type="dxa"/>
            <w:tcBorders>
              <w:top w:val="single" w:color="auto" w:sz="4" w:space="0"/>
              <w:left w:val="nil"/>
              <w:bottom w:val="single" w:color="auto" w:sz="4" w:space="0"/>
              <w:right w:val="single" w:color="auto" w:sz="4" w:space="0"/>
            </w:tcBorders>
            <w:vAlign w:val="center"/>
          </w:tcPr>
          <w:p w14:paraId="21B5F310">
            <w:pPr>
              <w:widowControl/>
              <w:spacing w:line="360" w:lineRule="auto"/>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1）除非另有规定，</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提供的所有货物和服务用人民币报价</w:t>
            </w:r>
          </w:p>
          <w:p w14:paraId="2B27BF30">
            <w:pPr>
              <w:widowControl/>
              <w:spacing w:line="360" w:lineRule="auto"/>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提供从中华人民共和国境外取得的货物和服务应同时提供相应的CIF/CIP美元价格，该价格在任何情况下都不对约定投标货币产生影响。</w:t>
            </w:r>
          </w:p>
        </w:tc>
      </w:tr>
      <w:tr w14:paraId="5C01A866">
        <w:trPr>
          <w:trHeight w:val="150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1BBD949E">
            <w:pPr>
              <w:widowControl/>
              <w:spacing w:line="360" w:lineRule="auto"/>
              <w:jc w:val="left"/>
              <w:rPr>
                <w:rFonts w:hint="eastAsia" w:ascii="Times New Roman" w:hAnsi="Times New Roman" w:eastAsia="宋体" w:cs="Times New Roman"/>
                <w:color w:val="auto"/>
                <w:kern w:val="0"/>
                <w:sz w:val="24"/>
                <w:szCs w:val="24"/>
                <w:highlight w:val="none"/>
                <w:lang w:eastAsia="zh-CN"/>
              </w:rPr>
            </w:pPr>
            <w:r>
              <w:rPr>
                <w:rFonts w:hint="eastAsia" w:ascii="宋体" w:hAnsi="宋体" w:eastAsia="宋体" w:cs="Times New Roman"/>
                <w:color w:val="auto"/>
                <w:kern w:val="0"/>
                <w:sz w:val="24"/>
                <w:szCs w:val="24"/>
                <w:highlight w:val="none"/>
              </w:rPr>
              <w:t>3.</w:t>
            </w:r>
            <w:r>
              <w:rPr>
                <w:rFonts w:hint="eastAsia" w:ascii="宋体" w:hAnsi="宋体" w:eastAsia="宋体" w:cs="Times New Roman"/>
                <w:color w:val="auto"/>
                <w:kern w:val="0"/>
                <w:sz w:val="24"/>
                <w:szCs w:val="24"/>
                <w:highlight w:val="none"/>
                <w:lang w:val="en-US" w:eastAsia="zh-CN"/>
              </w:rPr>
              <w:t>3</w:t>
            </w:r>
          </w:p>
        </w:tc>
        <w:tc>
          <w:tcPr>
            <w:tcW w:w="1424" w:type="dxa"/>
            <w:tcBorders>
              <w:top w:val="single" w:color="auto" w:sz="4" w:space="0"/>
              <w:left w:val="nil"/>
              <w:bottom w:val="single" w:color="auto" w:sz="4" w:space="0"/>
              <w:right w:val="single" w:color="auto" w:sz="4" w:space="0"/>
            </w:tcBorders>
            <w:vAlign w:val="center"/>
          </w:tcPr>
          <w:p w14:paraId="3BA1FCAD">
            <w:pPr>
              <w:widowControl/>
              <w:spacing w:line="360" w:lineRule="auto"/>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开标时间和地点</w:t>
            </w:r>
          </w:p>
        </w:tc>
        <w:tc>
          <w:tcPr>
            <w:tcW w:w="6516" w:type="dxa"/>
            <w:tcBorders>
              <w:top w:val="single" w:color="auto" w:sz="4" w:space="0"/>
              <w:left w:val="nil"/>
              <w:bottom w:val="single" w:color="auto" w:sz="4" w:space="0"/>
              <w:right w:val="single" w:color="auto" w:sz="4" w:space="0"/>
            </w:tcBorders>
            <w:vAlign w:val="center"/>
          </w:tcPr>
          <w:p w14:paraId="1DEEC5DC">
            <w:pPr>
              <w:spacing w:line="360" w:lineRule="auto"/>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kern w:val="0"/>
                <w:sz w:val="24"/>
                <w:szCs w:val="24"/>
                <w:highlight w:val="none"/>
              </w:rPr>
              <w:t>时间：</w:t>
            </w:r>
            <w:r>
              <w:rPr>
                <w:rFonts w:hint="eastAsia" w:ascii="宋体" w:hAnsi="宋体" w:eastAsia="宋体" w:cs="Times New Roman"/>
                <w:bCs/>
                <w:color w:val="auto"/>
                <w:sz w:val="24"/>
                <w:szCs w:val="24"/>
                <w:highlight w:val="none"/>
                <w:lang w:eastAsia="zh-CN"/>
              </w:rPr>
              <w:t>202</w:t>
            </w:r>
            <w:r>
              <w:rPr>
                <w:rFonts w:hint="eastAsia" w:ascii="宋体" w:hAnsi="宋体" w:eastAsia="宋体" w:cs="Times New Roman"/>
                <w:bCs/>
                <w:color w:val="auto"/>
                <w:sz w:val="24"/>
                <w:szCs w:val="24"/>
                <w:highlight w:val="none"/>
                <w:lang w:val="en-US" w:eastAsia="zh-CN"/>
              </w:rPr>
              <w:t>6</w:t>
            </w:r>
            <w:r>
              <w:rPr>
                <w:rFonts w:hint="eastAsia" w:ascii="宋体" w:hAnsi="宋体" w:eastAsia="宋体" w:cs="Times New Roman"/>
                <w:bCs/>
                <w:color w:val="auto"/>
                <w:sz w:val="24"/>
                <w:szCs w:val="24"/>
                <w:highlight w:val="none"/>
                <w:lang w:eastAsia="zh-CN"/>
              </w:rPr>
              <w:t>年</w:t>
            </w:r>
            <w:r>
              <w:rPr>
                <w:rFonts w:hint="eastAsia" w:ascii="宋体" w:hAnsi="宋体" w:eastAsia="宋体" w:cs="Times New Roman"/>
                <w:bCs/>
                <w:color w:val="auto"/>
                <w:sz w:val="24"/>
                <w:szCs w:val="24"/>
                <w:highlight w:val="none"/>
                <w:lang w:val="en-US" w:eastAsia="zh-CN"/>
              </w:rPr>
              <w:t xml:space="preserve"> 11</w:t>
            </w:r>
            <w:r>
              <w:rPr>
                <w:rFonts w:hint="eastAsia" w:ascii="宋体" w:hAnsi="宋体" w:eastAsia="宋体" w:cs="Times New Roman"/>
                <w:bCs/>
                <w:color w:val="auto"/>
                <w:sz w:val="24"/>
                <w:szCs w:val="24"/>
                <w:highlight w:val="none"/>
                <w:lang w:eastAsia="zh-CN"/>
              </w:rPr>
              <w:t>月</w:t>
            </w:r>
            <w:r>
              <w:rPr>
                <w:rFonts w:hint="eastAsia" w:ascii="宋体" w:hAnsi="宋体" w:eastAsia="宋体" w:cs="Times New Roman"/>
                <w:bCs/>
                <w:color w:val="auto"/>
                <w:sz w:val="24"/>
                <w:szCs w:val="24"/>
                <w:highlight w:val="none"/>
                <w:lang w:val="en-US" w:eastAsia="zh-CN"/>
              </w:rPr>
              <w:t>02</w:t>
            </w:r>
            <w:r>
              <w:rPr>
                <w:rFonts w:hint="eastAsia" w:ascii="宋体" w:hAnsi="宋体" w:eastAsia="宋体" w:cs="Times New Roman"/>
                <w:bCs/>
                <w:color w:val="auto"/>
                <w:sz w:val="24"/>
                <w:szCs w:val="24"/>
                <w:highlight w:val="none"/>
                <w:lang w:eastAsia="zh-CN"/>
              </w:rPr>
              <w:t>日08时</w:t>
            </w:r>
            <w:r>
              <w:rPr>
                <w:rFonts w:hint="eastAsia" w:ascii="宋体" w:hAnsi="宋体" w:eastAsia="宋体" w:cs="Times New Roman"/>
                <w:bCs/>
                <w:color w:val="auto"/>
                <w:sz w:val="24"/>
                <w:szCs w:val="24"/>
                <w:highlight w:val="none"/>
                <w:lang w:val="en-US" w:eastAsia="zh-CN"/>
              </w:rPr>
              <w:t>3</w:t>
            </w:r>
            <w:r>
              <w:rPr>
                <w:rFonts w:hint="eastAsia" w:ascii="宋体" w:hAnsi="宋体" w:eastAsia="宋体" w:cs="Times New Roman"/>
                <w:bCs/>
                <w:color w:val="auto"/>
                <w:sz w:val="24"/>
                <w:szCs w:val="24"/>
                <w:highlight w:val="none"/>
                <w:lang w:eastAsia="zh-CN"/>
              </w:rPr>
              <w:t>0分</w:t>
            </w:r>
          </w:p>
          <w:p w14:paraId="77C1EC19">
            <w:pPr>
              <w:widowControl/>
              <w:spacing w:line="360" w:lineRule="auto"/>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地点：</w:t>
            </w:r>
            <w:r>
              <w:rPr>
                <w:rFonts w:hint="eastAsia" w:ascii="宋体" w:hAnsi="宋体" w:eastAsia="宋体" w:cs="Times New Roman"/>
                <w:color w:val="auto"/>
                <w:kern w:val="0"/>
                <w:sz w:val="24"/>
                <w:szCs w:val="24"/>
                <w:highlight w:val="none"/>
                <w:lang w:eastAsia="zh-CN"/>
              </w:rPr>
              <w:t>三门峡市公共资源交易中心五楼开标区</w:t>
            </w:r>
            <w:r>
              <w:rPr>
                <w:rFonts w:hint="eastAsia" w:ascii="宋体" w:hAnsi="宋体" w:eastAsia="宋体" w:cs="Times New Roman"/>
                <w:color w:val="auto"/>
                <w:kern w:val="0"/>
                <w:sz w:val="24"/>
                <w:szCs w:val="24"/>
                <w:highlight w:val="none"/>
              </w:rPr>
              <w:t>。</w:t>
            </w:r>
            <w:r>
              <w:rPr>
                <w:rFonts w:hint="eastAsia" w:ascii="宋体" w:hAnsi="宋体" w:eastAsia="宋体" w:cs="Times New Roman"/>
                <w:color w:val="auto"/>
                <w:kern w:val="0"/>
                <w:sz w:val="24"/>
                <w:szCs w:val="24"/>
                <w:highlight w:val="none"/>
              </w:rPr>
              <w:tab/>
            </w:r>
          </w:p>
        </w:tc>
      </w:tr>
      <w:tr w14:paraId="63ED0242">
        <w:trPr>
          <w:trHeight w:val="3744"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56ACD09B">
            <w:pPr>
              <w:widowControl/>
              <w:spacing w:line="360" w:lineRule="auto"/>
              <w:jc w:val="left"/>
              <w:rPr>
                <w:rFonts w:hint="eastAsia" w:ascii="Times New Roman" w:hAnsi="Times New Roman" w:eastAsia="宋体" w:cs="Times New Roman"/>
                <w:color w:val="auto"/>
                <w:kern w:val="0"/>
                <w:sz w:val="24"/>
                <w:szCs w:val="24"/>
                <w:highlight w:val="none"/>
                <w:lang w:eastAsia="zh-CN"/>
              </w:rPr>
            </w:pPr>
            <w:r>
              <w:rPr>
                <w:rFonts w:hint="eastAsia" w:ascii="宋体" w:hAnsi="宋体" w:eastAsia="宋体" w:cs="Times New Roman"/>
                <w:color w:val="auto"/>
                <w:kern w:val="0"/>
                <w:sz w:val="24"/>
                <w:szCs w:val="24"/>
                <w:highlight w:val="none"/>
              </w:rPr>
              <w:t>3.</w:t>
            </w:r>
            <w:r>
              <w:rPr>
                <w:rFonts w:hint="eastAsia" w:ascii="宋体" w:hAnsi="宋体" w:eastAsia="宋体" w:cs="Times New Roman"/>
                <w:color w:val="auto"/>
                <w:kern w:val="0"/>
                <w:sz w:val="24"/>
                <w:szCs w:val="24"/>
                <w:highlight w:val="none"/>
                <w:lang w:val="en-US" w:eastAsia="zh-CN"/>
              </w:rPr>
              <w:t>4</w:t>
            </w:r>
          </w:p>
        </w:tc>
        <w:tc>
          <w:tcPr>
            <w:tcW w:w="1424" w:type="dxa"/>
            <w:tcBorders>
              <w:top w:val="single" w:color="auto" w:sz="4" w:space="0"/>
              <w:left w:val="nil"/>
              <w:bottom w:val="single" w:color="auto" w:sz="4" w:space="0"/>
              <w:right w:val="single" w:color="auto" w:sz="4" w:space="0"/>
            </w:tcBorders>
            <w:vAlign w:val="center"/>
          </w:tcPr>
          <w:p w14:paraId="06809471">
            <w:pPr>
              <w:widowControl/>
              <w:spacing w:line="360" w:lineRule="auto"/>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开标</w:t>
            </w:r>
          </w:p>
          <w:p w14:paraId="7DC0FCE4">
            <w:pPr>
              <w:widowControl/>
              <w:spacing w:line="360" w:lineRule="auto"/>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程序</w:t>
            </w:r>
          </w:p>
        </w:tc>
        <w:tc>
          <w:tcPr>
            <w:tcW w:w="6516" w:type="dxa"/>
            <w:tcBorders>
              <w:top w:val="single" w:color="auto" w:sz="4" w:space="0"/>
              <w:left w:val="nil"/>
              <w:bottom w:val="single" w:color="auto" w:sz="4" w:space="0"/>
              <w:right w:val="single" w:color="auto" w:sz="4" w:space="0"/>
            </w:tcBorders>
            <w:vAlign w:val="center"/>
          </w:tcPr>
          <w:p w14:paraId="1B7F6014">
            <w:pPr>
              <w:widowControl/>
              <w:spacing w:line="360" w:lineRule="auto"/>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w:t>
            </w:r>
            <w:r>
              <w:rPr>
                <w:rFonts w:hint="eastAsia" w:ascii="宋体" w:hAnsi="宋体" w:eastAsia="宋体" w:cs="宋体"/>
                <w:color w:val="auto"/>
                <w:sz w:val="24"/>
                <w:szCs w:val="24"/>
                <w:highlight w:val="none"/>
              </w:rPr>
              <w:t>电子化投标文件应在投标截止时间前成功上传至三门峡市公共资源电子化交易系统。至投标截止时间止，仍未上传成功的电子化投标文件将不予接收。</w:t>
            </w:r>
          </w:p>
          <w:p w14:paraId="45C6CEE7">
            <w:pPr>
              <w:widowControl/>
              <w:spacing w:line="360" w:lineRule="auto"/>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w:t>
            </w:r>
            <w:r>
              <w:rPr>
                <w:rFonts w:hint="eastAsia" w:ascii="宋体" w:hAnsi="宋体" w:eastAsia="宋体" w:cs="宋体"/>
                <w:color w:val="auto"/>
                <w:sz w:val="24"/>
                <w:szCs w:val="24"/>
                <w:highlight w:val="none"/>
              </w:rPr>
              <w:t>本</w:t>
            </w:r>
            <w:r>
              <w:rPr>
                <w:rFonts w:hint="eastAsia" w:ascii="宋体" w:hAnsi="宋体" w:eastAsia="宋体" w:cs="宋体"/>
                <w:b w:val="0"/>
                <w:bCs w:val="0"/>
                <w:color w:val="auto"/>
                <w:sz w:val="24"/>
                <w:szCs w:val="24"/>
                <w:highlight w:val="none"/>
              </w:rPr>
              <w:t>项目采用电子化、无纸化</w:t>
            </w:r>
            <w:r>
              <w:rPr>
                <w:rFonts w:hint="eastAsia" w:ascii="宋体" w:hAnsi="宋体" w:eastAsia="宋体" w:cs="宋体"/>
                <w:color w:val="auto"/>
                <w:sz w:val="24"/>
                <w:szCs w:val="24"/>
                <w:highlight w:val="none"/>
              </w:rPr>
              <w:t>进行招标，开标当日，</w:t>
            </w:r>
            <w:r>
              <w:rPr>
                <w:rFonts w:hint="eastAsia" w:ascii="宋体" w:hAnsi="宋体" w:eastAsia="宋体" w:cs="宋体"/>
                <w:color w:val="auto"/>
                <w:sz w:val="24"/>
                <w:szCs w:val="24"/>
                <w:highlight w:val="none"/>
                <w:lang w:eastAsia="zh-CN"/>
              </w:rPr>
              <w:t>投标供应商</w:t>
            </w:r>
            <w:r>
              <w:rPr>
                <w:rFonts w:hint="eastAsia" w:ascii="宋体" w:hAnsi="宋体" w:eastAsia="宋体" w:cs="宋体"/>
                <w:color w:val="auto"/>
                <w:sz w:val="24"/>
                <w:szCs w:val="24"/>
                <w:highlight w:val="none"/>
              </w:rPr>
              <w:t>无需到开标现场参加开标会议，</w:t>
            </w:r>
            <w:r>
              <w:rPr>
                <w:rFonts w:hint="eastAsia" w:ascii="宋体" w:hAnsi="宋体" w:eastAsia="宋体" w:cs="宋体"/>
                <w:color w:val="auto"/>
                <w:sz w:val="24"/>
                <w:szCs w:val="24"/>
                <w:highlight w:val="none"/>
                <w:lang w:eastAsia="zh-CN"/>
              </w:rPr>
              <w:t>投标供应商</w:t>
            </w:r>
            <w:r>
              <w:rPr>
                <w:rFonts w:hint="eastAsia" w:ascii="宋体" w:hAnsi="宋体" w:eastAsia="宋体" w:cs="宋体"/>
                <w:color w:val="auto"/>
                <w:sz w:val="24"/>
                <w:szCs w:val="24"/>
                <w:highlight w:val="none"/>
              </w:rPr>
              <w:t>应当在投标截止时间前，登陆不见面开标大厅选择登陆三门峡市公共资源电子招投标系统进行登陆（网址为http://120.194.249.36:10094/BidOpening/bidopeninghallaction/hall/login）,在线准时参加开标活动并进行投标文件解密等</w:t>
            </w:r>
          </w:p>
        </w:tc>
      </w:tr>
      <w:tr w14:paraId="1926ED3B">
        <w:trPr>
          <w:trHeight w:val="130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0F00352E">
            <w:pPr>
              <w:widowControl/>
              <w:spacing w:line="360" w:lineRule="auto"/>
              <w:jc w:val="left"/>
              <w:rPr>
                <w:rFonts w:hint="eastAsia" w:ascii="Times New Roman" w:hAnsi="Times New Roman" w:eastAsia="宋体" w:cs="Times New Roman"/>
                <w:color w:val="auto"/>
                <w:kern w:val="0"/>
                <w:sz w:val="24"/>
                <w:szCs w:val="24"/>
                <w:highlight w:val="none"/>
                <w:lang w:eastAsia="zh-CN"/>
              </w:rPr>
            </w:pPr>
            <w:r>
              <w:rPr>
                <w:rFonts w:hint="eastAsia" w:ascii="宋体" w:hAnsi="宋体" w:eastAsia="宋体" w:cs="Times New Roman"/>
                <w:color w:val="auto"/>
                <w:kern w:val="0"/>
                <w:sz w:val="24"/>
                <w:szCs w:val="24"/>
                <w:highlight w:val="none"/>
              </w:rPr>
              <w:t>3.</w:t>
            </w:r>
            <w:r>
              <w:rPr>
                <w:rFonts w:hint="eastAsia" w:ascii="宋体" w:hAnsi="宋体" w:eastAsia="宋体" w:cs="Times New Roman"/>
                <w:color w:val="auto"/>
                <w:kern w:val="0"/>
                <w:sz w:val="24"/>
                <w:szCs w:val="24"/>
                <w:highlight w:val="none"/>
                <w:lang w:val="en-US" w:eastAsia="zh-CN"/>
              </w:rPr>
              <w:t>5</w:t>
            </w:r>
          </w:p>
        </w:tc>
        <w:tc>
          <w:tcPr>
            <w:tcW w:w="1424" w:type="dxa"/>
            <w:tcBorders>
              <w:top w:val="single" w:color="auto" w:sz="4" w:space="0"/>
              <w:left w:val="nil"/>
              <w:bottom w:val="single" w:color="auto" w:sz="4" w:space="0"/>
              <w:right w:val="single" w:color="auto" w:sz="4" w:space="0"/>
            </w:tcBorders>
            <w:vAlign w:val="center"/>
          </w:tcPr>
          <w:p w14:paraId="130D7E6D">
            <w:pPr>
              <w:widowControl/>
              <w:spacing w:line="360" w:lineRule="auto"/>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评标委员会的组建</w:t>
            </w:r>
          </w:p>
        </w:tc>
        <w:tc>
          <w:tcPr>
            <w:tcW w:w="6516" w:type="dxa"/>
            <w:tcBorders>
              <w:top w:val="single" w:color="auto" w:sz="4" w:space="0"/>
              <w:left w:val="nil"/>
              <w:bottom w:val="single" w:color="auto" w:sz="4" w:space="0"/>
              <w:right w:val="single" w:color="auto" w:sz="4" w:space="0"/>
            </w:tcBorders>
            <w:vAlign w:val="center"/>
          </w:tcPr>
          <w:p w14:paraId="5300ABD8">
            <w:pPr>
              <w:widowControl/>
              <w:spacing w:line="360" w:lineRule="auto"/>
              <w:jc w:val="left"/>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评标委员会成员为</w:t>
            </w:r>
            <w:r>
              <w:rPr>
                <w:rFonts w:hint="eastAsia" w:ascii="宋体" w:hAnsi="宋体" w:eastAsia="宋体" w:cs="Times New Roman"/>
                <w:color w:val="auto"/>
                <w:kern w:val="0"/>
                <w:sz w:val="24"/>
                <w:szCs w:val="24"/>
                <w:highlight w:val="none"/>
                <w:lang w:val="en-US" w:eastAsia="zh-CN"/>
              </w:rPr>
              <w:t>5</w:t>
            </w:r>
            <w:r>
              <w:rPr>
                <w:rFonts w:hint="eastAsia" w:ascii="宋体" w:hAnsi="宋体" w:eastAsia="宋体" w:cs="Times New Roman"/>
                <w:color w:val="auto"/>
                <w:kern w:val="0"/>
                <w:sz w:val="24"/>
                <w:szCs w:val="24"/>
                <w:highlight w:val="none"/>
              </w:rPr>
              <w:t>人，采购人代表</w:t>
            </w:r>
            <w:r>
              <w:rPr>
                <w:rFonts w:hint="eastAsia" w:ascii="宋体" w:hAnsi="宋体" w:eastAsia="宋体" w:cs="Times New Roman"/>
                <w:color w:val="auto"/>
                <w:kern w:val="0"/>
                <w:sz w:val="24"/>
                <w:szCs w:val="24"/>
                <w:highlight w:val="none"/>
                <w:lang w:val="en-US" w:eastAsia="zh-CN"/>
              </w:rPr>
              <w:t>1</w:t>
            </w:r>
            <w:r>
              <w:rPr>
                <w:rFonts w:hint="eastAsia" w:ascii="宋体" w:hAnsi="宋体" w:eastAsia="宋体" w:cs="Times New Roman"/>
                <w:color w:val="auto"/>
                <w:kern w:val="0"/>
                <w:sz w:val="24"/>
                <w:szCs w:val="24"/>
                <w:highlight w:val="none"/>
              </w:rPr>
              <w:t>人，其余专家</w:t>
            </w:r>
            <w:r>
              <w:rPr>
                <w:rFonts w:hint="eastAsia" w:ascii="宋体" w:hAnsi="宋体" w:eastAsia="宋体" w:cs="Times New Roman"/>
                <w:color w:val="auto"/>
                <w:kern w:val="0"/>
                <w:sz w:val="24"/>
                <w:szCs w:val="24"/>
                <w:highlight w:val="none"/>
                <w:lang w:val="en-US" w:eastAsia="zh-CN"/>
              </w:rPr>
              <w:t>4</w:t>
            </w:r>
            <w:r>
              <w:rPr>
                <w:rFonts w:hint="eastAsia" w:ascii="宋体" w:hAnsi="宋体" w:eastAsia="宋体" w:cs="Times New Roman"/>
                <w:color w:val="auto"/>
                <w:kern w:val="0"/>
                <w:sz w:val="24"/>
                <w:szCs w:val="24"/>
                <w:highlight w:val="none"/>
              </w:rPr>
              <w:t>人从</w:t>
            </w:r>
            <w:r>
              <w:rPr>
                <w:rFonts w:hint="eastAsia" w:ascii="宋体" w:hAnsi="宋体" w:eastAsia="宋体" w:cs="Times New Roman"/>
                <w:color w:val="auto"/>
                <w:kern w:val="0"/>
                <w:sz w:val="24"/>
                <w:szCs w:val="24"/>
                <w:highlight w:val="none"/>
                <w:lang w:eastAsia="zh-CN"/>
              </w:rPr>
              <w:t>河南省政府采购系统评标专家库</w:t>
            </w:r>
            <w:r>
              <w:rPr>
                <w:rFonts w:hint="eastAsia" w:ascii="宋体" w:hAnsi="宋体" w:eastAsia="宋体" w:cs="Times New Roman"/>
                <w:color w:val="auto"/>
                <w:kern w:val="0"/>
                <w:sz w:val="24"/>
                <w:szCs w:val="24"/>
                <w:highlight w:val="none"/>
              </w:rPr>
              <w:t>中随机抽取。</w:t>
            </w:r>
          </w:p>
          <w:p w14:paraId="735FC52E">
            <w:pPr>
              <w:widowControl/>
              <w:spacing w:line="360" w:lineRule="auto"/>
              <w:jc w:val="left"/>
              <w:rPr>
                <w:color w:val="auto"/>
                <w:highlight w:val="none"/>
              </w:rPr>
            </w:pPr>
            <w:r>
              <w:rPr>
                <w:rFonts w:hint="eastAsia" w:ascii="宋体" w:hAnsi="宋体" w:eastAsia="宋体" w:cs="Times New Roman"/>
                <w:color w:val="auto"/>
                <w:kern w:val="0"/>
                <w:sz w:val="24"/>
                <w:szCs w:val="24"/>
                <w:highlight w:val="none"/>
              </w:rPr>
              <w:t>业主评委无评审费。</w:t>
            </w:r>
          </w:p>
        </w:tc>
      </w:tr>
      <w:tr w14:paraId="69B5AE85">
        <w:trPr>
          <w:trHeight w:val="124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2ABE3458">
            <w:pPr>
              <w:widowControl/>
              <w:spacing w:line="360" w:lineRule="auto"/>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4.0</w:t>
            </w:r>
          </w:p>
        </w:tc>
        <w:tc>
          <w:tcPr>
            <w:tcW w:w="1424" w:type="dxa"/>
            <w:tcBorders>
              <w:top w:val="single" w:color="auto" w:sz="4" w:space="0"/>
              <w:left w:val="nil"/>
              <w:bottom w:val="single" w:color="auto" w:sz="4" w:space="0"/>
              <w:right w:val="single" w:color="auto" w:sz="4" w:space="0"/>
            </w:tcBorders>
            <w:vAlign w:val="center"/>
          </w:tcPr>
          <w:p w14:paraId="750DC96C">
            <w:pPr>
              <w:widowControl/>
              <w:spacing w:line="360" w:lineRule="auto"/>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是否授权评标委员会确定中标候选供应商</w:t>
            </w:r>
          </w:p>
        </w:tc>
        <w:tc>
          <w:tcPr>
            <w:tcW w:w="6516" w:type="dxa"/>
            <w:tcBorders>
              <w:top w:val="single" w:color="auto" w:sz="4" w:space="0"/>
              <w:left w:val="nil"/>
              <w:bottom w:val="single" w:color="auto" w:sz="4" w:space="0"/>
              <w:right w:val="single" w:color="auto" w:sz="4" w:space="0"/>
            </w:tcBorders>
            <w:vAlign w:val="center"/>
          </w:tcPr>
          <w:p w14:paraId="6FD4C392">
            <w:pPr>
              <w:widowControl/>
              <w:spacing w:line="360" w:lineRule="auto"/>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否，推荐3名候选供应商。</w:t>
            </w:r>
          </w:p>
        </w:tc>
      </w:tr>
      <w:tr w14:paraId="1EA2B41D">
        <w:trPr>
          <w:trHeight w:val="699"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1970A7B3">
            <w:pPr>
              <w:widowControl/>
              <w:spacing w:line="360" w:lineRule="auto"/>
              <w:jc w:val="left"/>
              <w:rPr>
                <w:rFonts w:hint="default" w:ascii="宋体" w:hAnsi="宋体" w:eastAsia="宋体" w:cs="Times New Roman"/>
                <w:b/>
                <w:bCs/>
                <w:color w:val="auto"/>
                <w:kern w:val="0"/>
                <w:sz w:val="24"/>
                <w:szCs w:val="24"/>
                <w:highlight w:val="none"/>
                <w:lang w:val="en-US" w:eastAsia="zh-CN"/>
              </w:rPr>
            </w:pPr>
            <w:r>
              <w:rPr>
                <w:rFonts w:hint="eastAsia" w:ascii="宋体" w:hAnsi="宋体" w:eastAsia="宋体" w:cs="Times New Roman"/>
                <w:b/>
                <w:bCs/>
                <w:color w:val="auto"/>
                <w:kern w:val="0"/>
                <w:sz w:val="24"/>
                <w:szCs w:val="24"/>
                <w:highlight w:val="none"/>
                <w:lang w:val="en-US" w:eastAsia="zh-CN"/>
              </w:rPr>
              <w:t>4.1</w:t>
            </w:r>
          </w:p>
        </w:tc>
        <w:tc>
          <w:tcPr>
            <w:tcW w:w="1424" w:type="dxa"/>
            <w:tcBorders>
              <w:top w:val="single" w:color="auto" w:sz="4" w:space="0"/>
              <w:left w:val="nil"/>
              <w:bottom w:val="single" w:color="auto" w:sz="4" w:space="0"/>
              <w:right w:val="single" w:color="auto" w:sz="4" w:space="0"/>
            </w:tcBorders>
            <w:vAlign w:val="center"/>
          </w:tcPr>
          <w:p w14:paraId="56BB2345">
            <w:pPr>
              <w:widowControl/>
              <w:spacing w:line="360" w:lineRule="auto"/>
              <w:jc w:val="left"/>
              <w:rPr>
                <w:rFonts w:hint="default" w:ascii="宋体" w:hAnsi="宋体" w:eastAsia="宋体" w:cs="Times New Roman"/>
                <w:b/>
                <w:bCs/>
                <w:color w:val="auto"/>
                <w:kern w:val="0"/>
                <w:sz w:val="24"/>
                <w:szCs w:val="24"/>
                <w:highlight w:val="none"/>
                <w:lang w:val="en-US" w:eastAsia="zh-CN"/>
              </w:rPr>
            </w:pPr>
            <w:r>
              <w:rPr>
                <w:rFonts w:hint="eastAsia" w:ascii="宋体" w:hAnsi="宋体" w:eastAsia="宋体" w:cs="Times New Roman"/>
                <w:b/>
                <w:bCs/>
                <w:color w:val="auto"/>
                <w:kern w:val="0"/>
                <w:sz w:val="24"/>
                <w:szCs w:val="24"/>
                <w:highlight w:val="none"/>
                <w:lang w:val="en-US" w:eastAsia="zh-CN"/>
              </w:rPr>
              <w:t>合同计价方式</w:t>
            </w:r>
          </w:p>
        </w:tc>
        <w:tc>
          <w:tcPr>
            <w:tcW w:w="6516" w:type="dxa"/>
            <w:tcBorders>
              <w:top w:val="single" w:color="auto" w:sz="4" w:space="0"/>
              <w:left w:val="nil"/>
              <w:bottom w:val="single" w:color="auto" w:sz="4" w:space="0"/>
              <w:right w:val="single" w:color="auto" w:sz="4" w:space="0"/>
            </w:tcBorders>
            <w:vAlign w:val="center"/>
          </w:tcPr>
          <w:p w14:paraId="0EEBC127">
            <w:pPr>
              <w:widowControl/>
              <w:spacing w:line="360" w:lineRule="auto"/>
              <w:jc w:val="left"/>
              <w:rPr>
                <w:rFonts w:hint="default" w:ascii="宋体" w:hAnsi="宋体" w:eastAsia="宋体" w:cs="Times New Roman"/>
                <w:b/>
                <w:bCs/>
                <w:color w:val="auto"/>
                <w:kern w:val="0"/>
                <w:sz w:val="24"/>
                <w:szCs w:val="24"/>
                <w:highlight w:val="none"/>
                <w:lang w:val="en-US" w:eastAsia="zh-CN"/>
              </w:rPr>
            </w:pPr>
            <w:r>
              <w:rPr>
                <w:rFonts w:hint="eastAsia" w:ascii="宋体" w:hAnsi="宋体" w:eastAsia="宋体" w:cs="Times New Roman"/>
                <w:b/>
                <w:bCs/>
                <w:color w:val="auto"/>
                <w:kern w:val="0"/>
                <w:sz w:val="24"/>
                <w:szCs w:val="24"/>
                <w:highlight w:val="none"/>
                <w:lang w:val="en-US" w:eastAsia="zh-CN"/>
              </w:rPr>
              <w:t>固定总价</w:t>
            </w:r>
          </w:p>
        </w:tc>
      </w:tr>
      <w:tr w14:paraId="38D5206B">
        <w:trPr>
          <w:trHeight w:val="699"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1335939E">
            <w:pPr>
              <w:widowControl/>
              <w:spacing w:line="360" w:lineRule="auto"/>
              <w:jc w:val="left"/>
              <w:rPr>
                <w:rFonts w:hint="default" w:ascii="宋体" w:hAnsi="宋体" w:eastAsia="宋体" w:cs="Times New Roman"/>
                <w:color w:val="auto"/>
                <w:kern w:val="0"/>
                <w:sz w:val="24"/>
                <w:szCs w:val="24"/>
                <w:highlight w:val="none"/>
                <w:lang w:val="en-US" w:eastAsia="zh-CN"/>
              </w:rPr>
            </w:pPr>
            <w:r>
              <w:rPr>
                <w:rFonts w:hint="eastAsia" w:ascii="宋体" w:hAnsi="宋体" w:eastAsia="宋体" w:cs="Times New Roman"/>
                <w:color w:val="auto"/>
                <w:kern w:val="0"/>
                <w:sz w:val="24"/>
                <w:szCs w:val="24"/>
                <w:highlight w:val="none"/>
              </w:rPr>
              <w:t>4.1</w:t>
            </w:r>
            <w:r>
              <w:rPr>
                <w:rFonts w:hint="default" w:ascii="宋体" w:hAnsi="宋体" w:eastAsia="宋体" w:cs="Times New Roman"/>
                <w:color w:val="auto"/>
                <w:kern w:val="0"/>
                <w:sz w:val="24"/>
                <w:szCs w:val="24"/>
                <w:highlight w:val="none"/>
                <w:lang w:val="en-US"/>
              </w:rPr>
              <w:t>.</w:t>
            </w:r>
            <w:r>
              <w:rPr>
                <w:rFonts w:hint="eastAsia" w:ascii="宋体" w:hAnsi="宋体" w:eastAsia="宋体" w:cs="Times New Roman"/>
                <w:color w:val="auto"/>
                <w:kern w:val="0"/>
                <w:sz w:val="24"/>
                <w:szCs w:val="24"/>
                <w:highlight w:val="none"/>
                <w:lang w:val="en-US" w:eastAsia="zh-CN"/>
              </w:rPr>
              <w:t>2</w:t>
            </w:r>
          </w:p>
        </w:tc>
        <w:tc>
          <w:tcPr>
            <w:tcW w:w="1424" w:type="dxa"/>
            <w:tcBorders>
              <w:top w:val="single" w:color="auto" w:sz="4" w:space="0"/>
              <w:left w:val="nil"/>
              <w:bottom w:val="single" w:color="auto" w:sz="4" w:space="0"/>
              <w:right w:val="single" w:color="auto" w:sz="4" w:space="0"/>
            </w:tcBorders>
            <w:vAlign w:val="center"/>
          </w:tcPr>
          <w:p w14:paraId="455F06CE">
            <w:pPr>
              <w:widowControl/>
              <w:spacing w:line="360" w:lineRule="auto"/>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付款方式</w:t>
            </w:r>
          </w:p>
        </w:tc>
        <w:tc>
          <w:tcPr>
            <w:tcW w:w="6516" w:type="dxa"/>
            <w:tcBorders>
              <w:top w:val="single" w:color="auto" w:sz="4" w:space="0"/>
              <w:left w:val="nil"/>
              <w:bottom w:val="single" w:color="auto" w:sz="4" w:space="0"/>
              <w:right w:val="single" w:color="auto" w:sz="4" w:space="0"/>
            </w:tcBorders>
            <w:vAlign w:val="center"/>
          </w:tcPr>
          <w:p w14:paraId="1A7BC347">
            <w:pPr>
              <w:widowControl/>
              <w:spacing w:line="360" w:lineRule="auto"/>
              <w:jc w:val="left"/>
              <w:rPr>
                <w:rFonts w:hint="default" w:ascii="宋体" w:hAnsi="宋体" w:eastAsia="宋体" w:cs="Times New Roman"/>
                <w:color w:val="auto"/>
                <w:kern w:val="0"/>
                <w:sz w:val="24"/>
                <w:szCs w:val="24"/>
                <w:highlight w:val="none"/>
                <w:lang w:val="en-US" w:eastAsia="zh-CN"/>
              </w:rPr>
            </w:pPr>
            <w:r>
              <w:rPr>
                <w:rFonts w:hint="eastAsia" w:ascii="宋体" w:hAnsi="宋体" w:eastAsia="宋体" w:cs="Times New Roman"/>
                <w:color w:val="auto"/>
                <w:kern w:val="0"/>
                <w:sz w:val="24"/>
                <w:szCs w:val="24"/>
                <w:highlight w:val="none"/>
                <w:lang w:val="en-US" w:eastAsia="zh-CN"/>
              </w:rPr>
              <w:t>合同签订后付50%，所有设备验收合格后付50%</w:t>
            </w:r>
          </w:p>
        </w:tc>
      </w:tr>
      <w:tr w14:paraId="40AC75DE">
        <w:trPr>
          <w:trHeight w:val="8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4A00EB13">
            <w:pPr>
              <w:widowControl/>
              <w:spacing w:line="360" w:lineRule="auto"/>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4.2</w:t>
            </w:r>
          </w:p>
        </w:tc>
        <w:tc>
          <w:tcPr>
            <w:tcW w:w="1424" w:type="dxa"/>
            <w:tcBorders>
              <w:top w:val="single" w:color="auto" w:sz="4" w:space="0"/>
              <w:left w:val="nil"/>
              <w:bottom w:val="single" w:color="auto" w:sz="4" w:space="0"/>
              <w:right w:val="single" w:color="auto" w:sz="4" w:space="0"/>
            </w:tcBorders>
            <w:vAlign w:val="center"/>
          </w:tcPr>
          <w:p w14:paraId="49402507">
            <w:pPr>
              <w:widowControl/>
              <w:spacing w:line="360" w:lineRule="auto"/>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履约保证金</w:t>
            </w:r>
          </w:p>
        </w:tc>
        <w:tc>
          <w:tcPr>
            <w:tcW w:w="6516" w:type="dxa"/>
            <w:tcBorders>
              <w:top w:val="single" w:color="auto" w:sz="4" w:space="0"/>
              <w:left w:val="nil"/>
              <w:bottom w:val="single" w:color="auto" w:sz="4" w:space="0"/>
              <w:right w:val="single" w:color="auto" w:sz="4" w:space="0"/>
            </w:tcBorders>
            <w:vAlign w:val="center"/>
          </w:tcPr>
          <w:p w14:paraId="1748FA0B">
            <w:pPr>
              <w:widowControl/>
              <w:spacing w:line="360" w:lineRule="auto"/>
              <w:jc w:val="left"/>
              <w:rPr>
                <w:rFonts w:hint="eastAsia" w:ascii="宋体" w:hAnsi="宋体" w:eastAsia="宋体" w:cs="Times New Roman"/>
                <w:color w:val="auto"/>
                <w:kern w:val="0"/>
                <w:sz w:val="24"/>
                <w:szCs w:val="24"/>
                <w:highlight w:val="none"/>
                <w:lang w:val="en-US" w:eastAsia="zh-CN"/>
              </w:rPr>
            </w:pPr>
            <w:r>
              <w:rPr>
                <w:rFonts w:hint="eastAsia" w:ascii="宋体" w:hAnsi="宋体" w:eastAsia="宋体" w:cs="Times New Roman"/>
                <w:color w:val="auto"/>
                <w:kern w:val="0"/>
                <w:sz w:val="24"/>
                <w:szCs w:val="24"/>
                <w:highlight w:val="none"/>
                <w:lang w:val="en-US" w:eastAsia="zh-CN"/>
              </w:rPr>
              <w:t>无</w:t>
            </w:r>
          </w:p>
        </w:tc>
      </w:tr>
      <w:tr w14:paraId="57141A25">
        <w:trPr>
          <w:trHeight w:val="8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49C5CDD9">
            <w:pPr>
              <w:widowControl/>
              <w:spacing w:line="360" w:lineRule="auto"/>
              <w:jc w:val="left"/>
              <w:rPr>
                <w:rFonts w:hint="eastAsia" w:ascii="Times New Roman" w:hAnsi="Times New Roman" w:eastAsia="宋体" w:cs="Times New Roman"/>
                <w:color w:val="auto"/>
                <w:kern w:val="0"/>
                <w:sz w:val="24"/>
                <w:szCs w:val="24"/>
                <w:highlight w:val="none"/>
                <w:lang w:eastAsia="zh-CN"/>
              </w:rPr>
            </w:pPr>
            <w:r>
              <w:rPr>
                <w:rFonts w:hint="eastAsia" w:ascii="宋体" w:hAnsi="宋体" w:eastAsia="宋体" w:cs="Times New Roman"/>
                <w:color w:val="auto"/>
                <w:kern w:val="0"/>
                <w:sz w:val="24"/>
                <w:szCs w:val="24"/>
                <w:highlight w:val="none"/>
              </w:rPr>
              <w:t>4.</w:t>
            </w:r>
            <w:r>
              <w:rPr>
                <w:rFonts w:hint="eastAsia" w:ascii="宋体" w:hAnsi="宋体" w:eastAsia="宋体" w:cs="Times New Roman"/>
                <w:color w:val="auto"/>
                <w:kern w:val="0"/>
                <w:sz w:val="24"/>
                <w:szCs w:val="24"/>
                <w:highlight w:val="none"/>
                <w:lang w:val="en-US" w:eastAsia="zh-CN"/>
              </w:rPr>
              <w:t>3</w:t>
            </w:r>
          </w:p>
        </w:tc>
        <w:tc>
          <w:tcPr>
            <w:tcW w:w="1424" w:type="dxa"/>
            <w:tcBorders>
              <w:top w:val="single" w:color="auto" w:sz="4" w:space="0"/>
              <w:left w:val="nil"/>
              <w:bottom w:val="single" w:color="auto" w:sz="4" w:space="0"/>
              <w:right w:val="single" w:color="auto" w:sz="4" w:space="0"/>
            </w:tcBorders>
            <w:vAlign w:val="center"/>
          </w:tcPr>
          <w:p w14:paraId="05ECBDA2">
            <w:pPr>
              <w:widowControl/>
              <w:spacing w:line="360" w:lineRule="auto"/>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最高限价</w:t>
            </w:r>
          </w:p>
        </w:tc>
        <w:tc>
          <w:tcPr>
            <w:tcW w:w="6516" w:type="dxa"/>
            <w:tcBorders>
              <w:top w:val="single" w:color="auto" w:sz="4" w:space="0"/>
              <w:left w:val="nil"/>
              <w:bottom w:val="single" w:color="auto" w:sz="4" w:space="0"/>
              <w:right w:val="single" w:color="auto" w:sz="4" w:space="0"/>
            </w:tcBorders>
            <w:vAlign w:val="center"/>
          </w:tcPr>
          <w:p w14:paraId="06D476FF">
            <w:pPr>
              <w:spacing w:line="360" w:lineRule="auto"/>
              <w:rPr>
                <w:rFonts w:hint="eastAsia" w:ascii="宋体" w:hAnsi="宋体" w:eastAsia="宋体" w:cs="Times New Roman"/>
                <w:color w:val="auto"/>
                <w:sz w:val="24"/>
                <w:szCs w:val="24"/>
                <w:highlight w:val="none"/>
              </w:rPr>
            </w:pPr>
            <w:r>
              <w:rPr>
                <w:rFonts w:hint="eastAsia" w:ascii="宋体" w:hAnsi="宋体" w:eastAsia="宋体" w:cs="Times New Roman"/>
                <w:color w:val="auto"/>
                <w:kern w:val="0"/>
                <w:sz w:val="24"/>
                <w:szCs w:val="24"/>
                <w:highlight w:val="none"/>
              </w:rPr>
              <w:t>本项目采购最高限价</w:t>
            </w:r>
            <w:r>
              <w:rPr>
                <w:rFonts w:hint="eastAsia" w:ascii="宋体" w:hAnsi="宋体" w:eastAsia="宋体" w:cs="Times New Roman"/>
                <w:color w:val="auto"/>
                <w:sz w:val="24"/>
                <w:szCs w:val="24"/>
                <w:highlight w:val="none"/>
              </w:rPr>
              <w:t>：3501900.00元</w:t>
            </w:r>
          </w:p>
          <w:p w14:paraId="38CA4D59">
            <w:pPr>
              <w:spacing w:line="360" w:lineRule="auto"/>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1标段（产业包）：</w:t>
            </w:r>
            <w:r>
              <w:rPr>
                <w:rFonts w:hint="eastAsia" w:ascii="宋体" w:hAnsi="宋体" w:eastAsia="宋体" w:cs="Times New Roman"/>
                <w:color w:val="auto"/>
                <w:sz w:val="24"/>
                <w:szCs w:val="24"/>
                <w:highlight w:val="none"/>
              </w:rPr>
              <w:t>1760300.00</w:t>
            </w:r>
            <w:r>
              <w:rPr>
                <w:rFonts w:hint="eastAsia" w:ascii="宋体" w:hAnsi="宋体" w:eastAsia="宋体" w:cs="Times New Roman"/>
                <w:color w:val="auto"/>
                <w:sz w:val="24"/>
                <w:szCs w:val="24"/>
                <w:highlight w:val="none"/>
                <w:lang w:val="en-US" w:eastAsia="zh-CN"/>
              </w:rPr>
              <w:t>元</w:t>
            </w:r>
          </w:p>
          <w:p w14:paraId="1AE60FA7">
            <w:pPr>
              <w:spacing w:line="360" w:lineRule="auto"/>
              <w:rPr>
                <w:rFonts w:ascii="宋体" w:hAnsi="宋体" w:eastAsia="宋体" w:cs="Times New Roman"/>
                <w:color w:val="auto"/>
                <w:kern w:val="0"/>
                <w:sz w:val="24"/>
                <w:szCs w:val="24"/>
                <w:highlight w:val="none"/>
              </w:rPr>
            </w:pPr>
            <w:r>
              <w:rPr>
                <w:rFonts w:hint="eastAsia" w:ascii="宋体" w:hAnsi="宋体" w:eastAsia="宋体" w:cs="Times New Roman"/>
                <w:color w:val="auto"/>
                <w:sz w:val="24"/>
                <w:szCs w:val="24"/>
                <w:highlight w:val="none"/>
                <w:lang w:val="en-US" w:eastAsia="zh-CN"/>
              </w:rPr>
              <w:t>2标段（民生包）：</w:t>
            </w:r>
            <w:r>
              <w:rPr>
                <w:rFonts w:hint="eastAsia" w:ascii="宋体" w:hAnsi="宋体" w:eastAsia="宋体" w:cs="Times New Roman"/>
                <w:color w:val="auto"/>
                <w:sz w:val="24"/>
                <w:szCs w:val="24"/>
                <w:highlight w:val="none"/>
              </w:rPr>
              <w:t>1741600.00</w:t>
            </w:r>
            <w:r>
              <w:rPr>
                <w:rFonts w:hint="eastAsia" w:ascii="宋体" w:hAnsi="宋体" w:eastAsia="宋体" w:cs="Times New Roman"/>
                <w:color w:val="auto"/>
                <w:sz w:val="24"/>
                <w:szCs w:val="24"/>
                <w:highlight w:val="none"/>
                <w:lang w:val="en-US" w:eastAsia="zh-CN"/>
              </w:rPr>
              <w:t>元</w:t>
            </w:r>
            <w:r>
              <w:rPr>
                <w:rFonts w:hint="eastAsia" w:ascii="宋体" w:hAnsi="宋体" w:eastAsia="宋体" w:cs="Times New Roman"/>
                <w:color w:val="auto"/>
                <w:sz w:val="24"/>
                <w:szCs w:val="24"/>
                <w:highlight w:val="none"/>
              </w:rPr>
              <w:t xml:space="preserve">       </w:t>
            </w:r>
          </w:p>
          <w:p w14:paraId="2FC9A785">
            <w:pPr>
              <w:spacing w:line="360" w:lineRule="auto"/>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投标报价超出“最高限价”的，该</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的投标按无效处理。</w:t>
            </w:r>
          </w:p>
        </w:tc>
      </w:tr>
      <w:tr w14:paraId="69A1B8EC">
        <w:trPr>
          <w:trHeight w:val="803"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4B924FEA">
            <w:pPr>
              <w:widowControl/>
              <w:spacing w:line="360" w:lineRule="auto"/>
              <w:jc w:val="left"/>
              <w:rPr>
                <w:rFonts w:hint="eastAsia" w:ascii="宋体" w:hAnsi="宋体" w:eastAsia="宋体" w:cs="Times New Roman"/>
                <w:color w:val="auto"/>
                <w:kern w:val="0"/>
                <w:sz w:val="24"/>
                <w:szCs w:val="24"/>
                <w:highlight w:val="none"/>
                <w:lang w:eastAsia="zh-CN"/>
              </w:rPr>
            </w:pPr>
            <w:r>
              <w:rPr>
                <w:rFonts w:hint="eastAsia" w:ascii="宋体" w:hAnsi="宋体" w:eastAsia="宋体" w:cs="Times New Roman"/>
                <w:color w:val="auto"/>
                <w:kern w:val="0"/>
                <w:sz w:val="24"/>
                <w:szCs w:val="24"/>
                <w:highlight w:val="none"/>
              </w:rPr>
              <w:t>4.</w:t>
            </w:r>
            <w:r>
              <w:rPr>
                <w:rFonts w:hint="eastAsia" w:ascii="宋体" w:hAnsi="宋体" w:eastAsia="宋体" w:cs="Times New Roman"/>
                <w:color w:val="auto"/>
                <w:kern w:val="0"/>
                <w:sz w:val="24"/>
                <w:szCs w:val="24"/>
                <w:highlight w:val="none"/>
                <w:lang w:val="en-US" w:eastAsia="zh-CN"/>
              </w:rPr>
              <w:t>4</w:t>
            </w:r>
          </w:p>
        </w:tc>
        <w:tc>
          <w:tcPr>
            <w:tcW w:w="1424" w:type="dxa"/>
            <w:tcBorders>
              <w:top w:val="single" w:color="auto" w:sz="4" w:space="0"/>
              <w:left w:val="nil"/>
              <w:bottom w:val="single" w:color="auto" w:sz="4" w:space="0"/>
              <w:right w:val="single" w:color="auto" w:sz="4" w:space="0"/>
            </w:tcBorders>
            <w:vAlign w:val="center"/>
          </w:tcPr>
          <w:p w14:paraId="314A17A0">
            <w:pPr>
              <w:widowControl/>
              <w:spacing w:line="360" w:lineRule="auto"/>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质保期</w:t>
            </w:r>
          </w:p>
        </w:tc>
        <w:tc>
          <w:tcPr>
            <w:tcW w:w="6516" w:type="dxa"/>
            <w:tcBorders>
              <w:top w:val="single" w:color="auto" w:sz="4" w:space="0"/>
              <w:left w:val="nil"/>
              <w:bottom w:val="single" w:color="auto" w:sz="4" w:space="0"/>
              <w:right w:val="single" w:color="auto" w:sz="4" w:space="0"/>
            </w:tcBorders>
            <w:vAlign w:val="center"/>
          </w:tcPr>
          <w:p w14:paraId="7EE44350">
            <w:pPr>
              <w:spacing w:line="360" w:lineRule="auto"/>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lang w:val="en-US" w:eastAsia="zh-CN"/>
              </w:rPr>
              <w:t>3年</w:t>
            </w:r>
          </w:p>
        </w:tc>
      </w:tr>
      <w:tr w14:paraId="6A93E3E5">
        <w:trPr>
          <w:trHeight w:val="8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75AF72D3">
            <w:pPr>
              <w:widowControl/>
              <w:spacing w:line="360" w:lineRule="auto"/>
              <w:jc w:val="left"/>
              <w:rPr>
                <w:rFonts w:hint="default" w:ascii="宋体" w:hAnsi="宋体" w:eastAsia="宋体" w:cs="Times New Roman"/>
                <w:color w:val="auto"/>
                <w:kern w:val="0"/>
                <w:sz w:val="24"/>
                <w:szCs w:val="24"/>
                <w:highlight w:val="none"/>
                <w:lang w:val="en-US" w:eastAsia="zh-CN"/>
              </w:rPr>
            </w:pPr>
            <w:r>
              <w:rPr>
                <w:rFonts w:hint="eastAsia" w:ascii="宋体" w:hAnsi="宋体" w:eastAsia="宋体" w:cs="Times New Roman"/>
                <w:color w:val="auto"/>
                <w:kern w:val="0"/>
                <w:sz w:val="24"/>
                <w:szCs w:val="24"/>
                <w:highlight w:val="none"/>
                <w:lang w:val="en-US" w:eastAsia="zh-CN"/>
              </w:rPr>
              <w:t>4.5</w:t>
            </w:r>
          </w:p>
        </w:tc>
        <w:tc>
          <w:tcPr>
            <w:tcW w:w="1424" w:type="dxa"/>
            <w:tcBorders>
              <w:top w:val="single" w:color="auto" w:sz="4" w:space="0"/>
              <w:left w:val="nil"/>
              <w:bottom w:val="single" w:color="auto" w:sz="4" w:space="0"/>
              <w:right w:val="single" w:color="auto" w:sz="4" w:space="0"/>
            </w:tcBorders>
            <w:vAlign w:val="center"/>
          </w:tcPr>
          <w:p w14:paraId="09A5BD5A">
            <w:pPr>
              <w:widowControl/>
              <w:spacing w:line="360" w:lineRule="auto"/>
              <w:jc w:val="left"/>
              <w:rPr>
                <w:rFonts w:ascii="sans-serif" w:hAnsi="sans-serif" w:eastAsia="sans-serif" w:cs="sans-serif"/>
                <w:i w:val="0"/>
                <w:iCs w:val="0"/>
                <w:caps w:val="0"/>
                <w:color w:val="auto"/>
                <w:spacing w:val="0"/>
                <w:sz w:val="24"/>
                <w:szCs w:val="24"/>
                <w:highlight w:val="none"/>
                <w:shd w:val="clear" w:fill="FFFFFF"/>
              </w:rPr>
            </w:pPr>
            <w:r>
              <w:rPr>
                <w:rFonts w:ascii="sans-serif" w:hAnsi="sans-serif" w:eastAsia="sans-serif" w:cs="sans-serif"/>
                <w:i w:val="0"/>
                <w:iCs w:val="0"/>
                <w:caps w:val="0"/>
                <w:color w:val="auto"/>
                <w:spacing w:val="0"/>
                <w:sz w:val="24"/>
                <w:szCs w:val="24"/>
                <w:highlight w:val="none"/>
                <w:shd w:val="clear" w:fill="FFFFFF"/>
              </w:rPr>
              <w:t>招标</w:t>
            </w:r>
          </w:p>
          <w:p w14:paraId="3B34394D">
            <w:pPr>
              <w:widowControl/>
              <w:spacing w:line="360" w:lineRule="auto"/>
              <w:jc w:val="left"/>
              <w:rPr>
                <w:rFonts w:hint="eastAsia" w:ascii="宋体" w:hAnsi="宋体" w:eastAsia="宋体" w:cs="Times New Roman"/>
                <w:color w:val="auto"/>
                <w:kern w:val="0"/>
                <w:sz w:val="24"/>
                <w:szCs w:val="24"/>
                <w:highlight w:val="none"/>
              </w:rPr>
            </w:pPr>
            <w:r>
              <w:rPr>
                <w:rFonts w:ascii="sans-serif" w:hAnsi="sans-serif" w:eastAsia="sans-serif" w:cs="sans-serif"/>
                <w:i w:val="0"/>
                <w:iCs w:val="0"/>
                <w:caps w:val="0"/>
                <w:color w:val="auto"/>
                <w:spacing w:val="0"/>
                <w:sz w:val="24"/>
                <w:szCs w:val="24"/>
                <w:highlight w:val="none"/>
                <w:shd w:val="clear" w:fill="FFFFFF"/>
              </w:rPr>
              <w:t>代理费</w:t>
            </w:r>
          </w:p>
        </w:tc>
        <w:tc>
          <w:tcPr>
            <w:tcW w:w="6516" w:type="dxa"/>
            <w:tcBorders>
              <w:top w:val="single" w:color="auto" w:sz="4" w:space="0"/>
              <w:left w:val="nil"/>
              <w:bottom w:val="single" w:color="auto" w:sz="4" w:space="0"/>
              <w:right w:val="single" w:color="auto" w:sz="4" w:space="0"/>
            </w:tcBorders>
            <w:vAlign w:val="center"/>
          </w:tcPr>
          <w:p w14:paraId="4C139507">
            <w:pPr>
              <w:rPr>
                <w:rFonts w:hint="eastAsia" w:ascii="宋体" w:hAnsi="宋体" w:eastAsia="宋体" w:cs="Times New Roman"/>
                <w:color w:val="auto"/>
                <w:kern w:val="0"/>
                <w:sz w:val="24"/>
                <w:szCs w:val="24"/>
                <w:highlight w:val="none"/>
                <w:lang w:eastAsia="zh-CN"/>
              </w:rPr>
            </w:pPr>
            <w:r>
              <w:rPr>
                <w:rFonts w:hint="eastAsia" w:ascii="宋体" w:hAnsi="宋体" w:eastAsia="宋体" w:cs="Times New Roman"/>
                <w:color w:val="auto"/>
                <w:kern w:val="0"/>
                <w:sz w:val="24"/>
                <w:szCs w:val="24"/>
                <w:highlight w:val="none"/>
              </w:rPr>
              <w:t>招标代理服务费参照《河南省招标代理服务收费指导意见》（豫招协【2023】002号）</w:t>
            </w:r>
            <w:r>
              <w:rPr>
                <w:rFonts w:hint="eastAsia" w:ascii="宋体" w:hAnsi="宋体" w:eastAsia="宋体" w:cs="Times New Roman"/>
                <w:color w:val="auto"/>
                <w:kern w:val="0"/>
                <w:sz w:val="24"/>
                <w:szCs w:val="24"/>
                <w:highlight w:val="none"/>
                <w:lang w:val="en-US" w:eastAsia="zh-CN"/>
              </w:rPr>
              <w:t>货物类</w:t>
            </w:r>
            <w:r>
              <w:rPr>
                <w:rFonts w:hint="eastAsia" w:ascii="宋体" w:hAnsi="宋体" w:eastAsia="宋体" w:cs="Times New Roman"/>
                <w:color w:val="auto"/>
                <w:kern w:val="0"/>
                <w:sz w:val="24"/>
                <w:szCs w:val="24"/>
                <w:highlight w:val="none"/>
              </w:rPr>
              <w:t>计取，由中标人支付。</w:t>
            </w:r>
          </w:p>
        </w:tc>
      </w:tr>
      <w:tr w14:paraId="427D44D2">
        <w:trPr>
          <w:trHeight w:val="8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6D1CEBDA">
            <w:pPr>
              <w:widowControl/>
              <w:spacing w:line="360" w:lineRule="auto"/>
              <w:jc w:val="left"/>
              <w:rPr>
                <w:rFonts w:hint="eastAsia" w:ascii="宋体" w:hAnsi="宋体" w:eastAsia="宋体" w:cs="Times New Roman"/>
                <w:color w:val="auto"/>
                <w:kern w:val="0"/>
                <w:sz w:val="24"/>
                <w:szCs w:val="24"/>
                <w:highlight w:val="none"/>
                <w:lang w:val="en-US" w:eastAsia="zh-CN"/>
              </w:rPr>
            </w:pPr>
            <w:r>
              <w:rPr>
                <w:rFonts w:hint="eastAsia" w:ascii="宋体" w:hAnsi="宋体" w:eastAsia="宋体" w:cs="Times New Roman"/>
                <w:color w:val="auto"/>
                <w:kern w:val="0"/>
                <w:sz w:val="24"/>
                <w:szCs w:val="24"/>
                <w:highlight w:val="none"/>
                <w:lang w:val="en-US" w:eastAsia="zh-CN"/>
              </w:rPr>
              <w:t>4.6</w:t>
            </w:r>
          </w:p>
        </w:tc>
        <w:tc>
          <w:tcPr>
            <w:tcW w:w="1424" w:type="dxa"/>
            <w:tcBorders>
              <w:top w:val="single" w:color="auto" w:sz="4" w:space="0"/>
              <w:left w:val="nil"/>
              <w:bottom w:val="single" w:color="auto" w:sz="4" w:space="0"/>
              <w:right w:val="single" w:color="auto" w:sz="4" w:space="0"/>
            </w:tcBorders>
            <w:vAlign w:val="center"/>
          </w:tcPr>
          <w:p w14:paraId="070DCC9A">
            <w:pPr>
              <w:keepLines/>
              <w:spacing w:line="360" w:lineRule="auto"/>
              <w:jc w:val="center"/>
              <w:rPr>
                <w:rFonts w:ascii="sans-serif" w:hAnsi="sans-serif" w:eastAsia="sans-serif" w:cs="sans-serif"/>
                <w:i w:val="0"/>
                <w:iCs w:val="0"/>
                <w:caps w:val="0"/>
                <w:color w:val="auto"/>
                <w:spacing w:val="0"/>
                <w:sz w:val="24"/>
                <w:szCs w:val="24"/>
                <w:highlight w:val="none"/>
                <w:shd w:val="clear" w:fill="FFFFFF"/>
              </w:rPr>
            </w:pPr>
            <w:r>
              <w:rPr>
                <w:rFonts w:hint="eastAsia" w:ascii="宋体" w:hAnsi="宋体" w:eastAsia="宋体" w:cs="Times New Roman"/>
                <w:color w:val="auto"/>
                <w:kern w:val="0"/>
                <w:sz w:val="24"/>
                <w:szCs w:val="24"/>
                <w:highlight w:val="none"/>
                <w:lang w:eastAsia="zh-CN"/>
              </w:rPr>
              <w:t>核心产品</w:t>
            </w:r>
          </w:p>
        </w:tc>
        <w:tc>
          <w:tcPr>
            <w:tcW w:w="6516" w:type="dxa"/>
            <w:tcBorders>
              <w:top w:val="single" w:color="auto" w:sz="4" w:space="0"/>
              <w:left w:val="nil"/>
              <w:bottom w:val="single" w:color="auto" w:sz="4" w:space="0"/>
              <w:right w:val="single" w:color="auto" w:sz="4" w:space="0"/>
            </w:tcBorders>
            <w:vAlign w:val="center"/>
          </w:tcPr>
          <w:p w14:paraId="3D6F064A">
            <w:pPr>
              <w:spacing w:line="360" w:lineRule="auto"/>
              <w:rPr>
                <w:rFonts w:hint="eastAsia" w:ascii="宋体" w:hAnsi="宋体" w:eastAsia="宋体" w:cs="Times New Roman"/>
                <w:color w:val="auto"/>
                <w:kern w:val="0"/>
                <w:sz w:val="24"/>
                <w:szCs w:val="24"/>
                <w:highlight w:val="none"/>
                <w:lang w:eastAsia="zh-CN"/>
              </w:rPr>
            </w:pPr>
            <w:r>
              <w:rPr>
                <w:rFonts w:hint="eastAsia" w:ascii="宋体" w:hAnsi="宋体" w:eastAsia="宋体" w:cs="Times New Roman"/>
                <w:color w:val="auto"/>
                <w:kern w:val="0"/>
                <w:sz w:val="24"/>
                <w:szCs w:val="24"/>
                <w:highlight w:val="none"/>
                <w:lang w:eastAsia="zh-CN"/>
              </w:rPr>
              <w:t>根据《政府采购货物和服务招标投标管理办法》（财政部第87号令）第31条的规定，非单一产品采购项目且在招标文件中注明核心产品的，提供相同品牌产品且通过资格审查、符合性审查的不同投标供应商参加同一标段投标的，按一家投标供应商计算，评审后得分最高的同品牌投标供应商获得中标人推荐资格；评审得分相同的，以投标报价低者获得中标人推荐资格。</w:t>
            </w:r>
          </w:p>
          <w:p w14:paraId="231A06FF">
            <w:pPr>
              <w:spacing w:line="360" w:lineRule="auto"/>
              <w:rPr>
                <w:rFonts w:hint="eastAsia" w:ascii="宋体" w:hAnsi="宋体" w:eastAsia="宋体" w:cs="Times New Roman"/>
                <w:b/>
                <w:bCs/>
                <w:color w:val="auto"/>
                <w:kern w:val="0"/>
                <w:sz w:val="24"/>
                <w:szCs w:val="24"/>
                <w:highlight w:val="none"/>
                <w:lang w:val="en-US" w:eastAsia="zh-CN"/>
              </w:rPr>
            </w:pPr>
            <w:r>
              <w:rPr>
                <w:rFonts w:hint="eastAsia" w:ascii="宋体" w:hAnsi="宋体" w:eastAsia="宋体" w:cs="Times New Roman"/>
                <w:b/>
                <w:bCs/>
                <w:color w:val="auto"/>
                <w:kern w:val="0"/>
                <w:sz w:val="24"/>
                <w:szCs w:val="24"/>
                <w:highlight w:val="none"/>
                <w:lang w:eastAsia="zh-CN"/>
              </w:rPr>
              <w:t>核心产品：</w:t>
            </w:r>
            <w:r>
              <w:rPr>
                <w:rFonts w:hint="eastAsia" w:ascii="宋体" w:hAnsi="宋体" w:eastAsia="宋体" w:cs="Times New Roman"/>
                <w:b/>
                <w:bCs/>
                <w:color w:val="auto"/>
                <w:kern w:val="0"/>
                <w:sz w:val="24"/>
                <w:szCs w:val="24"/>
                <w:highlight w:val="none"/>
                <w:lang w:val="en-US" w:eastAsia="zh-CN"/>
              </w:rPr>
              <w:t>1标段（产业包）：全自动压力综合制台</w:t>
            </w:r>
          </w:p>
          <w:p w14:paraId="3433F198">
            <w:pPr>
              <w:spacing w:line="360" w:lineRule="auto"/>
              <w:rPr>
                <w:rFonts w:hint="default" w:eastAsiaTheme="minorEastAsia"/>
                <w:color w:val="auto"/>
                <w:highlight w:val="none"/>
                <w:lang w:val="en-US" w:eastAsia="zh-CN"/>
              </w:rPr>
            </w:pPr>
            <w:r>
              <w:rPr>
                <w:rFonts w:hint="eastAsia" w:ascii="宋体" w:hAnsi="宋体" w:eastAsia="宋体" w:cs="Times New Roman"/>
                <w:b/>
                <w:bCs/>
                <w:color w:val="auto"/>
                <w:kern w:val="0"/>
                <w:sz w:val="24"/>
                <w:szCs w:val="24"/>
                <w:highlight w:val="none"/>
                <w:lang w:val="en-US" w:eastAsia="zh-CN"/>
              </w:rPr>
              <w:t>2标段（民生包）：</w:t>
            </w:r>
            <w:r>
              <w:rPr>
                <w:rFonts w:hint="default" w:ascii="宋体" w:hAnsi="宋体" w:eastAsia="宋体" w:cs="Times New Roman"/>
                <w:b/>
                <w:bCs/>
                <w:color w:val="auto"/>
                <w:kern w:val="0"/>
                <w:sz w:val="24"/>
                <w:szCs w:val="24"/>
                <w:highlight w:val="none"/>
                <w:lang w:val="en-US" w:eastAsia="zh-CN"/>
              </w:rPr>
              <w:t>CR</w:t>
            </w:r>
            <w:r>
              <w:rPr>
                <w:rFonts w:hint="eastAsia" w:ascii="宋体" w:hAnsi="宋体" w:eastAsia="宋体" w:cs="Times New Roman"/>
                <w:b/>
                <w:bCs/>
                <w:color w:val="auto"/>
                <w:kern w:val="0"/>
                <w:sz w:val="24"/>
                <w:szCs w:val="24"/>
                <w:highlight w:val="none"/>
                <w:lang w:val="en-US" w:eastAsia="zh-CN"/>
              </w:rPr>
              <w:t>/DR机多功能检定装置</w:t>
            </w:r>
          </w:p>
        </w:tc>
      </w:tr>
      <w:tr w14:paraId="16393954">
        <w:trPr>
          <w:trHeight w:val="8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742218E3">
            <w:pPr>
              <w:widowControl/>
              <w:spacing w:line="360" w:lineRule="auto"/>
              <w:jc w:val="left"/>
              <w:rPr>
                <w:rFonts w:hint="default" w:ascii="宋体" w:hAnsi="宋体" w:eastAsia="宋体" w:cs="Times New Roman"/>
                <w:color w:val="auto"/>
                <w:kern w:val="0"/>
                <w:sz w:val="24"/>
                <w:szCs w:val="24"/>
                <w:highlight w:val="none"/>
                <w:lang w:val="en-US" w:eastAsia="zh-CN"/>
              </w:rPr>
            </w:pPr>
            <w:r>
              <w:rPr>
                <w:rFonts w:hint="eastAsia" w:ascii="宋体" w:hAnsi="宋体" w:eastAsia="宋体" w:cs="Times New Roman"/>
                <w:color w:val="auto"/>
                <w:kern w:val="0"/>
                <w:sz w:val="24"/>
                <w:szCs w:val="24"/>
                <w:highlight w:val="none"/>
                <w:lang w:val="en-US" w:eastAsia="zh-CN"/>
              </w:rPr>
              <w:t>4.7</w:t>
            </w:r>
          </w:p>
        </w:tc>
        <w:tc>
          <w:tcPr>
            <w:tcW w:w="1424" w:type="dxa"/>
            <w:tcBorders>
              <w:top w:val="single" w:color="auto" w:sz="4" w:space="0"/>
              <w:left w:val="nil"/>
              <w:bottom w:val="single" w:color="auto" w:sz="4" w:space="0"/>
              <w:right w:val="single" w:color="auto" w:sz="4" w:space="0"/>
            </w:tcBorders>
            <w:vAlign w:val="center"/>
          </w:tcPr>
          <w:p w14:paraId="62BAC403">
            <w:pPr>
              <w:widowControl/>
              <w:spacing w:line="360" w:lineRule="auto"/>
              <w:jc w:val="left"/>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政府采购政策</w:t>
            </w:r>
          </w:p>
        </w:tc>
        <w:tc>
          <w:tcPr>
            <w:tcW w:w="6516" w:type="dxa"/>
            <w:tcBorders>
              <w:top w:val="single" w:color="auto" w:sz="4" w:space="0"/>
              <w:left w:val="nil"/>
              <w:bottom w:val="single" w:color="auto" w:sz="4" w:space="0"/>
              <w:right w:val="single" w:color="auto" w:sz="4" w:space="0"/>
            </w:tcBorders>
            <w:vAlign w:val="center"/>
          </w:tcPr>
          <w:p w14:paraId="7A0C1679">
            <w:pPr>
              <w:spacing w:line="360" w:lineRule="auto"/>
              <w:rPr>
                <w:rFonts w:hint="eastAsia" w:ascii="宋体" w:hAnsi="宋体" w:eastAsia="宋体" w:cs="Times New Roman"/>
                <w:color w:val="auto"/>
                <w:kern w:val="0"/>
                <w:sz w:val="24"/>
                <w:szCs w:val="24"/>
                <w:highlight w:val="none"/>
                <w:lang w:eastAsia="zh-CN"/>
              </w:rPr>
            </w:pPr>
            <w:r>
              <w:rPr>
                <w:rFonts w:hint="eastAsia" w:ascii="宋体" w:hAnsi="宋体" w:eastAsia="宋体" w:cs="Times New Roman"/>
                <w:color w:val="auto"/>
                <w:kern w:val="0"/>
                <w:sz w:val="24"/>
                <w:szCs w:val="24"/>
                <w:highlight w:val="none"/>
                <w:lang w:eastAsia="zh-CN"/>
              </w:rPr>
              <w:t>1.落实中小企业、监狱企业、残疾人福利企业政府采购政策。</w:t>
            </w:r>
          </w:p>
          <w:p w14:paraId="1A07E668">
            <w:pPr>
              <w:spacing w:line="360" w:lineRule="auto"/>
              <w:rPr>
                <w:rFonts w:hint="eastAsia" w:ascii="宋体" w:hAnsi="宋体" w:eastAsia="宋体" w:cs="Times New Roman"/>
                <w:color w:val="auto"/>
                <w:kern w:val="0"/>
                <w:sz w:val="24"/>
                <w:szCs w:val="24"/>
                <w:highlight w:val="none"/>
                <w:lang w:val="en-US" w:eastAsia="zh-CN"/>
              </w:rPr>
            </w:pPr>
            <w:r>
              <w:rPr>
                <w:rFonts w:hint="eastAsia" w:ascii="宋体" w:hAnsi="宋体" w:eastAsia="宋体" w:cs="Times New Roman"/>
                <w:color w:val="auto"/>
                <w:kern w:val="0"/>
                <w:sz w:val="24"/>
                <w:szCs w:val="24"/>
                <w:highlight w:val="none"/>
                <w:lang w:eastAsia="zh-CN"/>
              </w:rPr>
              <w:t>本项目所属行业：</w:t>
            </w:r>
            <w:r>
              <w:rPr>
                <w:rFonts w:hint="eastAsia" w:ascii="宋体" w:hAnsi="宋体" w:eastAsia="宋体" w:cs="Times New Roman"/>
                <w:color w:val="auto"/>
                <w:kern w:val="0"/>
                <w:sz w:val="24"/>
                <w:szCs w:val="24"/>
                <w:highlight w:val="none"/>
                <w:lang w:val="en-US" w:eastAsia="zh-CN"/>
              </w:rPr>
              <w:t>制造业</w:t>
            </w:r>
          </w:p>
          <w:p w14:paraId="43CDDAF3">
            <w:pPr>
              <w:spacing w:line="360" w:lineRule="auto"/>
              <w:rPr>
                <w:rFonts w:hint="eastAsia" w:ascii="宋体" w:hAnsi="宋体" w:eastAsia="宋体" w:cs="Times New Roman"/>
                <w:color w:val="auto"/>
                <w:kern w:val="0"/>
                <w:sz w:val="24"/>
                <w:szCs w:val="24"/>
                <w:highlight w:val="none"/>
                <w:lang w:eastAsia="zh-CN"/>
              </w:rPr>
            </w:pPr>
            <w:r>
              <w:rPr>
                <w:rFonts w:hint="eastAsia" w:ascii="宋体" w:hAnsi="宋体" w:eastAsia="宋体" w:cs="Times New Roman"/>
                <w:color w:val="auto"/>
                <w:kern w:val="0"/>
                <w:sz w:val="24"/>
                <w:szCs w:val="24"/>
                <w:highlight w:val="none"/>
                <w:lang w:eastAsia="zh-CN"/>
              </w:rPr>
              <w:t>根据《政府采购促进中小企业发展管理办法》(财库[2020]46号)及根据关于进一步加大政府采购支持中小企业发展有关事项的通知（三财购〔2022〕9号）的规定、财政部、司法部关于政府采购支持监狱企业发展有关问题的通知(财库[2014]68号)、《三部门联合发布关于促进残疾人就业政府采购政策的通知》(财库[2017]141号)的要求，对小型、微型企业、监狱企业及残疾人福利性单位产品的价格给予20%的扣除，用扣除后的价格参与评审，本项目的扣除比例为：小型企业扣除20%，微型企业扣除20%，监狱企业扣除20%，残疾人福利性单位扣除20%。监狱企业和残疾人福利性单位属于</w:t>
            </w:r>
            <w:r>
              <w:rPr>
                <w:rFonts w:hint="eastAsia" w:ascii="宋体" w:hAnsi="宋体" w:eastAsia="宋体" w:cs="Times New Roman"/>
                <w:color w:val="auto"/>
                <w:kern w:val="0"/>
                <w:sz w:val="24"/>
                <w:szCs w:val="24"/>
                <w:highlight w:val="none"/>
                <w:lang w:val="en-US" w:eastAsia="zh-CN"/>
              </w:rPr>
              <w:t>中</w:t>
            </w:r>
            <w:r>
              <w:rPr>
                <w:rFonts w:hint="eastAsia" w:ascii="宋体" w:hAnsi="宋体" w:eastAsia="宋体" w:cs="Times New Roman"/>
                <w:color w:val="auto"/>
                <w:kern w:val="0"/>
                <w:sz w:val="24"/>
                <w:szCs w:val="24"/>
                <w:highlight w:val="none"/>
                <w:lang w:eastAsia="zh-CN"/>
              </w:rPr>
              <w:t>小型、微型企业的，不重复享受政策。</w:t>
            </w:r>
          </w:p>
          <w:p w14:paraId="60F42CD8">
            <w:pPr>
              <w:spacing w:line="360" w:lineRule="auto"/>
              <w:rPr>
                <w:rFonts w:hint="eastAsia" w:ascii="宋体" w:hAnsi="宋体" w:eastAsia="宋体" w:cs="Times New Roman"/>
                <w:color w:val="auto"/>
                <w:kern w:val="0"/>
                <w:sz w:val="24"/>
                <w:szCs w:val="24"/>
                <w:highlight w:val="none"/>
                <w:lang w:eastAsia="zh-CN"/>
              </w:rPr>
            </w:pPr>
            <w:r>
              <w:rPr>
                <w:rFonts w:hint="eastAsia" w:ascii="宋体" w:hAnsi="宋体" w:eastAsia="宋体" w:cs="Times New Roman"/>
                <w:color w:val="auto"/>
                <w:kern w:val="0"/>
                <w:sz w:val="24"/>
                <w:szCs w:val="24"/>
                <w:highlight w:val="none"/>
                <w:lang w:eastAsia="zh-CN"/>
              </w:rPr>
              <w:t>在货物采购项目中，供应商提供的货物既有中小企业制造货物，也有大型企业制造货物的，不享受《政府采购促进中小企业发展管理办法》(财库[2020]46号)规定的中小企业扶持政策。</w:t>
            </w:r>
          </w:p>
          <w:p w14:paraId="3C3F8D78">
            <w:pPr>
              <w:spacing w:line="360" w:lineRule="auto"/>
              <w:rPr>
                <w:rFonts w:hint="eastAsia" w:ascii="宋体" w:hAnsi="宋体" w:eastAsia="宋体" w:cs="Times New Roman"/>
                <w:color w:val="auto"/>
                <w:kern w:val="0"/>
                <w:sz w:val="24"/>
                <w:szCs w:val="24"/>
                <w:highlight w:val="none"/>
                <w:lang w:eastAsia="zh-CN"/>
              </w:rPr>
            </w:pPr>
            <w:r>
              <w:rPr>
                <w:rFonts w:hint="eastAsia" w:ascii="宋体" w:hAnsi="宋体" w:eastAsia="宋体" w:cs="Times New Roman"/>
                <w:color w:val="auto"/>
                <w:kern w:val="0"/>
                <w:sz w:val="24"/>
                <w:szCs w:val="24"/>
                <w:highlight w:val="none"/>
                <w:lang w:eastAsia="zh-CN"/>
              </w:rPr>
              <w:t>参加政府采购活动的中小企业应当提供《中小企业声明函》；监狱企业应当提供由省级以上监狱管理局、戒毒管理局(含新疆生产建设兵团)出具的属于监狱企业的证明文件；残疾人福利性单位应当提供《残疾人福利性单位声明函》。</w:t>
            </w:r>
          </w:p>
          <w:p w14:paraId="49B9726C">
            <w:pPr>
              <w:spacing w:line="360" w:lineRule="auto"/>
              <w:rPr>
                <w:rFonts w:hint="eastAsia" w:ascii="宋体" w:hAnsi="宋体" w:eastAsia="宋体" w:cs="Times New Roman"/>
                <w:color w:val="auto"/>
                <w:kern w:val="0"/>
                <w:sz w:val="24"/>
                <w:szCs w:val="24"/>
                <w:highlight w:val="none"/>
                <w:lang w:eastAsia="zh-CN"/>
              </w:rPr>
            </w:pPr>
            <w:r>
              <w:rPr>
                <w:rFonts w:hint="eastAsia" w:ascii="宋体" w:hAnsi="宋体" w:eastAsia="宋体" w:cs="Times New Roman"/>
                <w:color w:val="auto"/>
                <w:kern w:val="0"/>
                <w:sz w:val="24"/>
                <w:szCs w:val="24"/>
                <w:highlight w:val="none"/>
                <w:lang w:eastAsia="zh-CN"/>
              </w:rPr>
              <w:t>注：依据《政府采购促进中小企业发展管理办法》(财库[2020]46号)规定享受扶持政策获得政府采购合同的，小微企业不得将合同分包给大中型企业，中型企业不得将合同分包给大型企业。</w:t>
            </w:r>
          </w:p>
          <w:p w14:paraId="569EF322">
            <w:pPr>
              <w:spacing w:line="360" w:lineRule="auto"/>
              <w:rPr>
                <w:rFonts w:hint="eastAsia" w:ascii="宋体" w:hAnsi="宋体" w:eastAsia="宋体" w:cs="Times New Roman"/>
                <w:color w:val="auto"/>
                <w:kern w:val="0"/>
                <w:sz w:val="24"/>
                <w:szCs w:val="24"/>
                <w:highlight w:val="none"/>
                <w:lang w:eastAsia="zh-CN"/>
              </w:rPr>
            </w:pPr>
            <w:r>
              <w:rPr>
                <w:rFonts w:hint="eastAsia" w:ascii="宋体" w:hAnsi="宋体" w:eastAsia="宋体" w:cs="Times New Roman"/>
                <w:color w:val="auto"/>
                <w:kern w:val="0"/>
                <w:sz w:val="24"/>
                <w:szCs w:val="24"/>
                <w:highlight w:val="none"/>
                <w:lang w:eastAsia="zh-CN"/>
              </w:rPr>
              <w:t>2.</w:t>
            </w:r>
            <w:r>
              <w:rPr>
                <w:rFonts w:hint="eastAsia" w:ascii="宋体" w:hAnsi="宋体" w:eastAsia="宋体" w:cs="Times New Roman"/>
                <w:color w:val="auto"/>
                <w:kern w:val="0"/>
                <w:sz w:val="24"/>
                <w:szCs w:val="24"/>
                <w:highlight w:val="none"/>
                <w:lang w:val="en-US" w:eastAsia="zh-CN"/>
              </w:rPr>
              <w:t>节能环保产品优先采购</w:t>
            </w:r>
          </w:p>
          <w:p w14:paraId="0FABD4BB">
            <w:pPr>
              <w:spacing w:line="360" w:lineRule="auto"/>
              <w:rPr>
                <w:rFonts w:hint="eastAsia" w:ascii="宋体" w:hAnsi="宋体" w:eastAsia="宋体" w:cs="Times New Roman"/>
                <w:color w:val="auto"/>
                <w:kern w:val="0"/>
                <w:sz w:val="24"/>
                <w:szCs w:val="24"/>
                <w:highlight w:val="none"/>
                <w:lang w:eastAsia="zh-CN"/>
              </w:rPr>
            </w:pPr>
            <w:r>
              <w:rPr>
                <w:rFonts w:hint="eastAsia" w:ascii="宋体" w:hAnsi="宋体" w:eastAsia="宋体" w:cs="Times New Roman"/>
                <w:color w:val="auto"/>
                <w:kern w:val="0"/>
                <w:sz w:val="24"/>
                <w:szCs w:val="24"/>
                <w:highlight w:val="none"/>
                <w:lang w:eastAsia="zh-CN"/>
              </w:rPr>
              <w:t>根据财政部发展改革委生态环境部市场监管总局《关于调整优化节能产品、环境标志产品政府采购执行机制的通知》(财库〔2019〕9号)、《关于印发节能产品政府采购品目清单的通知》(财库〔2019〕19号)；《关于印发环境标志产品政府采购品目清单的通知》(财库〔2019〕18号)要求，本项目若含有节能产品政府采购品目清单内政府强制采购产品，供应商须选用国家公布的认证机构认证的处于有效期之内的政府强制采购节能产品。本项目若含有节能产品、环境标志产品政府采购品目清单内政府优先采购产品，在性能、技术、服务等指标同等条件下，优先采购国家公布的认证机构认证的处于有效期之内的节能产品(政府强制采购产品除外)、环境标志产品。供应商应提供国家公布的认证机构出具的处于有效期之内的节能产品、环境标志产品认证证书。</w:t>
            </w:r>
          </w:p>
          <w:p w14:paraId="5863CF6C">
            <w:pPr>
              <w:spacing w:line="360" w:lineRule="auto"/>
              <w:rPr>
                <w:rFonts w:hint="eastAsia" w:ascii="宋体" w:hAnsi="宋体" w:eastAsia="宋体" w:cs="Times New Roman"/>
                <w:color w:val="auto"/>
                <w:kern w:val="0"/>
                <w:sz w:val="24"/>
                <w:szCs w:val="24"/>
                <w:highlight w:val="none"/>
                <w:lang w:eastAsia="zh-CN"/>
              </w:rPr>
            </w:pPr>
            <w:r>
              <w:rPr>
                <w:rFonts w:hint="eastAsia" w:ascii="宋体" w:hAnsi="宋体" w:eastAsia="宋体" w:cs="Times New Roman"/>
                <w:color w:val="auto"/>
                <w:kern w:val="0"/>
                <w:sz w:val="24"/>
                <w:szCs w:val="24"/>
                <w:highlight w:val="none"/>
                <w:lang w:eastAsia="zh-CN"/>
              </w:rPr>
              <w:t>对于同时获得节能产品和环境标志产品认证证书产品，只给予其中一种认证证书产品优先采购。</w:t>
            </w:r>
          </w:p>
          <w:p w14:paraId="0BA5C828">
            <w:pPr>
              <w:spacing w:line="360" w:lineRule="auto"/>
              <w:rPr>
                <w:rFonts w:hint="eastAsia" w:ascii="宋体" w:hAnsi="宋体" w:eastAsia="宋体" w:cs="Times New Roman"/>
                <w:color w:val="auto"/>
                <w:kern w:val="0"/>
                <w:sz w:val="24"/>
                <w:szCs w:val="24"/>
                <w:highlight w:val="none"/>
                <w:lang w:val="en-US" w:eastAsia="zh-CN"/>
              </w:rPr>
            </w:pPr>
            <w:r>
              <w:rPr>
                <w:rFonts w:hint="eastAsia" w:ascii="宋体" w:hAnsi="宋体" w:eastAsia="宋体" w:cs="Times New Roman"/>
                <w:color w:val="auto"/>
                <w:kern w:val="0"/>
                <w:sz w:val="24"/>
                <w:szCs w:val="24"/>
                <w:highlight w:val="none"/>
                <w:lang w:eastAsia="zh-CN"/>
              </w:rPr>
              <w:t>按品目清单内的政府优先采购节能产品和环境标志产品金额之和占其总价的比例，比例高的优先。</w:t>
            </w:r>
          </w:p>
          <w:p w14:paraId="3238A70C">
            <w:pPr>
              <w:spacing w:line="360" w:lineRule="auto"/>
              <w:rPr>
                <w:rFonts w:hint="eastAsia" w:ascii="宋体" w:hAnsi="宋体" w:eastAsia="宋体" w:cs="Times New Roman"/>
                <w:color w:val="auto"/>
                <w:kern w:val="0"/>
                <w:sz w:val="24"/>
                <w:szCs w:val="24"/>
                <w:highlight w:val="none"/>
                <w:lang w:eastAsia="zh-CN"/>
              </w:rPr>
            </w:pPr>
            <w:r>
              <w:rPr>
                <w:rFonts w:hint="eastAsia" w:ascii="宋体" w:hAnsi="宋体" w:eastAsia="宋体" w:cs="Times New Roman"/>
                <w:color w:val="auto"/>
                <w:kern w:val="0"/>
                <w:sz w:val="24"/>
                <w:szCs w:val="24"/>
                <w:highlight w:val="none"/>
                <w:lang w:val="en-US" w:eastAsia="zh-CN"/>
              </w:rPr>
              <w:t>3.根据《国务院办公厅关于在政府采购中实施本国产品标准及相关政策的通知》（国办发〔2025〕34号）文件，本项目不接受进口产品，供应商须提供“关于符合本国产品标准的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采购人、采购代理机构应当随中标、成交结果同时公告中标、成交供应商提供的《声明函》或有关证明文件。</w:t>
            </w:r>
          </w:p>
        </w:tc>
      </w:tr>
      <w:tr w14:paraId="653A5353">
        <w:trPr>
          <w:trHeight w:val="8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5A56FC4E">
            <w:pPr>
              <w:widowControl/>
              <w:spacing w:line="360" w:lineRule="auto"/>
              <w:jc w:val="left"/>
              <w:rPr>
                <w:rFonts w:hint="default" w:ascii="宋体" w:hAnsi="宋体" w:eastAsia="宋体" w:cs="Times New Roman"/>
                <w:color w:val="auto"/>
                <w:kern w:val="0"/>
                <w:sz w:val="24"/>
                <w:szCs w:val="24"/>
                <w:highlight w:val="none"/>
                <w:lang w:val="en-US" w:eastAsia="zh-CN"/>
              </w:rPr>
            </w:pPr>
            <w:r>
              <w:rPr>
                <w:rFonts w:hint="eastAsia" w:ascii="宋体" w:hAnsi="宋体" w:eastAsia="宋体" w:cs="Times New Roman"/>
                <w:color w:val="auto"/>
                <w:kern w:val="0"/>
                <w:sz w:val="24"/>
                <w:szCs w:val="24"/>
                <w:highlight w:val="none"/>
                <w:lang w:val="en-US" w:eastAsia="zh-CN"/>
              </w:rPr>
              <w:t>4.7.1</w:t>
            </w:r>
          </w:p>
        </w:tc>
        <w:tc>
          <w:tcPr>
            <w:tcW w:w="1424" w:type="dxa"/>
            <w:tcBorders>
              <w:top w:val="single" w:color="auto" w:sz="4" w:space="0"/>
              <w:left w:val="nil"/>
              <w:bottom w:val="single" w:color="auto" w:sz="4" w:space="0"/>
              <w:right w:val="single" w:color="auto" w:sz="4" w:space="0"/>
            </w:tcBorders>
            <w:vAlign w:val="center"/>
          </w:tcPr>
          <w:p w14:paraId="5D238A97">
            <w:pPr>
              <w:keepLines/>
              <w:spacing w:line="360" w:lineRule="auto"/>
              <w:jc w:val="center"/>
              <w:rPr>
                <w:rFonts w:hint="eastAsia" w:ascii="宋体" w:hAnsi="宋体" w:eastAsia="宋体" w:cs="Times New Roman"/>
                <w:color w:val="auto"/>
                <w:kern w:val="0"/>
                <w:sz w:val="24"/>
                <w:szCs w:val="24"/>
                <w:highlight w:val="none"/>
              </w:rPr>
            </w:pPr>
            <w:r>
              <w:rPr>
                <w:rFonts w:hint="eastAsia" w:ascii="宋体" w:hAnsi="宋体"/>
                <w:color w:val="auto"/>
                <w:kern w:val="0"/>
                <w:sz w:val="24"/>
                <w:szCs w:val="24"/>
                <w:highlight w:val="none"/>
              </w:rPr>
              <w:t>政府采购合同融资政策</w:t>
            </w:r>
          </w:p>
        </w:tc>
        <w:tc>
          <w:tcPr>
            <w:tcW w:w="6516" w:type="dxa"/>
            <w:tcBorders>
              <w:top w:val="single" w:color="auto" w:sz="4" w:space="0"/>
              <w:left w:val="nil"/>
              <w:bottom w:val="single" w:color="auto" w:sz="4" w:space="0"/>
              <w:right w:val="single" w:color="auto" w:sz="4" w:space="0"/>
            </w:tcBorders>
            <w:vAlign w:val="center"/>
          </w:tcPr>
          <w:p w14:paraId="120B89F5">
            <w:pPr>
              <w:keepLines/>
              <w:spacing w:line="360" w:lineRule="auto"/>
              <w:rPr>
                <w:rFonts w:hint="eastAsia" w:ascii="宋体" w:hAnsi="宋体" w:eastAsia="宋体" w:cs="Times New Roman"/>
                <w:color w:val="auto"/>
                <w:kern w:val="0"/>
                <w:sz w:val="24"/>
                <w:szCs w:val="24"/>
                <w:highlight w:val="none"/>
              </w:rPr>
            </w:pPr>
            <w:r>
              <w:rPr>
                <w:rFonts w:hint="eastAsia" w:ascii="宋体" w:hAnsi="宋体"/>
                <w:color w:val="auto"/>
                <w:kern w:val="0"/>
                <w:sz w:val="24"/>
                <w:szCs w:val="24"/>
                <w:highlight w:val="none"/>
              </w:rPr>
              <w:t>供应商中标后，如需融资，参照《河南省政府采购合同融资工作实施方案》（豫财购〔2017〕10号）执行。</w:t>
            </w:r>
          </w:p>
        </w:tc>
      </w:tr>
      <w:tr w14:paraId="56A1CCC1">
        <w:trPr>
          <w:trHeight w:val="825"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1189A92A">
            <w:pPr>
              <w:widowControl/>
              <w:spacing w:line="360" w:lineRule="auto"/>
              <w:jc w:val="left"/>
              <w:rPr>
                <w:rFonts w:hint="default" w:ascii="宋体" w:hAnsi="宋体" w:eastAsia="宋体" w:cs="Times New Roman"/>
                <w:color w:val="auto"/>
                <w:kern w:val="0"/>
                <w:sz w:val="24"/>
                <w:szCs w:val="24"/>
                <w:highlight w:val="none"/>
                <w:lang w:val="en-US" w:eastAsia="zh-CN"/>
              </w:rPr>
            </w:pPr>
            <w:r>
              <w:rPr>
                <w:rFonts w:hint="eastAsia" w:ascii="宋体" w:hAnsi="宋体" w:eastAsia="宋体" w:cs="Times New Roman"/>
                <w:color w:val="auto"/>
                <w:kern w:val="0"/>
                <w:sz w:val="24"/>
                <w:szCs w:val="24"/>
                <w:highlight w:val="none"/>
                <w:lang w:val="en-US" w:eastAsia="zh-CN"/>
              </w:rPr>
              <w:t>4.8</w:t>
            </w:r>
          </w:p>
        </w:tc>
        <w:tc>
          <w:tcPr>
            <w:tcW w:w="1424" w:type="dxa"/>
            <w:tcBorders>
              <w:top w:val="single" w:color="auto" w:sz="4" w:space="0"/>
              <w:left w:val="nil"/>
              <w:bottom w:val="single" w:color="auto" w:sz="4" w:space="0"/>
              <w:right w:val="single" w:color="auto" w:sz="4" w:space="0"/>
            </w:tcBorders>
            <w:vAlign w:val="center"/>
          </w:tcPr>
          <w:p w14:paraId="07A0EBC0">
            <w:pPr>
              <w:keepLines/>
              <w:spacing w:line="360" w:lineRule="auto"/>
              <w:jc w:val="center"/>
              <w:rPr>
                <w:rFonts w:hint="eastAsia" w:ascii="宋体" w:hAnsi="宋体"/>
                <w:color w:val="auto"/>
                <w:kern w:val="0"/>
                <w:sz w:val="24"/>
                <w:szCs w:val="24"/>
                <w:highlight w:val="none"/>
              </w:rPr>
            </w:pPr>
            <w:r>
              <w:rPr>
                <w:rFonts w:hint="eastAsia" w:ascii="宋体" w:hAnsi="宋体"/>
                <w:color w:val="auto"/>
                <w:kern w:val="0"/>
                <w:sz w:val="24"/>
                <w:szCs w:val="24"/>
                <w:highlight w:val="none"/>
                <w:lang w:val="en-US" w:eastAsia="zh-CN"/>
              </w:rPr>
              <w:t>关于异常低价的处理</w:t>
            </w:r>
          </w:p>
        </w:tc>
        <w:tc>
          <w:tcPr>
            <w:tcW w:w="6516" w:type="dxa"/>
            <w:tcBorders>
              <w:top w:val="single" w:color="auto" w:sz="4" w:space="0"/>
              <w:left w:val="nil"/>
              <w:bottom w:val="single" w:color="auto" w:sz="4" w:space="0"/>
              <w:right w:val="single" w:color="auto" w:sz="4" w:space="0"/>
            </w:tcBorders>
            <w:vAlign w:val="center"/>
          </w:tcPr>
          <w:p w14:paraId="747D6149">
            <w:pPr>
              <w:keepLines/>
              <w:spacing w:line="360" w:lineRule="auto"/>
              <w:rPr>
                <w:rFonts w:hint="eastAsia" w:ascii="宋体" w:hAnsi="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政府采购评审中出现下列情形之一的，评标委员会应当启动异常低价投标（响应）审查程序：</w:t>
            </w:r>
          </w:p>
          <w:p w14:paraId="10B044F9">
            <w:pPr>
              <w:keepLines/>
              <w:spacing w:line="360" w:lineRule="auto"/>
              <w:rPr>
                <w:rFonts w:hint="eastAsia" w:ascii="宋体" w:hAnsi="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500ACDCB">
            <w:pPr>
              <w:keepLines/>
              <w:spacing w:line="360" w:lineRule="auto"/>
              <w:rPr>
                <w:rFonts w:hint="eastAsia" w:ascii="宋体" w:hAnsi="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（2）投标（响应）报价低于通过符合性审查的次低报价供应商投标（响应）报价 50%的，即投标（响应）报价&lt;通过符合性审查的次低报价供应商投标（响应）报价×50%；</w:t>
            </w:r>
          </w:p>
          <w:p w14:paraId="23946DDE">
            <w:pPr>
              <w:keepLines/>
              <w:spacing w:line="360" w:lineRule="auto"/>
              <w:rPr>
                <w:rFonts w:hint="eastAsia" w:ascii="宋体" w:hAnsi="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（3）投标（响应）报价低于采购项目最高限价45%的，即投标（响应）报价&lt;采购项目最高限价×45%；</w:t>
            </w:r>
          </w:p>
          <w:p w14:paraId="537129F8">
            <w:pPr>
              <w:keepLines/>
              <w:spacing w:line="360" w:lineRule="auto"/>
              <w:rPr>
                <w:rFonts w:hint="eastAsia" w:ascii="宋体" w:hAnsi="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（4）评标委员会基于专业判断，认为供应商报价过低，有可能影响产品质量或者不能诚信履约的其他情形。</w:t>
            </w:r>
          </w:p>
          <w:p w14:paraId="3DFF95F5">
            <w:pPr>
              <w:keepLines/>
              <w:spacing w:line="360" w:lineRule="auto"/>
              <w:rPr>
                <w:rFonts w:hint="eastAsia" w:ascii="宋体" w:hAnsi="宋体"/>
                <w:color w:val="auto"/>
                <w:kern w:val="0"/>
                <w:sz w:val="24"/>
                <w:szCs w:val="24"/>
                <w:highlight w:val="none"/>
                <w:lang w:val="en-US" w:eastAsia="zh-CN"/>
              </w:rPr>
            </w:pPr>
            <w:r>
              <w:rPr>
                <w:rFonts w:hint="eastAsia" w:ascii="宋体" w:hAnsi="宋体"/>
                <w:color w:val="auto"/>
                <w:kern w:val="0"/>
                <w:sz w:val="24"/>
                <w:szCs w:val="24"/>
                <w:highlight w:val="none"/>
                <w:lang w:val="en-US" w:eastAsia="zh-CN"/>
              </w:rPr>
              <w:t>评标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 分钟。其中，属于第3 项情形，供应商已随投标（响应）文件一并提交相关书面说明及必要的证明材料的，在评审现场可不再重复提交。</w:t>
            </w:r>
          </w:p>
          <w:p w14:paraId="0CDEA825">
            <w:pPr>
              <w:keepLines/>
              <w:spacing w:line="360" w:lineRule="auto"/>
              <w:rPr>
                <w:rFonts w:hint="eastAsia" w:ascii="宋体" w:hAnsi="宋体"/>
                <w:color w:val="auto"/>
                <w:kern w:val="0"/>
                <w:sz w:val="24"/>
                <w:szCs w:val="24"/>
                <w:highlight w:val="none"/>
              </w:rPr>
            </w:pPr>
            <w:r>
              <w:rPr>
                <w:rFonts w:hint="eastAsia" w:ascii="宋体" w:hAnsi="宋体"/>
                <w:color w:val="auto"/>
                <w:kern w:val="0"/>
                <w:sz w:val="24"/>
                <w:szCs w:val="24"/>
                <w:highlight w:val="none"/>
                <w:lang w:val="en-US" w:eastAsia="zh-CN"/>
              </w:rPr>
              <w:t>评标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标委员会应当将其作为无效投标（响应）处理。</w:t>
            </w:r>
          </w:p>
        </w:tc>
      </w:tr>
      <w:tr w14:paraId="60BB8E97">
        <w:trPr>
          <w:trHeight w:val="1266"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63694B05">
            <w:pPr>
              <w:widowControl/>
              <w:spacing w:line="360" w:lineRule="auto"/>
              <w:jc w:val="left"/>
              <w:rPr>
                <w:rFonts w:hint="default" w:ascii="宋体" w:hAnsi="宋体" w:eastAsia="宋体" w:cs="Times New Roman"/>
                <w:color w:val="auto"/>
                <w:kern w:val="0"/>
                <w:sz w:val="24"/>
                <w:szCs w:val="24"/>
                <w:highlight w:val="none"/>
                <w:lang w:val="en-US" w:eastAsia="zh-CN"/>
              </w:rPr>
            </w:pPr>
            <w:r>
              <w:rPr>
                <w:rFonts w:hint="eastAsia" w:ascii="宋体" w:hAnsi="宋体" w:eastAsia="宋体" w:cs="Times New Roman"/>
                <w:color w:val="auto"/>
                <w:kern w:val="0"/>
                <w:sz w:val="24"/>
                <w:szCs w:val="24"/>
                <w:highlight w:val="none"/>
                <w:lang w:val="en-US" w:eastAsia="zh-CN"/>
              </w:rPr>
              <w:t>5.0</w:t>
            </w:r>
          </w:p>
        </w:tc>
        <w:tc>
          <w:tcPr>
            <w:tcW w:w="1424" w:type="dxa"/>
            <w:tcBorders>
              <w:top w:val="single" w:color="auto" w:sz="4" w:space="0"/>
              <w:left w:val="nil"/>
              <w:bottom w:val="single" w:color="auto" w:sz="4" w:space="0"/>
              <w:right w:val="single" w:color="auto" w:sz="4" w:space="0"/>
            </w:tcBorders>
            <w:vAlign w:val="center"/>
          </w:tcPr>
          <w:p w14:paraId="6DBCD4C8">
            <w:pPr>
              <w:widowControl/>
              <w:spacing w:line="360" w:lineRule="auto"/>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电子化注意事项</w:t>
            </w:r>
          </w:p>
        </w:tc>
        <w:tc>
          <w:tcPr>
            <w:tcW w:w="6516" w:type="dxa"/>
            <w:tcBorders>
              <w:top w:val="single" w:color="auto" w:sz="4" w:space="0"/>
              <w:left w:val="nil"/>
              <w:bottom w:val="single" w:color="auto" w:sz="4" w:space="0"/>
              <w:right w:val="single" w:color="auto" w:sz="4" w:space="0"/>
            </w:tcBorders>
            <w:vAlign w:val="center"/>
          </w:tcPr>
          <w:p w14:paraId="09B6671E">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本项目为电子化、无纸化交易项目，投标文件是投标供应商、供应商（以下简称“投标供应商”）通过中心投标文件制作系统制作，并经过电子签章和加密后生成的电子版投标文件。供应商投标时，将不再接受任何纸质文件资料。</w:t>
            </w:r>
          </w:p>
          <w:p w14:paraId="438ABAEA">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温馨提示：本项目为电子化、无纸化交易项目，开标时不接受任何纸质资料，为保证您能投标成功，请需仔细阅读以下条款。</w:t>
            </w:r>
          </w:p>
          <w:p w14:paraId="25527D5E">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一、电子化投标</w:t>
            </w:r>
          </w:p>
          <w:p w14:paraId="385EFF71">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（一）网上投标保证金的缴纳本项目不收取投标保证金。</w:t>
            </w:r>
          </w:p>
          <w:p w14:paraId="26F88A32">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（二）电子化投标文件的签章</w:t>
            </w:r>
          </w:p>
          <w:p w14:paraId="4894257D">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1、投标供应商在生成电子化投标文件后，应对电子化投标文件进行签章，未进行签章的视为无效投标。</w:t>
            </w:r>
          </w:p>
          <w:p w14:paraId="7921379C">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2、招标文件中要求投标供应商盖章的，以签盖单位章为准；要求法定代表人签章的，以签盖法定代表人签章为准。</w:t>
            </w:r>
          </w:p>
          <w:p w14:paraId="7738E25F">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（三）电子化投标文件的格式及上传投标文件具体操作详见</w:t>
            </w:r>
          </w:p>
          <w:p w14:paraId="51FB702C">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1、《三门峡市公共资源交易服务平台操作手册》。</w:t>
            </w:r>
          </w:p>
          <w:p w14:paraId="03CC2BB3">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链接地址：</w:t>
            </w:r>
          </w:p>
          <w:p w14:paraId="7001CC49">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http://gzjy.smx.gov.cn/bzzx/008001/20200325/1d4d9bd4-82a2-4284-b2f7-428c4c69ef58.html</w:t>
            </w:r>
          </w:p>
          <w:p w14:paraId="05F8E6B5">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2、三门峡市公共资源交易服务平台投标制作工具下载地址</w:t>
            </w:r>
          </w:p>
          <w:p w14:paraId="1B817101">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c3、电子化投标文件应在投标截止时间前成功上传至三门峡市公共资源电子化交易系统。至投标截止时间止， 仍未上传成功的电子化投标文件将不予接收。</w:t>
            </w:r>
          </w:p>
          <w:p w14:paraId="70E338C8">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注：如按照电子化投标操作教材制作完成的电子化投标文件无法上传的，投标供应商应在投标截止时间前尽早的联系中心技术人员，以便有充分的时间进行处理。投标供应商应充分考虑到处理技术问题和上传数据等工作所需的时间问题，投标文件未在投标截止时间前成功上传的，其投标文件不予接收。</w:t>
            </w:r>
          </w:p>
          <w:p w14:paraId="77246271">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新点客服电话:4009980000</w:t>
            </w:r>
          </w:p>
          <w:p w14:paraId="6D9EEAB9">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（四）电子化项目开标、解密、唱标、评标</w:t>
            </w:r>
          </w:p>
          <w:p w14:paraId="45A5EF4A">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1、本项目为不见面开标项目，开标当日，投标供应商无需到开标现场参加开标会议，投标供应商应当在投标截止时间前，登陆不见面开标大厅选择登陆三门峡市公共资源电子招投标系统进行登陆（网址为http://120.194.249.36:10094/BidOpening/bidopeninghallaction/hall/login）,在线准时参加开标活动并进行投标文件解密等。每位供应商的解密时间为开标时间起30分钟内完成。未按时解密的其投标将被否决。因供应商原因未能解密、解密失败或解密超时的将被拒绝。</w:t>
            </w:r>
          </w:p>
          <w:p w14:paraId="71AF8E76">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2、电子化投标文件采用一次加密方式。开标时，由投标供应商使用 CA 证书，在规定时间内对其电子化投标文件进行解密。每位投标供应商的解密时间为开标时间起30 分钟内，如在规定时间内未完成解密的，其投标文件不予开标、唱标。</w:t>
            </w:r>
          </w:p>
          <w:p w14:paraId="6F729FB1">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3、电子化投标文件解密异常的处理</w:t>
            </w:r>
          </w:p>
          <w:p w14:paraId="7189C630">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如出现投标供应商的电子投标文件无法解密等异常情况，投标供应商应及时致电中介服务机构说明。投标文件异常，按以下步骤进行处理：</w:t>
            </w:r>
          </w:p>
          <w:p w14:paraId="0CAE21C1">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（1）首先由技术人员进行问题排查。</w:t>
            </w:r>
          </w:p>
          <w:p w14:paraId="65EBA8F3">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（2）经技术人员排查后，是投标供应商文件自身问题导致投标文件无法解密的，该投标文件将不予接收、解密和唱标。开标会议继续进行。</w:t>
            </w:r>
          </w:p>
          <w:p w14:paraId="45990A79">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075E1D42">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4、待所有投标供应商投标文件解密完成后，由中介服务机构操作，对所有已解密投标文件进行唱标。</w:t>
            </w:r>
          </w:p>
          <w:p w14:paraId="7D36BC69">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投标供应商应保证在开标期间电话、电脑、网络能够正常工作，投标供应商因停电、电脑病毒、网络堵塞等原因，未在规定的解密时间内对投标文件进行解密的，其投标文件不予接收、唱标。</w:t>
            </w:r>
          </w:p>
          <w:p w14:paraId="2A9251C2">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5、开标时投标供应商可登录到交易系统中在开标解密栏中点击报价一览表查看自己的投标报价。如对自己的唱标内容有异议的，应在投标供应商解密成功后 10 分钟内向中介服务机构电话质疑。中介服务机构应在监督人员的监督下进行免提通话接受投标供应商的质疑并做好书面记录。投标供应商未在规定时间内提出质疑的，视为认可唱标内容。</w:t>
            </w:r>
          </w:p>
          <w:p w14:paraId="0685BC40">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6、评标时，评标委员会对电子化投标文件有质疑的， 将通过电子化交易系统对投标供应商发起质疑，并在监督人员的监督下，用免提模式致电需要答复的投标供应商对质疑进行回复。投标供应商的回复文件必须以经过投标供应商和其法定代表人签章的 PDF 格式文件为准， 并通过电子化交易系统提交至评标委员会。</w:t>
            </w:r>
          </w:p>
          <w:p w14:paraId="23FD8226">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7、如评标委员会对需要回复的投标供应商连续三次致电未接通的，视为投标供应商放弃回复，评标委员会将自行对需要回复的内容进行认定。</w:t>
            </w:r>
          </w:p>
          <w:p w14:paraId="411FCBA1">
            <w:pPr>
              <w:widowControl/>
              <w:spacing w:line="360" w:lineRule="auto"/>
              <w:jc w:val="left"/>
              <w:rPr>
                <w:rFonts w:hint="eastAsia"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注：招标文件中要求供应商提交资质、业绩、荣誉及单位人员等相关资料原件的，供应商需将原件扫描件制作到电子投标文件中，评审中资格审查、评审打分以投标文件为准，其上传资料真实性由供应商自行承担，同时，供应商要完善主体库。</w:t>
            </w:r>
          </w:p>
          <w:p w14:paraId="4970BDC2">
            <w:pPr>
              <w:widowControl/>
              <w:spacing w:line="360" w:lineRule="auto"/>
              <w:jc w:val="left"/>
              <w:rPr>
                <w:rFonts w:ascii="宋体" w:hAnsi="宋体" w:eastAsia="宋体" w:cs="宋体"/>
                <w:b w:val="0"/>
                <w:bCs/>
                <w:color w:val="auto"/>
                <w:kern w:val="0"/>
                <w:sz w:val="24"/>
                <w:szCs w:val="24"/>
                <w:highlight w:val="none"/>
                <w:lang w:val="en-US" w:eastAsia="zh-CN" w:bidi="ar-SA"/>
              </w:rPr>
            </w:pPr>
            <w:r>
              <w:rPr>
                <w:rFonts w:hint="eastAsia" w:ascii="宋体" w:hAnsi="宋体" w:eastAsia="宋体" w:cs="宋体"/>
                <w:b w:val="0"/>
                <w:bCs/>
                <w:color w:val="auto"/>
                <w:kern w:val="0"/>
                <w:sz w:val="24"/>
                <w:szCs w:val="24"/>
                <w:highlight w:val="none"/>
                <w:lang w:val="en-US" w:eastAsia="zh-CN" w:bidi="ar-SA"/>
              </w:rPr>
              <w:t>提示：本项目为电子化、无纸化交易项目，为保证您能投标成功，请需仔细阅读以上条款。</w:t>
            </w:r>
          </w:p>
        </w:tc>
      </w:tr>
      <w:tr w14:paraId="1D4EE7F5">
        <w:trPr>
          <w:trHeight w:val="1266" w:hRule="atLeast"/>
          <w:jc w:val="center"/>
        </w:trPr>
        <w:tc>
          <w:tcPr>
            <w:tcW w:w="976" w:type="dxa"/>
            <w:tcBorders>
              <w:top w:val="single" w:color="auto" w:sz="4" w:space="0"/>
              <w:left w:val="single" w:color="auto" w:sz="4" w:space="0"/>
              <w:bottom w:val="single" w:color="auto" w:sz="4" w:space="0"/>
              <w:right w:val="single" w:color="auto" w:sz="4" w:space="0"/>
            </w:tcBorders>
            <w:vAlign w:val="center"/>
          </w:tcPr>
          <w:p w14:paraId="5A3AD9CE">
            <w:pPr>
              <w:widowControl/>
              <w:spacing w:line="360" w:lineRule="auto"/>
              <w:jc w:val="left"/>
              <w:rPr>
                <w:rFonts w:hint="default" w:ascii="宋体" w:hAnsi="宋体" w:eastAsia="宋体" w:cs="Times New Roman"/>
                <w:color w:val="auto"/>
                <w:kern w:val="0"/>
                <w:sz w:val="24"/>
                <w:szCs w:val="24"/>
                <w:highlight w:val="none"/>
                <w:lang w:val="en-US" w:eastAsia="zh-CN"/>
              </w:rPr>
            </w:pPr>
            <w:r>
              <w:rPr>
                <w:rFonts w:hint="eastAsia" w:ascii="宋体" w:hAnsi="宋体" w:eastAsia="宋体" w:cs="Times New Roman"/>
                <w:color w:val="auto"/>
                <w:kern w:val="0"/>
                <w:sz w:val="24"/>
                <w:szCs w:val="24"/>
                <w:highlight w:val="none"/>
                <w:lang w:val="en-US" w:eastAsia="zh-CN"/>
              </w:rPr>
              <w:t>5.1</w:t>
            </w:r>
          </w:p>
        </w:tc>
        <w:tc>
          <w:tcPr>
            <w:tcW w:w="1424" w:type="dxa"/>
            <w:tcBorders>
              <w:top w:val="single" w:color="auto" w:sz="4" w:space="0"/>
              <w:left w:val="nil"/>
              <w:bottom w:val="single" w:color="auto" w:sz="4" w:space="0"/>
              <w:right w:val="single" w:color="auto" w:sz="4" w:space="0"/>
            </w:tcBorders>
            <w:vAlign w:val="center"/>
          </w:tcPr>
          <w:p w14:paraId="1C0569C1">
            <w:pPr>
              <w:widowControl/>
              <w:spacing w:line="360" w:lineRule="auto"/>
              <w:jc w:val="left"/>
              <w:rPr>
                <w:rFonts w:hint="eastAsia" w:ascii="宋体" w:hAnsi="宋体" w:eastAsia="宋体" w:cs="Times New Roman"/>
                <w:color w:val="auto"/>
                <w:kern w:val="0"/>
                <w:sz w:val="24"/>
                <w:szCs w:val="24"/>
                <w:highlight w:val="none"/>
                <w:lang w:eastAsia="zh-CN"/>
              </w:rPr>
            </w:pPr>
            <w:r>
              <w:rPr>
                <w:rFonts w:hint="eastAsia" w:ascii="宋体" w:hAnsi="宋体" w:eastAsia="宋体" w:cs="Times New Roman"/>
                <w:color w:val="auto"/>
                <w:kern w:val="0"/>
                <w:sz w:val="24"/>
                <w:szCs w:val="24"/>
                <w:highlight w:val="none"/>
                <w:lang w:eastAsia="zh-CN"/>
              </w:rPr>
              <w:t>其他补充事宜</w:t>
            </w:r>
          </w:p>
        </w:tc>
        <w:tc>
          <w:tcPr>
            <w:tcW w:w="6516" w:type="dxa"/>
            <w:tcBorders>
              <w:top w:val="single" w:color="auto" w:sz="4" w:space="0"/>
              <w:left w:val="nil"/>
              <w:bottom w:val="single" w:color="auto" w:sz="4" w:space="0"/>
              <w:right w:val="single" w:color="auto" w:sz="4" w:space="0"/>
            </w:tcBorders>
            <w:vAlign w:val="center"/>
          </w:tcPr>
          <w:p w14:paraId="4F50127F">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本项目实行资格后审，根据优化营商环境的要求，评标时审查内容以投标文件为准：</w:t>
            </w:r>
          </w:p>
          <w:p w14:paraId="5BB9E65F">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1、资格评（预）审部分：资格评（预）审以投标文件为准，其上传资料真实性由</w:t>
            </w:r>
            <w:r>
              <w:rPr>
                <w:rFonts w:hint="eastAsia" w:ascii="宋体" w:hAnsi="宋体" w:eastAsia="宋体" w:cs="Times New Roman"/>
                <w:bCs/>
                <w:color w:val="auto"/>
                <w:sz w:val="24"/>
                <w:szCs w:val="24"/>
                <w:highlight w:val="none"/>
                <w:lang w:eastAsia="zh-CN"/>
              </w:rPr>
              <w:t>投标供应商</w:t>
            </w:r>
            <w:r>
              <w:rPr>
                <w:rFonts w:hint="eastAsia" w:ascii="宋体" w:hAnsi="宋体" w:eastAsia="宋体" w:cs="Times New Roman"/>
                <w:bCs/>
                <w:color w:val="auto"/>
                <w:sz w:val="24"/>
                <w:szCs w:val="24"/>
                <w:highlight w:val="none"/>
              </w:rPr>
              <w:t>自行承担。</w:t>
            </w:r>
          </w:p>
          <w:p w14:paraId="5C21CB33">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2、评标打分部分：评标打分部分仍按照100分制原则进行，涉及到资格审查、企业荣誉、人员业绩、企业业绩等计分部分时，以投标单位自行上传到投标文件中的相应内容为准。</w:t>
            </w:r>
          </w:p>
          <w:p w14:paraId="5D9DBE80">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3、投标文件编制部分：在招标文件中要求</w:t>
            </w:r>
            <w:r>
              <w:rPr>
                <w:rFonts w:hint="eastAsia" w:ascii="宋体" w:hAnsi="宋体" w:eastAsia="宋体" w:cs="Times New Roman"/>
                <w:bCs/>
                <w:color w:val="auto"/>
                <w:sz w:val="24"/>
                <w:szCs w:val="24"/>
                <w:highlight w:val="none"/>
                <w:lang w:eastAsia="zh-CN"/>
              </w:rPr>
              <w:t>投标供应商</w:t>
            </w:r>
            <w:r>
              <w:rPr>
                <w:rFonts w:hint="eastAsia" w:ascii="宋体" w:hAnsi="宋体" w:eastAsia="宋体" w:cs="Times New Roman"/>
                <w:bCs/>
                <w:color w:val="auto"/>
                <w:sz w:val="24"/>
                <w:szCs w:val="24"/>
                <w:highlight w:val="none"/>
              </w:rPr>
              <w:t>按照投标文件格式进行投标文件编制，在投标文件编制时，应明确将投标单位企业基本情况、资质情况、人员情况、财务情况、业绩情况编入投标文件，便于进行资格审查及评标打分。</w:t>
            </w:r>
          </w:p>
          <w:p w14:paraId="10B8D387">
            <w:pPr>
              <w:spacing w:line="360" w:lineRule="auto"/>
              <w:ind w:firstLine="480" w:firstLineChars="200"/>
              <w:rPr>
                <w:rFonts w:hint="eastAsia" w:ascii="宋体" w:hAnsi="宋体" w:eastAsia="宋体" w:cs="Times New Roman"/>
                <w:color w:val="auto"/>
                <w:kern w:val="0"/>
                <w:sz w:val="24"/>
                <w:szCs w:val="24"/>
                <w:highlight w:val="none"/>
              </w:rPr>
            </w:pPr>
            <w:r>
              <w:rPr>
                <w:rFonts w:hint="eastAsia" w:ascii="宋体" w:hAnsi="宋体" w:eastAsia="宋体" w:cs="Times New Roman"/>
                <w:bCs/>
                <w:color w:val="auto"/>
                <w:sz w:val="24"/>
                <w:szCs w:val="24"/>
                <w:highlight w:val="none"/>
              </w:rPr>
              <w:t>4、我单位（采购人）严格按三财购【2021】9号文要求的时限发布中标结果公告，发出中标通知书，签订采购合同，上传采购合同。</w:t>
            </w:r>
          </w:p>
        </w:tc>
      </w:tr>
    </w:tbl>
    <w:p w14:paraId="78E3E3D8">
      <w:pPr>
        <w:widowControl/>
        <w:spacing w:line="360" w:lineRule="auto"/>
        <w:jc w:val="left"/>
        <w:rPr>
          <w:rFonts w:ascii="宋体" w:hAnsi="宋体" w:eastAsia="宋体" w:cs="Times New Roman"/>
          <w:b/>
          <w:bCs/>
          <w:color w:val="auto"/>
          <w:kern w:val="0"/>
          <w:sz w:val="24"/>
          <w:szCs w:val="24"/>
          <w:highlight w:val="none"/>
        </w:rPr>
      </w:pPr>
      <w:r>
        <w:rPr>
          <w:rFonts w:hint="eastAsia" w:ascii="宋体" w:hAnsi="宋体" w:eastAsia="宋体" w:cs="Times New Roman"/>
          <w:b/>
          <w:bCs/>
          <w:color w:val="auto"/>
          <w:kern w:val="0"/>
          <w:sz w:val="28"/>
          <w:szCs w:val="28"/>
          <w:highlight w:val="none"/>
        </w:rPr>
        <w:br w:type="page"/>
      </w:r>
      <w:r>
        <w:rPr>
          <w:rFonts w:hint="eastAsia" w:ascii="宋体" w:hAnsi="宋体" w:eastAsia="宋体" w:cs="Times New Roman"/>
          <w:b/>
          <w:bCs/>
          <w:color w:val="auto"/>
          <w:kern w:val="0"/>
          <w:sz w:val="24"/>
          <w:szCs w:val="24"/>
          <w:highlight w:val="none"/>
        </w:rPr>
        <w:t>一、总则</w:t>
      </w:r>
    </w:p>
    <w:p w14:paraId="26A5F8B2">
      <w:pPr>
        <w:widowControl/>
        <w:spacing w:line="360" w:lineRule="auto"/>
        <w:ind w:firstLine="353" w:firstLineChars="147"/>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1、项目概况</w:t>
      </w:r>
    </w:p>
    <w:p w14:paraId="40008601">
      <w:pPr>
        <w:widowControl/>
        <w:spacing w:line="360" w:lineRule="auto"/>
        <w:ind w:firstLine="240"/>
        <w:jc w:val="left"/>
        <w:rPr>
          <w:rFonts w:ascii="Times New Roman" w:hAnsi="Times New Roman" w:eastAsia="宋体" w:cs="Times New Roman"/>
          <w:bCs/>
          <w:iCs/>
          <w:color w:val="auto"/>
          <w:sz w:val="24"/>
          <w:szCs w:val="24"/>
          <w:highlight w:val="none"/>
        </w:rPr>
      </w:pPr>
      <w:r>
        <w:rPr>
          <w:rFonts w:hint="eastAsia" w:ascii="宋体" w:hAnsi="宋体" w:eastAsia="宋体" w:cs="Times New Roman"/>
          <w:color w:val="auto"/>
          <w:kern w:val="0"/>
          <w:sz w:val="24"/>
          <w:szCs w:val="24"/>
          <w:highlight w:val="none"/>
        </w:rPr>
        <w:t xml:space="preserve">  </w:t>
      </w:r>
      <w:r>
        <w:rPr>
          <w:rFonts w:hint="eastAsia" w:ascii="宋体" w:hAnsi="宋体" w:eastAsia="宋体" w:cs="Times New Roman"/>
          <w:color w:val="auto"/>
          <w:kern w:val="0"/>
          <w:sz w:val="24"/>
          <w:szCs w:val="24"/>
          <w:highlight w:val="none"/>
          <w:lang w:eastAsia="zh-CN"/>
        </w:rPr>
        <w:t>中恒晟（北京）工程管理有限公司</w:t>
      </w:r>
      <w:r>
        <w:rPr>
          <w:rFonts w:hint="eastAsia" w:ascii="宋体" w:hAnsi="宋体" w:eastAsia="宋体" w:cs="Times New Roman"/>
          <w:color w:val="auto"/>
          <w:kern w:val="0"/>
          <w:sz w:val="24"/>
          <w:szCs w:val="24"/>
          <w:highlight w:val="none"/>
        </w:rPr>
        <w:t>受</w:t>
      </w:r>
      <w:r>
        <w:rPr>
          <w:rFonts w:hint="eastAsia" w:ascii="宋体" w:hAnsi="宋体" w:eastAsia="宋体" w:cs="Times New Roman"/>
          <w:color w:val="auto"/>
          <w:sz w:val="24"/>
          <w:szCs w:val="24"/>
          <w:highlight w:val="none"/>
          <w:lang w:eastAsia="zh-CN"/>
        </w:rPr>
        <w:t>三门峡市产品质量检验检测中心</w:t>
      </w:r>
      <w:r>
        <w:rPr>
          <w:rFonts w:hint="eastAsia" w:ascii="宋体" w:hAnsi="宋体" w:eastAsia="宋体" w:cs="Times New Roman"/>
          <w:color w:val="auto"/>
          <w:kern w:val="0"/>
          <w:sz w:val="24"/>
          <w:szCs w:val="24"/>
          <w:highlight w:val="none"/>
        </w:rPr>
        <w:t>的委托，就</w:t>
      </w:r>
      <w:r>
        <w:rPr>
          <w:rFonts w:hint="eastAsia" w:ascii="宋体" w:hAnsi="宋体" w:eastAsia="宋体" w:cs="Times New Roman"/>
          <w:color w:val="auto"/>
          <w:sz w:val="24"/>
          <w:szCs w:val="24"/>
          <w:highlight w:val="none"/>
          <w:lang w:eastAsia="zh-CN"/>
        </w:rPr>
        <w:t>三门峡市产品质量检验检测中心计量检测设备更新项目</w:t>
      </w:r>
      <w:r>
        <w:rPr>
          <w:rFonts w:hint="eastAsia" w:ascii="宋体" w:hAnsi="宋体" w:eastAsia="宋体" w:cs="Times New Roman"/>
          <w:color w:val="auto"/>
          <w:kern w:val="0"/>
          <w:sz w:val="24"/>
          <w:szCs w:val="24"/>
          <w:highlight w:val="none"/>
          <w:shd w:val="clear" w:color="auto" w:fill="FFFFFF"/>
        </w:rPr>
        <w:t>进行公开招标，现欢迎有能力的</w:t>
      </w:r>
      <w:r>
        <w:rPr>
          <w:rFonts w:hint="eastAsia" w:ascii="宋体" w:hAnsi="宋体" w:eastAsia="宋体" w:cs="Times New Roman"/>
          <w:color w:val="auto"/>
          <w:kern w:val="0"/>
          <w:sz w:val="24"/>
          <w:szCs w:val="24"/>
          <w:highlight w:val="none"/>
          <w:shd w:val="clear" w:color="auto" w:fill="FFFFFF"/>
          <w:lang w:val="en-US" w:eastAsia="zh-CN"/>
        </w:rPr>
        <w:t>投标供应商</w:t>
      </w:r>
      <w:r>
        <w:rPr>
          <w:rFonts w:hint="eastAsia" w:ascii="宋体" w:hAnsi="宋体" w:eastAsia="宋体" w:cs="Times New Roman"/>
          <w:color w:val="auto"/>
          <w:kern w:val="0"/>
          <w:sz w:val="24"/>
          <w:szCs w:val="24"/>
          <w:highlight w:val="none"/>
          <w:shd w:val="clear" w:color="auto" w:fill="FFFFFF"/>
        </w:rPr>
        <w:t>参加投标。</w:t>
      </w:r>
    </w:p>
    <w:p w14:paraId="5F716553">
      <w:pPr>
        <w:widowControl/>
        <w:spacing w:line="360" w:lineRule="auto"/>
        <w:ind w:firstLine="351" w:firstLineChars="146"/>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2、投标费用</w:t>
      </w:r>
    </w:p>
    <w:p w14:paraId="578E9BCA">
      <w:pPr>
        <w:widowControl/>
        <w:spacing w:line="360" w:lineRule="auto"/>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承担其投标文件编制与递交所涉及的一切费用。在任何情况下采购人和采购代理机构对上述费用均不承担任何责任。</w:t>
      </w:r>
    </w:p>
    <w:p w14:paraId="62564E0E">
      <w:pPr>
        <w:widowControl/>
        <w:spacing w:line="360" w:lineRule="auto"/>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 xml:space="preserve">  3、定义及解释</w:t>
      </w:r>
    </w:p>
    <w:p w14:paraId="3D13C24C">
      <w:pPr>
        <w:widowControl/>
        <w:spacing w:line="360" w:lineRule="auto"/>
        <w:ind w:firstLine="235" w:firstLineChars="98"/>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3.1</w:t>
      </w:r>
      <w:r>
        <w:rPr>
          <w:rFonts w:hint="eastAsia" w:ascii="宋体" w:hAnsi="宋体" w:eastAsia="宋体" w:cs="Times New Roman"/>
          <w:color w:val="auto"/>
          <w:kern w:val="0"/>
          <w:sz w:val="24"/>
          <w:szCs w:val="24"/>
          <w:highlight w:val="none"/>
        </w:rPr>
        <w:t>货物：系指</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按招标文件规定而提供的设备、工具、备品备件、手册及其他有关技术资料和材料。</w:t>
      </w:r>
    </w:p>
    <w:p w14:paraId="7357BBBE">
      <w:pPr>
        <w:widowControl/>
        <w:spacing w:line="360" w:lineRule="auto"/>
        <w:ind w:firstLine="235" w:firstLineChars="98"/>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3.2</w:t>
      </w:r>
      <w:r>
        <w:rPr>
          <w:rFonts w:hint="eastAsia" w:ascii="宋体" w:hAnsi="宋体" w:eastAsia="宋体" w:cs="Times New Roman"/>
          <w:color w:val="auto"/>
          <w:kern w:val="0"/>
          <w:sz w:val="24"/>
          <w:szCs w:val="24"/>
          <w:highlight w:val="none"/>
        </w:rPr>
        <w:t xml:space="preserve"> 服务：系指</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提供的安装、调试、验收、培训、质保期服务、与货物有关的运输和保险及其他伴随服务。</w:t>
      </w:r>
    </w:p>
    <w:p w14:paraId="5E2DEC4A">
      <w:pPr>
        <w:widowControl/>
        <w:spacing w:line="360" w:lineRule="auto"/>
        <w:ind w:right="-480" w:firstLine="235" w:firstLineChars="98"/>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 xml:space="preserve">3.3 </w:t>
      </w:r>
      <w:r>
        <w:rPr>
          <w:rFonts w:hint="eastAsia" w:ascii="宋体" w:hAnsi="宋体" w:eastAsia="宋体" w:cs="Times New Roman"/>
          <w:color w:val="auto"/>
          <w:kern w:val="0"/>
          <w:sz w:val="24"/>
          <w:szCs w:val="24"/>
          <w:highlight w:val="none"/>
        </w:rPr>
        <w:t>采购人：</w:t>
      </w:r>
      <w:r>
        <w:rPr>
          <w:rFonts w:hint="eastAsia" w:ascii="宋体" w:hAnsi="宋体" w:eastAsia="宋体" w:cs="Times New Roman"/>
          <w:color w:val="auto"/>
          <w:sz w:val="24"/>
          <w:szCs w:val="24"/>
          <w:highlight w:val="none"/>
          <w:lang w:eastAsia="zh-CN"/>
        </w:rPr>
        <w:t>三门峡市产品质量检验检测中心</w:t>
      </w:r>
      <w:r>
        <w:rPr>
          <w:rFonts w:hint="eastAsia" w:ascii="宋体" w:hAnsi="宋体" w:eastAsia="宋体" w:cs="Times New Roman"/>
          <w:color w:val="auto"/>
          <w:sz w:val="24"/>
          <w:szCs w:val="24"/>
          <w:highlight w:val="none"/>
        </w:rPr>
        <w:t>　</w:t>
      </w:r>
    </w:p>
    <w:p w14:paraId="3DAA9F6E">
      <w:pPr>
        <w:widowControl/>
        <w:spacing w:line="360" w:lineRule="auto"/>
        <w:ind w:firstLine="235" w:firstLineChars="98"/>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3.4</w:t>
      </w:r>
      <w:r>
        <w:rPr>
          <w:rFonts w:hint="eastAsia" w:ascii="宋体" w:hAnsi="宋体" w:eastAsia="宋体" w:cs="Times New Roman"/>
          <w:color w:val="auto"/>
          <w:kern w:val="0"/>
          <w:sz w:val="24"/>
          <w:szCs w:val="24"/>
          <w:highlight w:val="none"/>
        </w:rPr>
        <w:t xml:space="preserve"> </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：是指响应招标、参加投标竞争的法人或者其他组织。</w:t>
      </w:r>
    </w:p>
    <w:p w14:paraId="63BA499F">
      <w:pPr>
        <w:widowControl/>
        <w:spacing w:line="360" w:lineRule="auto"/>
        <w:ind w:firstLine="235" w:firstLineChars="98"/>
        <w:rPr>
          <w:rFonts w:hint="eastAsia" w:ascii="Times New Roman" w:hAnsi="Times New Roman" w:eastAsia="宋体" w:cs="Times New Roman"/>
          <w:color w:val="auto"/>
          <w:kern w:val="0"/>
          <w:sz w:val="24"/>
          <w:szCs w:val="24"/>
          <w:highlight w:val="none"/>
          <w:lang w:eastAsia="zh-CN"/>
        </w:rPr>
      </w:pPr>
      <w:r>
        <w:rPr>
          <w:rFonts w:hint="eastAsia" w:ascii="宋体" w:hAnsi="宋体" w:eastAsia="宋体" w:cs="Times New Roman"/>
          <w:b/>
          <w:bCs/>
          <w:color w:val="auto"/>
          <w:kern w:val="0"/>
          <w:sz w:val="24"/>
          <w:szCs w:val="24"/>
          <w:highlight w:val="none"/>
        </w:rPr>
        <w:t xml:space="preserve">3.5 </w:t>
      </w:r>
      <w:r>
        <w:rPr>
          <w:rFonts w:hint="eastAsia" w:ascii="宋体" w:hAnsi="宋体" w:eastAsia="宋体" w:cs="Times New Roman"/>
          <w:color w:val="auto"/>
          <w:kern w:val="0"/>
          <w:sz w:val="24"/>
          <w:szCs w:val="24"/>
          <w:highlight w:val="none"/>
        </w:rPr>
        <w:t>采购代理机构：</w:t>
      </w:r>
      <w:r>
        <w:rPr>
          <w:rFonts w:hint="eastAsia" w:ascii="宋体" w:hAnsi="宋体" w:eastAsia="宋体" w:cs="Times New Roman"/>
          <w:color w:val="auto"/>
          <w:kern w:val="0"/>
          <w:sz w:val="24"/>
          <w:szCs w:val="24"/>
          <w:highlight w:val="none"/>
          <w:lang w:eastAsia="zh-CN"/>
        </w:rPr>
        <w:t>中恒晟（北京）工程管理有限公司</w:t>
      </w:r>
    </w:p>
    <w:p w14:paraId="6DD8E4C8">
      <w:pPr>
        <w:widowControl/>
        <w:spacing w:line="360" w:lineRule="auto"/>
        <w:ind w:firstLine="235" w:firstLineChars="98"/>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3.6</w:t>
      </w:r>
      <w:r>
        <w:rPr>
          <w:rFonts w:hint="eastAsia" w:ascii="宋体" w:hAnsi="宋体" w:eastAsia="宋体" w:cs="Times New Roman"/>
          <w:color w:val="auto"/>
          <w:kern w:val="0"/>
          <w:sz w:val="24"/>
          <w:szCs w:val="24"/>
          <w:highlight w:val="none"/>
        </w:rPr>
        <w:t xml:space="preserve"> 评标委员会：是指按照《中华人民共和国政府采购法》和《评标委员会和评标方法暂行规定》的规定组建的专门负责本次招标的评标工作的临时机构。</w:t>
      </w:r>
    </w:p>
    <w:p w14:paraId="694937FC">
      <w:pPr>
        <w:widowControl/>
        <w:spacing w:line="360" w:lineRule="auto"/>
        <w:ind w:firstLine="235" w:firstLineChars="98"/>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 xml:space="preserve">3.7 </w:t>
      </w:r>
      <w:r>
        <w:rPr>
          <w:rFonts w:hint="eastAsia" w:ascii="宋体" w:hAnsi="宋体" w:eastAsia="宋体" w:cs="Times New Roman"/>
          <w:color w:val="auto"/>
          <w:kern w:val="0"/>
          <w:sz w:val="24"/>
          <w:szCs w:val="24"/>
          <w:highlight w:val="none"/>
        </w:rPr>
        <w:t>日期：指公历日。</w:t>
      </w:r>
    </w:p>
    <w:p w14:paraId="20A66460">
      <w:pPr>
        <w:widowControl/>
        <w:spacing w:line="360" w:lineRule="auto"/>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 xml:space="preserve">   4、合格的</w:t>
      </w:r>
      <w:r>
        <w:rPr>
          <w:rFonts w:hint="eastAsia" w:ascii="宋体" w:hAnsi="宋体" w:eastAsia="宋体" w:cs="Times New Roman"/>
          <w:b/>
          <w:bCs/>
          <w:color w:val="auto"/>
          <w:kern w:val="0"/>
          <w:sz w:val="24"/>
          <w:szCs w:val="24"/>
          <w:highlight w:val="none"/>
          <w:lang w:eastAsia="zh-CN"/>
        </w:rPr>
        <w:t>投标供应商</w:t>
      </w:r>
      <w:r>
        <w:rPr>
          <w:rFonts w:hint="eastAsia" w:ascii="宋体" w:hAnsi="宋体" w:eastAsia="宋体" w:cs="Times New Roman"/>
          <w:b/>
          <w:bCs/>
          <w:color w:val="auto"/>
          <w:kern w:val="0"/>
          <w:sz w:val="24"/>
          <w:szCs w:val="24"/>
          <w:highlight w:val="none"/>
        </w:rPr>
        <w:t>（详见</w:t>
      </w:r>
      <w:r>
        <w:rPr>
          <w:rFonts w:hint="eastAsia" w:ascii="宋体" w:hAnsi="宋体" w:eastAsia="宋体" w:cs="Times New Roman"/>
          <w:b/>
          <w:bCs/>
          <w:color w:val="auto"/>
          <w:kern w:val="0"/>
          <w:sz w:val="24"/>
          <w:szCs w:val="24"/>
          <w:highlight w:val="none"/>
          <w:lang w:eastAsia="zh-CN"/>
        </w:rPr>
        <w:t>投标供应商</w:t>
      </w:r>
      <w:r>
        <w:rPr>
          <w:rFonts w:hint="eastAsia" w:ascii="宋体" w:hAnsi="宋体" w:eastAsia="宋体" w:cs="Times New Roman"/>
          <w:b/>
          <w:bCs/>
          <w:color w:val="auto"/>
          <w:kern w:val="0"/>
          <w:sz w:val="24"/>
          <w:szCs w:val="24"/>
          <w:highlight w:val="none"/>
        </w:rPr>
        <w:t>须知前附表2.0）</w:t>
      </w:r>
    </w:p>
    <w:p w14:paraId="288AEE2A">
      <w:pPr>
        <w:widowControl/>
        <w:spacing w:line="360" w:lineRule="auto"/>
        <w:ind w:firstLine="360" w:firstLineChars="15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5、保证</w:t>
      </w:r>
    </w:p>
    <w:p w14:paraId="7644C53A">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应保证在投标文件中所提交的资料和数据是真实的。</w:t>
      </w:r>
    </w:p>
    <w:p w14:paraId="74DF4E68">
      <w:pPr>
        <w:widowControl/>
        <w:spacing w:line="360" w:lineRule="auto"/>
        <w:ind w:firstLine="2859" w:firstLineChars="119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二、招 标 文 件</w:t>
      </w:r>
    </w:p>
    <w:p w14:paraId="5C06A0CB">
      <w:pPr>
        <w:widowControl/>
        <w:spacing w:line="360" w:lineRule="auto"/>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 xml:space="preserve">  6、招标文件的组成</w:t>
      </w:r>
    </w:p>
    <w:p w14:paraId="11CD3F97">
      <w:pPr>
        <w:widowControl/>
        <w:spacing w:line="360" w:lineRule="auto"/>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 xml:space="preserve">  6.1 </w:t>
      </w:r>
      <w:r>
        <w:rPr>
          <w:rFonts w:hint="eastAsia" w:ascii="宋体" w:hAnsi="宋体" w:eastAsia="宋体" w:cs="Times New Roman"/>
          <w:color w:val="auto"/>
          <w:kern w:val="0"/>
          <w:sz w:val="24"/>
          <w:szCs w:val="24"/>
          <w:highlight w:val="none"/>
        </w:rPr>
        <w:t>招标文件包括下列内容及按</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须知第7条款内容发出的答疑文件和第8条款内容发出的补充文件。</w:t>
      </w:r>
    </w:p>
    <w:p w14:paraId="15C070DE">
      <w:pPr>
        <w:widowControl/>
        <w:spacing w:line="360" w:lineRule="auto"/>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第一章 招标公告 </w:t>
      </w:r>
    </w:p>
    <w:p w14:paraId="5F5DA672">
      <w:pPr>
        <w:widowControl/>
        <w:spacing w:line="360" w:lineRule="auto"/>
        <w:ind w:firstLine="240" w:firstLineChars="10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第二章 </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须知</w:t>
      </w:r>
    </w:p>
    <w:p w14:paraId="4275AB86">
      <w:pPr>
        <w:widowControl/>
        <w:spacing w:line="360" w:lineRule="auto"/>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须知前附表</w:t>
      </w:r>
    </w:p>
    <w:p w14:paraId="6F07EA76">
      <w:pPr>
        <w:widowControl/>
        <w:spacing w:line="360" w:lineRule="auto"/>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一、 总则</w:t>
      </w:r>
    </w:p>
    <w:p w14:paraId="057DDD73">
      <w:pPr>
        <w:widowControl/>
        <w:spacing w:line="360" w:lineRule="auto"/>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二、 招标文件</w:t>
      </w:r>
    </w:p>
    <w:p w14:paraId="6050C218">
      <w:pPr>
        <w:widowControl/>
        <w:spacing w:line="360" w:lineRule="auto"/>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三、 投标文件的编制</w:t>
      </w:r>
    </w:p>
    <w:p w14:paraId="525E4B45">
      <w:pPr>
        <w:widowControl/>
        <w:spacing w:line="360" w:lineRule="auto"/>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四、 投标文件的递交</w:t>
      </w:r>
    </w:p>
    <w:p w14:paraId="313050B6">
      <w:pPr>
        <w:widowControl/>
        <w:spacing w:line="360" w:lineRule="auto"/>
        <w:ind w:firstLine="240" w:firstLineChars="10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五、 开标</w:t>
      </w:r>
    </w:p>
    <w:p w14:paraId="09FB1FE7">
      <w:pPr>
        <w:widowControl/>
        <w:spacing w:line="360" w:lineRule="auto"/>
        <w:ind w:firstLine="240" w:firstLineChars="10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六、 评标与定标</w:t>
      </w:r>
    </w:p>
    <w:p w14:paraId="2BD7D372">
      <w:pPr>
        <w:widowControl/>
        <w:spacing w:line="360" w:lineRule="auto"/>
        <w:ind w:firstLine="240" w:firstLineChars="10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七、 授予合同</w:t>
      </w:r>
    </w:p>
    <w:p w14:paraId="74D14737">
      <w:pPr>
        <w:widowControl/>
        <w:spacing w:line="360" w:lineRule="auto"/>
        <w:ind w:firstLine="240" w:firstLineChars="10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八、 其他</w:t>
      </w:r>
    </w:p>
    <w:p w14:paraId="638F94BD">
      <w:pPr>
        <w:widowControl/>
        <w:spacing w:line="360" w:lineRule="auto"/>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第三章 </w:t>
      </w:r>
      <w:r>
        <w:rPr>
          <w:rFonts w:hint="eastAsia" w:ascii="宋体" w:hAnsi="宋体" w:eastAsia="宋体" w:cs="Times New Roman"/>
          <w:bCs/>
          <w:color w:val="auto"/>
          <w:kern w:val="0"/>
          <w:sz w:val="24"/>
          <w:szCs w:val="24"/>
          <w:highlight w:val="none"/>
        </w:rPr>
        <w:t>采购内容</w:t>
      </w:r>
    </w:p>
    <w:p w14:paraId="42A5ECE4">
      <w:pPr>
        <w:widowControl/>
        <w:spacing w:line="360" w:lineRule="auto"/>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第四章 评标办法</w:t>
      </w:r>
    </w:p>
    <w:p w14:paraId="6429F19D">
      <w:pPr>
        <w:widowControl/>
        <w:spacing w:line="360" w:lineRule="auto"/>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第五章 合同条款及格式</w:t>
      </w:r>
    </w:p>
    <w:p w14:paraId="2BCC235B">
      <w:pPr>
        <w:widowControl/>
        <w:spacing w:line="360" w:lineRule="auto"/>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第六章 投标文件格式</w:t>
      </w:r>
    </w:p>
    <w:p w14:paraId="700348B0">
      <w:pPr>
        <w:widowControl/>
        <w:spacing w:line="360" w:lineRule="auto"/>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6.2</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应详细阅读招标文件中的所有条款内容、格式、表格和所涉及的相关规范。如果</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不按招标文件的要求提交投标文件和资料的，或者投标文件没有对招标文件提出的实质性要求和条件作出响应，将导致投标文件不被接受，其后果由</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自己负责。</w:t>
      </w:r>
    </w:p>
    <w:p w14:paraId="1C693A11">
      <w:pPr>
        <w:widowControl/>
        <w:spacing w:line="360" w:lineRule="auto"/>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 xml:space="preserve">  7、招标文件的澄清</w:t>
      </w:r>
    </w:p>
    <w:p w14:paraId="22BC8846">
      <w:pPr>
        <w:widowControl/>
        <w:spacing w:line="360" w:lineRule="auto"/>
        <w:ind w:firstLine="118" w:firstLineChars="49"/>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7.1</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应仔细阅读和检查招标文件的全部内容。如发现缺页或附件不全，应及时向采购人提出，以便补齐。如有疑问，应在</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须知前附表规定的时间前以书面形式，要求采购人对招标文件予以澄清，并将原件扫描件电子版发送至邮箱。</w:t>
      </w:r>
    </w:p>
    <w:p w14:paraId="1E9EB041">
      <w:pPr>
        <w:widowControl/>
        <w:spacing w:line="360" w:lineRule="auto"/>
        <w:ind w:firstLine="235" w:firstLineChars="98"/>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7.2</w:t>
      </w:r>
      <w:r>
        <w:rPr>
          <w:rFonts w:hint="eastAsia" w:ascii="宋体" w:hAnsi="宋体" w:eastAsia="宋体" w:cs="Times New Roman"/>
          <w:color w:val="auto"/>
          <w:kern w:val="0"/>
          <w:sz w:val="24"/>
          <w:szCs w:val="24"/>
          <w:highlight w:val="none"/>
        </w:rPr>
        <w:t>招标文件的澄清将在</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须知前附表规定的时间前发给所有</w:t>
      </w:r>
      <w:r>
        <w:rPr>
          <w:rFonts w:hint="eastAsia" w:ascii="宋体" w:hAnsi="宋体" w:eastAsia="宋体" w:cs="Times New Roman"/>
          <w:color w:val="auto"/>
          <w:kern w:val="0"/>
          <w:sz w:val="24"/>
          <w:szCs w:val="24"/>
          <w:highlight w:val="none"/>
          <w:lang w:val="en-US" w:eastAsia="zh-CN"/>
        </w:rPr>
        <w:t>下载</w:t>
      </w:r>
      <w:r>
        <w:rPr>
          <w:rFonts w:hint="eastAsia" w:ascii="宋体" w:hAnsi="宋体" w:eastAsia="宋体" w:cs="Times New Roman"/>
          <w:color w:val="auto"/>
          <w:kern w:val="0"/>
          <w:sz w:val="24"/>
          <w:szCs w:val="24"/>
          <w:highlight w:val="none"/>
        </w:rPr>
        <w:t>招标文件的</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，但不指明澄清问题的来源。如果澄清发出的时间距投标截止时间不足15天，相应延长投标截止时间。</w:t>
      </w:r>
    </w:p>
    <w:p w14:paraId="10EB6604">
      <w:pPr>
        <w:widowControl/>
        <w:spacing w:line="360" w:lineRule="auto"/>
        <w:ind w:firstLine="235" w:firstLineChars="98"/>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7.3</w:t>
      </w:r>
      <w:r>
        <w:rPr>
          <w:rFonts w:hint="eastAsia" w:ascii="宋体" w:hAnsi="宋体" w:eastAsia="宋体" w:cs="Times New Roman"/>
          <w:color w:val="auto"/>
          <w:kern w:val="0"/>
          <w:sz w:val="24"/>
          <w:szCs w:val="24"/>
          <w:highlight w:val="none"/>
        </w:rPr>
        <w:t xml:space="preserve"> </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在收到澄清后，应在24小时内通知采购人，确认已收到该澄清。</w:t>
      </w:r>
    </w:p>
    <w:p w14:paraId="6EF8C00A">
      <w:pPr>
        <w:widowControl/>
        <w:spacing w:line="360" w:lineRule="auto"/>
        <w:ind w:firstLine="24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8、招标文件的修改</w:t>
      </w:r>
    </w:p>
    <w:p w14:paraId="65AE26B2">
      <w:pPr>
        <w:widowControl/>
        <w:spacing w:line="360" w:lineRule="auto"/>
        <w:ind w:firstLine="47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8.1</w:t>
      </w:r>
      <w:r>
        <w:rPr>
          <w:rFonts w:hint="eastAsia" w:ascii="宋体" w:hAnsi="宋体" w:eastAsia="宋体" w:cs="Times New Roman"/>
          <w:color w:val="auto"/>
          <w:kern w:val="0"/>
          <w:sz w:val="24"/>
          <w:szCs w:val="24"/>
          <w:highlight w:val="none"/>
        </w:rPr>
        <w:t>在投标截止时间15天前，采购人可修改招标文件，并通知所有已购买招标文件的</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 xml:space="preserve">。如果修改招标文件的时间距投标截止时间不足15天，相应延长投标截止时间。 </w:t>
      </w:r>
    </w:p>
    <w:p w14:paraId="1A53CCDE">
      <w:pPr>
        <w:widowControl/>
        <w:spacing w:line="360" w:lineRule="auto"/>
        <w:ind w:firstLine="470"/>
        <w:rPr>
          <w:rFonts w:ascii="宋体" w:hAnsi="宋体"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8.2</w:t>
      </w:r>
      <w:r>
        <w:rPr>
          <w:rFonts w:hint="eastAsia" w:ascii="宋体" w:hAnsi="宋体" w:eastAsia="宋体" w:cs="Times New Roman"/>
          <w:color w:val="auto"/>
          <w:kern w:val="0"/>
          <w:sz w:val="24"/>
          <w:szCs w:val="24"/>
          <w:highlight w:val="none"/>
        </w:rPr>
        <w:t xml:space="preserve"> </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收到修改内容后，应在24小时内通知采购人，确认已收到该澄清。</w:t>
      </w:r>
    </w:p>
    <w:p w14:paraId="14A4A8CD">
      <w:pPr>
        <w:widowControl/>
        <w:spacing w:line="360" w:lineRule="auto"/>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三、投标文件的编制</w:t>
      </w:r>
    </w:p>
    <w:p w14:paraId="44E5D1EE">
      <w:pPr>
        <w:widowControl/>
        <w:spacing w:line="360" w:lineRule="auto"/>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9、特别说明</w:t>
      </w:r>
    </w:p>
    <w:p w14:paraId="6F8DEC28">
      <w:pPr>
        <w:widowControl/>
        <w:spacing w:line="360" w:lineRule="auto"/>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 xml:space="preserve">  9.1</w:t>
      </w:r>
      <w:r>
        <w:rPr>
          <w:rFonts w:hint="eastAsia" w:ascii="宋体" w:hAnsi="宋体" w:eastAsia="宋体" w:cs="Times New Roman"/>
          <w:color w:val="auto"/>
          <w:kern w:val="0"/>
          <w:sz w:val="24"/>
          <w:szCs w:val="24"/>
          <w:highlight w:val="none"/>
        </w:rPr>
        <w:t xml:space="preserve"> 投标语言</w:t>
      </w:r>
    </w:p>
    <w:p w14:paraId="4280C3A1">
      <w:pPr>
        <w:widowControl/>
        <w:spacing w:line="360" w:lineRule="auto"/>
        <w:ind w:firstLine="480" w:firstLineChars="200"/>
        <w:rPr>
          <w:rFonts w:ascii="Times New Roman" w:hAnsi="Times New Roman" w:eastAsia="宋体" w:cs="Times New Roman"/>
          <w:color w:val="auto"/>
          <w:kern w:val="0"/>
          <w:sz w:val="24"/>
          <w:szCs w:val="24"/>
          <w:highlight w:val="none"/>
        </w:rPr>
      </w:pPr>
      <w:r>
        <w:rPr>
          <w:rFonts w:hint="eastAsia" w:ascii="宋体" w:hAnsi="宋体" w:eastAsia="宋体" w:cs="Arial"/>
          <w:color w:val="auto"/>
          <w:kern w:val="0"/>
          <w:sz w:val="24"/>
          <w:szCs w:val="24"/>
          <w:highlight w:val="none"/>
          <w:lang w:eastAsia="zh-CN"/>
        </w:rPr>
        <w:t>投标供应商</w:t>
      </w:r>
      <w:r>
        <w:rPr>
          <w:rFonts w:hint="eastAsia" w:ascii="宋体" w:hAnsi="宋体" w:eastAsia="宋体" w:cs="Arial"/>
          <w:color w:val="auto"/>
          <w:kern w:val="0"/>
          <w:sz w:val="24"/>
          <w:szCs w:val="24"/>
          <w:highlight w:val="none"/>
        </w:rPr>
        <w:t>提交的投标文件以及</w:t>
      </w:r>
      <w:r>
        <w:rPr>
          <w:rFonts w:hint="eastAsia" w:ascii="宋体" w:hAnsi="宋体" w:eastAsia="宋体" w:cs="Arial"/>
          <w:color w:val="auto"/>
          <w:kern w:val="0"/>
          <w:sz w:val="24"/>
          <w:szCs w:val="24"/>
          <w:highlight w:val="none"/>
          <w:lang w:eastAsia="zh-CN"/>
        </w:rPr>
        <w:t>投标供应商</w:t>
      </w:r>
      <w:r>
        <w:rPr>
          <w:rFonts w:hint="eastAsia" w:ascii="宋体" w:hAnsi="宋体" w:eastAsia="宋体" w:cs="Arial"/>
          <w:color w:val="auto"/>
          <w:kern w:val="0"/>
          <w:sz w:val="24"/>
          <w:szCs w:val="24"/>
          <w:highlight w:val="none"/>
        </w:rPr>
        <w:t>与采购代理机构就有关投标的所有往来函电均应使用中文。</w:t>
      </w:r>
      <w:r>
        <w:rPr>
          <w:rFonts w:hint="eastAsia" w:ascii="宋体" w:hAnsi="宋体" w:eastAsia="宋体" w:cs="Arial"/>
          <w:color w:val="auto"/>
          <w:kern w:val="0"/>
          <w:sz w:val="24"/>
          <w:szCs w:val="24"/>
          <w:highlight w:val="none"/>
          <w:lang w:eastAsia="zh-CN"/>
        </w:rPr>
        <w:t>投标供应商</w:t>
      </w:r>
      <w:r>
        <w:rPr>
          <w:rFonts w:hint="eastAsia" w:ascii="宋体" w:hAnsi="宋体" w:eastAsia="宋体" w:cs="Arial"/>
          <w:color w:val="auto"/>
          <w:kern w:val="0"/>
          <w:sz w:val="24"/>
          <w:szCs w:val="24"/>
          <w:highlight w:val="none"/>
        </w:rPr>
        <w:t>提供的文件可以用英文，但相应内容应附有中文翻译本，在解释时以中文翻译本为准。</w:t>
      </w:r>
    </w:p>
    <w:p w14:paraId="00C90A2E">
      <w:pPr>
        <w:widowControl/>
        <w:spacing w:line="360" w:lineRule="auto"/>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 xml:space="preserve">  9.2</w:t>
      </w:r>
      <w:r>
        <w:rPr>
          <w:rFonts w:hint="eastAsia" w:ascii="宋体" w:hAnsi="宋体" w:eastAsia="宋体" w:cs="Times New Roman"/>
          <w:color w:val="auto"/>
          <w:kern w:val="0"/>
          <w:sz w:val="24"/>
          <w:szCs w:val="24"/>
          <w:highlight w:val="none"/>
        </w:rPr>
        <w:t xml:space="preserve"> 计量</w:t>
      </w:r>
    </w:p>
    <w:p w14:paraId="3ED23AF8">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在投标文件所有计量单位均采用中华人民共和国法定计量单位。</w:t>
      </w:r>
    </w:p>
    <w:p w14:paraId="1E66CE2F">
      <w:pPr>
        <w:widowControl/>
        <w:spacing w:line="360" w:lineRule="auto"/>
        <w:ind w:firstLine="35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9.3</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在投标文件中所提交的所有资料和文件均应是真实的和有效的，如有作假，则将该</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的投标作无效标处理，若中标后被发现有上述行为的，则采购人有权取消其中标资格，并且该</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应承担由此而造成的一切损失（包括经济损失和法律责任）。</w:t>
      </w:r>
    </w:p>
    <w:p w14:paraId="2575423D">
      <w:pPr>
        <w:widowControl/>
        <w:spacing w:line="360" w:lineRule="auto"/>
        <w:ind w:firstLine="35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10、投标货物和服务的文件</w:t>
      </w:r>
    </w:p>
    <w:p w14:paraId="63FE0752">
      <w:pPr>
        <w:widowControl/>
        <w:spacing w:line="360" w:lineRule="auto"/>
        <w:ind w:firstLine="49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10</w:t>
      </w:r>
      <w:r>
        <w:rPr>
          <w:rFonts w:hint="eastAsia" w:ascii="宋体" w:hAnsi="宋体" w:eastAsia="宋体" w:cs="Times New Roman"/>
          <w:b/>
          <w:bCs/>
          <w:color w:val="auto"/>
          <w:kern w:val="0"/>
          <w:sz w:val="24"/>
          <w:szCs w:val="24"/>
          <w:highlight w:val="none"/>
          <w:lang w:val="en-US" w:eastAsia="zh-CN"/>
        </w:rPr>
        <w:t>.1</w:t>
      </w:r>
      <w:r>
        <w:rPr>
          <w:rFonts w:hint="eastAsia" w:ascii="宋体" w:hAnsi="宋体" w:eastAsia="宋体" w:cs="Times New Roman"/>
          <w:color w:val="auto"/>
          <w:kern w:val="0"/>
          <w:sz w:val="24"/>
          <w:szCs w:val="24"/>
          <w:highlight w:val="none"/>
        </w:rPr>
        <w:t>各</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必须对清单中的全部</w:t>
      </w:r>
      <w:r>
        <w:rPr>
          <w:rFonts w:hint="eastAsia" w:ascii="宋体" w:hAnsi="宋体" w:eastAsia="宋体" w:cs="Times New Roman"/>
          <w:color w:val="auto"/>
          <w:kern w:val="0"/>
          <w:sz w:val="24"/>
          <w:szCs w:val="24"/>
          <w:highlight w:val="none"/>
          <w:lang w:val="en-US" w:eastAsia="zh-CN"/>
        </w:rPr>
        <w:t>货物</w:t>
      </w:r>
      <w:r>
        <w:rPr>
          <w:rFonts w:hint="eastAsia" w:ascii="宋体" w:hAnsi="宋体" w:eastAsia="宋体" w:cs="Times New Roman"/>
          <w:color w:val="auto"/>
          <w:kern w:val="0"/>
          <w:sz w:val="24"/>
          <w:szCs w:val="24"/>
          <w:highlight w:val="none"/>
        </w:rPr>
        <w:t>进行投标，只投其中部分</w:t>
      </w:r>
      <w:r>
        <w:rPr>
          <w:rFonts w:hint="eastAsia" w:ascii="宋体" w:hAnsi="宋体" w:eastAsia="宋体" w:cs="Times New Roman"/>
          <w:color w:val="auto"/>
          <w:kern w:val="0"/>
          <w:sz w:val="24"/>
          <w:szCs w:val="24"/>
          <w:highlight w:val="none"/>
          <w:lang w:val="en-US" w:eastAsia="zh-CN"/>
        </w:rPr>
        <w:t>货物</w:t>
      </w:r>
      <w:r>
        <w:rPr>
          <w:rFonts w:hint="eastAsia" w:ascii="宋体" w:hAnsi="宋体" w:eastAsia="宋体" w:cs="Times New Roman"/>
          <w:color w:val="auto"/>
          <w:kern w:val="0"/>
          <w:sz w:val="24"/>
          <w:szCs w:val="24"/>
          <w:highlight w:val="none"/>
        </w:rPr>
        <w:t>则投标文件无效。</w:t>
      </w:r>
    </w:p>
    <w:p w14:paraId="0E6D19B5">
      <w:pPr>
        <w:widowControl/>
        <w:spacing w:line="360" w:lineRule="auto"/>
        <w:ind w:firstLine="49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10.</w:t>
      </w:r>
      <w:r>
        <w:rPr>
          <w:rFonts w:hint="eastAsia" w:ascii="宋体" w:hAnsi="宋体" w:eastAsia="宋体" w:cs="Times New Roman"/>
          <w:b/>
          <w:bCs/>
          <w:color w:val="auto"/>
          <w:kern w:val="0"/>
          <w:sz w:val="24"/>
          <w:szCs w:val="24"/>
          <w:highlight w:val="none"/>
          <w:lang w:val="en-US" w:eastAsia="zh-CN"/>
        </w:rPr>
        <w:t>2</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所投</w:t>
      </w:r>
      <w:r>
        <w:rPr>
          <w:rFonts w:hint="eastAsia" w:ascii="宋体" w:hAnsi="宋体" w:eastAsia="宋体" w:cs="Times New Roman"/>
          <w:color w:val="auto"/>
          <w:kern w:val="0"/>
          <w:sz w:val="24"/>
          <w:szCs w:val="24"/>
          <w:highlight w:val="none"/>
          <w:lang w:val="en-US" w:eastAsia="zh-CN"/>
        </w:rPr>
        <w:t>货物</w:t>
      </w:r>
      <w:r>
        <w:rPr>
          <w:rFonts w:hint="eastAsia" w:ascii="宋体" w:hAnsi="宋体" w:eastAsia="宋体" w:cs="Times New Roman"/>
          <w:color w:val="auto"/>
          <w:kern w:val="0"/>
          <w:sz w:val="24"/>
          <w:szCs w:val="24"/>
          <w:highlight w:val="none"/>
        </w:rPr>
        <w:t>的所有部件均为合格产品。</w:t>
      </w:r>
    </w:p>
    <w:p w14:paraId="3CF3C2B6">
      <w:pPr>
        <w:widowControl/>
        <w:spacing w:line="360" w:lineRule="auto"/>
        <w:ind w:firstLine="49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10.</w:t>
      </w:r>
      <w:r>
        <w:rPr>
          <w:rFonts w:hint="eastAsia" w:ascii="宋体" w:hAnsi="宋体" w:eastAsia="宋体" w:cs="Times New Roman"/>
          <w:b/>
          <w:bCs/>
          <w:color w:val="auto"/>
          <w:kern w:val="0"/>
          <w:sz w:val="24"/>
          <w:szCs w:val="24"/>
          <w:highlight w:val="none"/>
          <w:lang w:val="en-US" w:eastAsia="zh-CN"/>
        </w:rPr>
        <w:t>3</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认为应对其</w:t>
      </w:r>
      <w:r>
        <w:rPr>
          <w:rFonts w:hint="eastAsia" w:ascii="宋体" w:hAnsi="宋体" w:eastAsia="宋体" w:cs="Times New Roman"/>
          <w:color w:val="auto"/>
          <w:kern w:val="0"/>
          <w:sz w:val="24"/>
          <w:szCs w:val="24"/>
          <w:highlight w:val="none"/>
          <w:lang w:val="en-US" w:eastAsia="zh-CN"/>
        </w:rPr>
        <w:t>货物</w:t>
      </w:r>
      <w:r>
        <w:rPr>
          <w:rFonts w:hint="eastAsia" w:ascii="宋体" w:hAnsi="宋体" w:eastAsia="宋体" w:cs="Times New Roman"/>
          <w:color w:val="auto"/>
          <w:kern w:val="0"/>
          <w:sz w:val="24"/>
          <w:szCs w:val="24"/>
          <w:highlight w:val="none"/>
        </w:rPr>
        <w:t>的性能特点、优越性等有必要进行补充说明的内容。</w:t>
      </w:r>
    </w:p>
    <w:p w14:paraId="3728B492">
      <w:pPr>
        <w:widowControl/>
        <w:spacing w:line="360" w:lineRule="auto"/>
        <w:ind w:firstLine="49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10.</w:t>
      </w:r>
      <w:r>
        <w:rPr>
          <w:rFonts w:hint="eastAsia" w:ascii="宋体" w:hAnsi="宋体" w:eastAsia="宋体" w:cs="Times New Roman"/>
          <w:b/>
          <w:bCs/>
          <w:color w:val="auto"/>
          <w:kern w:val="0"/>
          <w:sz w:val="24"/>
          <w:szCs w:val="24"/>
          <w:highlight w:val="none"/>
          <w:lang w:val="en-US" w:eastAsia="zh-CN"/>
        </w:rPr>
        <w:t>4</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必须对招标文件中技术要求逐项、逐条明确答复；应逐项填写“技术参数偏离表”，投标</w:t>
      </w:r>
      <w:r>
        <w:rPr>
          <w:rFonts w:hint="eastAsia" w:ascii="宋体" w:hAnsi="宋体" w:eastAsia="宋体" w:cs="Times New Roman"/>
          <w:color w:val="auto"/>
          <w:kern w:val="0"/>
          <w:sz w:val="24"/>
          <w:szCs w:val="24"/>
          <w:highlight w:val="none"/>
          <w:lang w:val="en-US" w:eastAsia="zh-CN"/>
        </w:rPr>
        <w:t>货物</w:t>
      </w:r>
      <w:r>
        <w:rPr>
          <w:rFonts w:hint="eastAsia" w:ascii="宋体" w:hAnsi="宋体" w:eastAsia="宋体" w:cs="Times New Roman"/>
          <w:color w:val="auto"/>
          <w:kern w:val="0"/>
          <w:sz w:val="24"/>
          <w:szCs w:val="24"/>
          <w:highlight w:val="none"/>
        </w:rPr>
        <w:t>与招标文件中的规定要求有偏离的，应详细说明偏离情况。</w:t>
      </w:r>
    </w:p>
    <w:p w14:paraId="57708B68">
      <w:pPr>
        <w:widowControl/>
        <w:spacing w:line="360" w:lineRule="auto"/>
        <w:ind w:firstLine="24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11、投标设备安装及现场服务</w:t>
      </w:r>
    </w:p>
    <w:p w14:paraId="0B031BFA">
      <w:pPr>
        <w:widowControl/>
        <w:spacing w:line="360" w:lineRule="auto"/>
        <w:ind w:firstLine="49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11.1</w:t>
      </w:r>
      <w:r>
        <w:rPr>
          <w:rFonts w:hint="eastAsia" w:ascii="宋体" w:hAnsi="宋体" w:eastAsia="宋体" w:cs="Times New Roman"/>
          <w:color w:val="auto"/>
          <w:kern w:val="0"/>
          <w:sz w:val="24"/>
          <w:szCs w:val="24"/>
          <w:highlight w:val="none"/>
        </w:rPr>
        <w:t>设备由中标人进行安装调试，并按有关规定程序报请有关部门验收合格后交付采购人使用，所发生的仪器校准、检定、搬运、安装、调试等一切费用均由中标人承担。</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投标时需明确现场安装人员组成情况，并按费用计算办法报清全部安装费。</w:t>
      </w:r>
    </w:p>
    <w:p w14:paraId="0DF10EC5">
      <w:pPr>
        <w:widowControl/>
        <w:spacing w:line="360" w:lineRule="auto"/>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 xml:space="preserve">  12、投标货物和服务的报价 </w:t>
      </w:r>
    </w:p>
    <w:p w14:paraId="4AB665F5">
      <w:pPr>
        <w:widowControl/>
        <w:spacing w:line="360" w:lineRule="auto"/>
        <w:ind w:firstLine="47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12.1</w:t>
      </w:r>
      <w:r>
        <w:rPr>
          <w:rFonts w:hint="eastAsia" w:ascii="宋体" w:hAnsi="宋体" w:eastAsia="宋体" w:cs="Times New Roman"/>
          <w:color w:val="auto"/>
          <w:kern w:val="0"/>
          <w:sz w:val="24"/>
          <w:szCs w:val="24"/>
          <w:highlight w:val="none"/>
        </w:rPr>
        <w:t>投标报价中应包含以下内容。</w:t>
      </w:r>
    </w:p>
    <w:p w14:paraId="485DC72D">
      <w:pPr>
        <w:widowControl/>
        <w:spacing w:line="360" w:lineRule="auto"/>
        <w:ind w:firstLine="47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12.1.1投标方应报出货到交货地点价（交货地点为招标方指定实际安装地点）。其中应包含设备价、备品备件价、检验费、包装费、装卸费、运输费、税金（含关税、增值税）、安装调试费、检测验收费、培训费等各项费用。</w:t>
      </w:r>
    </w:p>
    <w:p w14:paraId="46E8F3AF">
      <w:pPr>
        <w:widowControl/>
        <w:spacing w:line="360" w:lineRule="auto"/>
        <w:ind w:firstLine="55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12.2</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的投标报价应包含验收合格正式交付使用前所发生的一切费用，且</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只能提出一个不变价格，采购人不接受任何选择报价。</w:t>
      </w:r>
    </w:p>
    <w:p w14:paraId="59C2CFF7">
      <w:pPr>
        <w:widowControl/>
        <w:spacing w:line="360" w:lineRule="auto"/>
        <w:ind w:firstLine="55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12.</w:t>
      </w:r>
      <w:r>
        <w:rPr>
          <w:rFonts w:hint="eastAsia" w:ascii="宋体" w:hAnsi="宋体" w:eastAsia="宋体" w:cs="Times New Roman"/>
          <w:b/>
          <w:bCs/>
          <w:color w:val="auto"/>
          <w:kern w:val="0"/>
          <w:sz w:val="24"/>
          <w:szCs w:val="24"/>
          <w:highlight w:val="none"/>
          <w:lang w:val="en-US" w:eastAsia="zh-CN"/>
        </w:rPr>
        <w:t>3</w:t>
      </w:r>
      <w:r>
        <w:rPr>
          <w:rFonts w:hint="eastAsia" w:ascii="宋体" w:hAnsi="宋体" w:eastAsia="宋体" w:cs="Times New Roman"/>
          <w:color w:val="auto"/>
          <w:kern w:val="0"/>
          <w:sz w:val="24"/>
          <w:szCs w:val="24"/>
          <w:highlight w:val="none"/>
        </w:rPr>
        <w:t>投标文件的投标报价，应是完成本文件所列招标范围的全部内容。</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应认真阅读招标文件，如果</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对最高限价中任何子目和报价遗漏或未计，均被认为已包含在其他子目中，采购人不另行支付。</w:t>
      </w:r>
    </w:p>
    <w:p w14:paraId="6779A746">
      <w:pPr>
        <w:widowControl/>
        <w:spacing w:line="360" w:lineRule="auto"/>
        <w:ind w:firstLine="550"/>
        <w:rPr>
          <w:rFonts w:ascii="宋体" w:hAnsi="宋体"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12.</w:t>
      </w:r>
      <w:r>
        <w:rPr>
          <w:rFonts w:hint="eastAsia" w:ascii="宋体" w:hAnsi="宋体" w:eastAsia="宋体" w:cs="Times New Roman"/>
          <w:b/>
          <w:bCs/>
          <w:color w:val="auto"/>
          <w:kern w:val="0"/>
          <w:sz w:val="24"/>
          <w:szCs w:val="24"/>
          <w:highlight w:val="none"/>
          <w:lang w:val="en-US" w:eastAsia="zh-CN"/>
        </w:rPr>
        <w:t>4</w:t>
      </w:r>
      <w:r>
        <w:rPr>
          <w:rFonts w:hint="eastAsia" w:ascii="宋体" w:hAnsi="宋体" w:eastAsia="宋体" w:cs="Times New Roman"/>
          <w:color w:val="auto"/>
          <w:kern w:val="0"/>
          <w:sz w:val="24"/>
          <w:szCs w:val="24"/>
          <w:highlight w:val="none"/>
        </w:rPr>
        <w:t xml:space="preserve"> 如投标报价表中的大写金额和小写金额不一致的，以大写金额为准；总价金额与单价金额不一致的，以单价金额为准，但单价金额小数点有明显错误的除外；对不同文字文本投标文件的解释发生异议的，以中文文本为准。</w:t>
      </w:r>
    </w:p>
    <w:p w14:paraId="6156F3F3">
      <w:pPr>
        <w:widowControl/>
        <w:spacing w:line="360" w:lineRule="auto"/>
        <w:ind w:firstLine="55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12.</w:t>
      </w:r>
      <w:r>
        <w:rPr>
          <w:rFonts w:hint="eastAsia" w:ascii="宋体" w:hAnsi="宋体" w:eastAsia="宋体" w:cs="Times New Roman"/>
          <w:b/>
          <w:bCs/>
          <w:color w:val="auto"/>
          <w:kern w:val="0"/>
          <w:sz w:val="24"/>
          <w:szCs w:val="24"/>
          <w:highlight w:val="none"/>
          <w:lang w:val="en-US" w:eastAsia="zh-CN"/>
        </w:rPr>
        <w:t>5</w:t>
      </w:r>
      <w:r>
        <w:rPr>
          <w:rFonts w:hint="eastAsia" w:ascii="宋体" w:hAnsi="宋体" w:eastAsia="宋体" w:cs="Times New Roman"/>
          <w:color w:val="auto"/>
          <w:kern w:val="0"/>
          <w:sz w:val="24"/>
          <w:szCs w:val="24"/>
          <w:highlight w:val="none"/>
        </w:rPr>
        <w:t>全部报价均应以人民币为计量币种，并以人民币进行结算。</w:t>
      </w:r>
    </w:p>
    <w:p w14:paraId="53858B80">
      <w:pPr>
        <w:widowControl/>
        <w:spacing w:line="360" w:lineRule="auto"/>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 xml:space="preserve">  13、货物现场服务</w:t>
      </w:r>
    </w:p>
    <w:p w14:paraId="64F7175E">
      <w:pPr>
        <w:widowControl/>
        <w:spacing w:line="360" w:lineRule="auto"/>
        <w:ind w:firstLine="42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 xml:space="preserve"> 13.1</w:t>
      </w:r>
      <w:r>
        <w:rPr>
          <w:rFonts w:hint="eastAsia" w:ascii="宋体" w:hAnsi="宋体" w:eastAsia="宋体" w:cs="Times New Roman"/>
          <w:color w:val="auto"/>
          <w:kern w:val="0"/>
          <w:sz w:val="24"/>
          <w:szCs w:val="24"/>
          <w:highlight w:val="none"/>
        </w:rPr>
        <w:t>全部设备由中标人进行安装调试，并按有关规定程序报请相关部门验收合格后交付采购人使用，一切费用均由中标人承担。</w:t>
      </w:r>
    </w:p>
    <w:p w14:paraId="7711B318">
      <w:pPr>
        <w:widowControl/>
        <w:spacing w:line="360" w:lineRule="auto"/>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 xml:space="preserve">  14、投标保证金承诺</w:t>
      </w:r>
    </w:p>
    <w:p w14:paraId="5C90C408">
      <w:pPr>
        <w:spacing w:line="360" w:lineRule="auto"/>
        <w:ind w:firstLine="480" w:firstLineChars="200"/>
        <w:rPr>
          <w:rFonts w:ascii="宋体" w:hAnsi="宋体" w:eastAsia="宋体" w:cs="Times New Roman"/>
          <w:color w:val="auto"/>
          <w:sz w:val="24"/>
          <w:szCs w:val="24"/>
          <w:highlight w:val="none"/>
        </w:rPr>
      </w:pPr>
      <w:r>
        <w:rPr>
          <w:rFonts w:hint="eastAsia" w:ascii="宋体" w:hAnsi="宋体" w:eastAsia="宋体" w:cs="Times New Roman"/>
          <w:b/>
          <w:bCs/>
          <w:color w:val="auto"/>
          <w:kern w:val="0"/>
          <w:sz w:val="24"/>
          <w:szCs w:val="24"/>
          <w:highlight w:val="none"/>
        </w:rPr>
        <w:t>14.1</w:t>
      </w:r>
      <w:r>
        <w:rPr>
          <w:rFonts w:hint="eastAsia" w:ascii="宋体" w:hAnsi="宋体" w:eastAsia="宋体" w:cs="Times New Roman"/>
          <w:color w:val="auto"/>
          <w:kern w:val="0"/>
          <w:sz w:val="24"/>
          <w:szCs w:val="24"/>
          <w:highlight w:val="none"/>
        </w:rPr>
        <w:t>作为投标文件的组成部分，</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应提供投标保证</w:t>
      </w:r>
      <w:r>
        <w:rPr>
          <w:rFonts w:hint="eastAsia" w:ascii="宋体" w:hAnsi="宋体" w:eastAsia="宋体" w:cs="Times New Roman"/>
          <w:color w:val="auto"/>
          <w:kern w:val="0"/>
          <w:sz w:val="24"/>
          <w:szCs w:val="24"/>
          <w:highlight w:val="none"/>
          <w:lang w:val="en-US" w:eastAsia="zh-CN"/>
        </w:rPr>
        <w:t>金</w:t>
      </w:r>
      <w:r>
        <w:rPr>
          <w:rFonts w:hint="eastAsia" w:ascii="宋体" w:hAnsi="宋体" w:eastAsia="宋体" w:cs="Times New Roman"/>
          <w:color w:val="auto"/>
          <w:kern w:val="0"/>
          <w:sz w:val="24"/>
          <w:szCs w:val="24"/>
          <w:highlight w:val="none"/>
        </w:rPr>
        <w:t>承诺。</w:t>
      </w:r>
    </w:p>
    <w:p w14:paraId="69000C9D">
      <w:pPr>
        <w:widowControl/>
        <w:spacing w:line="360" w:lineRule="auto"/>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 xml:space="preserve">  15、投标有效期</w:t>
      </w:r>
    </w:p>
    <w:p w14:paraId="7404263E">
      <w:pPr>
        <w:widowControl/>
        <w:spacing w:line="360" w:lineRule="auto"/>
        <w:ind w:firstLine="235" w:firstLineChars="98"/>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15.1</w:t>
      </w:r>
      <w:r>
        <w:rPr>
          <w:rFonts w:hint="eastAsia" w:ascii="宋体" w:hAnsi="宋体" w:eastAsia="宋体" w:cs="Times New Roman"/>
          <w:color w:val="auto"/>
          <w:kern w:val="0"/>
          <w:sz w:val="24"/>
          <w:szCs w:val="24"/>
          <w:highlight w:val="none"/>
        </w:rPr>
        <w:t>投标文件从开标之时起开始生效，投标有效期为</w:t>
      </w:r>
      <w:r>
        <w:rPr>
          <w:rFonts w:hint="eastAsia" w:ascii="宋体" w:hAnsi="宋体" w:eastAsia="宋体" w:cs="Times New Roman"/>
          <w:color w:val="auto"/>
          <w:sz w:val="24"/>
          <w:szCs w:val="24"/>
          <w:highlight w:val="none"/>
          <w:lang w:val="en-US" w:eastAsia="zh-CN"/>
        </w:rPr>
        <w:t>投标截止之日起</w:t>
      </w:r>
      <w:r>
        <w:rPr>
          <w:rFonts w:hint="eastAsia" w:ascii="宋体" w:hAnsi="宋体" w:eastAsia="宋体" w:cs="Times New Roman"/>
          <w:color w:val="auto"/>
          <w:kern w:val="0"/>
          <w:sz w:val="24"/>
          <w:szCs w:val="24"/>
          <w:highlight w:val="none"/>
        </w:rPr>
        <w:t>60日历天。</w:t>
      </w:r>
    </w:p>
    <w:p w14:paraId="5A2E274C">
      <w:pPr>
        <w:widowControl/>
        <w:spacing w:line="360" w:lineRule="auto"/>
        <w:ind w:firstLine="235" w:firstLineChars="98"/>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15.2</w:t>
      </w:r>
      <w:r>
        <w:rPr>
          <w:rFonts w:hint="eastAsia" w:ascii="宋体" w:hAnsi="宋体" w:eastAsia="宋体" w:cs="Times New Roman"/>
          <w:color w:val="auto"/>
          <w:kern w:val="0"/>
          <w:sz w:val="24"/>
          <w:szCs w:val="24"/>
          <w:highlight w:val="none"/>
        </w:rPr>
        <w:t>在特殊情况下，采购人可征求</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同意延长投标有效期，这种要求和答复均应以信函、传真等形式提交。按投标须知的规定提供的投标保证承诺的有效期也应相应延长。</w:t>
      </w:r>
    </w:p>
    <w:p w14:paraId="5FD801CD">
      <w:pPr>
        <w:widowControl/>
        <w:spacing w:line="360" w:lineRule="auto"/>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16、投标文件的组成</w:t>
      </w:r>
    </w:p>
    <w:p w14:paraId="4584DFB4">
      <w:pPr>
        <w:widowControl/>
        <w:spacing w:line="360" w:lineRule="auto"/>
        <w:ind w:firstLine="360" w:firstLineChars="15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 法定代表人身份证明书</w:t>
      </w:r>
    </w:p>
    <w:p w14:paraId="39086E2D">
      <w:pPr>
        <w:widowControl/>
        <w:spacing w:line="360" w:lineRule="auto"/>
        <w:ind w:firstLine="360" w:firstLineChars="15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 授权委托书</w:t>
      </w:r>
    </w:p>
    <w:p w14:paraId="122408C3">
      <w:pPr>
        <w:widowControl/>
        <w:spacing w:line="360" w:lineRule="auto"/>
        <w:ind w:firstLine="360" w:firstLineChars="15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(3) 投 标 函</w:t>
      </w:r>
    </w:p>
    <w:p w14:paraId="7E11B690">
      <w:pPr>
        <w:widowControl/>
        <w:spacing w:line="360" w:lineRule="auto"/>
        <w:ind w:firstLine="360" w:firstLineChars="15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(4) 投标函附表</w:t>
      </w:r>
    </w:p>
    <w:p w14:paraId="64A068AC">
      <w:pPr>
        <w:widowControl/>
        <w:spacing w:line="360" w:lineRule="auto"/>
        <w:ind w:firstLine="360" w:firstLineChars="15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w:t>
      </w:r>
      <w:r>
        <w:rPr>
          <w:rFonts w:hint="eastAsia" w:ascii="宋体" w:hAnsi="宋体" w:eastAsia="宋体" w:cs="Times New Roman"/>
          <w:color w:val="auto"/>
          <w:kern w:val="0"/>
          <w:sz w:val="24"/>
          <w:szCs w:val="24"/>
          <w:highlight w:val="none"/>
          <w:lang w:val="en-US" w:eastAsia="zh-CN"/>
        </w:rPr>
        <w:t>5</w:t>
      </w:r>
      <w:r>
        <w:rPr>
          <w:rFonts w:hint="eastAsia" w:ascii="宋体" w:hAnsi="宋体" w:eastAsia="宋体" w:cs="Times New Roman"/>
          <w:color w:val="auto"/>
          <w:kern w:val="0"/>
          <w:sz w:val="24"/>
          <w:szCs w:val="24"/>
          <w:highlight w:val="none"/>
        </w:rPr>
        <w:t xml:space="preserve">) </w:t>
      </w:r>
      <w:r>
        <w:rPr>
          <w:rFonts w:hint="eastAsia" w:ascii="宋体" w:hAnsi="宋体" w:eastAsia="宋体" w:cs="Times New Roman"/>
          <w:bCs/>
          <w:color w:val="auto"/>
          <w:kern w:val="0"/>
          <w:sz w:val="24"/>
          <w:szCs w:val="24"/>
          <w:highlight w:val="none"/>
        </w:rPr>
        <w:t>技术参数偏离表</w:t>
      </w:r>
    </w:p>
    <w:p w14:paraId="388DCFDF">
      <w:pPr>
        <w:widowControl/>
        <w:spacing w:line="360" w:lineRule="auto"/>
        <w:ind w:firstLine="360" w:firstLineChars="15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w:t>
      </w:r>
      <w:r>
        <w:rPr>
          <w:rFonts w:hint="eastAsia" w:ascii="宋体" w:hAnsi="宋体" w:eastAsia="宋体" w:cs="Times New Roman"/>
          <w:color w:val="auto"/>
          <w:kern w:val="0"/>
          <w:sz w:val="24"/>
          <w:szCs w:val="24"/>
          <w:highlight w:val="none"/>
          <w:lang w:val="en-US" w:eastAsia="zh-CN"/>
        </w:rPr>
        <w:t>6</w:t>
      </w:r>
      <w:r>
        <w:rPr>
          <w:rFonts w:hint="eastAsia" w:ascii="宋体" w:hAnsi="宋体" w:eastAsia="宋体" w:cs="Times New Roman"/>
          <w:color w:val="auto"/>
          <w:kern w:val="0"/>
          <w:sz w:val="24"/>
          <w:szCs w:val="24"/>
          <w:highlight w:val="none"/>
        </w:rPr>
        <w:t>) 商务响应表（格式）</w:t>
      </w:r>
    </w:p>
    <w:p w14:paraId="2BDC84B0">
      <w:pPr>
        <w:widowControl/>
        <w:spacing w:line="360" w:lineRule="auto"/>
        <w:ind w:firstLine="360" w:firstLineChars="15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w:t>
      </w:r>
      <w:r>
        <w:rPr>
          <w:rFonts w:hint="eastAsia" w:ascii="宋体" w:hAnsi="宋体" w:eastAsia="宋体" w:cs="Times New Roman"/>
          <w:color w:val="auto"/>
          <w:kern w:val="0"/>
          <w:sz w:val="24"/>
          <w:szCs w:val="24"/>
          <w:highlight w:val="none"/>
          <w:lang w:val="en-US" w:eastAsia="zh-CN"/>
        </w:rPr>
        <w:t>7</w:t>
      </w:r>
      <w:r>
        <w:rPr>
          <w:rFonts w:hint="eastAsia" w:ascii="宋体" w:hAnsi="宋体" w:eastAsia="宋体" w:cs="Times New Roman"/>
          <w:color w:val="auto"/>
          <w:kern w:val="0"/>
          <w:sz w:val="24"/>
          <w:szCs w:val="24"/>
          <w:highlight w:val="none"/>
        </w:rPr>
        <w:t xml:space="preserve">) </w:t>
      </w:r>
      <w:r>
        <w:rPr>
          <w:rFonts w:hint="eastAsia" w:ascii="宋体" w:hAnsi="宋体" w:eastAsia="宋体" w:cs="Times New Roman"/>
          <w:bCs/>
          <w:color w:val="auto"/>
          <w:kern w:val="0"/>
          <w:sz w:val="24"/>
          <w:szCs w:val="24"/>
          <w:highlight w:val="none"/>
        </w:rPr>
        <w:t>资格证明文件</w:t>
      </w:r>
    </w:p>
    <w:p w14:paraId="28A4460C">
      <w:pPr>
        <w:widowControl/>
        <w:spacing w:line="360" w:lineRule="auto"/>
        <w:ind w:firstLine="360" w:firstLineChars="150"/>
        <w:rPr>
          <w:rFonts w:ascii="宋体" w:hAnsi="宋体" w:eastAsia="宋体" w:cs="Times New Roman"/>
          <w:bCs/>
          <w:color w:val="auto"/>
          <w:kern w:val="0"/>
          <w:sz w:val="24"/>
          <w:szCs w:val="24"/>
          <w:highlight w:val="none"/>
        </w:rPr>
      </w:pPr>
      <w:r>
        <w:rPr>
          <w:rFonts w:hint="eastAsia" w:ascii="宋体" w:hAnsi="宋体" w:eastAsia="宋体" w:cs="Times New Roman"/>
          <w:color w:val="auto"/>
          <w:kern w:val="0"/>
          <w:sz w:val="24"/>
          <w:szCs w:val="24"/>
          <w:highlight w:val="none"/>
        </w:rPr>
        <w:t>(</w:t>
      </w:r>
      <w:r>
        <w:rPr>
          <w:rFonts w:hint="eastAsia" w:ascii="宋体" w:hAnsi="宋体" w:eastAsia="宋体" w:cs="Times New Roman"/>
          <w:color w:val="auto"/>
          <w:kern w:val="0"/>
          <w:sz w:val="24"/>
          <w:szCs w:val="24"/>
          <w:highlight w:val="none"/>
          <w:lang w:val="en-US" w:eastAsia="zh-CN"/>
        </w:rPr>
        <w:t>8</w:t>
      </w:r>
      <w:r>
        <w:rPr>
          <w:rFonts w:hint="eastAsia" w:ascii="宋体" w:hAnsi="宋体" w:eastAsia="宋体" w:cs="Times New Roman"/>
          <w:color w:val="auto"/>
          <w:kern w:val="0"/>
          <w:sz w:val="24"/>
          <w:szCs w:val="24"/>
          <w:highlight w:val="none"/>
        </w:rPr>
        <w:t xml:space="preserve">) </w:t>
      </w:r>
      <w:r>
        <w:rPr>
          <w:rFonts w:hint="eastAsia" w:ascii="宋体" w:hAnsi="宋体" w:eastAsia="宋体" w:cs="Times New Roman"/>
          <w:bCs/>
          <w:color w:val="auto"/>
          <w:kern w:val="0"/>
          <w:sz w:val="24"/>
          <w:szCs w:val="24"/>
          <w:highlight w:val="none"/>
        </w:rPr>
        <w:t>投标保证承诺函</w:t>
      </w:r>
    </w:p>
    <w:p w14:paraId="614D03D7">
      <w:pPr>
        <w:widowControl/>
        <w:spacing w:line="360" w:lineRule="auto"/>
        <w:ind w:firstLine="360" w:firstLineChars="150"/>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w:t>
      </w:r>
      <w:r>
        <w:rPr>
          <w:rFonts w:hint="eastAsia" w:ascii="宋体" w:hAnsi="宋体" w:eastAsia="宋体" w:cs="Times New Roman"/>
          <w:color w:val="auto"/>
          <w:kern w:val="0"/>
          <w:sz w:val="24"/>
          <w:szCs w:val="24"/>
          <w:highlight w:val="none"/>
          <w:lang w:val="en-US" w:eastAsia="zh-CN"/>
        </w:rPr>
        <w:t>9</w:t>
      </w:r>
      <w:r>
        <w:rPr>
          <w:rFonts w:hint="eastAsia" w:ascii="宋体" w:hAnsi="宋体" w:eastAsia="宋体" w:cs="Times New Roman"/>
          <w:color w:val="auto"/>
          <w:kern w:val="0"/>
          <w:sz w:val="24"/>
          <w:szCs w:val="24"/>
          <w:highlight w:val="none"/>
        </w:rPr>
        <w:t xml:space="preserve">) </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资格声明函</w:t>
      </w:r>
    </w:p>
    <w:p w14:paraId="02B27757">
      <w:pPr>
        <w:widowControl/>
        <w:spacing w:line="360" w:lineRule="auto"/>
        <w:ind w:firstLine="360" w:firstLineChars="150"/>
        <w:rPr>
          <w:color w:val="auto"/>
          <w:highlight w:val="none"/>
        </w:rPr>
      </w:pPr>
      <w:r>
        <w:rPr>
          <w:rFonts w:hint="eastAsia" w:ascii="宋体" w:hAnsi="宋体" w:eastAsia="宋体" w:cs="Times New Roman"/>
          <w:color w:val="auto"/>
          <w:kern w:val="0"/>
          <w:sz w:val="24"/>
          <w:szCs w:val="24"/>
          <w:highlight w:val="none"/>
        </w:rPr>
        <w:t>(</w:t>
      </w:r>
      <w:r>
        <w:rPr>
          <w:rFonts w:hint="eastAsia" w:ascii="宋体" w:hAnsi="宋体" w:eastAsia="宋体" w:cs="Times New Roman"/>
          <w:color w:val="auto"/>
          <w:kern w:val="0"/>
          <w:sz w:val="24"/>
          <w:szCs w:val="24"/>
          <w:highlight w:val="none"/>
          <w:lang w:val="en-US" w:eastAsia="zh-CN"/>
        </w:rPr>
        <w:t>1</w:t>
      </w:r>
      <w:r>
        <w:rPr>
          <w:rFonts w:hint="eastAsia" w:ascii="宋体" w:hAnsi="宋体" w:eastAsia="宋体" w:cs="Times New Roman"/>
          <w:bCs/>
          <w:color w:val="auto"/>
          <w:kern w:val="0"/>
          <w:sz w:val="24"/>
          <w:szCs w:val="24"/>
          <w:highlight w:val="none"/>
          <w:lang w:val="en-US" w:eastAsia="zh-CN"/>
        </w:rPr>
        <w:t>0</w:t>
      </w:r>
      <w:r>
        <w:rPr>
          <w:rFonts w:hint="eastAsia" w:ascii="宋体" w:hAnsi="宋体" w:eastAsia="宋体" w:cs="Times New Roman"/>
          <w:bCs/>
          <w:color w:val="auto"/>
          <w:kern w:val="0"/>
          <w:sz w:val="24"/>
          <w:szCs w:val="24"/>
          <w:highlight w:val="none"/>
        </w:rPr>
        <w:t xml:space="preserve">) </w:t>
      </w:r>
      <w:r>
        <w:rPr>
          <w:rFonts w:hint="eastAsia" w:ascii="宋体" w:hAnsi="宋体" w:eastAsia="宋体" w:cs="Times New Roman"/>
          <w:bCs/>
          <w:color w:val="auto"/>
          <w:kern w:val="0"/>
          <w:sz w:val="24"/>
          <w:szCs w:val="24"/>
          <w:highlight w:val="none"/>
          <w:lang w:val="en-GB" w:eastAsia="zh-CN"/>
        </w:rPr>
        <w:t>关于符合本国产品标准的声明函</w:t>
      </w:r>
    </w:p>
    <w:p w14:paraId="57E6DCF3">
      <w:pPr>
        <w:widowControl/>
        <w:spacing w:line="360" w:lineRule="auto"/>
        <w:ind w:firstLine="360" w:firstLineChars="150"/>
        <w:rPr>
          <w:rFonts w:hint="eastAsia" w:ascii="宋体" w:hAnsi="宋体" w:eastAsia="宋体" w:cs="Times New Roman"/>
          <w:color w:val="auto"/>
          <w:sz w:val="24"/>
          <w:szCs w:val="24"/>
          <w:highlight w:val="none"/>
        </w:rPr>
      </w:pPr>
      <w:r>
        <w:rPr>
          <w:rFonts w:hint="eastAsia" w:ascii="宋体" w:hAnsi="宋体" w:eastAsia="宋体" w:cs="Times New Roman"/>
          <w:color w:val="auto"/>
          <w:kern w:val="0"/>
          <w:sz w:val="24"/>
          <w:szCs w:val="24"/>
          <w:highlight w:val="none"/>
        </w:rPr>
        <w:t>(11)</w:t>
      </w:r>
      <w:r>
        <w:rPr>
          <w:rFonts w:hint="eastAsia" w:ascii="宋体" w:hAnsi="宋体" w:eastAsia="宋体" w:cs="Times New Roman"/>
          <w:color w:val="auto"/>
          <w:sz w:val="24"/>
          <w:szCs w:val="24"/>
          <w:highlight w:val="none"/>
        </w:rPr>
        <w:t xml:space="preserve"> </w:t>
      </w:r>
      <w:r>
        <w:rPr>
          <w:rFonts w:hint="eastAsia" w:ascii="宋体" w:hAnsi="宋体" w:eastAsia="宋体" w:cs="Times New Roman"/>
          <w:color w:val="auto"/>
          <w:kern w:val="0"/>
          <w:sz w:val="24"/>
          <w:szCs w:val="24"/>
          <w:highlight w:val="none"/>
        </w:rPr>
        <w:t>其他资料</w:t>
      </w:r>
    </w:p>
    <w:p w14:paraId="4BBB0BFE">
      <w:pPr>
        <w:widowControl/>
        <w:spacing w:line="360" w:lineRule="auto"/>
        <w:ind w:firstLine="360" w:firstLineChars="150"/>
        <w:rPr>
          <w:rFonts w:ascii="宋体" w:hAnsi="宋体" w:eastAsia="宋体" w:cs="Times New Roman"/>
          <w:color w:val="auto"/>
          <w:kern w:val="0"/>
          <w:sz w:val="24"/>
          <w:szCs w:val="24"/>
          <w:highlight w:val="none"/>
        </w:rPr>
      </w:pPr>
      <w:r>
        <w:rPr>
          <w:rFonts w:hint="eastAsia" w:ascii="宋体" w:hAnsi="宋体" w:eastAsia="宋体" w:cs="Times New Roman"/>
          <w:color w:val="auto"/>
          <w:sz w:val="24"/>
          <w:szCs w:val="24"/>
          <w:highlight w:val="none"/>
        </w:rPr>
        <w:t>中小企业声明函（如有）</w:t>
      </w:r>
    </w:p>
    <w:p w14:paraId="5324EC81">
      <w:pPr>
        <w:widowControl/>
        <w:spacing w:line="360" w:lineRule="auto"/>
        <w:ind w:firstLine="360" w:firstLineChars="150"/>
        <w:rPr>
          <w:rFonts w:ascii="宋体" w:hAnsi="宋体" w:eastAsia="宋体" w:cs="Times New Roman"/>
          <w:bCs/>
          <w:color w:val="auto"/>
          <w:kern w:val="0"/>
          <w:sz w:val="24"/>
          <w:szCs w:val="24"/>
          <w:highlight w:val="none"/>
        </w:rPr>
      </w:pPr>
      <w:r>
        <w:rPr>
          <w:rFonts w:hint="eastAsia" w:ascii="宋体" w:hAnsi="宋体" w:eastAsia="宋体" w:cs="Times New Roman"/>
          <w:bCs/>
          <w:color w:val="auto"/>
          <w:kern w:val="0"/>
          <w:sz w:val="24"/>
          <w:szCs w:val="24"/>
          <w:highlight w:val="none"/>
        </w:rPr>
        <w:t>残疾人福利性单位声明函（如有）</w:t>
      </w:r>
    </w:p>
    <w:p w14:paraId="249EC4B3">
      <w:pPr>
        <w:widowControl/>
        <w:spacing w:line="360" w:lineRule="auto"/>
        <w:ind w:firstLine="360" w:firstLineChars="150"/>
        <w:rPr>
          <w:rFonts w:hint="eastAsia" w:ascii="宋体" w:hAnsi="宋体" w:eastAsia="宋体" w:cs="Times New Roman"/>
          <w:bCs/>
          <w:color w:val="auto"/>
          <w:kern w:val="0"/>
          <w:sz w:val="24"/>
          <w:szCs w:val="24"/>
          <w:highlight w:val="none"/>
        </w:rPr>
      </w:pPr>
      <w:r>
        <w:rPr>
          <w:rFonts w:hint="eastAsia" w:ascii="宋体" w:hAnsi="宋体" w:eastAsia="宋体" w:cs="Times New Roman"/>
          <w:bCs/>
          <w:color w:val="auto"/>
          <w:kern w:val="0"/>
          <w:sz w:val="24"/>
          <w:szCs w:val="24"/>
          <w:highlight w:val="none"/>
        </w:rPr>
        <w:t>监狱企业证明材料（如有）</w:t>
      </w:r>
    </w:p>
    <w:p w14:paraId="21A838CF">
      <w:pPr>
        <w:widowControl/>
        <w:spacing w:line="360" w:lineRule="auto"/>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 xml:space="preserve">  17、投标文件的签署</w:t>
      </w:r>
    </w:p>
    <w:p w14:paraId="1C9F3C0C">
      <w:pPr>
        <w:widowControl/>
        <w:spacing w:line="360" w:lineRule="auto"/>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17.1投标文件投标函应加盖</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单位公章并经法定代表人或其委托代理人签字或盖章。</w:t>
      </w:r>
    </w:p>
    <w:p w14:paraId="5F03FD2D">
      <w:pPr>
        <w:widowControl/>
        <w:spacing w:line="360" w:lineRule="auto"/>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 xml:space="preserve">  18、投标文件格式</w:t>
      </w:r>
    </w:p>
    <w:p w14:paraId="34C7ACA3">
      <w:pPr>
        <w:widowControl/>
        <w:spacing w:line="360" w:lineRule="auto"/>
        <w:ind w:firstLine="37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投标文件应包括本须知第16条中规定的全部内容，</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提交的投标文件应当使用招标文件所提供的投标文件全部格式（表格可以按同样格式扩展）。</w:t>
      </w:r>
    </w:p>
    <w:p w14:paraId="15372848">
      <w:pPr>
        <w:widowControl/>
        <w:spacing w:line="360" w:lineRule="auto"/>
        <w:ind w:firstLine="37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四、投标文件的递交</w:t>
      </w:r>
    </w:p>
    <w:p w14:paraId="49BD834C">
      <w:pPr>
        <w:widowControl/>
        <w:spacing w:line="360" w:lineRule="auto"/>
        <w:rPr>
          <w:rFonts w:ascii="宋体" w:hAnsi="宋体"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19、投标文件的递交</w:t>
      </w:r>
    </w:p>
    <w:p w14:paraId="446655D1">
      <w:pPr>
        <w:widowControl/>
        <w:spacing w:line="360" w:lineRule="auto"/>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19.1 在规定时间内，上传投标文件至三门峡市公共资源交易中心平台。</w:t>
      </w:r>
    </w:p>
    <w:p w14:paraId="667CF412">
      <w:pPr>
        <w:widowControl/>
        <w:spacing w:line="360" w:lineRule="auto"/>
        <w:ind w:firstLine="24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 xml:space="preserve">20、投标截止时间 </w:t>
      </w:r>
    </w:p>
    <w:p w14:paraId="6B9358C8">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20.1.1</w:t>
      </w:r>
      <w:r>
        <w:rPr>
          <w:rFonts w:hint="eastAsia" w:ascii="宋体" w:hAnsi="宋体" w:eastAsia="宋体" w:cs="Times New Roman"/>
          <w:color w:val="auto"/>
          <w:kern w:val="0"/>
          <w:sz w:val="24"/>
          <w:szCs w:val="24"/>
          <w:highlight w:val="none"/>
        </w:rPr>
        <w:t>投标文件的截止时间见本须知前附表规定。</w:t>
      </w:r>
    </w:p>
    <w:p w14:paraId="35E3DD4F">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20.1.2</w:t>
      </w:r>
      <w:r>
        <w:rPr>
          <w:rFonts w:hint="eastAsia" w:ascii="宋体" w:hAnsi="宋体" w:eastAsia="宋体" w:cs="Times New Roman"/>
          <w:color w:val="auto"/>
          <w:kern w:val="0"/>
          <w:sz w:val="24"/>
          <w:szCs w:val="24"/>
          <w:highlight w:val="none"/>
        </w:rPr>
        <w:t>采购人可按本须知第8条规定以修改补充通知的方式，酌情延长递交投标文件的截止时间。在此情况下，</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的所有权利和义务以及</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受制约的截止时间，均以延长后新的投标截止时间为准。</w:t>
      </w:r>
    </w:p>
    <w:p w14:paraId="75508484">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20.1.3</w:t>
      </w:r>
      <w:r>
        <w:rPr>
          <w:rFonts w:hint="eastAsia" w:ascii="宋体" w:hAnsi="宋体" w:eastAsia="宋体" w:cs="Times New Roman"/>
          <w:color w:val="auto"/>
          <w:kern w:val="0"/>
          <w:sz w:val="24"/>
          <w:szCs w:val="24"/>
          <w:highlight w:val="none"/>
        </w:rPr>
        <w:t>到投标截止时间止，采购人收到的投标文件少于3家的，采购人将依法重新组织招标。</w:t>
      </w:r>
    </w:p>
    <w:p w14:paraId="68A29E01">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20.2</w:t>
      </w:r>
      <w:r>
        <w:rPr>
          <w:rFonts w:hint="eastAsia" w:ascii="宋体" w:hAnsi="宋体" w:eastAsia="宋体" w:cs="Times New Roman"/>
          <w:color w:val="auto"/>
          <w:kern w:val="0"/>
          <w:sz w:val="24"/>
          <w:szCs w:val="24"/>
          <w:highlight w:val="none"/>
        </w:rPr>
        <w:t>迟交的投标文件</w:t>
      </w:r>
    </w:p>
    <w:p w14:paraId="2FA03D3E">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逾期上传并签到的投标文件，采购人不予受理。</w:t>
      </w:r>
    </w:p>
    <w:p w14:paraId="5E72079C">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20.3</w:t>
      </w:r>
      <w:r>
        <w:rPr>
          <w:rFonts w:hint="eastAsia" w:ascii="宋体" w:hAnsi="宋体" w:eastAsia="宋体" w:cs="Times New Roman"/>
          <w:color w:val="auto"/>
          <w:kern w:val="0"/>
          <w:sz w:val="24"/>
          <w:szCs w:val="24"/>
          <w:highlight w:val="none"/>
        </w:rPr>
        <w:t>投标文件的补充、修改与撤回</w:t>
      </w:r>
    </w:p>
    <w:p w14:paraId="04D69772">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20.3.1</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在递交投标文件以后，在规定的投标截止时间之前，可以补充修改或撤回已递交的投标文件，并通知采购人。补充、修改的内容为投标文件的组成部分。</w:t>
      </w:r>
    </w:p>
    <w:p w14:paraId="0FE64DFA">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20.3.2</w:t>
      </w:r>
      <w:r>
        <w:rPr>
          <w:rFonts w:hint="eastAsia" w:ascii="宋体" w:hAnsi="宋体" w:eastAsia="宋体" w:cs="Times New Roman"/>
          <w:color w:val="auto"/>
          <w:kern w:val="0"/>
          <w:sz w:val="24"/>
          <w:szCs w:val="24"/>
          <w:highlight w:val="none"/>
        </w:rPr>
        <w:t>在投标截止时间之后，</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不得补充、修改投标文件。</w:t>
      </w:r>
    </w:p>
    <w:p w14:paraId="72D97FD9">
      <w:pPr>
        <w:widowControl/>
        <w:spacing w:line="360" w:lineRule="auto"/>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五、开标</w:t>
      </w:r>
    </w:p>
    <w:p w14:paraId="6D3ED037">
      <w:pPr>
        <w:widowControl/>
        <w:spacing w:line="360" w:lineRule="auto"/>
        <w:ind w:firstLine="24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21、开标</w:t>
      </w:r>
    </w:p>
    <w:p w14:paraId="42BB1C05">
      <w:pPr>
        <w:widowControl/>
        <w:spacing w:line="360" w:lineRule="auto"/>
        <w:ind w:firstLine="440"/>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21.1采购人按本须知前附表所规定的时间和地点公开开标，开标会议由采购代理机构主持，在有关部门监督下进行。</w:t>
      </w:r>
    </w:p>
    <w:p w14:paraId="791CAE1B">
      <w:pPr>
        <w:widowControl/>
        <w:spacing w:line="360" w:lineRule="auto"/>
        <w:ind w:firstLine="440"/>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21.2开标要求事项</w:t>
      </w:r>
    </w:p>
    <w:p w14:paraId="6907A212">
      <w:pPr>
        <w:widowControl/>
        <w:spacing w:line="360" w:lineRule="auto"/>
        <w:ind w:firstLine="440"/>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21.2.1</w:t>
      </w:r>
      <w:r>
        <w:rPr>
          <w:rFonts w:hint="eastAsia" w:ascii="宋体" w:hAnsi="宋体" w:eastAsia="宋体" w:cs="Times New Roman"/>
          <w:color w:val="auto"/>
          <w:sz w:val="24"/>
          <w:szCs w:val="24"/>
          <w:highlight w:val="none"/>
          <w:lang w:eastAsia="zh-CN"/>
        </w:rPr>
        <w:t>投标供应商</w:t>
      </w:r>
      <w:r>
        <w:rPr>
          <w:rFonts w:hint="eastAsia" w:ascii="宋体" w:hAnsi="宋体" w:eastAsia="宋体" w:cs="Times New Roman"/>
          <w:color w:val="auto"/>
          <w:sz w:val="24"/>
          <w:szCs w:val="24"/>
          <w:highlight w:val="none"/>
        </w:rPr>
        <w:t>无需到开标现场参加开标会议，</w:t>
      </w:r>
      <w:r>
        <w:rPr>
          <w:rFonts w:hint="eastAsia" w:ascii="宋体" w:hAnsi="宋体" w:eastAsia="宋体" w:cs="Times New Roman"/>
          <w:color w:val="auto"/>
          <w:sz w:val="24"/>
          <w:szCs w:val="24"/>
          <w:highlight w:val="none"/>
          <w:lang w:eastAsia="zh-CN"/>
        </w:rPr>
        <w:t>投标供应商</w:t>
      </w:r>
      <w:r>
        <w:rPr>
          <w:rFonts w:hint="eastAsia" w:ascii="宋体" w:hAnsi="宋体" w:eastAsia="宋体" w:cs="Times New Roman"/>
          <w:color w:val="auto"/>
          <w:sz w:val="24"/>
          <w:szCs w:val="24"/>
          <w:highlight w:val="none"/>
        </w:rPr>
        <w:t>应当在投标截止时间前，登陆不见面开标大厅选择登陆三门峡市公共资源电子招投标系统进行登陆（网址为http://120.194.249.36:10094/BidOpening/bidopeninghallaction/hall/login）,在线准时参加开标活动并进行投标文件解密等。</w:t>
      </w:r>
    </w:p>
    <w:p w14:paraId="480128FE">
      <w:pPr>
        <w:widowControl/>
        <w:spacing w:line="360" w:lineRule="auto"/>
        <w:ind w:firstLine="44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21.3开标程序：</w:t>
      </w:r>
    </w:p>
    <w:p w14:paraId="2806CD23">
      <w:pPr>
        <w:widowControl/>
        <w:spacing w:line="360" w:lineRule="auto"/>
        <w:ind w:firstLine="44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主持人按下列程序进行开标：</w:t>
      </w:r>
    </w:p>
    <w:p w14:paraId="1B9D80EB">
      <w:pPr>
        <w:widowControl/>
        <w:spacing w:line="360" w:lineRule="auto"/>
        <w:ind w:firstLine="440"/>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（1）公布在投标截止时间前递交投标文件的</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名称；</w:t>
      </w:r>
    </w:p>
    <w:p w14:paraId="3ADC0D33">
      <w:pPr>
        <w:widowControl/>
        <w:spacing w:line="360" w:lineRule="auto"/>
        <w:ind w:firstLine="440"/>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（2）按照</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须知前附表的规定确定并进行解密；</w:t>
      </w:r>
    </w:p>
    <w:p w14:paraId="5B7D819C">
      <w:pPr>
        <w:widowControl/>
        <w:spacing w:line="360" w:lineRule="auto"/>
        <w:ind w:firstLine="440"/>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（3）公布最高限价；</w:t>
      </w:r>
    </w:p>
    <w:p w14:paraId="40508A9B">
      <w:pPr>
        <w:widowControl/>
        <w:spacing w:line="360" w:lineRule="auto"/>
        <w:ind w:firstLine="440"/>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（4）按照宣布的开标顺序当众唱标，公布</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名称、投标报价等内容；</w:t>
      </w:r>
    </w:p>
    <w:p w14:paraId="2D0A9DEA">
      <w:pPr>
        <w:widowControl/>
        <w:spacing w:line="360" w:lineRule="auto"/>
        <w:ind w:firstLine="440"/>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（5）开标结束。</w:t>
      </w:r>
    </w:p>
    <w:p w14:paraId="3B726354">
      <w:pPr>
        <w:widowControl/>
        <w:spacing w:line="360" w:lineRule="auto"/>
        <w:ind w:firstLine="44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21.4合格</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不足3家的，不得评标。</w:t>
      </w:r>
    </w:p>
    <w:p w14:paraId="68C18FAA">
      <w:pPr>
        <w:widowControl/>
        <w:spacing w:line="360" w:lineRule="auto"/>
        <w:ind w:firstLine="44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21.5投标文件的有效性</w:t>
      </w:r>
    </w:p>
    <w:p w14:paraId="653CF731">
      <w:pPr>
        <w:widowControl/>
        <w:spacing w:line="360" w:lineRule="auto"/>
        <w:ind w:firstLine="44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21.5.1逾期上传的或者未上传指定平台的，采购人不予受理：</w:t>
      </w:r>
    </w:p>
    <w:p w14:paraId="7CF122F4">
      <w:pPr>
        <w:widowControl/>
        <w:spacing w:line="360" w:lineRule="auto"/>
        <w:ind w:firstLine="43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21.5.2 采购人将有效投标文件，送评标委员会进行评审、比较。</w:t>
      </w:r>
    </w:p>
    <w:p w14:paraId="3D8D1B9F">
      <w:pPr>
        <w:widowControl/>
        <w:spacing w:line="360" w:lineRule="auto"/>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六、评标</w:t>
      </w:r>
    </w:p>
    <w:p w14:paraId="3DBFCAE5">
      <w:pPr>
        <w:widowControl/>
        <w:spacing w:line="360" w:lineRule="auto"/>
        <w:ind w:firstLine="24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22.评标委员会</w:t>
      </w:r>
    </w:p>
    <w:p w14:paraId="20FC8BF5">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22.1</w:t>
      </w:r>
      <w:r>
        <w:rPr>
          <w:rFonts w:hint="eastAsia" w:ascii="宋体" w:hAnsi="宋体" w:eastAsia="宋体" w:cs="Times New Roman"/>
          <w:color w:val="auto"/>
          <w:kern w:val="0"/>
          <w:sz w:val="24"/>
          <w:szCs w:val="24"/>
          <w:highlight w:val="none"/>
        </w:rPr>
        <w:t>评标由采购人依法组建的评标委员会负责。评标委员会由采购人熟悉相关业务的代表，以及有关方面的专家组成。评标委员会成员人数以及专家的确定方式见</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须知前附表。</w:t>
      </w:r>
    </w:p>
    <w:p w14:paraId="7E6C0C1C">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22.2</w:t>
      </w:r>
      <w:r>
        <w:rPr>
          <w:rFonts w:hint="eastAsia" w:ascii="宋体" w:hAnsi="宋体" w:eastAsia="宋体" w:cs="Times New Roman"/>
          <w:color w:val="auto"/>
          <w:kern w:val="0"/>
          <w:sz w:val="24"/>
          <w:szCs w:val="24"/>
          <w:highlight w:val="none"/>
        </w:rPr>
        <w:t>评标委员会成员有下列情形之一的，应当回避：</w:t>
      </w:r>
    </w:p>
    <w:p w14:paraId="4EB98366">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（1）采购人或</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的主要负责人的近亲属；</w:t>
      </w:r>
    </w:p>
    <w:p w14:paraId="7659AF33">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（2）项目主管部门或者行政监督部门的人员；</w:t>
      </w:r>
    </w:p>
    <w:p w14:paraId="7CD79D2F">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（3）与</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有经济利益关系，可能影响对投标公正评审的；</w:t>
      </w:r>
    </w:p>
    <w:p w14:paraId="1C02AF89">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（4）曾因在招标、评标以及其他与招标投标有关活动中从事违法行为而受过行政处罚或刑事处罚的。</w:t>
      </w:r>
    </w:p>
    <w:p w14:paraId="5BAC8480">
      <w:pPr>
        <w:widowControl/>
        <w:spacing w:line="360" w:lineRule="auto"/>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 xml:space="preserve">  23.评标过程的保密</w:t>
      </w:r>
    </w:p>
    <w:p w14:paraId="22B5C30B">
      <w:pPr>
        <w:widowControl/>
        <w:spacing w:line="360" w:lineRule="auto"/>
        <w:ind w:firstLine="47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23.1开标后，直至授予中标人合同为止，凡属于对投标文件的审查、澄清、评价和比较有关的资料，中标候选人的推荐情况，及其他任何与评标有关的情况均应严格保密。</w:t>
      </w:r>
    </w:p>
    <w:p w14:paraId="59609D27">
      <w:pPr>
        <w:widowControl/>
        <w:spacing w:line="360" w:lineRule="auto"/>
        <w:ind w:firstLine="47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23.2在投标文件的评审和比较、中标候选人推荐以及授予合同的过程中，</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向采购人和评标委员会施加影响的任何行为，都将会导致其投标被拒绝。</w:t>
      </w:r>
    </w:p>
    <w:p w14:paraId="365223E8">
      <w:pPr>
        <w:widowControl/>
        <w:spacing w:line="360" w:lineRule="auto"/>
        <w:ind w:firstLine="47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23.3中标人确定后，采购人不对未中标单位就评标过程以及未能中标原因作出任何解释。未中标人不得向评标委员会组成人员或其他有关人员索问评标过程的情况和材料。</w:t>
      </w:r>
    </w:p>
    <w:p w14:paraId="05531B92">
      <w:pPr>
        <w:widowControl/>
        <w:spacing w:line="360" w:lineRule="auto"/>
        <w:ind w:firstLine="24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24. 评标原则</w:t>
      </w:r>
      <w:r>
        <w:rPr>
          <w:rFonts w:hint="eastAsia" w:ascii="宋体" w:hAnsi="宋体" w:eastAsia="宋体" w:cs="Times New Roman"/>
          <w:b/>
          <w:bCs/>
          <w:color w:val="auto"/>
          <w:kern w:val="0"/>
          <w:sz w:val="24"/>
          <w:szCs w:val="24"/>
          <w:highlight w:val="none"/>
        </w:rPr>
        <w:tab/>
      </w:r>
    </w:p>
    <w:p w14:paraId="0B5C0CA8">
      <w:pPr>
        <w:widowControl/>
        <w:spacing w:line="360" w:lineRule="auto"/>
        <w:ind w:firstLine="47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评标活动遵循公平、公正、科学和择优的原则。</w:t>
      </w:r>
    </w:p>
    <w:p w14:paraId="5F984267">
      <w:pPr>
        <w:widowControl/>
        <w:spacing w:line="360" w:lineRule="auto"/>
        <w:ind w:firstLine="24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25、投标文件的澄清</w:t>
      </w:r>
    </w:p>
    <w:p w14:paraId="29185831">
      <w:pPr>
        <w:widowControl/>
        <w:spacing w:line="360" w:lineRule="auto"/>
        <w:ind w:firstLine="47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为有助于投标文件的审查、评价和比较，评标委员会可以通知</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对投标文件含义不明确的内容作必要的澄清或说明，</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应进行澄清或说明，但不得超出投标文件的范围或改变投标文件的实质性内容。根据本须知规定，凡属于评标委员会在评标中发现的计算错误并进行核实的修改不在此列。</w:t>
      </w:r>
    </w:p>
    <w:p w14:paraId="761EDE7C">
      <w:pPr>
        <w:widowControl/>
        <w:spacing w:line="360" w:lineRule="auto"/>
        <w:ind w:firstLine="35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26、投标文件的初步评审</w:t>
      </w:r>
    </w:p>
    <w:p w14:paraId="42A1696E">
      <w:pPr>
        <w:widowControl/>
        <w:spacing w:line="360" w:lineRule="auto"/>
        <w:ind w:firstLine="518" w:firstLineChars="216"/>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26.1评标委员会应当对符合资格的</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的投标文件进行符合性审查，以确定其是否满足招标文件的实质性要求。</w:t>
      </w:r>
    </w:p>
    <w:p w14:paraId="55246325">
      <w:pPr>
        <w:widowControl/>
        <w:spacing w:line="360" w:lineRule="auto"/>
        <w:ind w:firstLine="48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26.2投标价超出采购人最高限价的投标将会被拒绝。</w:t>
      </w:r>
    </w:p>
    <w:p w14:paraId="77D7057D">
      <w:pPr>
        <w:widowControl/>
        <w:spacing w:line="360" w:lineRule="auto"/>
        <w:ind w:firstLine="480"/>
        <w:jc w:val="left"/>
        <w:rPr>
          <w:rFonts w:hint="default" w:ascii="宋体" w:hAnsi="宋体" w:eastAsia="宋体" w:cs="Times New Roman"/>
          <w:color w:val="auto"/>
          <w:kern w:val="0"/>
          <w:sz w:val="24"/>
          <w:szCs w:val="24"/>
          <w:highlight w:val="none"/>
          <w:lang w:val="en-US" w:eastAsia="zh-CN"/>
        </w:rPr>
      </w:pPr>
      <w:r>
        <w:rPr>
          <w:rFonts w:hint="eastAsia" w:ascii="宋体" w:hAnsi="宋体" w:eastAsia="宋体" w:cs="Times New Roman"/>
          <w:color w:val="auto"/>
          <w:kern w:val="0"/>
          <w:sz w:val="24"/>
          <w:szCs w:val="24"/>
          <w:highlight w:val="none"/>
          <w:lang w:val="en-US" w:eastAsia="zh-CN"/>
        </w:rPr>
        <w:t>26.3提供相同品牌产品且通过初步评审的不同投标供应商，按一家投标供应商计算，评审后得分最高的同品牌投标供应商获得中标投标供应商推荐资格；评审得分相同的，由采购人或者采购人委托评标委员会按照招标文件中评标办法规定的方式确定一个投标供应商获得中标投标供应商推荐资格；未规定的采取随机抽取方式确定，其他同品牌投标供应商不作为中标候选供应商。</w:t>
      </w:r>
    </w:p>
    <w:p w14:paraId="32DD2153">
      <w:pPr>
        <w:widowControl/>
        <w:spacing w:line="360" w:lineRule="auto"/>
        <w:ind w:firstLine="48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26.3实质上没有响应招标文件要求的投标将被拒绝，</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不得通过修正或撤消不符之处而使其投标成为实质上响应投标。</w:t>
      </w:r>
    </w:p>
    <w:p w14:paraId="0009AEC1">
      <w:pPr>
        <w:widowControl/>
        <w:spacing w:line="360" w:lineRule="auto"/>
        <w:ind w:firstLine="48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26.4评标中有下列情形之一的，其投标将会被拒绝：</w:t>
      </w:r>
    </w:p>
    <w:p w14:paraId="7FC63D27">
      <w:pPr>
        <w:widowControl/>
        <w:spacing w:line="360" w:lineRule="auto"/>
        <w:ind w:firstLine="85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w:t>
      </w:r>
      <w:r>
        <w:rPr>
          <w:rFonts w:hint="eastAsia" w:ascii="宋体" w:hAnsi="宋体" w:eastAsia="宋体" w:cs="Times New Roman"/>
          <w:color w:val="auto"/>
          <w:kern w:val="0"/>
          <w:sz w:val="24"/>
          <w:szCs w:val="24"/>
          <w:highlight w:val="none"/>
          <w:lang w:val="en-US" w:eastAsia="zh-CN"/>
        </w:rPr>
        <w:t>1</w:t>
      </w:r>
      <w:r>
        <w:rPr>
          <w:rFonts w:hint="eastAsia" w:ascii="宋体" w:hAnsi="宋体" w:eastAsia="宋体" w:cs="Times New Roman"/>
          <w:color w:val="auto"/>
          <w:kern w:val="0"/>
          <w:sz w:val="24"/>
          <w:szCs w:val="24"/>
          <w:highlight w:val="none"/>
        </w:rPr>
        <w:t>) 不具备招标文件中规定的资质要求的；</w:t>
      </w:r>
    </w:p>
    <w:p w14:paraId="18E1DBAB">
      <w:pPr>
        <w:widowControl/>
        <w:spacing w:line="360" w:lineRule="auto"/>
        <w:ind w:firstLine="840" w:firstLineChars="35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w:t>
      </w:r>
      <w:r>
        <w:rPr>
          <w:rFonts w:hint="eastAsia" w:ascii="宋体" w:hAnsi="宋体" w:eastAsia="宋体" w:cs="Times New Roman"/>
          <w:color w:val="auto"/>
          <w:kern w:val="0"/>
          <w:sz w:val="24"/>
          <w:szCs w:val="24"/>
          <w:highlight w:val="none"/>
          <w:lang w:val="en-US" w:eastAsia="zh-CN"/>
        </w:rPr>
        <w:t>2</w:t>
      </w:r>
      <w:r>
        <w:rPr>
          <w:rFonts w:hint="eastAsia" w:ascii="宋体" w:hAnsi="宋体" w:eastAsia="宋体" w:cs="Times New Roman"/>
          <w:color w:val="auto"/>
          <w:kern w:val="0"/>
          <w:sz w:val="24"/>
          <w:szCs w:val="24"/>
          <w:highlight w:val="none"/>
        </w:rPr>
        <w:t>) 报价超过招标文件中规定的最高限价金额的；</w:t>
      </w:r>
    </w:p>
    <w:p w14:paraId="2057F03A">
      <w:pPr>
        <w:widowControl/>
        <w:spacing w:line="360" w:lineRule="auto"/>
        <w:ind w:firstLine="85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w:t>
      </w:r>
      <w:r>
        <w:rPr>
          <w:rFonts w:hint="eastAsia" w:ascii="宋体" w:hAnsi="宋体" w:eastAsia="宋体" w:cs="Times New Roman"/>
          <w:color w:val="auto"/>
          <w:kern w:val="0"/>
          <w:sz w:val="24"/>
          <w:szCs w:val="24"/>
          <w:highlight w:val="none"/>
          <w:lang w:val="en-US" w:eastAsia="zh-CN"/>
        </w:rPr>
        <w:t>3</w:t>
      </w:r>
      <w:r>
        <w:rPr>
          <w:rFonts w:hint="eastAsia" w:ascii="宋体" w:hAnsi="宋体" w:eastAsia="宋体" w:cs="Times New Roman"/>
          <w:color w:val="auto"/>
          <w:kern w:val="0"/>
          <w:sz w:val="24"/>
          <w:szCs w:val="24"/>
          <w:highlight w:val="none"/>
        </w:rPr>
        <w:t>) 投标文件含有采购人不能接受的附加条件的；</w:t>
      </w:r>
    </w:p>
    <w:p w14:paraId="00091E2F">
      <w:pPr>
        <w:widowControl/>
        <w:spacing w:line="360" w:lineRule="auto"/>
        <w:ind w:firstLine="960" w:firstLineChars="400"/>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w:t>
      </w:r>
      <w:r>
        <w:rPr>
          <w:rFonts w:hint="eastAsia" w:ascii="宋体" w:hAnsi="宋体" w:eastAsia="宋体" w:cs="Times New Roman"/>
          <w:color w:val="auto"/>
          <w:kern w:val="0"/>
          <w:sz w:val="24"/>
          <w:szCs w:val="24"/>
          <w:highlight w:val="none"/>
          <w:lang w:val="en-US" w:eastAsia="zh-CN"/>
        </w:rPr>
        <w:t>4</w:t>
      </w:r>
      <w:r>
        <w:rPr>
          <w:rFonts w:hint="eastAsia" w:ascii="宋体" w:hAnsi="宋体" w:eastAsia="宋体" w:cs="Times New Roman"/>
          <w:color w:val="auto"/>
          <w:kern w:val="0"/>
          <w:sz w:val="24"/>
          <w:szCs w:val="24"/>
          <w:highlight w:val="none"/>
        </w:rPr>
        <w:t>) 法律、法规和招标文件规定的其他无效情形。</w:t>
      </w:r>
    </w:p>
    <w:p w14:paraId="680B4A32">
      <w:pPr>
        <w:widowControl/>
        <w:spacing w:line="360" w:lineRule="auto"/>
        <w:ind w:firstLine="47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27、投标文件计算错误的修正</w:t>
      </w:r>
    </w:p>
    <w:p w14:paraId="6E7DC4D0">
      <w:pPr>
        <w:spacing w:line="360" w:lineRule="auto"/>
        <w:ind w:firstLine="771" w:firstLineChars="321"/>
        <w:rPr>
          <w:rFonts w:ascii="宋体" w:hAnsi="宋体"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27.1</w:t>
      </w:r>
      <w:r>
        <w:rPr>
          <w:rFonts w:hint="eastAsia" w:ascii="宋体" w:hAnsi="宋体" w:eastAsia="宋体" w:cs="Times New Roman"/>
          <w:color w:val="auto"/>
          <w:kern w:val="0"/>
          <w:sz w:val="24"/>
          <w:szCs w:val="24"/>
          <w:highlight w:val="none"/>
        </w:rPr>
        <w:t>对于投标文件中含义不明确、同类问题表述不一致或者有明显文字和计算错误的内容，评标委员会应当以书面形式要求</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作出必要的澄清、说明或者补正。投标文件报价出现前后不一致的按以下方法修正：</w:t>
      </w:r>
    </w:p>
    <w:p w14:paraId="4563E031">
      <w:pPr>
        <w:widowControl/>
        <w:spacing w:line="360" w:lineRule="auto"/>
        <w:ind w:firstLine="720" w:firstLineChars="3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27.1.1</w:t>
      </w:r>
      <w:r>
        <w:rPr>
          <w:rFonts w:hint="eastAsia" w:ascii="Times New Roman" w:hAnsi="Times New Roman" w:eastAsia="宋体" w:cs="Times New Roman"/>
          <w:color w:val="auto"/>
          <w:sz w:val="24"/>
          <w:szCs w:val="24"/>
          <w:highlight w:val="none"/>
        </w:rPr>
        <w:t>投标文件中投标函（报价表）内容与投标文件中相应内容不一致的，以投标函（报价表）为准；</w:t>
      </w:r>
    </w:p>
    <w:p w14:paraId="260E23C9">
      <w:pPr>
        <w:widowControl/>
        <w:spacing w:line="360" w:lineRule="auto"/>
        <w:ind w:firstLine="772" w:firstLineChars="322"/>
        <w:jc w:val="left"/>
        <w:rPr>
          <w:rFonts w:ascii="宋体" w:hAnsi="宋体" w:eastAsia="宋体" w:cs="Times New Roman"/>
          <w:color w:val="auto"/>
          <w:kern w:val="0"/>
          <w:sz w:val="24"/>
          <w:szCs w:val="24"/>
          <w:highlight w:val="none"/>
        </w:rPr>
      </w:pPr>
      <w:r>
        <w:rPr>
          <w:rFonts w:ascii="宋体" w:hAnsi="宋体" w:eastAsia="宋体" w:cs="Times New Roman"/>
          <w:color w:val="auto"/>
          <w:kern w:val="0"/>
          <w:sz w:val="24"/>
          <w:szCs w:val="24"/>
          <w:highlight w:val="none"/>
        </w:rPr>
        <w:t>27.1.2</w:t>
      </w:r>
      <w:r>
        <w:rPr>
          <w:rFonts w:hint="eastAsia" w:ascii="宋体" w:hAnsi="宋体" w:eastAsia="宋体" w:cs="Times New Roman"/>
          <w:color w:val="auto"/>
          <w:kern w:val="0"/>
          <w:sz w:val="24"/>
          <w:szCs w:val="24"/>
          <w:highlight w:val="none"/>
        </w:rPr>
        <w:t>大写金额和小写金额不一致的，以大写金额为准；</w:t>
      </w:r>
    </w:p>
    <w:p w14:paraId="12B7F730">
      <w:pPr>
        <w:widowControl/>
        <w:spacing w:line="360" w:lineRule="auto"/>
        <w:ind w:firstLine="772" w:firstLineChars="322"/>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27.1.3单价金额小数点或者百分比有明显错位的，以开标一览表的总价为准，并修改单价；</w:t>
      </w:r>
    </w:p>
    <w:p w14:paraId="6FBA747F">
      <w:pPr>
        <w:widowControl/>
        <w:spacing w:line="360" w:lineRule="auto"/>
        <w:ind w:firstLine="772" w:firstLineChars="322"/>
        <w:jc w:val="lef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27.1.4总价金额与按单价汇总金额不一致的，以单价金额计算结果为准。</w:t>
      </w:r>
    </w:p>
    <w:p w14:paraId="6B864174">
      <w:pPr>
        <w:widowControl/>
        <w:spacing w:line="360" w:lineRule="auto"/>
        <w:ind w:firstLine="470"/>
        <w:jc w:val="left"/>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同时出现两种以上不一致的，按照顺序修正。</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不确认的，其投标无效。</w:t>
      </w:r>
    </w:p>
    <w:p w14:paraId="66A8703A">
      <w:pPr>
        <w:pStyle w:val="18"/>
        <w:ind w:firstLine="720" w:firstLineChars="300"/>
        <w:rPr>
          <w:rFonts w:hint="eastAsia" w:hAnsi="宋体" w:cs="Times New Roman"/>
          <w:color w:val="auto"/>
          <w:kern w:val="0"/>
          <w:sz w:val="24"/>
          <w:szCs w:val="24"/>
          <w:highlight w:val="none"/>
          <w:lang w:val="en-US" w:eastAsia="zh-CN"/>
        </w:rPr>
      </w:pPr>
      <w:r>
        <w:rPr>
          <w:rFonts w:hint="eastAsia" w:hAnsi="宋体" w:cs="Times New Roman"/>
          <w:color w:val="auto"/>
          <w:kern w:val="0"/>
          <w:sz w:val="24"/>
          <w:szCs w:val="24"/>
          <w:highlight w:val="none"/>
          <w:lang w:val="en-US" w:eastAsia="zh-CN"/>
        </w:rPr>
        <w:t>27.1.5关于异常低价的处理</w:t>
      </w:r>
    </w:p>
    <w:p w14:paraId="50D8246F">
      <w:pPr>
        <w:pStyle w:val="18"/>
        <w:keepNext w:val="0"/>
        <w:keepLines w:val="0"/>
        <w:pageBreakBefore w:val="0"/>
        <w:widowControl w:val="0"/>
        <w:kinsoku/>
        <w:wordWrap/>
        <w:overflowPunct/>
        <w:topLinePunct w:val="0"/>
        <w:autoSpaceDE w:val="0"/>
        <w:autoSpaceDN w:val="0"/>
        <w:bidi w:val="0"/>
        <w:adjustRightInd w:val="0"/>
        <w:snapToGrid/>
        <w:spacing w:line="360" w:lineRule="auto"/>
        <w:ind w:firstLine="720" w:firstLineChars="300"/>
        <w:textAlignment w:val="auto"/>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政府采购评审中出现下列情形之一的，评标委员会应当启动异常低价投标（响应）审查程序：</w:t>
      </w:r>
    </w:p>
    <w:p w14:paraId="7B5ECAF6">
      <w:pPr>
        <w:pStyle w:val="18"/>
        <w:keepNext w:val="0"/>
        <w:keepLines w:val="0"/>
        <w:pageBreakBefore w:val="0"/>
        <w:widowControl w:val="0"/>
        <w:kinsoku/>
        <w:wordWrap/>
        <w:overflowPunct/>
        <w:topLinePunct w:val="0"/>
        <w:autoSpaceDE w:val="0"/>
        <w:autoSpaceDN w:val="0"/>
        <w:bidi w:val="0"/>
        <w:adjustRightInd w:val="0"/>
        <w:snapToGrid/>
        <w:spacing w:line="360" w:lineRule="auto"/>
        <w:ind w:firstLine="720" w:firstLineChars="300"/>
        <w:textAlignment w:val="auto"/>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（1）投标（响应）报价低于全部通过符合性审查供应商投标（响应）报价平均值 50%的，即投标（响应）报价&lt;全部通过符合性审查供应商投标（响应）报价平均值×50%；</w:t>
      </w:r>
    </w:p>
    <w:p w14:paraId="7A40751A">
      <w:pPr>
        <w:pStyle w:val="18"/>
        <w:keepNext w:val="0"/>
        <w:keepLines w:val="0"/>
        <w:pageBreakBefore w:val="0"/>
        <w:widowControl w:val="0"/>
        <w:kinsoku/>
        <w:wordWrap/>
        <w:overflowPunct/>
        <w:topLinePunct w:val="0"/>
        <w:autoSpaceDE w:val="0"/>
        <w:autoSpaceDN w:val="0"/>
        <w:bidi w:val="0"/>
        <w:adjustRightInd w:val="0"/>
        <w:snapToGrid/>
        <w:spacing w:line="360" w:lineRule="auto"/>
        <w:ind w:firstLine="720" w:firstLineChars="300"/>
        <w:textAlignment w:val="auto"/>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（2）投标（响应）报价低于通过符合性审查的次低报价供应商投标（响应）报价 50%的，即投标（响应）报价&lt;通过符合性审查的次低报价供应商投标（响应）报价×50%；</w:t>
      </w:r>
    </w:p>
    <w:p w14:paraId="053D7F52">
      <w:pPr>
        <w:pStyle w:val="18"/>
        <w:keepNext w:val="0"/>
        <w:keepLines w:val="0"/>
        <w:pageBreakBefore w:val="0"/>
        <w:widowControl w:val="0"/>
        <w:kinsoku/>
        <w:wordWrap/>
        <w:overflowPunct/>
        <w:topLinePunct w:val="0"/>
        <w:autoSpaceDE w:val="0"/>
        <w:autoSpaceDN w:val="0"/>
        <w:bidi w:val="0"/>
        <w:adjustRightInd w:val="0"/>
        <w:snapToGrid/>
        <w:spacing w:line="360" w:lineRule="auto"/>
        <w:ind w:firstLine="720" w:firstLineChars="300"/>
        <w:textAlignment w:val="auto"/>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（3）投标（响应）报价低于采购项目最高限价45%的，即投标（响应）报价&lt;采购项目最高限价×45%；</w:t>
      </w:r>
    </w:p>
    <w:p w14:paraId="5521B21A">
      <w:pPr>
        <w:pStyle w:val="18"/>
        <w:keepNext w:val="0"/>
        <w:keepLines w:val="0"/>
        <w:pageBreakBefore w:val="0"/>
        <w:widowControl w:val="0"/>
        <w:kinsoku/>
        <w:wordWrap/>
        <w:overflowPunct/>
        <w:topLinePunct w:val="0"/>
        <w:autoSpaceDE w:val="0"/>
        <w:autoSpaceDN w:val="0"/>
        <w:bidi w:val="0"/>
        <w:adjustRightInd w:val="0"/>
        <w:snapToGrid/>
        <w:spacing w:line="360" w:lineRule="auto"/>
        <w:ind w:firstLine="720" w:firstLineChars="300"/>
        <w:textAlignment w:val="auto"/>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（4）评标委员会基于专业判断，认为供应商报价过低，有可能影响产品质量或者不能诚信履约的其他情形。</w:t>
      </w:r>
    </w:p>
    <w:p w14:paraId="369265BC">
      <w:pPr>
        <w:pStyle w:val="18"/>
        <w:keepNext w:val="0"/>
        <w:keepLines w:val="0"/>
        <w:pageBreakBefore w:val="0"/>
        <w:widowControl w:val="0"/>
        <w:kinsoku/>
        <w:wordWrap/>
        <w:overflowPunct/>
        <w:topLinePunct w:val="0"/>
        <w:autoSpaceDE w:val="0"/>
        <w:autoSpaceDN w:val="0"/>
        <w:bidi w:val="0"/>
        <w:adjustRightInd w:val="0"/>
        <w:snapToGrid/>
        <w:spacing w:line="360" w:lineRule="auto"/>
        <w:ind w:firstLine="720" w:firstLineChars="300"/>
        <w:textAlignment w:val="auto"/>
        <w:rPr>
          <w:rFonts w:hint="eastAsia"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评标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 分钟。其中，属于第3 项情形，供应商已随投标（响应）文件一并提交相关书面说明及必要的证明材料的，在评审现场可不再重复提交。</w:t>
      </w:r>
    </w:p>
    <w:p w14:paraId="7E0D98A9">
      <w:pPr>
        <w:pStyle w:val="18"/>
        <w:keepNext w:val="0"/>
        <w:keepLines w:val="0"/>
        <w:pageBreakBefore w:val="0"/>
        <w:widowControl w:val="0"/>
        <w:kinsoku/>
        <w:wordWrap/>
        <w:overflowPunct/>
        <w:topLinePunct w:val="0"/>
        <w:autoSpaceDE w:val="0"/>
        <w:autoSpaceDN w:val="0"/>
        <w:bidi w:val="0"/>
        <w:adjustRightInd w:val="0"/>
        <w:snapToGrid/>
        <w:spacing w:line="360" w:lineRule="auto"/>
        <w:ind w:firstLine="720" w:firstLineChars="300"/>
        <w:textAlignment w:val="auto"/>
        <w:rPr>
          <w:rFonts w:hint="default" w:ascii="宋体" w:hAnsi="宋体" w:eastAsia="宋体" w:cs="Times New Roman"/>
          <w:color w:val="auto"/>
          <w:kern w:val="0"/>
          <w:sz w:val="24"/>
          <w:szCs w:val="24"/>
          <w:highlight w:val="none"/>
          <w:lang w:val="en-US" w:eastAsia="zh-CN" w:bidi="ar-SA"/>
        </w:rPr>
      </w:pPr>
      <w:r>
        <w:rPr>
          <w:rFonts w:hint="eastAsia" w:ascii="宋体" w:hAnsi="宋体" w:eastAsia="宋体" w:cs="Times New Roman"/>
          <w:color w:val="auto"/>
          <w:kern w:val="0"/>
          <w:sz w:val="24"/>
          <w:szCs w:val="24"/>
          <w:highlight w:val="none"/>
          <w:lang w:val="en-US" w:eastAsia="zh-CN" w:bidi="ar-SA"/>
        </w:rPr>
        <w:t>评标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标委员会应当将其作为无效投标（响应）处理。</w:t>
      </w:r>
    </w:p>
    <w:p w14:paraId="219770BB">
      <w:pPr>
        <w:widowControl/>
        <w:spacing w:line="360" w:lineRule="auto"/>
        <w:ind w:firstLine="47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28. 投标文件的评审、比较和否决</w:t>
      </w:r>
    </w:p>
    <w:p w14:paraId="26D0B81B">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28.1</w:t>
      </w:r>
      <w:r>
        <w:rPr>
          <w:rFonts w:hint="eastAsia" w:ascii="宋体" w:hAnsi="宋体" w:eastAsia="宋体" w:cs="Times New Roman"/>
          <w:color w:val="auto"/>
          <w:kern w:val="0"/>
          <w:sz w:val="24"/>
          <w:szCs w:val="24"/>
          <w:highlight w:val="none"/>
        </w:rPr>
        <w:t>评标委员会将按照招标文件的规定，仅对在实质上响应招标文件要求的投标文件进行评估和比较。</w:t>
      </w:r>
    </w:p>
    <w:p w14:paraId="65790A1A">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28.2</w:t>
      </w:r>
      <w:r>
        <w:rPr>
          <w:rFonts w:hint="eastAsia" w:ascii="宋体" w:hAnsi="宋体" w:eastAsia="宋体" w:cs="Times New Roman"/>
          <w:color w:val="auto"/>
          <w:kern w:val="0"/>
          <w:sz w:val="24"/>
          <w:szCs w:val="24"/>
          <w:highlight w:val="none"/>
        </w:rPr>
        <w:t>根据相关法律法规，结合本项目具体情况，制定本次招标评标办法。并按照“公平、公正、科学、择优”的原则进行评标。</w:t>
      </w:r>
    </w:p>
    <w:p w14:paraId="385D5CAA">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28.3</w:t>
      </w:r>
      <w:r>
        <w:rPr>
          <w:rFonts w:hint="eastAsia" w:ascii="宋体" w:hAnsi="宋体" w:eastAsia="宋体" w:cs="Times New Roman"/>
          <w:color w:val="auto"/>
          <w:kern w:val="0"/>
          <w:sz w:val="24"/>
          <w:szCs w:val="24"/>
          <w:highlight w:val="none"/>
        </w:rPr>
        <w:t>在评审过程中，评标委员会可以要求</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就投标文件中含义不明确的内容进行说明并提供相关材料。</w:t>
      </w:r>
    </w:p>
    <w:p w14:paraId="25CD98EB">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28.4</w:t>
      </w:r>
      <w:r>
        <w:rPr>
          <w:rFonts w:hint="eastAsia" w:ascii="宋体" w:hAnsi="宋体" w:eastAsia="宋体" w:cs="Times New Roman"/>
          <w:color w:val="auto"/>
          <w:kern w:val="0"/>
          <w:sz w:val="24"/>
          <w:szCs w:val="24"/>
          <w:highlight w:val="none"/>
        </w:rPr>
        <w:t>评标时，投标报价是评标的重要依据，但不是唯一依据，采购人不承诺将合同授予报价最低或最高的</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w:t>
      </w:r>
    </w:p>
    <w:p w14:paraId="5B82BFCE">
      <w:pPr>
        <w:widowControl/>
        <w:spacing w:line="360" w:lineRule="auto"/>
        <w:ind w:firstLine="42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28.5</w:t>
      </w:r>
      <w:r>
        <w:rPr>
          <w:rFonts w:hint="eastAsia" w:ascii="宋体" w:hAnsi="宋体" w:eastAsia="宋体" w:cs="Times New Roman"/>
          <w:color w:val="auto"/>
          <w:kern w:val="0"/>
          <w:sz w:val="24"/>
          <w:szCs w:val="24"/>
          <w:highlight w:val="none"/>
        </w:rPr>
        <w:t>评标委员会依据本须知规定的评标标准和方法，对投标文件进行评审和比较，向采购人提出书面评标报告，并推荐合格的中标候选人。采购人根据评标委员会提出的书面评标报告和推荐的中标候选人按序确定中标人。</w:t>
      </w:r>
    </w:p>
    <w:p w14:paraId="37CD32AA">
      <w:pPr>
        <w:widowControl/>
        <w:spacing w:line="360" w:lineRule="auto"/>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七、授予合同</w:t>
      </w:r>
    </w:p>
    <w:p w14:paraId="2D027904">
      <w:pPr>
        <w:widowControl/>
        <w:spacing w:line="360" w:lineRule="auto"/>
        <w:ind w:firstLine="24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29、合同授予标准</w:t>
      </w:r>
    </w:p>
    <w:p w14:paraId="7DFDDCD6">
      <w:pPr>
        <w:widowControl/>
        <w:spacing w:line="360" w:lineRule="auto"/>
        <w:ind w:firstLine="420"/>
        <w:jc w:val="left"/>
        <w:rPr>
          <w:rFonts w:hint="eastAsia" w:ascii="宋体" w:hAnsi="宋体"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29.1</w:t>
      </w:r>
      <w:r>
        <w:rPr>
          <w:rFonts w:hint="eastAsia" w:ascii="宋体" w:hAnsi="宋体" w:eastAsia="宋体" w:cs="Times New Roman"/>
          <w:color w:val="auto"/>
          <w:kern w:val="0"/>
          <w:sz w:val="24"/>
          <w:szCs w:val="24"/>
          <w:highlight w:val="none"/>
        </w:rPr>
        <w:t>本招标项目的合同将授予按本评标办法确定的中标供应商。</w:t>
      </w:r>
    </w:p>
    <w:p w14:paraId="237ACCB1">
      <w:pPr>
        <w:widowControl/>
        <w:spacing w:line="360" w:lineRule="auto"/>
        <w:ind w:firstLine="42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29.2中标或者成交供应商拒绝与采购人签订合同的，采购人可以按照评审报告推荐的中标或者成交候选人名单排序，确定下一候选人为中标或者成交供应商，也可以重新开展政府采购活动。</w:t>
      </w:r>
    </w:p>
    <w:p w14:paraId="4FA2CA16">
      <w:pPr>
        <w:widowControl/>
        <w:spacing w:line="360" w:lineRule="auto"/>
        <w:ind w:firstLine="24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30、采购人拒绝投标的权力</w:t>
      </w:r>
    </w:p>
    <w:p w14:paraId="3394AFDF">
      <w:pPr>
        <w:widowControl/>
        <w:spacing w:line="360" w:lineRule="auto"/>
        <w:ind w:firstLine="42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采购人不承诺将合同授予报价最低的或最高的中标（中标）候选人。</w:t>
      </w:r>
    </w:p>
    <w:p w14:paraId="534F0974">
      <w:pPr>
        <w:widowControl/>
        <w:spacing w:line="360" w:lineRule="auto"/>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 xml:space="preserve">  31、中标通知</w:t>
      </w:r>
    </w:p>
    <w:p w14:paraId="647CA279">
      <w:pPr>
        <w:widowControl/>
        <w:spacing w:line="360" w:lineRule="auto"/>
        <w:ind w:firstLine="235" w:firstLineChars="98"/>
        <w:jc w:val="left"/>
        <w:rPr>
          <w:rFonts w:ascii="宋体" w:hAnsi="宋体" w:eastAsia="宋体" w:cs="Times New Roman"/>
          <w:bCs/>
          <w:color w:val="auto"/>
          <w:kern w:val="0"/>
          <w:sz w:val="24"/>
          <w:szCs w:val="24"/>
          <w:highlight w:val="none"/>
        </w:rPr>
      </w:pPr>
      <w:r>
        <w:rPr>
          <w:rFonts w:hint="eastAsia" w:ascii="宋体" w:hAnsi="宋体" w:eastAsia="宋体" w:cs="Times New Roman"/>
          <w:bCs/>
          <w:color w:val="auto"/>
          <w:kern w:val="0"/>
          <w:sz w:val="24"/>
          <w:szCs w:val="24"/>
          <w:highlight w:val="none"/>
        </w:rPr>
        <w:t>32.1按《三门峡市财政局关于市本级政府采购合同备案管理工作的通知》（三财购[2021]9号）文要求，原则上自中标通知书发出之日起</w:t>
      </w:r>
      <w:r>
        <w:rPr>
          <w:rFonts w:hint="eastAsia" w:ascii="宋体" w:hAnsi="宋体" w:eastAsia="宋体" w:cs="Times New Roman"/>
          <w:bCs/>
          <w:color w:val="auto"/>
          <w:kern w:val="0"/>
          <w:sz w:val="24"/>
          <w:szCs w:val="24"/>
          <w:highlight w:val="none"/>
          <w:lang w:val="en-US" w:eastAsia="zh-CN"/>
        </w:rPr>
        <w:t>5</w:t>
      </w:r>
      <w:r>
        <w:rPr>
          <w:rFonts w:hint="eastAsia" w:ascii="宋体" w:hAnsi="宋体" w:eastAsia="宋体" w:cs="Times New Roman"/>
          <w:bCs/>
          <w:color w:val="auto"/>
          <w:kern w:val="0"/>
          <w:sz w:val="24"/>
          <w:szCs w:val="24"/>
          <w:highlight w:val="none"/>
        </w:rPr>
        <w:t>个工作日内与中标（成交）供应商按照采购文件确定的事项与供应商签订政府采购合同，合同签订后1个工作日内在河南省政府采购网上发布公告并完成合同备案，按照招标文件及中标供应商的投标文件订立书面承包合同，采购人和中标供应商不得再行订立背离合同实质性内容的其他协议。</w:t>
      </w:r>
    </w:p>
    <w:p w14:paraId="008AEB3D">
      <w:pPr>
        <w:widowControl/>
        <w:spacing w:line="360" w:lineRule="auto"/>
        <w:ind w:firstLine="235" w:firstLineChars="98"/>
        <w:jc w:val="left"/>
        <w:rPr>
          <w:rFonts w:ascii="宋体" w:hAnsi="宋体" w:eastAsia="宋体" w:cs="Times New Roman"/>
          <w:bCs/>
          <w:color w:val="auto"/>
          <w:kern w:val="0"/>
          <w:sz w:val="24"/>
          <w:szCs w:val="24"/>
          <w:highlight w:val="none"/>
        </w:rPr>
      </w:pPr>
      <w:r>
        <w:rPr>
          <w:rFonts w:hint="eastAsia" w:ascii="宋体" w:hAnsi="宋体" w:eastAsia="宋体" w:cs="Times New Roman"/>
          <w:bCs/>
          <w:color w:val="auto"/>
          <w:kern w:val="0"/>
          <w:sz w:val="24"/>
          <w:szCs w:val="24"/>
          <w:highlight w:val="none"/>
        </w:rPr>
        <w:t>32.</w:t>
      </w:r>
      <w:r>
        <w:rPr>
          <w:rFonts w:hint="eastAsia" w:ascii="宋体" w:hAnsi="宋体" w:eastAsia="宋体" w:cs="Times New Roman"/>
          <w:bCs/>
          <w:color w:val="auto"/>
          <w:kern w:val="0"/>
          <w:sz w:val="24"/>
          <w:szCs w:val="24"/>
          <w:highlight w:val="none"/>
          <w:lang w:val="en-US" w:eastAsia="zh-CN"/>
        </w:rPr>
        <w:t>2</w:t>
      </w:r>
      <w:r>
        <w:rPr>
          <w:rFonts w:hint="eastAsia" w:ascii="宋体" w:hAnsi="宋体" w:eastAsia="宋体" w:cs="Times New Roman"/>
          <w:bCs/>
          <w:color w:val="auto"/>
          <w:kern w:val="0"/>
          <w:sz w:val="24"/>
          <w:szCs w:val="24"/>
          <w:highlight w:val="none"/>
        </w:rPr>
        <w:t>不得擅自变更合同。政府采购合同的双方当事人不得擅自变更、中止或者终止合同。政府采购合同继续履行将损害国家利益和社会公共利益的，双方当事人应当变更、中止或者终止合同。有过错的一方应当承担赔偿责任，双方都有过错的，各自承担相应的责任。采购人和供应商应当在政府采购合同中明确约定双方的违约责任。对于确因采购人原因导致变更、中止或终止政府采购合同的，采购人应当依照合同约定对供应商受到的损失予以赔偿或者补偿。</w:t>
      </w:r>
    </w:p>
    <w:p w14:paraId="3A0E84D4">
      <w:pPr>
        <w:widowControl/>
        <w:spacing w:line="360" w:lineRule="auto"/>
        <w:jc w:val="center"/>
        <w:rPr>
          <w:rFonts w:ascii="宋体" w:hAnsi="宋体" w:eastAsia="宋体" w:cs="Times New Roman"/>
          <w:b/>
          <w:bCs/>
          <w:color w:val="auto"/>
          <w:kern w:val="0"/>
          <w:sz w:val="24"/>
          <w:szCs w:val="24"/>
          <w:highlight w:val="none"/>
        </w:rPr>
      </w:pPr>
      <w:r>
        <w:rPr>
          <w:rFonts w:hint="eastAsia" w:ascii="宋体" w:hAnsi="宋体" w:eastAsia="宋体" w:cs="Times New Roman"/>
          <w:b/>
          <w:bCs/>
          <w:color w:val="auto"/>
          <w:kern w:val="0"/>
          <w:sz w:val="24"/>
          <w:szCs w:val="24"/>
          <w:highlight w:val="none"/>
        </w:rPr>
        <w:t>八、</w:t>
      </w:r>
      <w:r>
        <w:rPr>
          <w:rFonts w:ascii="宋体" w:hAnsi="宋体" w:eastAsia="宋体" w:cs="Times New Roman"/>
          <w:b/>
          <w:bCs/>
          <w:color w:val="auto"/>
          <w:kern w:val="0"/>
          <w:sz w:val="24"/>
          <w:szCs w:val="24"/>
          <w:highlight w:val="none"/>
        </w:rPr>
        <w:t>处罚、询问和质疑</w:t>
      </w:r>
    </w:p>
    <w:p w14:paraId="354134EA">
      <w:pPr>
        <w:tabs>
          <w:tab w:val="left" w:pos="1140"/>
        </w:tabs>
        <w:autoSpaceDE w:val="0"/>
        <w:autoSpaceDN w:val="0"/>
        <w:spacing w:before="41" w:line="360" w:lineRule="auto"/>
        <w:ind w:left="175"/>
        <w:jc w:val="left"/>
        <w:outlineLvl w:val="5"/>
        <w:rPr>
          <w:rFonts w:ascii="宋体" w:hAnsi="宋体" w:eastAsia="宋体" w:cs="宋体"/>
          <w:b/>
          <w:bCs/>
          <w:color w:val="auto"/>
          <w:kern w:val="0"/>
          <w:sz w:val="24"/>
          <w:szCs w:val="24"/>
          <w:highlight w:val="none"/>
        </w:rPr>
      </w:pPr>
      <w:r>
        <w:rPr>
          <w:rFonts w:hint="eastAsia" w:ascii="宋体" w:hAnsi="宋体" w:eastAsia="宋体" w:cs="宋体"/>
          <w:b/>
          <w:color w:val="auto"/>
          <w:kern w:val="0"/>
          <w:sz w:val="24"/>
          <w:szCs w:val="24"/>
          <w:highlight w:val="none"/>
          <w:lang w:val="en-US" w:eastAsia="zh-CN"/>
        </w:rPr>
        <w:t>34</w:t>
      </w:r>
      <w:r>
        <w:rPr>
          <w:rFonts w:hint="eastAsia" w:ascii="宋体" w:hAnsi="宋体" w:eastAsia="宋体" w:cs="宋体"/>
          <w:b/>
          <w:color w:val="auto"/>
          <w:kern w:val="0"/>
          <w:sz w:val="24"/>
          <w:szCs w:val="24"/>
          <w:highlight w:val="none"/>
        </w:rPr>
        <w:t>、</w:t>
      </w:r>
      <w:r>
        <w:rPr>
          <w:rFonts w:ascii="宋体" w:hAnsi="宋体" w:eastAsia="宋体" w:cs="宋体"/>
          <w:b/>
          <w:bCs/>
          <w:color w:val="auto"/>
          <w:kern w:val="0"/>
          <w:sz w:val="24"/>
          <w:szCs w:val="24"/>
          <w:highlight w:val="none"/>
        </w:rPr>
        <w:t>发生下列情况之一，将依法追究</w:t>
      </w:r>
      <w:r>
        <w:rPr>
          <w:rFonts w:hint="eastAsia" w:ascii="宋体" w:hAnsi="宋体" w:eastAsia="宋体" w:cs="宋体"/>
          <w:b/>
          <w:bCs/>
          <w:color w:val="auto"/>
          <w:kern w:val="0"/>
          <w:sz w:val="24"/>
          <w:szCs w:val="24"/>
          <w:highlight w:val="none"/>
          <w:lang w:eastAsia="zh-CN"/>
        </w:rPr>
        <w:t>投标供应商</w:t>
      </w:r>
      <w:r>
        <w:rPr>
          <w:rFonts w:ascii="宋体" w:hAnsi="宋体" w:eastAsia="宋体" w:cs="宋体"/>
          <w:b/>
          <w:bCs/>
          <w:color w:val="auto"/>
          <w:kern w:val="0"/>
          <w:sz w:val="24"/>
          <w:szCs w:val="24"/>
          <w:highlight w:val="none"/>
        </w:rPr>
        <w:t>的相关责任：</w:t>
      </w:r>
    </w:p>
    <w:p w14:paraId="23506598">
      <w:pPr>
        <w:tabs>
          <w:tab w:val="left" w:pos="1257"/>
        </w:tabs>
        <w:autoSpaceDE w:val="0"/>
        <w:autoSpaceDN w:val="0"/>
        <w:spacing w:before="96" w:line="360" w:lineRule="auto"/>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r>
        <w:rPr>
          <w:rFonts w:ascii="宋体" w:hAnsi="宋体" w:eastAsia="宋体" w:cs="宋体"/>
          <w:color w:val="auto"/>
          <w:kern w:val="0"/>
          <w:sz w:val="24"/>
          <w:szCs w:val="24"/>
          <w:highlight w:val="none"/>
        </w:rPr>
        <w:t>开标后在投标有效期内，</w:t>
      </w:r>
      <w:r>
        <w:rPr>
          <w:rFonts w:hint="eastAsia" w:ascii="宋体" w:hAnsi="宋体" w:eastAsia="宋体" w:cs="宋体"/>
          <w:color w:val="auto"/>
          <w:kern w:val="0"/>
          <w:sz w:val="24"/>
          <w:szCs w:val="24"/>
          <w:highlight w:val="none"/>
          <w:lang w:eastAsia="zh-CN"/>
        </w:rPr>
        <w:t>投标供应商</w:t>
      </w:r>
      <w:r>
        <w:rPr>
          <w:rFonts w:ascii="宋体" w:hAnsi="宋体" w:eastAsia="宋体" w:cs="宋体"/>
          <w:color w:val="auto"/>
          <w:kern w:val="0"/>
          <w:sz w:val="24"/>
          <w:szCs w:val="24"/>
          <w:highlight w:val="none"/>
        </w:rPr>
        <w:t>撤回其投标；</w:t>
      </w:r>
    </w:p>
    <w:p w14:paraId="7ED81331">
      <w:pPr>
        <w:tabs>
          <w:tab w:val="left" w:pos="1257"/>
        </w:tabs>
        <w:autoSpaceDE w:val="0"/>
        <w:autoSpaceDN w:val="0"/>
        <w:spacing w:before="96" w:line="360" w:lineRule="auto"/>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rPr>
        <w:t>）</w:t>
      </w:r>
      <w:r>
        <w:rPr>
          <w:rFonts w:ascii="宋体" w:hAnsi="宋体" w:eastAsia="宋体" w:cs="宋体"/>
          <w:color w:val="auto"/>
          <w:kern w:val="0"/>
          <w:sz w:val="24"/>
          <w:szCs w:val="24"/>
          <w:highlight w:val="none"/>
        </w:rPr>
        <w:t>在投标文件中提供虚假材料的；</w:t>
      </w:r>
    </w:p>
    <w:p w14:paraId="7C187E6D">
      <w:pPr>
        <w:tabs>
          <w:tab w:val="left" w:pos="1257"/>
        </w:tabs>
        <w:autoSpaceDE w:val="0"/>
        <w:autoSpaceDN w:val="0"/>
        <w:spacing w:before="98" w:line="360" w:lineRule="auto"/>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rPr>
        <w:t>）</w:t>
      </w:r>
      <w:r>
        <w:rPr>
          <w:rFonts w:ascii="宋体" w:hAnsi="宋体" w:eastAsia="宋体" w:cs="宋体"/>
          <w:color w:val="auto"/>
          <w:kern w:val="0"/>
          <w:sz w:val="24"/>
          <w:szCs w:val="24"/>
          <w:highlight w:val="none"/>
        </w:rPr>
        <w:t>中标人拒绝在招标文件规定的时间内签订合同的；</w:t>
      </w:r>
    </w:p>
    <w:p w14:paraId="2B2FD6F2">
      <w:pPr>
        <w:widowControl/>
        <w:spacing w:line="360" w:lineRule="auto"/>
        <w:ind w:firstLine="476" w:firstLineChars="200"/>
        <w:rPr>
          <w:rFonts w:ascii="宋体" w:hAnsi="宋体" w:eastAsia="宋体" w:cs="宋体"/>
          <w:color w:val="auto"/>
          <w:spacing w:val="-1"/>
          <w:kern w:val="0"/>
          <w:sz w:val="24"/>
          <w:szCs w:val="24"/>
          <w:highlight w:val="none"/>
        </w:rPr>
      </w:pPr>
      <w:r>
        <w:rPr>
          <w:rFonts w:hint="eastAsia" w:ascii="宋体" w:hAnsi="宋体" w:eastAsia="宋体" w:cs="宋体"/>
          <w:color w:val="auto"/>
          <w:spacing w:val="-1"/>
          <w:kern w:val="0"/>
          <w:sz w:val="24"/>
          <w:szCs w:val="24"/>
          <w:highlight w:val="none"/>
        </w:rPr>
        <w:t>（</w:t>
      </w:r>
      <w:r>
        <w:rPr>
          <w:rFonts w:hint="eastAsia" w:ascii="宋体" w:hAnsi="宋体" w:eastAsia="宋体" w:cs="宋体"/>
          <w:color w:val="auto"/>
          <w:spacing w:val="-1"/>
          <w:kern w:val="0"/>
          <w:sz w:val="24"/>
          <w:szCs w:val="24"/>
          <w:highlight w:val="none"/>
          <w:lang w:val="en-US" w:eastAsia="zh-CN"/>
        </w:rPr>
        <w:t>4</w:t>
      </w:r>
      <w:r>
        <w:rPr>
          <w:rFonts w:hint="eastAsia" w:ascii="宋体" w:hAnsi="宋体" w:eastAsia="宋体" w:cs="宋体"/>
          <w:color w:val="auto"/>
          <w:spacing w:val="-1"/>
          <w:kern w:val="0"/>
          <w:sz w:val="24"/>
          <w:szCs w:val="24"/>
          <w:highlight w:val="none"/>
        </w:rPr>
        <w:t>）</w:t>
      </w:r>
      <w:r>
        <w:rPr>
          <w:rFonts w:hint="eastAsia" w:ascii="宋体" w:hAnsi="宋体" w:eastAsia="宋体" w:cs="宋体"/>
          <w:color w:val="auto"/>
          <w:spacing w:val="-1"/>
          <w:kern w:val="0"/>
          <w:sz w:val="24"/>
          <w:szCs w:val="24"/>
          <w:highlight w:val="none"/>
          <w:lang w:eastAsia="zh-CN"/>
        </w:rPr>
        <w:t>投标供应商</w:t>
      </w:r>
      <w:r>
        <w:rPr>
          <w:rFonts w:ascii="宋体" w:hAnsi="宋体" w:eastAsia="宋体" w:cs="宋体"/>
          <w:color w:val="auto"/>
          <w:spacing w:val="-1"/>
          <w:kern w:val="0"/>
          <w:sz w:val="24"/>
          <w:szCs w:val="24"/>
          <w:highlight w:val="none"/>
        </w:rPr>
        <w:t>其它未按招标文件规定履行义务的行为。</w:t>
      </w:r>
    </w:p>
    <w:p w14:paraId="359E41F3">
      <w:pPr>
        <w:tabs>
          <w:tab w:val="left" w:pos="1257"/>
        </w:tabs>
        <w:autoSpaceDE w:val="0"/>
        <w:autoSpaceDN w:val="0"/>
        <w:spacing w:before="98" w:line="360" w:lineRule="auto"/>
        <w:ind w:right="3229" w:firstLine="420"/>
        <w:jc w:val="left"/>
        <w:rPr>
          <w:rFonts w:ascii="宋体" w:hAnsi="宋体" w:eastAsia="宋体" w:cs="宋体"/>
          <w:b/>
          <w:color w:val="auto"/>
          <w:kern w:val="0"/>
          <w:sz w:val="24"/>
          <w:szCs w:val="24"/>
          <w:highlight w:val="none"/>
        </w:rPr>
      </w:pPr>
      <w:r>
        <w:rPr>
          <w:rFonts w:hint="eastAsia" w:ascii="宋体" w:hAnsi="宋体" w:eastAsia="宋体" w:cs="Times New Roman"/>
          <w:b/>
          <w:bCs/>
          <w:color w:val="auto"/>
          <w:kern w:val="0"/>
          <w:sz w:val="24"/>
          <w:szCs w:val="24"/>
          <w:highlight w:val="none"/>
          <w:lang w:val="en-US" w:eastAsia="zh-CN"/>
        </w:rPr>
        <w:t>35</w:t>
      </w:r>
      <w:r>
        <w:rPr>
          <w:rFonts w:hint="eastAsia" w:ascii="宋体" w:hAnsi="宋体" w:eastAsia="宋体" w:cs="Times New Roman"/>
          <w:b/>
          <w:bCs/>
          <w:color w:val="auto"/>
          <w:kern w:val="0"/>
          <w:sz w:val="24"/>
          <w:szCs w:val="24"/>
          <w:highlight w:val="none"/>
        </w:rPr>
        <w:t>、</w:t>
      </w:r>
      <w:r>
        <w:rPr>
          <w:rFonts w:ascii="宋体" w:hAnsi="宋体" w:eastAsia="宋体" w:cs="宋体"/>
          <w:b/>
          <w:color w:val="auto"/>
          <w:kern w:val="0"/>
          <w:sz w:val="24"/>
          <w:szCs w:val="24"/>
          <w:highlight w:val="none"/>
        </w:rPr>
        <w:t>询问和质疑</w:t>
      </w:r>
    </w:p>
    <w:p w14:paraId="49B81CBE">
      <w:pPr>
        <w:numPr>
          <w:ilvl w:val="1"/>
          <w:numId w:val="1"/>
        </w:numPr>
        <w:tabs>
          <w:tab w:val="left" w:pos="1196"/>
        </w:tabs>
        <w:autoSpaceDE w:val="0"/>
        <w:autoSpaceDN w:val="0"/>
        <w:spacing w:before="3" w:line="360" w:lineRule="auto"/>
        <w:ind w:right="277"/>
        <w:jc w:val="left"/>
        <w:rPr>
          <w:rFonts w:ascii="宋体" w:hAnsi="宋体" w:eastAsia="宋体" w:cs="宋体"/>
          <w:color w:val="auto"/>
          <w:kern w:val="0"/>
          <w:sz w:val="24"/>
          <w:szCs w:val="24"/>
          <w:highlight w:val="none"/>
        </w:rPr>
      </w:pPr>
      <w:r>
        <w:rPr>
          <w:rFonts w:hint="eastAsia" w:ascii="宋体" w:hAnsi="宋体" w:eastAsia="宋体" w:cs="宋体"/>
          <w:color w:val="auto"/>
          <w:spacing w:val="-9"/>
          <w:kern w:val="0"/>
          <w:sz w:val="24"/>
          <w:szCs w:val="24"/>
          <w:highlight w:val="none"/>
          <w:lang w:eastAsia="zh-CN"/>
        </w:rPr>
        <w:t>投标供应商</w:t>
      </w:r>
      <w:r>
        <w:rPr>
          <w:rFonts w:hint="eastAsia" w:ascii="宋体" w:hAnsi="宋体" w:eastAsia="宋体" w:cs="宋体"/>
          <w:color w:val="auto"/>
          <w:spacing w:val="-9"/>
          <w:kern w:val="0"/>
          <w:sz w:val="24"/>
          <w:szCs w:val="24"/>
          <w:highlight w:val="none"/>
        </w:rPr>
        <w:t>对采购事项有疑问，可以按照《政府采购法》的相关规定向采购人机构</w:t>
      </w:r>
      <w:r>
        <w:rPr>
          <w:rFonts w:hint="eastAsia" w:ascii="宋体" w:hAnsi="宋体" w:eastAsia="宋体" w:cs="宋体"/>
          <w:color w:val="auto"/>
          <w:kern w:val="0"/>
          <w:sz w:val="24"/>
          <w:szCs w:val="24"/>
          <w:highlight w:val="none"/>
        </w:rPr>
        <w:t>提出询问。提出质疑的供应商应当是参与所质疑项目采购活动的供应商。</w:t>
      </w:r>
    </w:p>
    <w:p w14:paraId="1EE5BB1F">
      <w:pPr>
        <w:numPr>
          <w:ilvl w:val="1"/>
          <w:numId w:val="1"/>
        </w:numPr>
        <w:tabs>
          <w:tab w:val="left" w:pos="1196"/>
        </w:tabs>
        <w:autoSpaceDE w:val="0"/>
        <w:autoSpaceDN w:val="0"/>
        <w:spacing w:line="360" w:lineRule="auto"/>
        <w:ind w:right="157"/>
        <w:jc w:val="left"/>
        <w:rPr>
          <w:rFonts w:ascii="宋体" w:hAnsi="宋体" w:eastAsia="宋体" w:cs="宋体"/>
          <w:color w:val="auto"/>
          <w:kern w:val="0"/>
          <w:sz w:val="24"/>
          <w:szCs w:val="24"/>
          <w:highlight w:val="none"/>
        </w:rPr>
      </w:pPr>
      <w:r>
        <w:rPr>
          <w:rFonts w:hint="eastAsia" w:ascii="宋体" w:hAnsi="宋体" w:eastAsia="宋体" w:cs="宋体"/>
          <w:color w:val="auto"/>
          <w:spacing w:val="-6"/>
          <w:kern w:val="0"/>
          <w:sz w:val="24"/>
          <w:szCs w:val="24"/>
          <w:highlight w:val="none"/>
        </w:rPr>
        <w:t>若</w:t>
      </w:r>
      <w:r>
        <w:rPr>
          <w:rFonts w:hint="eastAsia" w:ascii="宋体" w:hAnsi="宋体" w:eastAsia="宋体" w:cs="宋体"/>
          <w:color w:val="auto"/>
          <w:spacing w:val="-6"/>
          <w:kern w:val="0"/>
          <w:sz w:val="24"/>
          <w:szCs w:val="24"/>
          <w:highlight w:val="none"/>
          <w:lang w:eastAsia="zh-CN"/>
        </w:rPr>
        <w:t>投标供应商</w:t>
      </w:r>
      <w:r>
        <w:rPr>
          <w:rFonts w:hint="eastAsia" w:ascii="宋体" w:hAnsi="宋体" w:eastAsia="宋体" w:cs="宋体"/>
          <w:color w:val="auto"/>
          <w:spacing w:val="-6"/>
          <w:kern w:val="0"/>
          <w:sz w:val="24"/>
          <w:szCs w:val="24"/>
          <w:highlight w:val="none"/>
        </w:rPr>
        <w:t>认为其投标未获公平评审或采购文件、采购过程和中标或者成交结果</w:t>
      </w:r>
      <w:r>
        <w:rPr>
          <w:rFonts w:hint="eastAsia" w:ascii="宋体" w:hAnsi="宋体" w:eastAsia="宋体" w:cs="宋体"/>
          <w:color w:val="auto"/>
          <w:spacing w:val="-13"/>
          <w:kern w:val="0"/>
          <w:sz w:val="24"/>
          <w:szCs w:val="24"/>
          <w:highlight w:val="none"/>
        </w:rPr>
        <w:t>使自己的合法权益受到损害，可以在知道或者应知其权益受到损害之日起</w:t>
      </w:r>
      <w:r>
        <w:rPr>
          <w:rFonts w:ascii="宋体" w:hAnsi="宋体" w:eastAsia="宋体" w:cs="宋体"/>
          <w:color w:val="auto"/>
          <w:kern w:val="0"/>
          <w:sz w:val="24"/>
          <w:szCs w:val="24"/>
          <w:highlight w:val="none"/>
        </w:rPr>
        <w:t>7</w:t>
      </w:r>
      <w:r>
        <w:rPr>
          <w:rFonts w:hint="eastAsia" w:ascii="宋体" w:hAnsi="宋体" w:eastAsia="宋体" w:cs="宋体"/>
          <w:color w:val="auto"/>
          <w:spacing w:val="-16"/>
          <w:kern w:val="0"/>
          <w:sz w:val="24"/>
          <w:szCs w:val="24"/>
          <w:highlight w:val="none"/>
        </w:rPr>
        <w:t>个工作日内，</w:t>
      </w:r>
      <w:r>
        <w:rPr>
          <w:rFonts w:hint="eastAsia" w:ascii="宋体" w:hAnsi="宋体" w:eastAsia="宋体" w:cs="宋体"/>
          <w:color w:val="auto"/>
          <w:kern w:val="0"/>
          <w:sz w:val="24"/>
          <w:szCs w:val="24"/>
          <w:highlight w:val="none"/>
        </w:rPr>
        <w:t>以书面形式向采购人、采购代理机构提出质疑。应知其权益受到损害之日是指：</w:t>
      </w:r>
    </w:p>
    <w:p w14:paraId="3EF05960">
      <w:pPr>
        <w:tabs>
          <w:tab w:val="left" w:pos="1257"/>
        </w:tabs>
        <w:autoSpaceDE w:val="0"/>
        <w:autoSpaceDN w:val="0"/>
        <w:spacing w:line="360" w:lineRule="auto"/>
        <w:ind w:firstLine="234" w:firstLineChars="100"/>
        <w:jc w:val="left"/>
        <w:rPr>
          <w:rFonts w:ascii="宋体" w:hAnsi="宋体" w:eastAsia="宋体" w:cs="宋体"/>
          <w:color w:val="auto"/>
          <w:kern w:val="0"/>
          <w:sz w:val="24"/>
          <w:szCs w:val="24"/>
          <w:highlight w:val="none"/>
        </w:rPr>
      </w:pPr>
      <w:r>
        <w:rPr>
          <w:rFonts w:hint="eastAsia" w:ascii="宋体" w:hAnsi="宋体" w:eastAsia="宋体" w:cs="宋体"/>
          <w:color w:val="auto"/>
          <w:spacing w:val="-3"/>
          <w:kern w:val="0"/>
          <w:sz w:val="24"/>
          <w:szCs w:val="24"/>
          <w:highlight w:val="none"/>
        </w:rPr>
        <w:t>（1）对招标文件提出质疑的，为获取招标文件之日或招标文件公告期限届满之日。</w:t>
      </w:r>
    </w:p>
    <w:p w14:paraId="45383490">
      <w:pPr>
        <w:tabs>
          <w:tab w:val="left" w:pos="1257"/>
        </w:tabs>
        <w:autoSpaceDE w:val="0"/>
        <w:autoSpaceDN w:val="0"/>
        <w:spacing w:before="93" w:line="360" w:lineRule="auto"/>
        <w:ind w:firstLine="120" w:firstLineChars="5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（2）对采购过程提出质疑的，为各采购程序环节结束之日。</w:t>
      </w:r>
    </w:p>
    <w:p w14:paraId="5ACC65D5">
      <w:pPr>
        <w:tabs>
          <w:tab w:val="left" w:pos="1257"/>
        </w:tabs>
        <w:autoSpaceDE w:val="0"/>
        <w:autoSpaceDN w:val="0"/>
        <w:spacing w:before="98" w:line="360" w:lineRule="auto"/>
        <w:ind w:firstLine="120" w:firstLineChars="5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（3）对中标、成交结果提出质疑的，为中标或者成交结果公告期限届满之日。</w:t>
      </w:r>
    </w:p>
    <w:p w14:paraId="27448136">
      <w:pPr>
        <w:numPr>
          <w:ilvl w:val="1"/>
          <w:numId w:val="1"/>
        </w:numPr>
        <w:tabs>
          <w:tab w:val="left" w:pos="1211"/>
        </w:tabs>
        <w:autoSpaceDE w:val="0"/>
        <w:autoSpaceDN w:val="0"/>
        <w:spacing w:before="98" w:line="360" w:lineRule="auto"/>
        <w:ind w:right="276"/>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供应商提出质疑应当提交质疑函和必要的证明材料。质疑函应当包括下列内容：</w:t>
      </w:r>
    </w:p>
    <w:p w14:paraId="3CF7C914">
      <w:pPr>
        <w:numPr>
          <w:ilvl w:val="0"/>
          <w:numId w:val="2"/>
        </w:numPr>
        <w:tabs>
          <w:tab w:val="left" w:pos="1257"/>
        </w:tabs>
        <w:autoSpaceDE w:val="0"/>
        <w:autoSpaceDN w:val="0"/>
        <w:spacing w:before="3" w:line="360" w:lineRule="auto"/>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供应商的姓名或者名称、地址、邮编、联系人及联系电话；</w:t>
      </w:r>
    </w:p>
    <w:p w14:paraId="77DF9E20">
      <w:pPr>
        <w:numPr>
          <w:ilvl w:val="0"/>
          <w:numId w:val="2"/>
        </w:numPr>
        <w:tabs>
          <w:tab w:val="left" w:pos="1257"/>
        </w:tabs>
        <w:autoSpaceDE w:val="0"/>
        <w:autoSpaceDN w:val="0"/>
        <w:spacing w:before="96" w:line="360" w:lineRule="auto"/>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质疑项目的名称、编号；</w:t>
      </w:r>
    </w:p>
    <w:p w14:paraId="6DE319C8">
      <w:pPr>
        <w:numPr>
          <w:ilvl w:val="0"/>
          <w:numId w:val="2"/>
        </w:numPr>
        <w:tabs>
          <w:tab w:val="left" w:pos="1257"/>
        </w:tabs>
        <w:autoSpaceDE w:val="0"/>
        <w:autoSpaceDN w:val="0"/>
        <w:spacing w:before="98" w:line="360" w:lineRule="auto"/>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具体、明确的质疑事项和与质疑事项相关的请求；</w:t>
      </w:r>
    </w:p>
    <w:p w14:paraId="13199B92">
      <w:pPr>
        <w:numPr>
          <w:ilvl w:val="0"/>
          <w:numId w:val="2"/>
        </w:numPr>
        <w:tabs>
          <w:tab w:val="left" w:pos="1257"/>
        </w:tabs>
        <w:autoSpaceDE w:val="0"/>
        <w:autoSpaceDN w:val="0"/>
        <w:spacing w:before="95" w:line="360" w:lineRule="auto"/>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事实依据；</w:t>
      </w:r>
    </w:p>
    <w:p w14:paraId="65CC109B">
      <w:pPr>
        <w:numPr>
          <w:ilvl w:val="0"/>
          <w:numId w:val="2"/>
        </w:numPr>
        <w:tabs>
          <w:tab w:val="left" w:pos="1257"/>
        </w:tabs>
        <w:autoSpaceDE w:val="0"/>
        <w:autoSpaceDN w:val="0"/>
        <w:spacing w:before="99" w:line="360" w:lineRule="auto"/>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必要的法律依据；</w:t>
      </w:r>
    </w:p>
    <w:p w14:paraId="6A3FB138">
      <w:pPr>
        <w:numPr>
          <w:ilvl w:val="0"/>
          <w:numId w:val="2"/>
        </w:numPr>
        <w:tabs>
          <w:tab w:val="left" w:pos="1257"/>
        </w:tabs>
        <w:autoSpaceDE w:val="0"/>
        <w:autoSpaceDN w:val="0"/>
        <w:spacing w:before="98" w:line="360" w:lineRule="auto"/>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质疑材料中有外文资料的，应一并附上中文译文，并以中文译文为准；</w:t>
      </w:r>
    </w:p>
    <w:p w14:paraId="79DC12F6">
      <w:pPr>
        <w:numPr>
          <w:ilvl w:val="0"/>
          <w:numId w:val="2"/>
        </w:numPr>
        <w:tabs>
          <w:tab w:val="left" w:pos="1257"/>
        </w:tabs>
        <w:autoSpaceDE w:val="0"/>
        <w:autoSpaceDN w:val="0"/>
        <w:spacing w:before="95" w:line="360" w:lineRule="auto"/>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提起质疑的日期。</w:t>
      </w:r>
    </w:p>
    <w:p w14:paraId="4A9B9811">
      <w:pPr>
        <w:numPr>
          <w:ilvl w:val="1"/>
          <w:numId w:val="1"/>
        </w:numPr>
        <w:tabs>
          <w:tab w:val="left" w:pos="1196"/>
        </w:tabs>
        <w:autoSpaceDE w:val="0"/>
        <w:autoSpaceDN w:val="0"/>
        <w:spacing w:before="98" w:line="360" w:lineRule="auto"/>
        <w:ind w:right="277"/>
        <w:jc w:val="left"/>
        <w:rPr>
          <w:rFonts w:ascii="宋体" w:hAnsi="宋体" w:eastAsia="宋体" w:cs="宋体"/>
          <w:color w:val="auto"/>
          <w:kern w:val="0"/>
          <w:sz w:val="24"/>
          <w:szCs w:val="24"/>
          <w:highlight w:val="none"/>
        </w:rPr>
      </w:pPr>
      <w:r>
        <w:rPr>
          <w:rFonts w:hint="eastAsia" w:ascii="宋体" w:hAnsi="宋体" w:eastAsia="宋体" w:cs="宋体"/>
          <w:color w:val="auto"/>
          <w:spacing w:val="-11"/>
          <w:kern w:val="0"/>
          <w:sz w:val="24"/>
          <w:szCs w:val="24"/>
          <w:highlight w:val="none"/>
        </w:rPr>
        <w:t xml:space="preserve"> 质疑事项按照有关法律、法规和规章规定及招标文件要求属于保密或者处于保</w:t>
      </w:r>
      <w:r>
        <w:rPr>
          <w:rFonts w:hint="eastAsia" w:ascii="宋体" w:hAnsi="宋体" w:eastAsia="宋体" w:cs="宋体"/>
          <w:color w:val="auto"/>
          <w:spacing w:val="-6"/>
          <w:kern w:val="0"/>
          <w:sz w:val="24"/>
          <w:szCs w:val="24"/>
          <w:highlight w:val="none"/>
        </w:rPr>
        <w:t>密阶段的事项，</w:t>
      </w:r>
      <w:r>
        <w:rPr>
          <w:rFonts w:hint="eastAsia" w:ascii="宋体" w:hAnsi="宋体" w:eastAsia="宋体" w:cs="宋体"/>
          <w:color w:val="auto"/>
          <w:spacing w:val="-6"/>
          <w:kern w:val="0"/>
          <w:sz w:val="24"/>
          <w:szCs w:val="24"/>
          <w:highlight w:val="none"/>
          <w:lang w:eastAsia="zh-CN"/>
        </w:rPr>
        <w:t>投标供应商</w:t>
      </w:r>
      <w:r>
        <w:rPr>
          <w:rFonts w:hint="eastAsia" w:ascii="宋体" w:hAnsi="宋体" w:eastAsia="宋体" w:cs="宋体"/>
          <w:color w:val="auto"/>
          <w:spacing w:val="-6"/>
          <w:kern w:val="0"/>
          <w:sz w:val="24"/>
          <w:szCs w:val="24"/>
          <w:highlight w:val="none"/>
        </w:rPr>
        <w:t>必须提供正常的信息来源或有效证据，</w:t>
      </w:r>
      <w:r>
        <w:rPr>
          <w:rFonts w:hint="eastAsia" w:ascii="宋体" w:hAnsi="宋体" w:eastAsia="宋体" w:cs="宋体"/>
          <w:color w:val="auto"/>
          <w:spacing w:val="-6"/>
          <w:kern w:val="0"/>
          <w:sz w:val="24"/>
          <w:szCs w:val="24"/>
          <w:highlight w:val="none"/>
          <w:lang w:eastAsia="zh-CN"/>
        </w:rPr>
        <w:t>投标供应商</w:t>
      </w:r>
      <w:r>
        <w:rPr>
          <w:rFonts w:hint="eastAsia" w:ascii="宋体" w:hAnsi="宋体" w:eastAsia="宋体" w:cs="宋体"/>
          <w:color w:val="auto"/>
          <w:spacing w:val="-6"/>
          <w:kern w:val="0"/>
          <w:sz w:val="24"/>
          <w:szCs w:val="24"/>
          <w:highlight w:val="none"/>
        </w:rPr>
        <w:t>不能提供或者拒绝</w:t>
      </w:r>
      <w:r>
        <w:rPr>
          <w:rFonts w:hint="eastAsia" w:ascii="宋体" w:hAnsi="宋体" w:eastAsia="宋体" w:cs="宋体"/>
          <w:color w:val="auto"/>
          <w:kern w:val="0"/>
          <w:sz w:val="24"/>
          <w:szCs w:val="24"/>
          <w:highlight w:val="none"/>
        </w:rPr>
        <w:t>提供合法的信息来源或有效证据的，其质疑将被拒绝；</w:t>
      </w:r>
    </w:p>
    <w:p w14:paraId="32BA23E4">
      <w:pPr>
        <w:autoSpaceDE w:val="0"/>
        <w:autoSpaceDN w:val="0"/>
        <w:spacing w:line="360" w:lineRule="auto"/>
        <w:ind w:left="175" w:right="216" w:firstLine="48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质疑函应提供充足有效的相关证明材料；如果涉及到产品功能或技术指标的，应出具相关制造商的证明文件；</w:t>
      </w:r>
    </w:p>
    <w:p w14:paraId="625D22B1">
      <w:pPr>
        <w:autoSpaceDE w:val="0"/>
        <w:autoSpaceDN w:val="0"/>
        <w:spacing w:line="360" w:lineRule="auto"/>
        <w:ind w:firstLine="480" w:firstLineChars="200"/>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质疑材料中有外文资料的，应一并附上中文译本，并以中文译本为准。</w:t>
      </w:r>
    </w:p>
    <w:p w14:paraId="4637917C">
      <w:pPr>
        <w:tabs>
          <w:tab w:val="left" w:pos="1196"/>
        </w:tabs>
        <w:autoSpaceDE w:val="0"/>
        <w:autoSpaceDN w:val="0"/>
        <w:spacing w:before="90" w:line="360" w:lineRule="auto"/>
        <w:ind w:right="157" w:firstLine="436" w:firstLineChars="200"/>
        <w:jc w:val="left"/>
        <w:rPr>
          <w:rFonts w:ascii="宋体" w:hAnsi="宋体" w:eastAsia="宋体" w:cs="宋体"/>
          <w:color w:val="auto"/>
          <w:kern w:val="0"/>
          <w:sz w:val="24"/>
          <w:szCs w:val="24"/>
          <w:highlight w:val="none"/>
        </w:rPr>
      </w:pPr>
      <w:r>
        <w:rPr>
          <w:rFonts w:hint="eastAsia" w:ascii="宋体" w:hAnsi="宋体" w:eastAsia="宋体" w:cs="宋体"/>
          <w:color w:val="auto"/>
          <w:spacing w:val="-11"/>
          <w:kern w:val="0"/>
          <w:sz w:val="24"/>
          <w:szCs w:val="24"/>
          <w:highlight w:val="none"/>
          <w:lang w:eastAsia="zh-CN"/>
        </w:rPr>
        <w:t>投标供应商</w:t>
      </w:r>
      <w:r>
        <w:rPr>
          <w:rFonts w:hint="eastAsia" w:ascii="宋体" w:hAnsi="宋体" w:eastAsia="宋体" w:cs="宋体"/>
          <w:color w:val="auto"/>
          <w:spacing w:val="-11"/>
          <w:kern w:val="0"/>
          <w:sz w:val="24"/>
          <w:szCs w:val="24"/>
          <w:highlight w:val="none"/>
        </w:rPr>
        <w:t>质疑实行实名制并须在质疑书上署名。</w:t>
      </w:r>
      <w:r>
        <w:rPr>
          <w:rFonts w:hint="eastAsia" w:ascii="宋体" w:hAnsi="宋体" w:eastAsia="宋体" w:cs="宋体"/>
          <w:color w:val="auto"/>
          <w:spacing w:val="-11"/>
          <w:kern w:val="0"/>
          <w:sz w:val="24"/>
          <w:szCs w:val="24"/>
          <w:highlight w:val="none"/>
          <w:lang w:eastAsia="zh-CN"/>
        </w:rPr>
        <w:t>投标供应商</w:t>
      </w:r>
      <w:r>
        <w:rPr>
          <w:rFonts w:hint="eastAsia" w:ascii="宋体" w:hAnsi="宋体" w:eastAsia="宋体" w:cs="宋体"/>
          <w:color w:val="auto"/>
          <w:spacing w:val="-11"/>
          <w:kern w:val="0"/>
          <w:sz w:val="24"/>
          <w:szCs w:val="24"/>
          <w:highlight w:val="none"/>
        </w:rPr>
        <w:t>不得进行虚假、恶意质疑，</w:t>
      </w:r>
      <w:r>
        <w:rPr>
          <w:rFonts w:hint="eastAsia" w:ascii="宋体" w:hAnsi="宋体" w:eastAsia="宋体" w:cs="宋体"/>
          <w:color w:val="auto"/>
          <w:kern w:val="0"/>
          <w:sz w:val="24"/>
          <w:szCs w:val="24"/>
          <w:highlight w:val="none"/>
        </w:rPr>
        <w:t>不得以质疑为手段获取不当得利、实现非法目的。</w:t>
      </w:r>
    </w:p>
    <w:p w14:paraId="1041DE56">
      <w:pPr>
        <w:numPr>
          <w:ilvl w:val="1"/>
          <w:numId w:val="1"/>
        </w:numPr>
        <w:tabs>
          <w:tab w:val="left" w:pos="1196"/>
        </w:tabs>
        <w:autoSpaceDE w:val="0"/>
        <w:autoSpaceDN w:val="0"/>
        <w:spacing w:line="360" w:lineRule="auto"/>
        <w:ind w:right="273"/>
        <w:jc w:val="left"/>
        <w:rPr>
          <w:rFonts w:ascii="宋体" w:hAnsi="宋体" w:eastAsia="宋体" w:cs="宋体"/>
          <w:color w:val="auto"/>
          <w:kern w:val="0"/>
          <w:sz w:val="24"/>
          <w:szCs w:val="24"/>
          <w:highlight w:val="none"/>
        </w:rPr>
      </w:pPr>
      <w:r>
        <w:rPr>
          <w:rFonts w:hint="eastAsia" w:ascii="宋体" w:hAnsi="宋体" w:eastAsia="宋体" w:cs="宋体"/>
          <w:color w:val="auto"/>
          <w:spacing w:val="-8"/>
          <w:kern w:val="0"/>
          <w:sz w:val="24"/>
          <w:szCs w:val="24"/>
          <w:highlight w:val="none"/>
        </w:rPr>
        <w:t xml:space="preserve">  供应商可以委托代理人进行质疑和投诉。其授权委托书应当载明代理人的姓名</w:t>
      </w:r>
      <w:r>
        <w:rPr>
          <w:rFonts w:hint="eastAsia" w:ascii="宋体" w:hAnsi="宋体" w:eastAsia="宋体" w:cs="宋体"/>
          <w:color w:val="auto"/>
          <w:spacing w:val="-7"/>
          <w:kern w:val="0"/>
          <w:sz w:val="24"/>
          <w:szCs w:val="24"/>
          <w:highlight w:val="none"/>
        </w:rPr>
        <w:t>或者名称、代理事项、具体权限、期限和相关事项。供应商为自然人的，应当由本人签</w:t>
      </w:r>
      <w:bookmarkStart w:id="4" w:name="第四部分_合同条款"/>
      <w:bookmarkEnd w:id="4"/>
      <w:r>
        <w:rPr>
          <w:rFonts w:hint="eastAsia" w:ascii="宋体" w:hAnsi="宋体" w:eastAsia="宋体" w:cs="宋体"/>
          <w:color w:val="auto"/>
          <w:spacing w:val="-7"/>
          <w:kern w:val="0"/>
          <w:sz w:val="24"/>
          <w:szCs w:val="24"/>
          <w:highlight w:val="none"/>
        </w:rPr>
        <w:t>字；供应商为法人或者其他组织的，应当由法定代表人、主要负责人签字或者盖章，并</w:t>
      </w:r>
      <w:r>
        <w:rPr>
          <w:rFonts w:hint="eastAsia" w:ascii="宋体" w:hAnsi="宋体" w:eastAsia="宋体" w:cs="宋体"/>
          <w:color w:val="auto"/>
          <w:spacing w:val="-6"/>
          <w:kern w:val="0"/>
          <w:sz w:val="24"/>
          <w:szCs w:val="24"/>
          <w:highlight w:val="none"/>
        </w:rPr>
        <w:t>加盖公章。代理人提出质疑和投诉，应当提交供应商签署的授权委托书。授权委托书应</w:t>
      </w:r>
      <w:r>
        <w:rPr>
          <w:rFonts w:hint="eastAsia" w:ascii="宋体" w:hAnsi="宋体" w:eastAsia="宋体" w:cs="宋体"/>
          <w:color w:val="auto"/>
          <w:kern w:val="0"/>
          <w:sz w:val="24"/>
          <w:szCs w:val="24"/>
          <w:highlight w:val="none"/>
        </w:rPr>
        <w:t>载明委托代理的具体权限和事项。授权委托书应当由委托人签字并加盖单位公章。</w:t>
      </w:r>
    </w:p>
    <w:p w14:paraId="0BA062C5">
      <w:pPr>
        <w:numPr>
          <w:ilvl w:val="1"/>
          <w:numId w:val="1"/>
        </w:numPr>
        <w:tabs>
          <w:tab w:val="left" w:pos="1196"/>
        </w:tabs>
        <w:autoSpaceDE w:val="0"/>
        <w:autoSpaceDN w:val="0"/>
        <w:spacing w:line="360" w:lineRule="auto"/>
        <w:ind w:right="277"/>
        <w:jc w:val="left"/>
        <w:rPr>
          <w:rFonts w:ascii="宋体" w:hAnsi="宋体" w:eastAsia="宋体" w:cs="宋体"/>
          <w:color w:val="auto"/>
          <w:kern w:val="0"/>
          <w:sz w:val="24"/>
          <w:szCs w:val="24"/>
          <w:highlight w:val="none"/>
        </w:rPr>
      </w:pPr>
      <w:r>
        <w:rPr>
          <w:rFonts w:hint="eastAsia" w:ascii="宋体" w:hAnsi="宋体" w:eastAsia="宋体" w:cs="宋体"/>
          <w:color w:val="auto"/>
          <w:spacing w:val="-12"/>
          <w:kern w:val="0"/>
          <w:sz w:val="24"/>
          <w:szCs w:val="24"/>
          <w:highlight w:val="none"/>
        </w:rPr>
        <w:t xml:space="preserve"> 质疑书提交方式。</w:t>
      </w:r>
      <w:r>
        <w:rPr>
          <w:rFonts w:hint="eastAsia" w:ascii="宋体" w:hAnsi="宋体" w:eastAsia="宋体" w:cs="宋体"/>
          <w:color w:val="auto"/>
          <w:spacing w:val="-12"/>
          <w:kern w:val="0"/>
          <w:sz w:val="24"/>
          <w:szCs w:val="24"/>
          <w:highlight w:val="none"/>
          <w:lang w:eastAsia="zh-CN"/>
        </w:rPr>
        <w:t>投标供应商</w:t>
      </w:r>
      <w:r>
        <w:rPr>
          <w:rFonts w:hint="eastAsia" w:ascii="宋体" w:hAnsi="宋体" w:eastAsia="宋体" w:cs="宋体"/>
          <w:color w:val="auto"/>
          <w:spacing w:val="-12"/>
          <w:kern w:val="0"/>
          <w:sz w:val="24"/>
          <w:szCs w:val="24"/>
          <w:highlight w:val="none"/>
        </w:rPr>
        <w:t>或者其委托代理人应当当面提交质疑书及相关证明材</w:t>
      </w:r>
      <w:r>
        <w:rPr>
          <w:rFonts w:hint="eastAsia" w:ascii="宋体" w:hAnsi="宋体" w:eastAsia="宋体" w:cs="宋体"/>
          <w:color w:val="auto"/>
          <w:spacing w:val="-7"/>
          <w:kern w:val="0"/>
          <w:sz w:val="24"/>
          <w:szCs w:val="24"/>
          <w:highlight w:val="none"/>
        </w:rPr>
        <w:t>料。提交质疑书时，</w:t>
      </w:r>
      <w:r>
        <w:rPr>
          <w:rFonts w:hint="eastAsia" w:ascii="宋体" w:hAnsi="宋体" w:eastAsia="宋体" w:cs="宋体"/>
          <w:color w:val="auto"/>
          <w:spacing w:val="-7"/>
          <w:kern w:val="0"/>
          <w:sz w:val="24"/>
          <w:szCs w:val="24"/>
          <w:highlight w:val="none"/>
          <w:lang w:eastAsia="zh-CN"/>
        </w:rPr>
        <w:t>投标供应商</w:t>
      </w:r>
      <w:r>
        <w:rPr>
          <w:rFonts w:hint="eastAsia" w:ascii="宋体" w:hAnsi="宋体" w:eastAsia="宋体" w:cs="宋体"/>
          <w:color w:val="auto"/>
          <w:spacing w:val="-7"/>
          <w:kern w:val="0"/>
          <w:sz w:val="24"/>
          <w:szCs w:val="24"/>
          <w:highlight w:val="none"/>
        </w:rPr>
        <w:t>应同时提交本人身份证，委托他人代理质疑事宜的，还应提</w:t>
      </w:r>
      <w:r>
        <w:rPr>
          <w:rFonts w:hint="eastAsia" w:ascii="宋体" w:hAnsi="宋体" w:eastAsia="宋体" w:cs="宋体"/>
          <w:color w:val="auto"/>
          <w:kern w:val="0"/>
          <w:sz w:val="24"/>
          <w:szCs w:val="24"/>
          <w:highlight w:val="none"/>
        </w:rPr>
        <w:t>交被委托人的身份证。</w:t>
      </w:r>
    </w:p>
    <w:p w14:paraId="06D35DE8">
      <w:pPr>
        <w:numPr>
          <w:ilvl w:val="1"/>
          <w:numId w:val="1"/>
        </w:numPr>
        <w:tabs>
          <w:tab w:val="left" w:pos="1137"/>
        </w:tabs>
        <w:autoSpaceDE w:val="0"/>
        <w:autoSpaceDN w:val="0"/>
        <w:spacing w:line="360" w:lineRule="auto"/>
        <w:ind w:right="277"/>
        <w:jc w:val="left"/>
        <w:rPr>
          <w:rFonts w:ascii="宋体" w:hAnsi="宋体" w:eastAsia="宋体" w:cs="宋体"/>
          <w:color w:val="auto"/>
          <w:kern w:val="0"/>
          <w:sz w:val="24"/>
          <w:szCs w:val="24"/>
          <w:highlight w:val="none"/>
        </w:rPr>
      </w:pPr>
      <w:r>
        <w:rPr>
          <w:rFonts w:hint="eastAsia" w:ascii="宋体" w:hAnsi="宋体" w:eastAsia="宋体" w:cs="宋体"/>
          <w:color w:val="auto"/>
          <w:spacing w:val="-4"/>
          <w:kern w:val="0"/>
          <w:sz w:val="24"/>
          <w:szCs w:val="24"/>
          <w:highlight w:val="none"/>
        </w:rPr>
        <w:t xml:space="preserve"> </w:t>
      </w:r>
      <w:r>
        <w:rPr>
          <w:rFonts w:hint="eastAsia" w:ascii="宋体" w:hAnsi="宋体" w:eastAsia="宋体" w:cs="宋体"/>
          <w:color w:val="auto"/>
          <w:spacing w:val="-4"/>
          <w:kern w:val="0"/>
          <w:sz w:val="24"/>
          <w:szCs w:val="24"/>
          <w:highlight w:val="none"/>
          <w:lang w:eastAsia="zh-CN"/>
        </w:rPr>
        <w:t>投标供应商</w:t>
      </w:r>
      <w:r>
        <w:rPr>
          <w:rFonts w:hint="eastAsia" w:ascii="宋体" w:hAnsi="宋体" w:eastAsia="宋体" w:cs="宋体"/>
          <w:color w:val="auto"/>
          <w:spacing w:val="-4"/>
          <w:kern w:val="0"/>
          <w:sz w:val="24"/>
          <w:szCs w:val="24"/>
          <w:highlight w:val="none"/>
        </w:rPr>
        <w:t>不得虚假质疑和恶意质疑，并对质疑内容的真实性承担责任。</w:t>
      </w:r>
      <w:r>
        <w:rPr>
          <w:rFonts w:hint="eastAsia" w:ascii="宋体" w:hAnsi="宋体" w:eastAsia="宋体" w:cs="宋体"/>
          <w:color w:val="auto"/>
          <w:spacing w:val="-4"/>
          <w:kern w:val="0"/>
          <w:sz w:val="24"/>
          <w:szCs w:val="24"/>
          <w:highlight w:val="none"/>
          <w:lang w:eastAsia="zh-CN"/>
        </w:rPr>
        <w:t>投标供应商</w:t>
      </w:r>
      <w:r>
        <w:rPr>
          <w:rFonts w:hint="eastAsia" w:ascii="宋体" w:hAnsi="宋体" w:eastAsia="宋体" w:cs="宋体"/>
          <w:color w:val="auto"/>
          <w:spacing w:val="-4"/>
          <w:kern w:val="0"/>
          <w:sz w:val="24"/>
          <w:szCs w:val="24"/>
          <w:highlight w:val="none"/>
        </w:rPr>
        <w:t>或者其他利害关系人通过捏造事实、伪造证明材料等方式提出异议或投诉，阻碍招投标活</w:t>
      </w:r>
      <w:r>
        <w:rPr>
          <w:rFonts w:hint="eastAsia" w:ascii="宋体" w:hAnsi="宋体" w:eastAsia="宋体" w:cs="宋体"/>
          <w:color w:val="auto"/>
          <w:spacing w:val="-6"/>
          <w:kern w:val="0"/>
          <w:sz w:val="24"/>
          <w:szCs w:val="24"/>
          <w:highlight w:val="none"/>
        </w:rPr>
        <w:t>动正常进行的，属于严重不良行为，财政部门将其列入不良行为记录名单，并依法予以</w:t>
      </w:r>
      <w:r>
        <w:rPr>
          <w:rFonts w:hint="eastAsia" w:ascii="宋体" w:hAnsi="宋体" w:eastAsia="宋体" w:cs="宋体"/>
          <w:color w:val="auto"/>
          <w:kern w:val="0"/>
          <w:sz w:val="24"/>
          <w:szCs w:val="24"/>
          <w:highlight w:val="none"/>
        </w:rPr>
        <w:t>处罚。</w:t>
      </w:r>
    </w:p>
    <w:p w14:paraId="0EB2ACC5">
      <w:pPr>
        <w:numPr>
          <w:ilvl w:val="1"/>
          <w:numId w:val="1"/>
        </w:numPr>
        <w:tabs>
          <w:tab w:val="left" w:pos="1144"/>
        </w:tabs>
        <w:autoSpaceDE w:val="0"/>
        <w:autoSpaceDN w:val="0"/>
        <w:spacing w:line="360" w:lineRule="auto"/>
        <w:ind w:right="277"/>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 采购人或采购代理机构将在收到符合上述条件的书面质疑后</w:t>
      </w:r>
      <w:r>
        <w:rPr>
          <w:rFonts w:ascii="宋体" w:hAnsi="宋体" w:eastAsia="宋体" w:cs="宋体"/>
          <w:color w:val="auto"/>
          <w:kern w:val="0"/>
          <w:sz w:val="24"/>
          <w:szCs w:val="24"/>
          <w:highlight w:val="none"/>
        </w:rPr>
        <w:t>7</w:t>
      </w:r>
      <w:r>
        <w:rPr>
          <w:rFonts w:hint="eastAsia" w:ascii="宋体" w:hAnsi="宋体" w:eastAsia="宋体" w:cs="宋体"/>
          <w:color w:val="auto"/>
          <w:kern w:val="0"/>
          <w:sz w:val="24"/>
          <w:szCs w:val="24"/>
          <w:highlight w:val="none"/>
        </w:rPr>
        <w:t>个工作日内审查</w:t>
      </w:r>
      <w:r>
        <w:rPr>
          <w:rFonts w:hint="eastAsia" w:ascii="宋体" w:hAnsi="宋体" w:eastAsia="宋体" w:cs="宋体"/>
          <w:color w:val="auto"/>
          <w:spacing w:val="-7"/>
          <w:kern w:val="0"/>
          <w:sz w:val="24"/>
          <w:szCs w:val="24"/>
          <w:highlight w:val="none"/>
        </w:rPr>
        <w:t>质疑事项，采购人做出答复或相关处理决定，并以书面形式通知质疑</w:t>
      </w:r>
      <w:r>
        <w:rPr>
          <w:rFonts w:hint="eastAsia" w:ascii="宋体" w:hAnsi="宋体" w:eastAsia="宋体" w:cs="宋体"/>
          <w:color w:val="auto"/>
          <w:spacing w:val="-7"/>
          <w:kern w:val="0"/>
          <w:sz w:val="24"/>
          <w:szCs w:val="24"/>
          <w:highlight w:val="none"/>
          <w:lang w:eastAsia="zh-CN"/>
        </w:rPr>
        <w:t>投标供应商</w:t>
      </w:r>
      <w:r>
        <w:rPr>
          <w:rFonts w:hint="eastAsia" w:ascii="宋体" w:hAnsi="宋体" w:eastAsia="宋体" w:cs="宋体"/>
          <w:color w:val="auto"/>
          <w:spacing w:val="-7"/>
          <w:kern w:val="0"/>
          <w:sz w:val="24"/>
          <w:szCs w:val="24"/>
          <w:highlight w:val="none"/>
        </w:rPr>
        <w:t>和其他有关</w:t>
      </w:r>
      <w:r>
        <w:rPr>
          <w:rFonts w:hint="eastAsia" w:ascii="宋体" w:hAnsi="宋体" w:eastAsia="宋体" w:cs="宋体"/>
          <w:color w:val="auto"/>
          <w:kern w:val="0"/>
          <w:sz w:val="24"/>
          <w:szCs w:val="24"/>
          <w:highlight w:val="none"/>
        </w:rPr>
        <w:t>供应商。</w:t>
      </w:r>
    </w:p>
    <w:p w14:paraId="1C1AE19D">
      <w:pPr>
        <w:numPr>
          <w:ilvl w:val="1"/>
          <w:numId w:val="1"/>
        </w:numPr>
        <w:tabs>
          <w:tab w:val="left" w:pos="1266"/>
        </w:tabs>
        <w:autoSpaceDE w:val="0"/>
        <w:autoSpaceDN w:val="0"/>
        <w:spacing w:line="360" w:lineRule="auto"/>
        <w:ind w:right="277"/>
        <w:jc w:val="left"/>
        <w:rPr>
          <w:rFonts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 依法提出质疑的</w:t>
      </w:r>
      <w:r>
        <w:rPr>
          <w:rFonts w:hint="eastAsia" w:ascii="宋体" w:hAnsi="宋体" w:eastAsia="宋体" w:cs="宋体"/>
          <w:color w:val="auto"/>
          <w:kern w:val="0"/>
          <w:sz w:val="24"/>
          <w:szCs w:val="24"/>
          <w:highlight w:val="none"/>
          <w:lang w:eastAsia="zh-CN"/>
        </w:rPr>
        <w:t>投标供应商</w:t>
      </w:r>
      <w:r>
        <w:rPr>
          <w:rFonts w:hint="eastAsia" w:ascii="宋体" w:hAnsi="宋体" w:eastAsia="宋体" w:cs="宋体"/>
          <w:color w:val="auto"/>
          <w:kern w:val="0"/>
          <w:sz w:val="24"/>
          <w:szCs w:val="24"/>
          <w:highlight w:val="none"/>
        </w:rPr>
        <w:t>对采购人或采购代理机构的答复不满意、以及采购人</w:t>
      </w:r>
      <w:r>
        <w:rPr>
          <w:rFonts w:hint="eastAsia" w:ascii="宋体" w:hAnsi="宋体" w:eastAsia="宋体" w:cs="宋体"/>
          <w:color w:val="auto"/>
          <w:spacing w:val="-3"/>
          <w:kern w:val="0"/>
          <w:sz w:val="24"/>
          <w:szCs w:val="24"/>
          <w:highlight w:val="none"/>
        </w:rPr>
        <w:t>或采购代理机构未在规定的时间内做出答复的，可以在答复期满后</w:t>
      </w:r>
      <w:r>
        <w:rPr>
          <w:rFonts w:ascii="宋体" w:hAnsi="宋体" w:eastAsia="宋体" w:cs="宋体"/>
          <w:color w:val="auto"/>
          <w:kern w:val="0"/>
          <w:sz w:val="24"/>
          <w:szCs w:val="24"/>
          <w:highlight w:val="none"/>
        </w:rPr>
        <w:t>15</w:t>
      </w:r>
      <w:r>
        <w:rPr>
          <w:rFonts w:hint="eastAsia" w:ascii="宋体" w:hAnsi="宋体" w:eastAsia="宋体" w:cs="宋体"/>
          <w:color w:val="auto"/>
          <w:spacing w:val="-3"/>
          <w:kern w:val="0"/>
          <w:sz w:val="24"/>
          <w:szCs w:val="24"/>
          <w:highlight w:val="none"/>
        </w:rPr>
        <w:t>个工作日内向财政</w:t>
      </w:r>
      <w:r>
        <w:rPr>
          <w:rFonts w:hint="eastAsia" w:ascii="宋体" w:hAnsi="宋体" w:eastAsia="宋体" w:cs="宋体"/>
          <w:color w:val="auto"/>
          <w:kern w:val="0"/>
          <w:sz w:val="24"/>
          <w:szCs w:val="24"/>
          <w:highlight w:val="none"/>
        </w:rPr>
        <w:t>部门投诉。</w:t>
      </w:r>
    </w:p>
    <w:p w14:paraId="2D6B5A92">
      <w:pPr>
        <w:widowControl/>
        <w:spacing w:line="360" w:lineRule="auto"/>
        <w:ind w:firstLine="3219" w:firstLineChars="1340"/>
        <w:rPr>
          <w:rFonts w:ascii="宋体" w:hAnsi="宋体" w:eastAsia="宋体" w:cs="Times New Roman"/>
          <w:b/>
          <w:bCs/>
          <w:color w:val="auto"/>
          <w:kern w:val="0"/>
          <w:sz w:val="24"/>
          <w:szCs w:val="24"/>
          <w:highlight w:val="none"/>
        </w:rPr>
      </w:pPr>
    </w:p>
    <w:p w14:paraId="420D7782">
      <w:pPr>
        <w:widowControl/>
        <w:spacing w:line="360" w:lineRule="auto"/>
        <w:ind w:firstLine="3219" w:firstLineChars="134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九、其他</w:t>
      </w:r>
    </w:p>
    <w:p w14:paraId="6C1A449D">
      <w:pPr>
        <w:widowControl/>
        <w:spacing w:line="360" w:lineRule="auto"/>
        <w:ind w:firstLine="471" w:firstLineChars="196"/>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lang w:val="en-US" w:eastAsia="zh-CN"/>
        </w:rPr>
        <w:t>36</w:t>
      </w:r>
      <w:r>
        <w:rPr>
          <w:rFonts w:hint="eastAsia" w:ascii="宋体" w:hAnsi="宋体" w:eastAsia="宋体" w:cs="Times New Roman"/>
          <w:b/>
          <w:bCs/>
          <w:color w:val="auto"/>
          <w:kern w:val="0"/>
          <w:sz w:val="24"/>
          <w:szCs w:val="24"/>
          <w:highlight w:val="none"/>
        </w:rPr>
        <w:t xml:space="preserve">. </w:t>
      </w:r>
      <w:r>
        <w:rPr>
          <w:rFonts w:hint="eastAsia" w:ascii="宋体" w:hAnsi="宋体" w:eastAsia="宋体" w:cs="Times New Roman"/>
          <w:color w:val="auto"/>
          <w:kern w:val="0"/>
          <w:sz w:val="24"/>
          <w:szCs w:val="24"/>
          <w:highlight w:val="none"/>
        </w:rPr>
        <w:t>未尽事宜按国家有关规定执行。</w:t>
      </w:r>
    </w:p>
    <w:p w14:paraId="15DDB94F">
      <w:pPr>
        <w:widowControl/>
        <w:spacing w:line="360" w:lineRule="auto"/>
        <w:ind w:firstLine="468" w:firstLineChars="195"/>
        <w:rPr>
          <w:rFonts w:ascii="宋体" w:hAnsi="宋体"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lang w:val="en-US" w:eastAsia="zh-CN"/>
        </w:rPr>
        <w:t>37</w:t>
      </w:r>
      <w:r>
        <w:rPr>
          <w:rFonts w:hint="eastAsia" w:ascii="宋体" w:hAnsi="宋体" w:eastAsia="宋体" w:cs="Times New Roman"/>
          <w:b/>
          <w:bCs/>
          <w:color w:val="auto"/>
          <w:kern w:val="0"/>
          <w:sz w:val="24"/>
          <w:szCs w:val="24"/>
          <w:highlight w:val="none"/>
        </w:rPr>
        <w:t xml:space="preserve">. </w:t>
      </w:r>
      <w:r>
        <w:rPr>
          <w:rFonts w:hint="eastAsia" w:ascii="宋体" w:hAnsi="宋体" w:eastAsia="宋体" w:cs="Times New Roman"/>
          <w:color w:val="auto"/>
          <w:kern w:val="0"/>
          <w:sz w:val="24"/>
          <w:szCs w:val="24"/>
          <w:highlight w:val="none"/>
        </w:rPr>
        <w:t>本招标文件最终解释权归采购人。</w:t>
      </w:r>
    </w:p>
    <w:p w14:paraId="7E537DA6">
      <w:pPr>
        <w:pStyle w:val="18"/>
        <w:rPr>
          <w:rFonts w:hint="eastAsia"/>
          <w:color w:val="auto"/>
          <w:highlight w:val="none"/>
        </w:rPr>
      </w:pPr>
    </w:p>
    <w:p w14:paraId="25D5A68E">
      <w:pPr>
        <w:widowControl/>
        <w:jc w:val="both"/>
        <w:rPr>
          <w:rFonts w:hint="eastAsia" w:ascii="宋体" w:hAnsi="宋体" w:eastAsia="宋体" w:cs="Times New Roman"/>
          <w:b/>
          <w:bCs/>
          <w:color w:val="auto"/>
          <w:kern w:val="0"/>
          <w:sz w:val="44"/>
          <w:szCs w:val="44"/>
          <w:highlight w:val="none"/>
        </w:rPr>
      </w:pPr>
    </w:p>
    <w:p w14:paraId="6A27F3CF">
      <w:pPr>
        <w:spacing w:after="120"/>
        <w:jc w:val="center"/>
        <w:rPr>
          <w:rFonts w:hint="eastAsia"/>
          <w:color w:val="auto"/>
          <w:highlight w:val="none"/>
        </w:rPr>
      </w:pPr>
      <w:r>
        <w:rPr>
          <w:rFonts w:hint="eastAsia" w:ascii="宋体" w:hAnsi="宋体" w:eastAsia="宋体" w:cs="Times New Roman"/>
          <w:b/>
          <w:bCs/>
          <w:color w:val="auto"/>
          <w:kern w:val="0"/>
          <w:sz w:val="44"/>
          <w:szCs w:val="44"/>
          <w:highlight w:val="none"/>
        </w:rPr>
        <w:t>第三章  采购内容</w:t>
      </w:r>
    </w:p>
    <w:p w14:paraId="610D730A">
      <w:pPr>
        <w:jc w:val="center"/>
        <w:rPr>
          <w:rFonts w:hint="eastAsia" w:eastAsiaTheme="minorEastAsia"/>
          <w:color w:val="auto"/>
          <w:sz w:val="30"/>
          <w:szCs w:val="30"/>
          <w:highlight w:val="none"/>
          <w:lang w:eastAsia="zh-CN"/>
        </w:rPr>
      </w:pPr>
      <w:r>
        <w:rPr>
          <w:rFonts w:hint="eastAsia" w:ascii="宋体" w:hAnsi="宋体" w:eastAsia="宋体" w:cs="Times New Roman"/>
          <w:b w:val="0"/>
          <w:bCs w:val="0"/>
          <w:color w:val="auto"/>
          <w:kern w:val="0"/>
          <w:sz w:val="30"/>
          <w:szCs w:val="30"/>
          <w:highlight w:val="none"/>
          <w:lang w:val="en-US" w:eastAsia="zh-CN"/>
        </w:rPr>
        <w:t>1标段</w:t>
      </w:r>
      <w:r>
        <w:rPr>
          <w:rFonts w:hint="eastAsia"/>
          <w:color w:val="auto"/>
          <w:sz w:val="30"/>
          <w:szCs w:val="30"/>
          <w:highlight w:val="none"/>
        </w:rPr>
        <w:t>产业包</w:t>
      </w:r>
    </w:p>
    <w:tbl>
      <w:tblPr>
        <w:tblStyle w:val="14"/>
        <w:tblW w:w="5518" w:type="pct"/>
        <w:jc w:val="center"/>
        <w:tblLayout w:type="fixed"/>
        <w:tblCellMar>
          <w:top w:w="0" w:type="dxa"/>
          <w:left w:w="108" w:type="dxa"/>
          <w:bottom w:w="0" w:type="dxa"/>
          <w:right w:w="108" w:type="dxa"/>
        </w:tblCellMar>
      </w:tblPr>
      <w:tblGrid>
        <w:gridCol w:w="847"/>
        <w:gridCol w:w="1442"/>
        <w:gridCol w:w="5992"/>
        <w:gridCol w:w="1124"/>
      </w:tblGrid>
      <w:tr w14:paraId="71FFD024">
        <w:trPr>
          <w:trHeight w:val="232" w:hRule="atLeast"/>
          <w:jc w:val="center"/>
        </w:trPr>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81D5C">
            <w:pPr>
              <w:widowControl/>
              <w:spacing w:line="400" w:lineRule="exact"/>
              <w:jc w:val="center"/>
              <w:textAlignment w:val="center"/>
              <w:rPr>
                <w:rFonts w:ascii="宋体" w:cs="宋体"/>
                <w:color w:val="auto"/>
                <w:sz w:val="24"/>
                <w:highlight w:val="none"/>
              </w:rPr>
            </w:pPr>
            <w:r>
              <w:rPr>
                <w:rFonts w:hint="eastAsia" w:ascii="宋体" w:cs="宋体"/>
                <w:color w:val="auto"/>
                <w:kern w:val="0"/>
                <w:sz w:val="24"/>
                <w:highlight w:val="none"/>
              </w:rPr>
              <w:t>序号</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AFFFA">
            <w:pPr>
              <w:widowControl/>
              <w:spacing w:line="400" w:lineRule="exact"/>
              <w:jc w:val="center"/>
              <w:textAlignment w:val="center"/>
              <w:rPr>
                <w:rFonts w:ascii="宋体" w:cs="宋体"/>
                <w:color w:val="auto"/>
                <w:sz w:val="24"/>
                <w:highlight w:val="none"/>
              </w:rPr>
            </w:pPr>
            <w:r>
              <w:rPr>
                <w:rFonts w:hint="eastAsia" w:ascii="宋体" w:cs="宋体"/>
                <w:color w:val="auto"/>
                <w:kern w:val="0"/>
                <w:sz w:val="24"/>
                <w:highlight w:val="none"/>
              </w:rPr>
              <w:t>产品名称</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E8D60">
            <w:pPr>
              <w:widowControl/>
              <w:spacing w:line="400" w:lineRule="exact"/>
              <w:jc w:val="center"/>
              <w:textAlignment w:val="center"/>
              <w:rPr>
                <w:rFonts w:ascii="宋体" w:cs="宋体"/>
                <w:color w:val="auto"/>
                <w:kern w:val="0"/>
                <w:sz w:val="24"/>
                <w:highlight w:val="none"/>
              </w:rPr>
            </w:pPr>
            <w:r>
              <w:rPr>
                <w:rFonts w:hint="eastAsia" w:ascii="宋体" w:cs="宋体"/>
                <w:color w:val="auto"/>
                <w:kern w:val="0"/>
                <w:sz w:val="24"/>
                <w:highlight w:val="none"/>
              </w:rPr>
              <w:t>技术参数</w:t>
            </w:r>
          </w:p>
        </w:tc>
        <w:tc>
          <w:tcPr>
            <w:tcW w:w="5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8DC18">
            <w:pPr>
              <w:widowControl/>
              <w:spacing w:line="400" w:lineRule="exact"/>
              <w:jc w:val="center"/>
              <w:textAlignment w:val="center"/>
              <w:rPr>
                <w:rFonts w:ascii="宋体" w:cs="宋体"/>
                <w:color w:val="auto"/>
                <w:sz w:val="24"/>
                <w:highlight w:val="none"/>
              </w:rPr>
            </w:pPr>
            <w:r>
              <w:rPr>
                <w:rFonts w:hint="eastAsia" w:ascii="宋体" w:cs="宋体"/>
                <w:color w:val="auto"/>
                <w:kern w:val="0"/>
                <w:sz w:val="24"/>
                <w:highlight w:val="none"/>
              </w:rPr>
              <w:t>数量</w:t>
            </w:r>
          </w:p>
        </w:tc>
      </w:tr>
      <w:tr w14:paraId="4F1A275E">
        <w:trPr>
          <w:trHeight w:val="984" w:hRule="atLeast"/>
          <w:jc w:val="center"/>
        </w:trPr>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5A1ED">
            <w:pPr>
              <w:widowControl/>
              <w:jc w:val="center"/>
              <w:textAlignment w:val="center"/>
              <w:rPr>
                <w:color w:val="auto"/>
                <w:sz w:val="24"/>
                <w:highlight w:val="none"/>
              </w:rPr>
            </w:pPr>
            <w:r>
              <w:rPr>
                <w:rFonts w:hint="eastAsia" w:ascii="宋体" w:cs="宋体"/>
                <w:color w:val="auto"/>
                <w:kern w:val="0"/>
                <w:sz w:val="24"/>
                <w:highlight w:val="none"/>
              </w:rPr>
              <w:t>1</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DC679">
            <w:pPr>
              <w:widowControl/>
              <w:jc w:val="center"/>
              <w:textAlignment w:val="center"/>
              <w:rPr>
                <w:rFonts w:ascii="宋体" w:cs="宋体"/>
                <w:color w:val="auto"/>
                <w:kern w:val="0"/>
                <w:sz w:val="24"/>
                <w:highlight w:val="none"/>
              </w:rPr>
            </w:pPr>
            <w:r>
              <w:rPr>
                <w:rFonts w:hint="eastAsia" w:ascii="宋体" w:cs="宋体"/>
                <w:color w:val="auto"/>
                <w:kern w:val="0"/>
                <w:sz w:val="24"/>
                <w:highlight w:val="none"/>
              </w:rPr>
              <w:t>三相电能表标准装置</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0C6C7">
            <w:pPr>
              <w:tabs>
                <w:tab w:val="left" w:pos="1134"/>
                <w:tab w:val="left" w:pos="2268"/>
              </w:tabs>
              <w:adjustRightInd w:val="0"/>
              <w:snapToGrid w:val="0"/>
              <w:rPr>
                <w:rFonts w:ascii="宋体" w:cs="Times New Roman"/>
                <w:color w:val="auto"/>
                <w:szCs w:val="21"/>
                <w:highlight w:val="none"/>
              </w:rPr>
            </w:pPr>
            <w:r>
              <w:rPr>
                <w:rFonts w:hint="eastAsia" w:ascii="宋体" w:cs="Times New Roman"/>
                <w:color w:val="auto"/>
                <w:szCs w:val="21"/>
                <w:highlight w:val="none"/>
              </w:rPr>
              <w:t>1、</w:t>
            </w:r>
            <w:r>
              <w:rPr>
                <w:rFonts w:hint="eastAsia" w:ascii="宋体" w:hAnsi="宋体" w:cs="Times New Roman"/>
                <w:color w:val="auto"/>
                <w:szCs w:val="21"/>
                <w:highlight w:val="none"/>
              </w:rPr>
              <w:t>装置准确度等级：</w:t>
            </w:r>
            <w:r>
              <w:rPr>
                <w:rFonts w:hint="eastAsia" w:ascii="宋体" w:cs="Times New Roman"/>
                <w:color w:val="auto"/>
                <w:szCs w:val="21"/>
                <w:highlight w:val="none"/>
              </w:rPr>
              <w:t xml:space="preserve"> </w:t>
            </w:r>
            <w:r>
              <w:rPr>
                <w:rFonts w:hint="eastAsia" w:ascii="宋体" w:hAnsi="宋体" w:cs="Times New Roman"/>
                <w:color w:val="auto"/>
                <w:szCs w:val="21"/>
                <w:highlight w:val="none"/>
              </w:rPr>
              <w:t>0.05级；标准电能表</w:t>
            </w:r>
            <w:r>
              <w:rPr>
                <w:rFonts w:hint="eastAsia" w:ascii="宋体" w:cs="Times New Roman"/>
                <w:color w:val="auto"/>
                <w:szCs w:val="21"/>
                <w:highlight w:val="none"/>
              </w:rPr>
              <w:t>0.02级</w:t>
            </w:r>
          </w:p>
          <w:p w14:paraId="0DEBB795">
            <w:pPr>
              <w:widowControl/>
              <w:adjustRightInd w:val="0"/>
              <w:snapToGrid w:val="0"/>
              <w:jc w:val="left"/>
              <w:outlineLvl w:val="1"/>
              <w:rPr>
                <w:rFonts w:ascii="宋体" w:cs="Times New Roman"/>
                <w:color w:val="auto"/>
                <w:szCs w:val="21"/>
                <w:highlight w:val="none"/>
              </w:rPr>
            </w:pPr>
            <w:r>
              <w:rPr>
                <w:rFonts w:hint="eastAsia" w:ascii="宋体" w:cs="Times New Roman"/>
                <w:color w:val="auto"/>
                <w:szCs w:val="21"/>
                <w:highlight w:val="none"/>
              </w:rPr>
              <w:t>2、</w:t>
            </w:r>
            <w:r>
              <w:rPr>
                <w:rFonts w:hint="eastAsia" w:ascii="宋体" w:hAnsi="宋体" w:cs="Times New Roman"/>
                <w:color w:val="auto"/>
                <w:szCs w:val="21"/>
                <w:highlight w:val="none"/>
              </w:rPr>
              <w:t>隔离互感器：</w:t>
            </w:r>
            <w:r>
              <w:rPr>
                <w:rFonts w:hint="eastAsia" w:ascii="宋体" w:hAnsi="宋体"/>
                <w:color w:val="auto"/>
                <w:szCs w:val="21"/>
                <w:highlight w:val="none"/>
              </w:rPr>
              <w:t>单相用隔离PT:等级0.0</w:t>
            </w:r>
            <w:r>
              <w:rPr>
                <w:rFonts w:hint="eastAsia" w:ascii="宋体"/>
                <w:color w:val="auto"/>
                <w:szCs w:val="21"/>
                <w:highlight w:val="none"/>
              </w:rPr>
              <w:t>05</w:t>
            </w:r>
            <w:r>
              <w:rPr>
                <w:rFonts w:hint="eastAsia" w:ascii="宋体" w:hAnsi="宋体"/>
                <w:color w:val="auto"/>
                <w:szCs w:val="21"/>
                <w:highlight w:val="none"/>
              </w:rPr>
              <w:t>，额定电压220V，电绕组数满足表位需求，容量不小于15VA/绕组。</w:t>
            </w:r>
          </w:p>
          <w:p w14:paraId="03EC5F22">
            <w:pPr>
              <w:widowControl/>
              <w:adjustRightInd w:val="0"/>
              <w:snapToGrid w:val="0"/>
              <w:jc w:val="left"/>
              <w:outlineLvl w:val="1"/>
              <w:rPr>
                <w:rFonts w:ascii="宋体" w:cs="Times New Roman"/>
                <w:color w:val="auto"/>
                <w:szCs w:val="21"/>
                <w:highlight w:val="none"/>
              </w:rPr>
            </w:pPr>
            <w:r>
              <w:rPr>
                <w:rFonts w:hint="eastAsia" w:ascii="宋体" w:cs="Times New Roman"/>
                <w:color w:val="auto"/>
                <w:szCs w:val="21"/>
                <w:highlight w:val="none"/>
              </w:rPr>
              <w:t>3、</w:t>
            </w:r>
            <w:r>
              <w:rPr>
                <w:rFonts w:hint="eastAsia" w:ascii="宋体" w:hAnsi="宋体" w:cs="Times New Roman"/>
                <w:color w:val="auto"/>
                <w:szCs w:val="21"/>
                <w:highlight w:val="none"/>
              </w:rPr>
              <w:t>装置输出</w:t>
            </w:r>
          </w:p>
          <w:p w14:paraId="463F9652">
            <w:pPr>
              <w:snapToGrid w:val="0"/>
              <w:rPr>
                <w:rFonts w:ascii="宋体"/>
                <w:color w:val="auto"/>
                <w:szCs w:val="21"/>
                <w:highlight w:val="none"/>
              </w:rPr>
            </w:pPr>
            <w:r>
              <w:rPr>
                <w:rFonts w:hint="eastAsia" w:ascii="宋体" w:hAnsi="宋体"/>
                <w:color w:val="auto"/>
                <w:szCs w:val="21"/>
                <w:highlight w:val="none"/>
              </w:rPr>
              <w:t>（1）输出电压</w:t>
            </w:r>
          </w:p>
          <w:p w14:paraId="7A292C6F">
            <w:pPr>
              <w:snapToGrid w:val="0"/>
              <w:ind w:firstLine="420" w:firstLineChars="200"/>
              <w:rPr>
                <w:rFonts w:ascii="宋体"/>
                <w:color w:val="auto"/>
                <w:szCs w:val="21"/>
                <w:highlight w:val="none"/>
              </w:rPr>
            </w:pPr>
            <w:r>
              <w:rPr>
                <w:rFonts w:hint="eastAsia" w:ascii="宋体" w:hAnsi="宋体"/>
                <w:color w:val="auto"/>
                <w:szCs w:val="21"/>
                <w:highlight w:val="none"/>
              </w:rPr>
              <w:t>电压档位：3×(57.7V、100V、220V、380V)，自动量程。</w:t>
            </w:r>
          </w:p>
          <w:p w14:paraId="2D5A3C0D">
            <w:pPr>
              <w:snapToGrid w:val="0"/>
              <w:ind w:firstLine="420" w:firstLineChars="200"/>
              <w:rPr>
                <w:rFonts w:ascii="宋体"/>
                <w:color w:val="auto"/>
                <w:szCs w:val="21"/>
                <w:highlight w:val="none"/>
              </w:rPr>
            </w:pPr>
            <w:r>
              <w:rPr>
                <w:rFonts w:hint="eastAsia" w:ascii="宋体" w:hAnsi="宋体"/>
                <w:color w:val="auto"/>
                <w:szCs w:val="21"/>
                <w:highlight w:val="none"/>
              </w:rPr>
              <w:t>波形失真度：≤0.</w:t>
            </w:r>
            <w:r>
              <w:rPr>
                <w:rFonts w:hint="eastAsia" w:ascii="宋体"/>
                <w:color w:val="auto"/>
                <w:szCs w:val="21"/>
                <w:highlight w:val="none"/>
              </w:rPr>
              <w:t>5</w:t>
            </w:r>
            <w:r>
              <w:rPr>
                <w:rFonts w:hint="eastAsia" w:ascii="宋体" w:hAnsi="宋体"/>
                <w:color w:val="auto"/>
                <w:szCs w:val="21"/>
                <w:highlight w:val="none"/>
              </w:rPr>
              <w:t>%（50Hz）</w:t>
            </w:r>
          </w:p>
          <w:p w14:paraId="62B0C397">
            <w:pPr>
              <w:snapToGrid w:val="0"/>
              <w:ind w:firstLine="420" w:firstLineChars="200"/>
              <w:rPr>
                <w:rFonts w:ascii="宋体"/>
                <w:color w:val="auto"/>
                <w:szCs w:val="21"/>
                <w:highlight w:val="none"/>
              </w:rPr>
            </w:pPr>
            <w:r>
              <w:rPr>
                <w:rFonts w:hint="eastAsia" w:ascii="宋体" w:hAnsi="宋体"/>
                <w:color w:val="auto"/>
                <w:szCs w:val="21"/>
                <w:highlight w:val="none"/>
              </w:rPr>
              <w:t>输出容量：每相每表位≥20VA</w:t>
            </w:r>
          </w:p>
          <w:p w14:paraId="3E4623FB">
            <w:pPr>
              <w:snapToGrid w:val="0"/>
              <w:ind w:firstLine="420" w:firstLineChars="200"/>
              <w:rPr>
                <w:rFonts w:ascii="宋体"/>
                <w:color w:val="auto"/>
                <w:szCs w:val="21"/>
                <w:highlight w:val="none"/>
              </w:rPr>
            </w:pPr>
            <w:r>
              <w:rPr>
                <w:rFonts w:hint="eastAsia" w:ascii="宋体" w:hAnsi="宋体"/>
                <w:color w:val="auto"/>
                <w:szCs w:val="21"/>
                <w:highlight w:val="none"/>
              </w:rPr>
              <w:t>负载特性：阻性、感性和容性（小于2uF）</w:t>
            </w:r>
          </w:p>
          <w:p w14:paraId="66AA2596">
            <w:pPr>
              <w:snapToGrid w:val="0"/>
              <w:rPr>
                <w:rFonts w:ascii="宋体"/>
                <w:color w:val="auto"/>
                <w:szCs w:val="21"/>
                <w:highlight w:val="none"/>
              </w:rPr>
            </w:pPr>
            <w:r>
              <w:rPr>
                <w:rFonts w:hint="eastAsia" w:ascii="宋体" w:hAnsi="宋体"/>
                <w:color w:val="auto"/>
                <w:szCs w:val="21"/>
                <w:highlight w:val="none"/>
              </w:rPr>
              <w:t>（2）输出电流</w:t>
            </w:r>
          </w:p>
          <w:p w14:paraId="0275AE02">
            <w:pPr>
              <w:snapToGrid w:val="0"/>
              <w:ind w:firstLine="420" w:firstLineChars="200"/>
              <w:rPr>
                <w:rFonts w:ascii="宋体"/>
                <w:color w:val="auto"/>
                <w:szCs w:val="21"/>
                <w:highlight w:val="none"/>
              </w:rPr>
            </w:pPr>
            <w:r>
              <w:rPr>
                <w:rFonts w:hint="eastAsia" w:ascii="宋体" w:hAnsi="宋体"/>
                <w:color w:val="auto"/>
                <w:szCs w:val="21"/>
                <w:highlight w:val="none"/>
              </w:rPr>
              <w:t>电流档位：3×（0.001A、0.02A、0.1A、0.25A、0.5A、1A、2.5A、5A、10A、20A、50A、100A），手动及自动寻档。</w:t>
            </w:r>
          </w:p>
          <w:p w14:paraId="75657D40">
            <w:pPr>
              <w:snapToGrid w:val="0"/>
              <w:ind w:firstLine="420" w:firstLineChars="200"/>
              <w:rPr>
                <w:rFonts w:ascii="宋体"/>
                <w:color w:val="auto"/>
                <w:szCs w:val="21"/>
                <w:highlight w:val="none"/>
              </w:rPr>
            </w:pPr>
            <w:r>
              <w:rPr>
                <w:rFonts w:hint="eastAsia" w:ascii="宋体" w:hAnsi="宋体"/>
                <w:color w:val="auto"/>
                <w:szCs w:val="21"/>
                <w:highlight w:val="none"/>
              </w:rPr>
              <w:t>输出范围：0.3</w:t>
            </w:r>
            <w:r>
              <w:rPr>
                <w:rFonts w:hint="eastAsia" w:ascii="宋体"/>
                <w:color w:val="auto"/>
                <w:szCs w:val="21"/>
                <w:highlight w:val="none"/>
              </w:rPr>
              <w:t>mA</w:t>
            </w:r>
            <w:r>
              <w:rPr>
                <w:rFonts w:hint="eastAsia" w:ascii="宋体" w:hAnsi="宋体"/>
                <w:color w:val="auto"/>
                <w:szCs w:val="21"/>
                <w:highlight w:val="none"/>
              </w:rPr>
              <w:t>...</w:t>
            </w:r>
            <w:r>
              <w:rPr>
                <w:rFonts w:hint="eastAsia" w:ascii="宋体"/>
                <w:color w:val="auto"/>
                <w:szCs w:val="21"/>
                <w:highlight w:val="none"/>
              </w:rPr>
              <w:t>120A</w:t>
            </w:r>
            <w:r>
              <w:rPr>
                <w:rFonts w:hint="eastAsia" w:ascii="宋体" w:hAnsi="宋体"/>
                <w:color w:val="auto"/>
                <w:szCs w:val="21"/>
                <w:highlight w:val="none"/>
              </w:rPr>
              <w:t>平稳连续可调。</w:t>
            </w:r>
          </w:p>
          <w:p w14:paraId="7FB8E284">
            <w:pPr>
              <w:snapToGrid w:val="0"/>
              <w:ind w:firstLine="420" w:firstLineChars="200"/>
              <w:rPr>
                <w:rFonts w:ascii="宋体"/>
                <w:color w:val="auto"/>
                <w:szCs w:val="21"/>
                <w:highlight w:val="none"/>
              </w:rPr>
            </w:pPr>
            <w:r>
              <w:rPr>
                <w:rFonts w:hint="eastAsia" w:ascii="宋体" w:hAnsi="宋体"/>
                <w:color w:val="auto"/>
                <w:szCs w:val="21"/>
                <w:highlight w:val="none"/>
              </w:rPr>
              <w:t>调节细度：10％、1％、0.1％、0.01％</w:t>
            </w:r>
          </w:p>
          <w:p w14:paraId="1449CD15">
            <w:pPr>
              <w:snapToGrid w:val="0"/>
              <w:ind w:firstLine="420" w:firstLineChars="200"/>
              <w:rPr>
                <w:rFonts w:ascii="宋体"/>
                <w:color w:val="auto"/>
                <w:szCs w:val="21"/>
                <w:highlight w:val="none"/>
              </w:rPr>
            </w:pPr>
            <w:r>
              <w:rPr>
                <w:rFonts w:hint="eastAsia" w:ascii="宋体" w:hAnsi="宋体"/>
                <w:color w:val="auto"/>
                <w:szCs w:val="21"/>
                <w:highlight w:val="none"/>
              </w:rPr>
              <w:t>波形失真度：≤0</w:t>
            </w:r>
            <w:r>
              <w:rPr>
                <w:rFonts w:hint="eastAsia" w:ascii="宋体"/>
                <w:color w:val="auto"/>
                <w:szCs w:val="21"/>
                <w:highlight w:val="none"/>
              </w:rPr>
              <w:t>.5</w:t>
            </w:r>
            <w:r>
              <w:rPr>
                <w:rFonts w:hint="eastAsia" w:ascii="宋体" w:hAnsi="宋体"/>
                <w:color w:val="auto"/>
                <w:szCs w:val="21"/>
                <w:highlight w:val="none"/>
              </w:rPr>
              <w:t>%（50Hz）</w:t>
            </w:r>
          </w:p>
          <w:p w14:paraId="5BA24445">
            <w:pPr>
              <w:snapToGrid w:val="0"/>
              <w:ind w:firstLine="420" w:firstLineChars="200"/>
              <w:rPr>
                <w:rFonts w:ascii="宋体"/>
                <w:color w:val="auto"/>
                <w:szCs w:val="21"/>
                <w:highlight w:val="none"/>
              </w:rPr>
            </w:pPr>
            <w:r>
              <w:rPr>
                <w:rFonts w:hint="eastAsia" w:ascii="宋体" w:hAnsi="宋体"/>
                <w:color w:val="auto"/>
                <w:szCs w:val="21"/>
                <w:highlight w:val="none"/>
              </w:rPr>
              <w:t>输出容量：每相每表位≥3</w:t>
            </w:r>
            <w:r>
              <w:rPr>
                <w:rFonts w:hint="eastAsia" w:ascii="宋体"/>
                <w:color w:val="auto"/>
                <w:szCs w:val="21"/>
                <w:highlight w:val="none"/>
              </w:rPr>
              <w:t>5</w:t>
            </w:r>
            <w:r>
              <w:rPr>
                <w:rFonts w:hint="eastAsia" w:ascii="宋体" w:hAnsi="宋体"/>
                <w:color w:val="auto"/>
                <w:szCs w:val="21"/>
                <w:highlight w:val="none"/>
              </w:rPr>
              <w:t>VA</w:t>
            </w:r>
          </w:p>
          <w:p w14:paraId="451FB518">
            <w:pPr>
              <w:snapToGrid w:val="0"/>
              <w:rPr>
                <w:rFonts w:ascii="宋体"/>
                <w:color w:val="auto"/>
                <w:szCs w:val="21"/>
                <w:highlight w:val="none"/>
              </w:rPr>
            </w:pPr>
            <w:r>
              <w:rPr>
                <w:rFonts w:hint="eastAsia" w:ascii="宋体" w:hAnsi="宋体"/>
                <w:color w:val="auto"/>
                <w:szCs w:val="21"/>
                <w:highlight w:val="none"/>
              </w:rPr>
              <w:t>（3）输出功率稳定度标准表法：≤0</w:t>
            </w:r>
            <w:r>
              <w:rPr>
                <w:rFonts w:hint="eastAsia" w:ascii="宋体"/>
                <w:color w:val="auto"/>
                <w:szCs w:val="21"/>
                <w:highlight w:val="none"/>
              </w:rPr>
              <w:t>.05</w:t>
            </w:r>
            <w:r>
              <w:rPr>
                <w:rFonts w:hint="eastAsia" w:ascii="宋体" w:hAnsi="宋体"/>
                <w:color w:val="auto"/>
                <w:szCs w:val="21"/>
                <w:highlight w:val="none"/>
              </w:rPr>
              <w:t>%</w:t>
            </w:r>
          </w:p>
          <w:p w14:paraId="694AAB12">
            <w:pPr>
              <w:snapToGrid w:val="0"/>
              <w:rPr>
                <w:rFonts w:ascii="宋体"/>
                <w:color w:val="auto"/>
                <w:szCs w:val="21"/>
                <w:highlight w:val="none"/>
              </w:rPr>
            </w:pPr>
            <w:r>
              <w:rPr>
                <w:rFonts w:hint="eastAsia" w:ascii="宋体" w:hAnsi="宋体"/>
                <w:color w:val="auto"/>
                <w:szCs w:val="21"/>
                <w:highlight w:val="none"/>
              </w:rPr>
              <w:t>（4）移相范围：</w:t>
            </w:r>
            <w:r>
              <w:rPr>
                <w:rFonts w:hint="eastAsia" w:ascii="宋体"/>
                <w:color w:val="auto"/>
                <w:szCs w:val="21"/>
                <w:highlight w:val="none"/>
              </w:rPr>
              <w:t>-180.0</w:t>
            </w:r>
            <w:r>
              <w:rPr>
                <w:rFonts w:hint="eastAsia" w:ascii="宋体" w:hAnsi="宋体"/>
                <w:color w:val="auto"/>
                <w:szCs w:val="21"/>
                <w:highlight w:val="none"/>
              </w:rPr>
              <w:t>°～</w:t>
            </w:r>
            <w:r>
              <w:rPr>
                <w:rFonts w:hint="eastAsia" w:ascii="宋体"/>
                <w:color w:val="auto"/>
                <w:szCs w:val="21"/>
                <w:highlight w:val="none"/>
              </w:rPr>
              <w:t>180.0</w:t>
            </w:r>
            <w:r>
              <w:rPr>
                <w:rFonts w:hint="eastAsia" w:ascii="宋体" w:hAnsi="宋体"/>
                <w:color w:val="auto"/>
                <w:szCs w:val="21"/>
                <w:highlight w:val="none"/>
              </w:rPr>
              <w:t>°，调节细度：</w:t>
            </w:r>
            <w:r>
              <w:rPr>
                <w:rFonts w:hint="eastAsia" w:ascii="宋体"/>
                <w:color w:val="auto"/>
                <w:szCs w:val="21"/>
                <w:highlight w:val="none"/>
              </w:rPr>
              <w:t>0.</w:t>
            </w:r>
            <w:r>
              <w:rPr>
                <w:rFonts w:hint="eastAsia" w:ascii="宋体" w:hAnsi="宋体"/>
                <w:color w:val="auto"/>
                <w:szCs w:val="21"/>
                <w:highlight w:val="none"/>
              </w:rPr>
              <w:t>01°，</w:t>
            </w:r>
          </w:p>
          <w:p w14:paraId="27B361B0">
            <w:pPr>
              <w:snapToGrid w:val="0"/>
              <w:rPr>
                <w:rFonts w:ascii="宋体"/>
                <w:color w:val="auto"/>
                <w:szCs w:val="21"/>
                <w:highlight w:val="none"/>
              </w:rPr>
            </w:pPr>
            <w:r>
              <w:rPr>
                <w:rFonts w:hint="eastAsia" w:ascii="宋体" w:hAnsi="宋体"/>
                <w:color w:val="auto"/>
                <w:szCs w:val="21"/>
                <w:highlight w:val="none"/>
              </w:rPr>
              <w:t>（5）频率范围：</w:t>
            </w:r>
            <w:r>
              <w:rPr>
                <w:rFonts w:hint="eastAsia" w:ascii="宋体"/>
                <w:color w:val="auto"/>
                <w:szCs w:val="21"/>
                <w:highlight w:val="none"/>
              </w:rPr>
              <w:t>45Hz</w:t>
            </w:r>
            <w:r>
              <w:rPr>
                <w:rFonts w:hint="eastAsia" w:ascii="宋体" w:hAnsi="宋体"/>
                <w:color w:val="auto"/>
                <w:szCs w:val="21"/>
                <w:highlight w:val="none"/>
              </w:rPr>
              <w:t>～</w:t>
            </w:r>
            <w:r>
              <w:rPr>
                <w:rFonts w:hint="eastAsia" w:ascii="宋体"/>
                <w:color w:val="auto"/>
                <w:szCs w:val="21"/>
                <w:highlight w:val="none"/>
              </w:rPr>
              <w:t>65Hz</w:t>
            </w:r>
            <w:r>
              <w:rPr>
                <w:rFonts w:hint="eastAsia" w:ascii="宋体" w:hAnsi="宋体"/>
                <w:color w:val="auto"/>
                <w:szCs w:val="21"/>
                <w:highlight w:val="none"/>
              </w:rPr>
              <w:t>，调节细度：</w:t>
            </w:r>
            <w:r>
              <w:rPr>
                <w:rFonts w:hint="eastAsia" w:ascii="宋体"/>
                <w:color w:val="auto"/>
                <w:szCs w:val="21"/>
                <w:highlight w:val="none"/>
              </w:rPr>
              <w:t>0.</w:t>
            </w:r>
            <w:r>
              <w:rPr>
                <w:rFonts w:hint="eastAsia" w:ascii="宋体" w:hAnsi="宋体"/>
                <w:color w:val="auto"/>
                <w:szCs w:val="21"/>
                <w:highlight w:val="none"/>
              </w:rPr>
              <w:t>0</w:t>
            </w:r>
            <w:r>
              <w:rPr>
                <w:rFonts w:hint="eastAsia" w:ascii="宋体"/>
                <w:color w:val="auto"/>
                <w:szCs w:val="21"/>
                <w:highlight w:val="none"/>
              </w:rPr>
              <w:t>1Hz</w:t>
            </w:r>
            <w:r>
              <w:rPr>
                <w:rFonts w:hint="eastAsia" w:ascii="宋体" w:hAnsi="宋体"/>
                <w:color w:val="auto"/>
                <w:szCs w:val="21"/>
                <w:highlight w:val="none"/>
              </w:rPr>
              <w:t>，准确度±</w:t>
            </w:r>
            <w:r>
              <w:rPr>
                <w:rFonts w:hint="eastAsia" w:ascii="宋体"/>
                <w:color w:val="auto"/>
                <w:szCs w:val="21"/>
                <w:highlight w:val="none"/>
              </w:rPr>
              <w:t>0.1</w:t>
            </w:r>
            <w:r>
              <w:rPr>
                <w:rFonts w:hint="eastAsia" w:ascii="宋体" w:hAnsi="宋体"/>
                <w:color w:val="auto"/>
                <w:szCs w:val="21"/>
                <w:highlight w:val="none"/>
              </w:rPr>
              <w:t>%</w:t>
            </w:r>
          </w:p>
          <w:p w14:paraId="7E450D7A">
            <w:pPr>
              <w:snapToGrid w:val="0"/>
              <w:rPr>
                <w:rFonts w:ascii="宋体"/>
                <w:color w:val="auto"/>
                <w:szCs w:val="21"/>
                <w:highlight w:val="none"/>
              </w:rPr>
            </w:pPr>
            <w:r>
              <w:rPr>
                <w:rFonts w:hint="eastAsia" w:ascii="宋体" w:hAnsi="宋体"/>
                <w:color w:val="auto"/>
                <w:szCs w:val="21"/>
                <w:highlight w:val="none"/>
              </w:rPr>
              <w:t>6）三相对称度：三相电压对称度≤0.</w:t>
            </w:r>
            <w:r>
              <w:rPr>
                <w:rFonts w:hint="eastAsia" w:ascii="宋体"/>
                <w:color w:val="auto"/>
                <w:szCs w:val="21"/>
                <w:highlight w:val="none"/>
              </w:rPr>
              <w:t>5</w:t>
            </w:r>
            <w:r>
              <w:rPr>
                <w:rFonts w:hint="eastAsia" w:ascii="宋体" w:hAnsi="宋体"/>
                <w:color w:val="auto"/>
                <w:szCs w:val="21"/>
                <w:highlight w:val="none"/>
              </w:rPr>
              <w:t>%；三相电流对称度≤1%；三相相位对称度≤</w:t>
            </w:r>
            <w:r>
              <w:rPr>
                <w:rFonts w:hint="eastAsia" w:ascii="宋体"/>
                <w:color w:val="auto"/>
                <w:szCs w:val="21"/>
                <w:highlight w:val="none"/>
              </w:rPr>
              <w:t>1</w:t>
            </w:r>
            <w:r>
              <w:rPr>
                <w:rFonts w:hint="eastAsia" w:ascii="宋体" w:hAnsi="宋体"/>
                <w:color w:val="auto"/>
                <w:szCs w:val="21"/>
                <w:highlight w:val="none"/>
              </w:rPr>
              <w:t>°</w:t>
            </w:r>
          </w:p>
          <w:p w14:paraId="47C62774">
            <w:pPr>
              <w:snapToGrid w:val="0"/>
              <w:rPr>
                <w:rFonts w:ascii="宋体"/>
                <w:color w:val="auto"/>
                <w:szCs w:val="21"/>
                <w:highlight w:val="none"/>
              </w:rPr>
            </w:pPr>
            <w:r>
              <w:rPr>
                <w:rFonts w:hint="eastAsia" w:ascii="宋体" w:hAnsi="宋体"/>
                <w:color w:val="auto"/>
                <w:szCs w:val="21"/>
                <w:highlight w:val="none"/>
              </w:rPr>
              <w:t>（7）装置具有起动电流调整、测量功能，能输出0.3mA的起动电流。起动电流的测量误差、起动功率的测量误差满足J</w:t>
            </w:r>
            <w:r>
              <w:rPr>
                <w:rFonts w:hint="eastAsia" w:ascii="宋体"/>
                <w:color w:val="auto"/>
                <w:szCs w:val="21"/>
                <w:highlight w:val="none"/>
              </w:rPr>
              <w:t>JG597-2025</w:t>
            </w:r>
            <w:r>
              <w:rPr>
                <w:rFonts w:hint="eastAsia" w:ascii="宋体" w:hAnsi="宋体"/>
                <w:color w:val="auto"/>
                <w:szCs w:val="21"/>
                <w:highlight w:val="none"/>
              </w:rPr>
              <w:t>误差限要求。</w:t>
            </w:r>
          </w:p>
          <w:p w14:paraId="4CE8246F">
            <w:pPr>
              <w:pStyle w:val="10"/>
              <w:ind w:firstLine="240" w:firstLineChars="100"/>
              <w:rPr>
                <w:rFonts w:ascii="宋体" w:hAnsi="宋体"/>
                <w:color w:val="auto"/>
                <w:sz w:val="24"/>
                <w:highlight w:val="none"/>
              </w:rPr>
            </w:pPr>
            <w:r>
              <w:rPr>
                <w:color w:val="auto"/>
                <w:sz w:val="24"/>
                <w:highlight w:val="none"/>
              </w:rPr>
              <w:t>4</w:t>
            </w:r>
            <w:r>
              <w:rPr>
                <w:rFonts w:ascii="宋体" w:hAnsi="宋体"/>
                <w:color w:val="auto"/>
                <w:sz w:val="24"/>
                <w:highlight w:val="none"/>
              </w:rPr>
              <w:t>、具有</w:t>
            </w:r>
            <w:r>
              <w:rPr>
                <w:color w:val="auto"/>
                <w:sz w:val="24"/>
                <w:highlight w:val="none"/>
              </w:rPr>
              <w:t>12</w:t>
            </w:r>
            <w:r>
              <w:rPr>
                <w:rFonts w:ascii="宋体" w:hAnsi="宋体"/>
                <w:color w:val="auto"/>
                <w:sz w:val="24"/>
                <w:highlight w:val="none"/>
              </w:rPr>
              <w:t>个三相电能表（单相电能表）测量表位</w:t>
            </w:r>
          </w:p>
          <w:p w14:paraId="317D9BC7">
            <w:pPr>
              <w:pStyle w:val="10"/>
              <w:ind w:firstLine="240" w:firstLineChars="100"/>
              <w:rPr>
                <w:color w:val="auto"/>
                <w:sz w:val="24"/>
                <w:highlight w:val="none"/>
              </w:rPr>
            </w:pPr>
            <w:r>
              <w:rPr>
                <w:rFonts w:hint="eastAsia" w:ascii="宋体" w:hAnsi="宋体"/>
                <w:color w:val="auto"/>
                <w:sz w:val="24"/>
                <w:highlight w:val="none"/>
              </w:rPr>
              <w:t>5、配置12个光电采集器，电脑及打印机、扫码枪</w:t>
            </w:r>
          </w:p>
        </w:tc>
        <w:tc>
          <w:tcPr>
            <w:tcW w:w="5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B1270">
            <w:pPr>
              <w:widowControl/>
              <w:jc w:val="center"/>
              <w:textAlignment w:val="center"/>
              <w:rPr>
                <w:rFonts w:ascii="宋体" w:cs="宋体"/>
                <w:color w:val="auto"/>
                <w:kern w:val="0"/>
                <w:sz w:val="24"/>
                <w:highlight w:val="none"/>
              </w:rPr>
            </w:pPr>
            <w:r>
              <w:rPr>
                <w:rFonts w:hint="eastAsia" w:ascii="宋体" w:cs="宋体"/>
                <w:color w:val="auto"/>
                <w:kern w:val="0"/>
                <w:sz w:val="24"/>
                <w:highlight w:val="none"/>
              </w:rPr>
              <w:t>1</w:t>
            </w:r>
          </w:p>
        </w:tc>
      </w:tr>
      <w:tr w14:paraId="60513486">
        <w:trPr>
          <w:trHeight w:val="449" w:hRule="atLeast"/>
          <w:jc w:val="center"/>
        </w:trPr>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56E1B">
            <w:pPr>
              <w:widowControl/>
              <w:jc w:val="center"/>
              <w:textAlignment w:val="center"/>
              <w:rPr>
                <w:color w:val="auto"/>
                <w:sz w:val="24"/>
                <w:highlight w:val="none"/>
              </w:rPr>
            </w:pPr>
            <w:r>
              <w:rPr>
                <w:rFonts w:hint="eastAsia" w:ascii="宋体" w:cs="宋体"/>
                <w:color w:val="auto"/>
                <w:kern w:val="0"/>
                <w:sz w:val="24"/>
                <w:highlight w:val="none"/>
              </w:rPr>
              <w:t>2</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0F25B">
            <w:pPr>
              <w:widowControl/>
              <w:jc w:val="center"/>
              <w:textAlignment w:val="center"/>
              <w:rPr>
                <w:rFonts w:ascii="宋体" w:cs="宋体"/>
                <w:color w:val="auto"/>
                <w:kern w:val="0"/>
                <w:sz w:val="24"/>
                <w:highlight w:val="none"/>
              </w:rPr>
            </w:pPr>
            <w:r>
              <w:rPr>
                <w:rFonts w:hint="eastAsia" w:ascii="宋体" w:cs="宋体"/>
                <w:color w:val="auto"/>
                <w:kern w:val="0"/>
                <w:sz w:val="24"/>
                <w:highlight w:val="none"/>
              </w:rPr>
              <w:t>出租车计价器整车检定装置</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8C09B">
            <w:pPr>
              <w:widowControl/>
              <w:numPr>
                <w:ilvl w:val="0"/>
                <w:numId w:val="3"/>
              </w:numPr>
              <w:jc w:val="left"/>
              <w:textAlignment w:val="center"/>
              <w:rPr>
                <w:rFonts w:ascii="宋体"/>
                <w:color w:val="auto"/>
                <w:kern w:val="0"/>
                <w:sz w:val="24"/>
                <w:highlight w:val="none"/>
              </w:rPr>
            </w:pPr>
            <w:r>
              <w:rPr>
                <w:rFonts w:hint="eastAsia" w:ascii="宋体" w:hAnsi="宋体"/>
                <w:color w:val="auto"/>
                <w:kern w:val="0"/>
                <w:sz w:val="24"/>
                <w:highlight w:val="none"/>
              </w:rPr>
              <w:t>整车检定基本参数</w:t>
            </w:r>
            <w:r>
              <w:rPr>
                <w:rFonts w:hint="eastAsia" w:ascii="宋体"/>
                <w:color w:val="auto"/>
                <w:kern w:val="0"/>
                <w:sz w:val="24"/>
                <w:highlight w:val="none"/>
              </w:rPr>
              <w:br w:type="textWrapping"/>
            </w:r>
            <w:r>
              <w:rPr>
                <w:rFonts w:hint="eastAsia" w:ascii="宋体" w:hAnsi="宋体"/>
                <w:color w:val="auto"/>
                <w:kern w:val="0"/>
                <w:sz w:val="24"/>
                <w:highlight w:val="none"/>
              </w:rPr>
              <w:t>1)主滚轮周长不小于1m，MPE:±0.2%；</w:t>
            </w:r>
            <w:r>
              <w:rPr>
                <w:rFonts w:hint="eastAsia" w:ascii="宋体"/>
                <w:color w:val="auto"/>
                <w:kern w:val="0"/>
                <w:sz w:val="24"/>
                <w:highlight w:val="none"/>
              </w:rPr>
              <w:br w:type="textWrapping"/>
            </w:r>
            <w:r>
              <w:rPr>
                <w:rFonts w:hint="eastAsia" w:ascii="宋体" w:hAnsi="宋体"/>
                <w:color w:val="auto"/>
                <w:kern w:val="0"/>
                <w:sz w:val="24"/>
                <w:highlight w:val="none"/>
              </w:rPr>
              <w:t>2)计数器计数范围（0～9999）r，MPE:±[（读数×0.1%）+1 r]；</w:t>
            </w:r>
            <w:r>
              <w:rPr>
                <w:rFonts w:hint="eastAsia" w:ascii="宋体"/>
                <w:color w:val="auto"/>
                <w:kern w:val="0"/>
                <w:sz w:val="24"/>
                <w:highlight w:val="none"/>
              </w:rPr>
              <w:br w:type="textWrapping"/>
            </w:r>
            <w:r>
              <w:rPr>
                <w:rFonts w:hint="eastAsia" w:ascii="宋体" w:hAnsi="宋体"/>
                <w:color w:val="auto"/>
                <w:kern w:val="0"/>
                <w:sz w:val="24"/>
                <w:highlight w:val="none"/>
              </w:rPr>
              <w:t>3)正常检定时速度60km/h或40km/h，MPE:≤±3km/h；</w:t>
            </w:r>
            <w:r>
              <w:rPr>
                <w:rFonts w:hint="eastAsia" w:ascii="宋体"/>
                <w:color w:val="auto"/>
                <w:kern w:val="0"/>
                <w:sz w:val="24"/>
                <w:highlight w:val="none"/>
              </w:rPr>
              <w:br w:type="textWrapping"/>
            </w:r>
            <w:r>
              <w:rPr>
                <w:rFonts w:hint="eastAsia" w:ascii="宋体" w:hAnsi="宋体"/>
                <w:color w:val="auto"/>
                <w:kern w:val="0"/>
                <w:sz w:val="24"/>
                <w:highlight w:val="none"/>
              </w:rPr>
              <w:t>4)噪音:空转≤75 dB 、重载≤85 dB；</w:t>
            </w:r>
            <w:r>
              <w:rPr>
                <w:rFonts w:hint="eastAsia" w:ascii="宋体"/>
                <w:color w:val="auto"/>
                <w:kern w:val="0"/>
                <w:sz w:val="24"/>
                <w:highlight w:val="none"/>
              </w:rPr>
              <w:br w:type="textWrapping"/>
            </w:r>
            <w:r>
              <w:rPr>
                <w:rFonts w:hint="eastAsia" w:ascii="宋体" w:hAnsi="宋体"/>
                <w:color w:val="auto"/>
                <w:kern w:val="0"/>
                <w:sz w:val="24"/>
                <w:highlight w:val="none"/>
              </w:rPr>
              <w:t>5)主滚轮带动出租汽车驱动轮转动。</w:t>
            </w:r>
            <w:r>
              <w:rPr>
                <w:rFonts w:hint="eastAsia" w:ascii="宋体"/>
                <w:color w:val="auto"/>
                <w:kern w:val="0"/>
                <w:sz w:val="24"/>
                <w:highlight w:val="none"/>
              </w:rPr>
              <w:br w:type="textWrapping"/>
            </w:r>
            <w:r>
              <w:rPr>
                <w:rFonts w:hint="eastAsia" w:ascii="宋体" w:hAnsi="宋体"/>
                <w:color w:val="auto"/>
                <w:kern w:val="0"/>
                <w:sz w:val="24"/>
                <w:highlight w:val="none"/>
              </w:rPr>
              <w:t>2.机械部分技术要求</w:t>
            </w:r>
            <w:r>
              <w:rPr>
                <w:rFonts w:hint="eastAsia" w:ascii="宋体"/>
                <w:color w:val="auto"/>
                <w:kern w:val="0"/>
                <w:sz w:val="24"/>
                <w:highlight w:val="none"/>
              </w:rPr>
              <w:br w:type="textWrapping"/>
            </w:r>
            <w:r>
              <w:rPr>
                <w:rFonts w:hint="eastAsia" w:ascii="宋体" w:hAnsi="宋体"/>
                <w:color w:val="auto"/>
                <w:kern w:val="0"/>
                <w:sz w:val="24"/>
                <w:highlight w:val="none"/>
              </w:rPr>
              <w:t>1)检定装置框架必须采用整体钢板结构；</w:t>
            </w:r>
            <w:r>
              <w:rPr>
                <w:rFonts w:hint="eastAsia" w:ascii="宋体"/>
                <w:color w:val="auto"/>
                <w:kern w:val="0"/>
                <w:sz w:val="24"/>
                <w:highlight w:val="none"/>
              </w:rPr>
              <w:br w:type="textWrapping"/>
            </w:r>
            <w:r>
              <w:rPr>
                <w:rFonts w:hint="eastAsia" w:ascii="宋体" w:hAnsi="宋体"/>
                <w:color w:val="auto"/>
                <w:kern w:val="0"/>
                <w:sz w:val="24"/>
                <w:highlight w:val="none"/>
              </w:rPr>
              <w:t>2)检定装置总宽度不得小于2600mm，有效检测轮距宽度不得低于850～2410 mm；</w:t>
            </w:r>
            <w:r>
              <w:rPr>
                <w:rFonts w:hint="eastAsia" w:ascii="宋体"/>
                <w:color w:val="auto"/>
                <w:kern w:val="0"/>
                <w:sz w:val="24"/>
                <w:highlight w:val="none"/>
              </w:rPr>
              <w:br w:type="textWrapping"/>
            </w:r>
            <w:r>
              <w:rPr>
                <w:rFonts w:hint="eastAsia" w:ascii="宋体" w:hAnsi="宋体"/>
                <w:color w:val="auto"/>
                <w:kern w:val="0"/>
                <w:sz w:val="24"/>
                <w:highlight w:val="none"/>
              </w:rPr>
              <w:t>3)检定装置必须采用内置电机，并通过组合式联轴器等部件直接驱动主轮，电机可通过变频器与控制装置以及计算机相联，可以无级调速；</w:t>
            </w:r>
            <w:r>
              <w:rPr>
                <w:rFonts w:hint="eastAsia" w:ascii="宋体"/>
                <w:color w:val="auto"/>
                <w:kern w:val="0"/>
                <w:sz w:val="24"/>
                <w:highlight w:val="none"/>
              </w:rPr>
              <w:br w:type="textWrapping"/>
            </w:r>
            <w:r>
              <w:rPr>
                <w:rFonts w:hint="eastAsia" w:ascii="宋体" w:hAnsi="宋体"/>
                <w:color w:val="auto"/>
                <w:kern w:val="0"/>
                <w:sz w:val="24"/>
                <w:highlight w:val="none"/>
              </w:rPr>
              <w:t>4)电机和变频器的功率不得低于15kW；</w:t>
            </w:r>
            <w:r>
              <w:rPr>
                <w:rFonts w:hint="eastAsia" w:ascii="宋体"/>
                <w:color w:val="auto"/>
                <w:kern w:val="0"/>
                <w:sz w:val="24"/>
                <w:highlight w:val="none"/>
              </w:rPr>
              <w:br w:type="textWrapping"/>
            </w:r>
            <w:r>
              <w:rPr>
                <w:rFonts w:hint="eastAsia" w:ascii="宋体" w:hAnsi="宋体"/>
                <w:color w:val="auto"/>
                <w:kern w:val="0"/>
                <w:sz w:val="24"/>
                <w:highlight w:val="none"/>
              </w:rPr>
              <w:t>5)检定装置所有转动轴承必须采用高档高速轴承；主滚轮必须采用无缝钢管制造。主滚轮和被动滚轮表面必须镀硬铬，以增加耐磨性能。所有滚轮必须经过动平衡校正；</w:t>
            </w:r>
            <w:r>
              <w:rPr>
                <w:rFonts w:hint="eastAsia" w:ascii="宋体"/>
                <w:color w:val="auto"/>
                <w:kern w:val="0"/>
                <w:sz w:val="24"/>
                <w:highlight w:val="none"/>
              </w:rPr>
              <w:br w:type="textWrapping"/>
            </w:r>
            <w:r>
              <w:rPr>
                <w:rFonts w:hint="eastAsia" w:ascii="宋体" w:hAnsi="宋体"/>
                <w:color w:val="auto"/>
                <w:kern w:val="0"/>
                <w:sz w:val="24"/>
                <w:highlight w:val="none"/>
              </w:rPr>
              <w:t>6)装置须采用离合式刹车系统，直线推杆置于装置中心，驱动刹车横杆实现自动刹车功效，制动力矩不得小于3000N/m，保修期不得低于5年；</w:t>
            </w:r>
            <w:r>
              <w:rPr>
                <w:rFonts w:hint="eastAsia" w:ascii="宋体"/>
                <w:color w:val="auto"/>
                <w:kern w:val="0"/>
                <w:sz w:val="24"/>
                <w:highlight w:val="none"/>
              </w:rPr>
              <w:br w:type="textWrapping"/>
            </w:r>
            <w:r>
              <w:rPr>
                <w:rFonts w:hint="eastAsia" w:ascii="宋体" w:hAnsi="宋体"/>
                <w:color w:val="auto"/>
                <w:kern w:val="0"/>
                <w:sz w:val="24"/>
                <w:highlight w:val="none"/>
              </w:rPr>
              <w:t>7)装置须有程控防侧滑限位保护装置，根据车型自动调节夹紧距离，检定结束能自动复位，此功能保修期不得低于5年；</w:t>
            </w:r>
            <w:r>
              <w:rPr>
                <w:rFonts w:hint="eastAsia" w:ascii="宋体"/>
                <w:color w:val="auto"/>
                <w:kern w:val="0"/>
                <w:sz w:val="24"/>
                <w:highlight w:val="none"/>
              </w:rPr>
              <w:br w:type="textWrapping"/>
            </w:r>
            <w:r>
              <w:rPr>
                <w:rFonts w:hint="eastAsia" w:ascii="宋体" w:hAnsi="宋体"/>
                <w:color w:val="auto"/>
                <w:kern w:val="0"/>
                <w:sz w:val="24"/>
                <w:highlight w:val="none"/>
              </w:rPr>
              <w:t>8)整套装置无气动及液压设备。</w:t>
            </w:r>
            <w:r>
              <w:rPr>
                <w:rFonts w:hint="eastAsia" w:ascii="宋体"/>
                <w:color w:val="auto"/>
                <w:kern w:val="0"/>
                <w:sz w:val="24"/>
                <w:highlight w:val="none"/>
              </w:rPr>
              <w:br w:type="textWrapping"/>
            </w:r>
            <w:r>
              <w:rPr>
                <w:rFonts w:hint="eastAsia" w:ascii="宋体" w:hAnsi="宋体"/>
                <w:color w:val="auto"/>
                <w:kern w:val="0"/>
                <w:sz w:val="24"/>
                <w:highlight w:val="none"/>
              </w:rPr>
              <w:t>3.电器部分技术要求</w:t>
            </w:r>
            <w:r>
              <w:rPr>
                <w:rFonts w:hint="eastAsia" w:ascii="宋体"/>
                <w:color w:val="auto"/>
                <w:kern w:val="0"/>
                <w:sz w:val="24"/>
                <w:highlight w:val="none"/>
              </w:rPr>
              <w:br w:type="textWrapping"/>
            </w:r>
            <w:r>
              <w:rPr>
                <w:rFonts w:hint="eastAsia" w:ascii="宋体" w:hAnsi="宋体"/>
                <w:color w:val="auto"/>
                <w:kern w:val="0"/>
                <w:sz w:val="24"/>
                <w:highlight w:val="none"/>
              </w:rPr>
              <w:t>1)检定装置必须配备有一体化集成控制柜，集测量、采集、显示、传输、计算、调速等功能于一体，内含检测控制器，变频器、强电控制箱等；</w:t>
            </w:r>
            <w:r>
              <w:rPr>
                <w:rFonts w:hint="eastAsia" w:ascii="宋体"/>
                <w:color w:val="auto"/>
                <w:kern w:val="0"/>
                <w:sz w:val="24"/>
                <w:highlight w:val="none"/>
              </w:rPr>
              <w:br w:type="textWrapping"/>
            </w:r>
            <w:r>
              <w:rPr>
                <w:rFonts w:hint="eastAsia" w:ascii="宋体" w:hAnsi="宋体"/>
                <w:color w:val="auto"/>
                <w:kern w:val="0"/>
                <w:sz w:val="24"/>
                <w:highlight w:val="none"/>
              </w:rPr>
              <w:t>2)必须配备车牌号自动录入摄像系统；</w:t>
            </w:r>
            <w:r>
              <w:rPr>
                <w:rFonts w:hint="eastAsia" w:ascii="宋体"/>
                <w:color w:val="auto"/>
                <w:kern w:val="0"/>
                <w:sz w:val="24"/>
                <w:highlight w:val="none"/>
              </w:rPr>
              <w:br w:type="textWrapping"/>
            </w:r>
            <w:r>
              <w:rPr>
                <w:rFonts w:hint="eastAsia" w:ascii="宋体" w:hAnsi="宋体"/>
                <w:color w:val="auto"/>
                <w:kern w:val="0"/>
                <w:sz w:val="24"/>
                <w:highlight w:val="none"/>
              </w:rPr>
              <w:t>3)必须配备手持操作键盘，双向通讯；</w:t>
            </w:r>
            <w:r>
              <w:rPr>
                <w:rFonts w:hint="eastAsia" w:ascii="宋体"/>
                <w:color w:val="auto"/>
                <w:kern w:val="0"/>
                <w:sz w:val="24"/>
                <w:highlight w:val="none"/>
              </w:rPr>
              <w:br w:type="textWrapping"/>
            </w:r>
            <w:r>
              <w:rPr>
                <w:rFonts w:hint="eastAsia" w:ascii="宋体" w:hAnsi="宋体"/>
                <w:color w:val="auto"/>
                <w:kern w:val="0"/>
                <w:sz w:val="24"/>
                <w:highlight w:val="none"/>
              </w:rPr>
              <w:t>4)必须配备LED点阵显示屏，用来显示车辆信息、即时的检定状态与结果，增强检定信息的透明度，显示屏幕尺寸不得小于:700*300mm。</w:t>
            </w:r>
            <w:r>
              <w:rPr>
                <w:rFonts w:hint="eastAsia" w:ascii="宋体"/>
                <w:color w:val="auto"/>
                <w:kern w:val="0"/>
                <w:sz w:val="24"/>
                <w:highlight w:val="none"/>
              </w:rPr>
              <w:br w:type="textWrapping"/>
            </w:r>
            <w:r>
              <w:rPr>
                <w:rFonts w:hint="eastAsia" w:ascii="宋体" w:hAnsi="宋体"/>
                <w:color w:val="auto"/>
                <w:kern w:val="0"/>
                <w:sz w:val="24"/>
                <w:highlight w:val="none"/>
              </w:rPr>
              <w:t>4.软件部分技术要求</w:t>
            </w:r>
            <w:r>
              <w:rPr>
                <w:rFonts w:hint="eastAsia" w:ascii="宋体"/>
                <w:color w:val="auto"/>
                <w:kern w:val="0"/>
                <w:sz w:val="24"/>
                <w:highlight w:val="none"/>
              </w:rPr>
              <w:br w:type="textWrapping"/>
            </w:r>
            <w:r>
              <w:rPr>
                <w:rFonts w:hint="eastAsia" w:ascii="宋体" w:hAnsi="宋体"/>
                <w:color w:val="auto"/>
                <w:kern w:val="0"/>
                <w:sz w:val="24"/>
                <w:highlight w:val="none"/>
              </w:rPr>
              <w:t>1)软件必须有整车检定、本机检定、收费、查询、统计、管理等系统功能；</w:t>
            </w:r>
            <w:r>
              <w:rPr>
                <w:rFonts w:hint="eastAsia" w:ascii="宋体"/>
                <w:color w:val="auto"/>
                <w:kern w:val="0"/>
                <w:sz w:val="24"/>
                <w:highlight w:val="none"/>
              </w:rPr>
              <w:br w:type="textWrapping"/>
            </w:r>
            <w:r>
              <w:rPr>
                <w:rFonts w:hint="eastAsia" w:ascii="宋体" w:hAnsi="宋体"/>
                <w:color w:val="auto"/>
                <w:kern w:val="0"/>
                <w:sz w:val="24"/>
                <w:highlight w:val="none"/>
              </w:rPr>
              <w:t>2)可自动生成原始记录、检定证书，文档可编辑，对检定结果和修正系数等进行系统分析，能自动进行数据处理、判断检测结果、交换数据、具备打印机，可打印检定证书和使用误差记录报表；</w:t>
            </w:r>
            <w:r>
              <w:rPr>
                <w:rFonts w:hint="eastAsia" w:ascii="宋体"/>
                <w:color w:val="auto"/>
                <w:kern w:val="0"/>
                <w:sz w:val="24"/>
                <w:highlight w:val="none"/>
              </w:rPr>
              <w:br w:type="textWrapping"/>
            </w:r>
            <w:r>
              <w:rPr>
                <w:rFonts w:hint="eastAsia" w:ascii="宋体" w:hAnsi="宋体"/>
                <w:color w:val="auto"/>
                <w:kern w:val="0"/>
                <w:sz w:val="24"/>
                <w:highlight w:val="none"/>
              </w:rPr>
              <w:t>3)可以在线检测和脱机检测功能，并能把脱机检测数据保存到微机。</w:t>
            </w:r>
          </w:p>
          <w:p w14:paraId="6C10038E">
            <w:pPr>
              <w:spacing w:line="300" w:lineRule="exact"/>
              <w:jc w:val="left"/>
              <w:rPr>
                <w:color w:val="auto"/>
                <w:sz w:val="24"/>
                <w:highlight w:val="none"/>
              </w:rPr>
            </w:pPr>
            <w:r>
              <w:rPr>
                <w:rFonts w:ascii="宋体" w:hAnsi="宋体"/>
                <w:b/>
                <w:bCs/>
                <w:color w:val="auto"/>
                <w:sz w:val="24"/>
                <w:highlight w:val="none"/>
              </w:rPr>
              <w:t>二、本机检定仪基本参数</w:t>
            </w:r>
            <w:r>
              <w:rPr>
                <w:rFonts w:ascii="宋体" w:hAnsi="宋体"/>
                <w:color w:val="auto"/>
                <w:sz w:val="24"/>
                <w:highlight w:val="none"/>
              </w:rPr>
              <w:t>：</w:t>
            </w:r>
          </w:p>
          <w:p w14:paraId="4F136664">
            <w:pPr>
              <w:tabs>
                <w:tab w:val="center" w:pos="4153"/>
                <w:tab w:val="right" w:pos="8306"/>
              </w:tabs>
              <w:snapToGrid w:val="0"/>
              <w:jc w:val="left"/>
              <w:rPr>
                <w:rFonts w:ascii="宋体"/>
                <w:color w:val="auto"/>
                <w:sz w:val="24"/>
                <w:highlight w:val="none"/>
              </w:rPr>
            </w:pPr>
            <w:r>
              <w:rPr>
                <w:rFonts w:hint="eastAsia" w:ascii="宋体" w:hAnsi="宋体"/>
                <w:color w:val="auto"/>
                <w:sz w:val="24"/>
                <w:highlight w:val="none"/>
              </w:rPr>
              <w:t>1.转速(输出频率) 范围：20~3000r/min分辨率：0.1rpm(≥1000rpm)</w:t>
            </w:r>
          </w:p>
          <w:p w14:paraId="38016A23">
            <w:pPr>
              <w:tabs>
                <w:tab w:val="center" w:pos="4153"/>
                <w:tab w:val="right" w:pos="8306"/>
              </w:tabs>
              <w:snapToGrid w:val="0"/>
              <w:jc w:val="left"/>
              <w:rPr>
                <w:rFonts w:ascii="宋体"/>
                <w:color w:val="auto"/>
                <w:sz w:val="24"/>
                <w:highlight w:val="none"/>
              </w:rPr>
            </w:pPr>
            <w:r>
              <w:rPr>
                <w:rFonts w:hint="eastAsia" w:ascii="宋体" w:hAnsi="宋体"/>
                <w:color w:val="auto"/>
                <w:sz w:val="24"/>
                <w:highlight w:val="none"/>
              </w:rPr>
              <w:t>0.01rpm (100至1000rpm)   0.001 rpm (小于100rpm)测量准确度：±0.1%；</w:t>
            </w:r>
          </w:p>
          <w:p w14:paraId="06C37295">
            <w:pPr>
              <w:tabs>
                <w:tab w:val="center" w:pos="4153"/>
                <w:tab w:val="right" w:pos="8306"/>
              </w:tabs>
              <w:snapToGrid w:val="0"/>
              <w:jc w:val="left"/>
              <w:rPr>
                <w:rFonts w:ascii="宋体"/>
                <w:color w:val="auto"/>
                <w:sz w:val="24"/>
                <w:highlight w:val="none"/>
              </w:rPr>
            </w:pPr>
            <w:r>
              <w:rPr>
                <w:rFonts w:hint="eastAsia" w:ascii="宋体" w:hAnsi="宋体"/>
                <w:color w:val="auto"/>
                <w:sz w:val="24"/>
                <w:highlight w:val="none"/>
              </w:rPr>
              <w:t>2.转数：范围：0~99999.9r分辨率：0.1 r测量准确度：±（读数*0.1%）±0.1 r；</w:t>
            </w:r>
          </w:p>
          <w:p w14:paraId="22E628A8">
            <w:pPr>
              <w:tabs>
                <w:tab w:val="center" w:pos="4153"/>
                <w:tab w:val="right" w:pos="8306"/>
              </w:tabs>
              <w:snapToGrid w:val="0"/>
              <w:jc w:val="left"/>
              <w:rPr>
                <w:rFonts w:ascii="宋体"/>
                <w:color w:val="auto"/>
                <w:sz w:val="24"/>
                <w:highlight w:val="none"/>
              </w:rPr>
            </w:pPr>
            <w:r>
              <w:rPr>
                <w:rFonts w:hint="eastAsia" w:ascii="宋体" w:hAnsi="宋体"/>
                <w:color w:val="auto"/>
                <w:sz w:val="24"/>
                <w:highlight w:val="none"/>
              </w:rPr>
              <w:t>3.计数（脉冲）范围：0~999999  脉冲</w:t>
            </w:r>
          </w:p>
          <w:p w14:paraId="5B967695">
            <w:pPr>
              <w:tabs>
                <w:tab w:val="center" w:pos="4153"/>
                <w:tab w:val="right" w:pos="8306"/>
              </w:tabs>
              <w:snapToGrid w:val="0"/>
              <w:jc w:val="left"/>
              <w:rPr>
                <w:rFonts w:ascii="宋体"/>
                <w:color w:val="auto"/>
                <w:sz w:val="24"/>
                <w:highlight w:val="none"/>
              </w:rPr>
            </w:pPr>
            <w:r>
              <w:rPr>
                <w:rFonts w:hint="eastAsia" w:ascii="宋体" w:hAnsi="宋体"/>
                <w:color w:val="auto"/>
                <w:sz w:val="24"/>
                <w:highlight w:val="none"/>
              </w:rPr>
              <w:t>分辨率：1脉冲  测量准确度：±1脉冲；</w:t>
            </w:r>
          </w:p>
          <w:p w14:paraId="1ADED31E">
            <w:pPr>
              <w:tabs>
                <w:tab w:val="center" w:pos="4153"/>
                <w:tab w:val="right" w:pos="8306"/>
              </w:tabs>
              <w:snapToGrid w:val="0"/>
              <w:jc w:val="left"/>
              <w:rPr>
                <w:rFonts w:ascii="宋体"/>
                <w:color w:val="auto"/>
                <w:sz w:val="24"/>
                <w:highlight w:val="none"/>
              </w:rPr>
            </w:pPr>
            <w:r>
              <w:rPr>
                <w:rFonts w:hint="eastAsia" w:ascii="宋体" w:hAnsi="宋体"/>
                <w:color w:val="auto"/>
                <w:sz w:val="24"/>
                <w:highlight w:val="none"/>
              </w:rPr>
              <w:t>4.计时：范围：0.04s~100h分辨率：0.01s测量准确度：±20ppm±0.01s；</w:t>
            </w:r>
          </w:p>
          <w:p w14:paraId="52F5BB41">
            <w:pPr>
              <w:tabs>
                <w:tab w:val="center" w:pos="4153"/>
                <w:tab w:val="right" w:pos="8306"/>
              </w:tabs>
              <w:snapToGrid w:val="0"/>
              <w:jc w:val="left"/>
              <w:rPr>
                <w:rFonts w:ascii="宋体"/>
                <w:color w:val="auto"/>
                <w:sz w:val="24"/>
                <w:highlight w:val="none"/>
              </w:rPr>
            </w:pPr>
            <w:r>
              <w:rPr>
                <w:rFonts w:hint="eastAsia" w:ascii="宋体" w:hAnsi="宋体"/>
                <w:color w:val="auto"/>
                <w:sz w:val="24"/>
                <w:highlight w:val="none"/>
              </w:rPr>
              <w:t>5.车速(K值=1000)：范围：1.2~180km/h</w:t>
            </w:r>
          </w:p>
          <w:p w14:paraId="0003B440">
            <w:pPr>
              <w:tabs>
                <w:tab w:val="center" w:pos="4153"/>
                <w:tab w:val="right" w:pos="8306"/>
              </w:tabs>
              <w:snapToGrid w:val="0"/>
              <w:jc w:val="left"/>
              <w:rPr>
                <w:rFonts w:ascii="宋体"/>
                <w:color w:val="auto"/>
                <w:sz w:val="24"/>
                <w:highlight w:val="none"/>
              </w:rPr>
            </w:pPr>
            <w:r>
              <w:rPr>
                <w:rFonts w:hint="eastAsia" w:ascii="宋体" w:hAnsi="宋体"/>
                <w:color w:val="auto"/>
                <w:sz w:val="24"/>
                <w:highlight w:val="none"/>
              </w:rPr>
              <w:t>分辨率：0.01km测量准确度：±0.1%±0.01km；</w:t>
            </w:r>
          </w:p>
          <w:p w14:paraId="489E42F5">
            <w:pPr>
              <w:tabs>
                <w:tab w:val="center" w:pos="4153"/>
                <w:tab w:val="right" w:pos="8306"/>
              </w:tabs>
              <w:snapToGrid w:val="0"/>
              <w:jc w:val="left"/>
              <w:rPr>
                <w:rFonts w:ascii="宋体"/>
                <w:color w:val="auto"/>
                <w:sz w:val="24"/>
                <w:highlight w:val="none"/>
              </w:rPr>
            </w:pPr>
            <w:r>
              <w:rPr>
                <w:rFonts w:hint="eastAsia" w:ascii="宋体" w:hAnsi="宋体"/>
                <w:color w:val="auto"/>
                <w:sz w:val="24"/>
                <w:highlight w:val="none"/>
              </w:rPr>
              <w:t>6.频率测量：范围：(1~50) Hz</w:t>
            </w:r>
          </w:p>
          <w:p w14:paraId="681B53F1">
            <w:pPr>
              <w:widowControl/>
              <w:jc w:val="left"/>
              <w:textAlignment w:val="center"/>
              <w:rPr>
                <w:rFonts w:ascii="宋体" w:cs="宋体"/>
                <w:color w:val="auto"/>
                <w:kern w:val="0"/>
                <w:sz w:val="24"/>
                <w:highlight w:val="none"/>
              </w:rPr>
            </w:pPr>
            <w:r>
              <w:rPr>
                <w:rFonts w:hint="eastAsia" w:ascii="宋体" w:hAnsi="宋体"/>
                <w:color w:val="auto"/>
                <w:sz w:val="24"/>
                <w:highlight w:val="none"/>
              </w:rPr>
              <w:t>分辨率：0.0001 Hz测量准确度：±(读数*2%)±1 Hz；</w:t>
            </w:r>
          </w:p>
        </w:tc>
        <w:tc>
          <w:tcPr>
            <w:tcW w:w="5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B2400">
            <w:pPr>
              <w:widowControl/>
              <w:jc w:val="center"/>
              <w:textAlignment w:val="center"/>
              <w:rPr>
                <w:rFonts w:ascii="宋体" w:cs="宋体"/>
                <w:color w:val="auto"/>
                <w:kern w:val="0"/>
                <w:sz w:val="24"/>
                <w:highlight w:val="none"/>
              </w:rPr>
            </w:pPr>
            <w:r>
              <w:rPr>
                <w:rFonts w:hint="eastAsia" w:ascii="宋体" w:cs="宋体"/>
                <w:color w:val="auto"/>
                <w:kern w:val="0"/>
                <w:sz w:val="24"/>
                <w:highlight w:val="none"/>
              </w:rPr>
              <w:t>1</w:t>
            </w:r>
          </w:p>
        </w:tc>
      </w:tr>
      <w:tr w14:paraId="30790858">
        <w:trPr>
          <w:trHeight w:val="1519" w:hRule="atLeast"/>
          <w:jc w:val="center"/>
        </w:trPr>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B4F82">
            <w:pPr>
              <w:widowControl/>
              <w:jc w:val="center"/>
              <w:textAlignment w:val="center"/>
              <w:rPr>
                <w:color w:val="auto"/>
                <w:sz w:val="24"/>
                <w:highlight w:val="none"/>
              </w:rPr>
            </w:pPr>
            <w:r>
              <w:rPr>
                <w:rFonts w:hint="eastAsia" w:ascii="宋体" w:cs="宋体"/>
                <w:color w:val="auto"/>
                <w:kern w:val="0"/>
                <w:sz w:val="24"/>
                <w:highlight w:val="none"/>
              </w:rPr>
              <w:t>3</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250C8">
            <w:pPr>
              <w:widowControl/>
              <w:jc w:val="center"/>
              <w:textAlignment w:val="center"/>
              <w:rPr>
                <w:rFonts w:ascii="宋体" w:cs="宋体"/>
                <w:color w:val="auto"/>
                <w:kern w:val="0"/>
                <w:sz w:val="24"/>
                <w:highlight w:val="none"/>
              </w:rPr>
            </w:pPr>
            <w:r>
              <w:rPr>
                <w:rFonts w:hint="eastAsia" w:ascii="宋体" w:cs="宋体"/>
                <w:color w:val="auto"/>
                <w:kern w:val="0"/>
                <w:sz w:val="24"/>
                <w:highlight w:val="none"/>
              </w:rPr>
              <w:t>全自动压力综合控制台</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1AE50">
            <w:pPr>
              <w:widowControl/>
              <w:jc w:val="left"/>
              <w:textAlignment w:val="center"/>
              <w:rPr>
                <w:rFonts w:ascii="宋体"/>
                <w:color w:val="auto"/>
                <w:kern w:val="0"/>
                <w:sz w:val="24"/>
                <w:highlight w:val="none"/>
              </w:rPr>
            </w:pPr>
            <w:r>
              <w:rPr>
                <w:rFonts w:hint="eastAsia" w:ascii="宋体" w:hAnsi="宋体"/>
                <w:color w:val="auto"/>
                <w:kern w:val="0"/>
                <w:sz w:val="24"/>
                <w:highlight w:val="none"/>
              </w:rPr>
              <w:t>一体化设计，钢架结构，表面喷塑处理，防划理化台面。压力发生、控制及测量单元置于台体内部，10寸彩色触摸屏，双路电测功能，外形美观大方</w:t>
            </w:r>
            <w:r>
              <w:rPr>
                <w:rFonts w:hint="eastAsia" w:ascii="宋体"/>
                <w:color w:val="auto"/>
                <w:kern w:val="0"/>
                <w:sz w:val="24"/>
                <w:highlight w:val="none"/>
              </w:rPr>
              <w:br w:type="textWrapping"/>
            </w:r>
            <w:r>
              <w:rPr>
                <w:rFonts w:hint="eastAsia" w:ascii="宋体" w:hAnsi="宋体"/>
                <w:color w:val="auto"/>
                <w:kern w:val="0"/>
                <w:sz w:val="24"/>
                <w:highlight w:val="none"/>
              </w:rPr>
              <w:t xml:space="preserve">压力发生范围：（-0.095～60）MPa </w:t>
            </w:r>
            <w:r>
              <w:rPr>
                <w:rFonts w:hint="eastAsia" w:ascii="宋体"/>
                <w:color w:val="auto"/>
                <w:kern w:val="0"/>
                <w:sz w:val="24"/>
                <w:highlight w:val="none"/>
              </w:rPr>
              <w:br w:type="textWrapping"/>
            </w:r>
            <w:r>
              <w:rPr>
                <w:rFonts w:hint="eastAsia" w:ascii="宋体" w:hAnsi="宋体"/>
                <w:color w:val="auto"/>
                <w:kern w:val="0"/>
                <w:sz w:val="24"/>
                <w:highlight w:val="none"/>
              </w:rPr>
              <w:t>微压(-95～700)kPa，气压(0～7)MPa，液压(1～60)MPa；</w:t>
            </w:r>
            <w:r>
              <w:rPr>
                <w:rFonts w:hint="eastAsia" w:ascii="宋体"/>
                <w:color w:val="auto"/>
                <w:kern w:val="0"/>
                <w:sz w:val="24"/>
                <w:highlight w:val="none"/>
              </w:rPr>
              <w:br w:type="textWrapping"/>
            </w:r>
            <w:r>
              <w:rPr>
                <w:rFonts w:hint="eastAsia" w:ascii="宋体" w:hAnsi="宋体"/>
                <w:color w:val="auto"/>
                <w:kern w:val="0"/>
                <w:sz w:val="24"/>
                <w:highlight w:val="none"/>
              </w:rPr>
              <w:t>等级：不低于0.05级；</w:t>
            </w:r>
            <w:r>
              <w:rPr>
                <w:rFonts w:hint="eastAsia" w:ascii="宋体"/>
                <w:color w:val="auto"/>
                <w:kern w:val="0"/>
                <w:sz w:val="24"/>
                <w:highlight w:val="none"/>
              </w:rPr>
              <w:br w:type="textWrapping"/>
            </w:r>
            <w:r>
              <w:rPr>
                <w:rFonts w:hint="eastAsia" w:ascii="宋体" w:hAnsi="宋体"/>
                <w:color w:val="auto"/>
                <w:kern w:val="0"/>
                <w:sz w:val="24"/>
                <w:highlight w:val="none"/>
              </w:rPr>
              <w:t>升降压逐点逼近不大于0.003%FS；</w:t>
            </w:r>
            <w:r>
              <w:rPr>
                <w:rFonts w:hint="eastAsia" w:ascii="宋体"/>
                <w:color w:val="auto"/>
                <w:kern w:val="0"/>
                <w:sz w:val="24"/>
                <w:highlight w:val="none"/>
              </w:rPr>
              <w:br w:type="textWrapping"/>
            </w:r>
            <w:r>
              <w:rPr>
                <w:rFonts w:hint="eastAsia" w:ascii="宋体" w:hAnsi="宋体"/>
                <w:color w:val="auto"/>
                <w:kern w:val="0"/>
                <w:sz w:val="24"/>
                <w:highlight w:val="none"/>
              </w:rPr>
              <w:t>控压稳定时间：≤30S/点；</w:t>
            </w:r>
          </w:p>
          <w:p w14:paraId="425D5993">
            <w:pPr>
              <w:widowControl/>
              <w:jc w:val="left"/>
              <w:textAlignment w:val="center"/>
              <w:rPr>
                <w:rFonts w:ascii="宋体"/>
                <w:color w:val="auto"/>
                <w:kern w:val="0"/>
                <w:sz w:val="24"/>
                <w:highlight w:val="none"/>
              </w:rPr>
            </w:pPr>
            <w:r>
              <w:rPr>
                <w:rFonts w:hint="eastAsia" w:ascii="宋体" w:hAnsi="宋体"/>
                <w:color w:val="auto"/>
                <w:kern w:val="0"/>
                <w:sz w:val="24"/>
                <w:highlight w:val="none"/>
              </w:rPr>
              <w:t>控制响应时间：≤30S；</w:t>
            </w:r>
          </w:p>
          <w:p w14:paraId="7053961F">
            <w:pPr>
              <w:widowControl/>
              <w:jc w:val="left"/>
              <w:textAlignment w:val="center"/>
              <w:rPr>
                <w:rFonts w:ascii="宋体"/>
                <w:color w:val="auto"/>
                <w:kern w:val="0"/>
                <w:sz w:val="24"/>
                <w:highlight w:val="none"/>
              </w:rPr>
            </w:pPr>
            <w:r>
              <w:rPr>
                <w:rFonts w:hint="eastAsia" w:ascii="宋体" w:hAnsi="宋体"/>
                <w:color w:val="auto"/>
                <w:kern w:val="0"/>
                <w:sz w:val="24"/>
                <w:highlight w:val="none"/>
              </w:rPr>
              <w:t>目标压力稳定持续时间：大于5分钟；</w:t>
            </w:r>
            <w:r>
              <w:rPr>
                <w:rFonts w:hint="eastAsia" w:ascii="宋体"/>
                <w:color w:val="auto"/>
                <w:kern w:val="0"/>
                <w:sz w:val="24"/>
                <w:highlight w:val="none"/>
              </w:rPr>
              <w:br w:type="textWrapping"/>
            </w:r>
            <w:r>
              <w:rPr>
                <w:rFonts w:hint="eastAsia" w:ascii="宋体" w:hAnsi="宋体"/>
                <w:color w:val="auto"/>
                <w:kern w:val="0"/>
                <w:sz w:val="24"/>
                <w:highlight w:val="none"/>
              </w:rPr>
              <w:t>控压模式分为：手动或全自动</w:t>
            </w:r>
          </w:p>
          <w:p w14:paraId="791B42A7">
            <w:pPr>
              <w:widowControl/>
              <w:jc w:val="left"/>
              <w:textAlignment w:val="center"/>
              <w:rPr>
                <w:rFonts w:ascii="宋体"/>
                <w:color w:val="auto"/>
                <w:kern w:val="0"/>
                <w:sz w:val="24"/>
                <w:highlight w:val="none"/>
              </w:rPr>
            </w:pPr>
            <w:r>
              <w:rPr>
                <w:rFonts w:hint="eastAsia" w:ascii="宋体" w:hAnsi="宋体"/>
                <w:color w:val="auto"/>
                <w:kern w:val="0"/>
                <w:sz w:val="24"/>
                <w:highlight w:val="none"/>
              </w:rPr>
              <w:t>电测指标：</w:t>
            </w:r>
          </w:p>
          <w:p w14:paraId="3597B837">
            <w:pPr>
              <w:widowControl/>
              <w:jc w:val="left"/>
              <w:textAlignment w:val="center"/>
              <w:rPr>
                <w:rFonts w:ascii="宋体"/>
                <w:color w:val="auto"/>
                <w:kern w:val="0"/>
                <w:sz w:val="24"/>
                <w:highlight w:val="none"/>
              </w:rPr>
            </w:pPr>
            <w:r>
              <w:rPr>
                <w:rFonts w:hint="eastAsia" w:ascii="宋体" w:hAnsi="宋体"/>
                <w:color w:val="auto"/>
                <w:kern w:val="0"/>
                <w:sz w:val="24"/>
                <w:highlight w:val="none"/>
              </w:rPr>
              <w:t>电流指标（-30.0000</w:t>
            </w:r>
            <w:r>
              <w:rPr>
                <w:rFonts w:hint="eastAsia" w:ascii="仿宋" w:hAnsi="仿宋" w:eastAsia="仿宋"/>
                <w:color w:val="auto"/>
                <w:kern w:val="0"/>
                <w:sz w:val="24"/>
                <w:highlight w:val="none"/>
              </w:rPr>
              <w:t>～</w:t>
            </w:r>
            <w:r>
              <w:rPr>
                <w:rFonts w:hint="eastAsia" w:ascii="宋体" w:hAnsi="宋体"/>
                <w:color w:val="auto"/>
                <w:kern w:val="0"/>
                <w:sz w:val="24"/>
                <w:highlight w:val="none"/>
              </w:rPr>
              <w:t>30.0000）mA；最大允许误差：±（0.01%RD+0.005%FS）；</w:t>
            </w:r>
          </w:p>
          <w:p w14:paraId="2FAB6F92">
            <w:pPr>
              <w:widowControl/>
              <w:jc w:val="left"/>
              <w:textAlignment w:val="center"/>
              <w:rPr>
                <w:rFonts w:ascii="宋体"/>
                <w:color w:val="auto"/>
                <w:kern w:val="0"/>
                <w:sz w:val="24"/>
                <w:highlight w:val="none"/>
              </w:rPr>
            </w:pPr>
            <w:r>
              <w:rPr>
                <w:rFonts w:hint="eastAsia" w:ascii="宋体" w:hAnsi="宋体"/>
                <w:color w:val="auto"/>
                <w:kern w:val="0"/>
                <w:sz w:val="24"/>
                <w:highlight w:val="none"/>
              </w:rPr>
              <w:t>电压指标（-30.0000</w:t>
            </w:r>
            <w:r>
              <w:rPr>
                <w:rFonts w:hint="eastAsia" w:ascii="仿宋" w:hAnsi="仿宋" w:eastAsia="仿宋"/>
                <w:color w:val="auto"/>
                <w:kern w:val="0"/>
                <w:sz w:val="24"/>
                <w:highlight w:val="none"/>
              </w:rPr>
              <w:t>～</w:t>
            </w:r>
            <w:r>
              <w:rPr>
                <w:rFonts w:hint="eastAsia" w:ascii="宋体" w:hAnsi="宋体"/>
                <w:color w:val="auto"/>
                <w:kern w:val="0"/>
                <w:sz w:val="24"/>
                <w:highlight w:val="none"/>
              </w:rPr>
              <w:t>30.0000）V； 最大允许误差：±（0.01%RD+0.005%FS）；</w:t>
            </w:r>
          </w:p>
          <w:p w14:paraId="43A7493D">
            <w:pPr>
              <w:widowControl/>
              <w:jc w:val="left"/>
              <w:textAlignment w:val="center"/>
              <w:rPr>
                <w:rFonts w:ascii="宋体"/>
                <w:color w:val="auto"/>
                <w:kern w:val="0"/>
                <w:sz w:val="24"/>
                <w:highlight w:val="none"/>
              </w:rPr>
            </w:pPr>
            <w:r>
              <w:rPr>
                <w:rFonts w:hint="eastAsia" w:ascii="宋体" w:hAnsi="宋体"/>
                <w:color w:val="auto"/>
                <w:kern w:val="0"/>
                <w:sz w:val="24"/>
                <w:highlight w:val="none"/>
              </w:rPr>
              <w:t>毫</w:t>
            </w:r>
            <w:r>
              <w:rPr>
                <w:rFonts w:hint="eastAsia" w:ascii="宋体"/>
                <w:color w:val="auto"/>
                <w:kern w:val="0"/>
                <w:sz w:val="24"/>
                <w:highlight w:val="none"/>
              </w:rPr>
              <w:t xml:space="preserve">    </w:t>
            </w:r>
            <w:r>
              <w:rPr>
                <w:rFonts w:hint="eastAsia" w:ascii="宋体" w:hAnsi="宋体"/>
                <w:color w:val="auto"/>
                <w:kern w:val="0"/>
                <w:sz w:val="24"/>
                <w:highlight w:val="none"/>
              </w:rPr>
              <w:t>伏（-300.000</w:t>
            </w:r>
            <w:r>
              <w:rPr>
                <w:rFonts w:hint="eastAsia" w:ascii="仿宋" w:hAnsi="仿宋" w:eastAsia="仿宋"/>
                <w:color w:val="auto"/>
                <w:kern w:val="0"/>
                <w:sz w:val="24"/>
                <w:highlight w:val="none"/>
              </w:rPr>
              <w:t>～</w:t>
            </w:r>
            <w:r>
              <w:rPr>
                <w:rFonts w:hint="eastAsia" w:ascii="宋体" w:hAnsi="宋体"/>
                <w:color w:val="auto"/>
                <w:kern w:val="0"/>
                <w:sz w:val="24"/>
                <w:highlight w:val="none"/>
              </w:rPr>
              <w:t>300.000）mV；最大允许误差：±（0.01%RD+0.005%FS）；</w:t>
            </w:r>
          </w:p>
          <w:p w14:paraId="6AFC7099">
            <w:pPr>
              <w:widowControl/>
              <w:jc w:val="left"/>
              <w:textAlignment w:val="center"/>
              <w:rPr>
                <w:rFonts w:ascii="宋体"/>
                <w:color w:val="auto"/>
                <w:kern w:val="0"/>
                <w:sz w:val="24"/>
                <w:highlight w:val="none"/>
              </w:rPr>
            </w:pPr>
            <w:r>
              <w:rPr>
                <w:rFonts w:hint="eastAsia" w:ascii="宋体" w:hAnsi="宋体"/>
                <w:color w:val="auto"/>
                <w:kern w:val="0"/>
                <w:sz w:val="24"/>
                <w:highlight w:val="none"/>
              </w:rPr>
              <w:t>开关（通断）若开关带巡检电压，电压范围为DC（3.0～24.0）V</w:t>
            </w:r>
          </w:p>
          <w:p w14:paraId="6816865E">
            <w:pPr>
              <w:widowControl/>
              <w:jc w:val="left"/>
              <w:textAlignment w:val="center"/>
              <w:rPr>
                <w:rFonts w:ascii="宋体"/>
                <w:color w:val="auto"/>
                <w:kern w:val="0"/>
                <w:sz w:val="24"/>
                <w:highlight w:val="none"/>
              </w:rPr>
            </w:pPr>
            <w:r>
              <w:rPr>
                <w:rFonts w:hint="eastAsia" w:ascii="宋体" w:hAnsi="宋体"/>
                <w:color w:val="auto"/>
                <w:kern w:val="0"/>
                <w:sz w:val="24"/>
                <w:highlight w:val="none"/>
              </w:rPr>
              <w:t>DC24V输出：最大带载能力不小于50 mA；</w:t>
            </w:r>
            <w:r>
              <w:rPr>
                <w:rFonts w:hint="eastAsia" w:ascii="宋体"/>
                <w:color w:val="auto"/>
                <w:kern w:val="0"/>
                <w:sz w:val="24"/>
                <w:highlight w:val="none"/>
              </w:rPr>
              <w:br w:type="textWrapping"/>
            </w:r>
            <w:r>
              <w:rPr>
                <w:rFonts w:hint="eastAsia" w:ascii="宋体" w:hAnsi="宋体"/>
                <w:color w:val="auto"/>
                <w:kern w:val="0"/>
                <w:sz w:val="24"/>
                <w:highlight w:val="none"/>
              </w:rPr>
              <w:t>压力调节精度：1kPa</w:t>
            </w:r>
            <w:r>
              <w:rPr>
                <w:rFonts w:hint="eastAsia" w:ascii="宋体"/>
                <w:color w:val="auto"/>
                <w:kern w:val="0"/>
                <w:sz w:val="24"/>
                <w:highlight w:val="none"/>
              </w:rPr>
              <w:br w:type="textWrapping"/>
            </w:r>
            <w:r>
              <w:rPr>
                <w:rFonts w:hint="eastAsia" w:ascii="宋体" w:hAnsi="宋体"/>
                <w:color w:val="auto"/>
                <w:kern w:val="0"/>
                <w:sz w:val="24"/>
                <w:highlight w:val="none"/>
              </w:rPr>
              <w:t>液压系统介质：变压器油或纯净水</w:t>
            </w:r>
          </w:p>
          <w:p w14:paraId="2E88AEF1">
            <w:pPr>
              <w:widowControl/>
              <w:jc w:val="left"/>
              <w:textAlignment w:val="center"/>
              <w:rPr>
                <w:rFonts w:ascii="宋体"/>
                <w:color w:val="auto"/>
                <w:kern w:val="0"/>
                <w:sz w:val="24"/>
                <w:highlight w:val="none"/>
              </w:rPr>
            </w:pPr>
            <w:r>
              <w:rPr>
                <w:rFonts w:hint="eastAsia" w:ascii="宋体" w:hAnsi="宋体"/>
                <w:color w:val="auto"/>
                <w:kern w:val="0"/>
                <w:sz w:val="24"/>
                <w:highlight w:val="none"/>
              </w:rPr>
              <w:t>气压系统介质：空气</w:t>
            </w:r>
            <w:r>
              <w:rPr>
                <w:rFonts w:hint="eastAsia" w:ascii="宋体"/>
                <w:color w:val="auto"/>
                <w:kern w:val="0"/>
                <w:sz w:val="24"/>
                <w:highlight w:val="none"/>
              </w:rPr>
              <w:br w:type="textWrapping"/>
            </w:r>
            <w:r>
              <w:rPr>
                <w:rFonts w:hint="eastAsia" w:ascii="宋体" w:hAnsi="宋体"/>
                <w:color w:val="auto"/>
                <w:kern w:val="0"/>
                <w:sz w:val="24"/>
                <w:highlight w:val="none"/>
              </w:rPr>
              <w:t>压力模块校验仪：(-100～0)kPa、(0～250)kPa、(0～600)kPa、(0～1.6)MPa、(0～4)MPa、(0～10)MPa、(0～25)MPa、(0～60)MPa，等级：不低于0.05级，具有型式批准证书</w:t>
            </w:r>
            <w:r>
              <w:rPr>
                <w:rFonts w:hint="eastAsia" w:ascii="宋体"/>
                <w:color w:val="auto"/>
                <w:kern w:val="0"/>
                <w:sz w:val="24"/>
                <w:highlight w:val="none"/>
              </w:rPr>
              <w:br w:type="textWrapping"/>
            </w:r>
            <w:r>
              <w:rPr>
                <w:rFonts w:hint="eastAsia" w:ascii="宋体" w:hAnsi="宋体"/>
                <w:color w:val="auto"/>
                <w:kern w:val="0"/>
                <w:sz w:val="24"/>
                <w:highlight w:val="none"/>
              </w:rPr>
              <w:t>设备控制系统为i7，屏幕不小于27英寸，固态硬盘不小于1TB，运行内存不小于16G，鼠标、键盘等，含打印机，具有打印复印扫描功能。</w:t>
            </w:r>
          </w:p>
          <w:p w14:paraId="2B340290">
            <w:pPr>
              <w:widowControl/>
              <w:jc w:val="left"/>
              <w:textAlignment w:val="center"/>
              <w:rPr>
                <w:rFonts w:ascii="宋体"/>
                <w:color w:val="auto"/>
                <w:kern w:val="0"/>
                <w:sz w:val="24"/>
                <w:highlight w:val="none"/>
              </w:rPr>
            </w:pPr>
            <w:r>
              <w:rPr>
                <w:rFonts w:hint="eastAsia" w:ascii="宋体" w:hAnsi="宋体"/>
                <w:color w:val="auto"/>
                <w:kern w:val="0"/>
                <w:sz w:val="24"/>
                <w:highlight w:val="none"/>
              </w:rPr>
              <w:t>符合最新国家检定规程，可检定一般压力表、精密压力表、数字压力表、压力开关、压力传感器、压力变送器等；</w:t>
            </w:r>
          </w:p>
          <w:p w14:paraId="5263711A">
            <w:pPr>
              <w:widowControl/>
              <w:jc w:val="left"/>
              <w:textAlignment w:val="center"/>
              <w:rPr>
                <w:rFonts w:ascii="宋体"/>
                <w:color w:val="auto"/>
                <w:kern w:val="0"/>
                <w:sz w:val="24"/>
                <w:highlight w:val="none"/>
              </w:rPr>
            </w:pPr>
            <w:r>
              <w:rPr>
                <w:rFonts w:hint="eastAsia" w:ascii="宋体" w:hAnsi="宋体"/>
                <w:color w:val="auto"/>
                <w:kern w:val="0"/>
                <w:sz w:val="24"/>
                <w:highlight w:val="none"/>
              </w:rPr>
              <w:t>设备主要由设备机体、全自动压力发生及控制系统、高精度测量系统、标准数字压力模块、计算机和打印机、计量软件及附件等组成；</w:t>
            </w:r>
          </w:p>
          <w:p w14:paraId="3DEC70D9">
            <w:pPr>
              <w:widowControl/>
              <w:jc w:val="left"/>
              <w:textAlignment w:val="center"/>
              <w:rPr>
                <w:rFonts w:ascii="宋体"/>
                <w:color w:val="auto"/>
                <w:kern w:val="0"/>
                <w:sz w:val="24"/>
                <w:highlight w:val="none"/>
              </w:rPr>
            </w:pPr>
            <w:r>
              <w:rPr>
                <w:rFonts w:hint="eastAsia" w:ascii="宋体" w:hAnsi="宋体"/>
                <w:color w:val="auto"/>
                <w:kern w:val="0"/>
                <w:sz w:val="24"/>
                <w:highlight w:val="none"/>
              </w:rPr>
              <w:t>控压方式采用进口高精度控制阀及伺服无极全自动控制模式,快速升降压，瞬间稳定；</w:t>
            </w:r>
          </w:p>
          <w:p w14:paraId="5DC9C2CA">
            <w:pPr>
              <w:widowControl/>
              <w:jc w:val="left"/>
              <w:textAlignment w:val="center"/>
              <w:rPr>
                <w:rFonts w:ascii="宋体"/>
                <w:color w:val="auto"/>
                <w:kern w:val="0"/>
                <w:sz w:val="24"/>
                <w:highlight w:val="none"/>
              </w:rPr>
            </w:pPr>
            <w:r>
              <w:rPr>
                <w:rFonts w:hint="eastAsia" w:ascii="宋体" w:hAnsi="宋体"/>
                <w:color w:val="auto"/>
                <w:kern w:val="0"/>
                <w:sz w:val="24"/>
                <w:highlight w:val="none"/>
              </w:rPr>
              <w:t>上位机软件及下位机触摸屏均可实现自动控制；</w:t>
            </w:r>
          </w:p>
          <w:p w14:paraId="1A41A050">
            <w:pPr>
              <w:widowControl/>
              <w:jc w:val="left"/>
              <w:textAlignment w:val="center"/>
              <w:rPr>
                <w:rFonts w:ascii="宋体"/>
                <w:color w:val="auto"/>
                <w:kern w:val="0"/>
                <w:sz w:val="24"/>
                <w:highlight w:val="none"/>
              </w:rPr>
            </w:pPr>
            <w:r>
              <w:rPr>
                <w:rFonts w:hint="eastAsia" w:ascii="宋体" w:hAnsi="宋体"/>
                <w:color w:val="auto"/>
                <w:kern w:val="0"/>
                <w:sz w:val="24"/>
                <w:highlight w:val="none"/>
              </w:rPr>
              <w:t>具备控压数据、压力曲线的实时显示，数据存储和输出功能；</w:t>
            </w:r>
          </w:p>
          <w:p w14:paraId="6BD930BB">
            <w:pPr>
              <w:widowControl/>
              <w:jc w:val="left"/>
              <w:textAlignment w:val="center"/>
              <w:rPr>
                <w:rFonts w:ascii="宋体"/>
                <w:color w:val="auto"/>
                <w:kern w:val="0"/>
                <w:sz w:val="24"/>
                <w:highlight w:val="none"/>
              </w:rPr>
            </w:pPr>
            <w:r>
              <w:rPr>
                <w:rFonts w:hint="eastAsia" w:ascii="宋体" w:hAnsi="宋体"/>
                <w:color w:val="auto"/>
                <w:kern w:val="0"/>
                <w:sz w:val="24"/>
                <w:highlight w:val="none"/>
              </w:rPr>
              <w:t>可在范围内任意定点设定，实现定点自动控压；</w:t>
            </w:r>
          </w:p>
          <w:p w14:paraId="209A31E7">
            <w:pPr>
              <w:widowControl/>
              <w:jc w:val="left"/>
              <w:textAlignment w:val="center"/>
              <w:rPr>
                <w:rFonts w:ascii="宋体"/>
                <w:color w:val="auto"/>
                <w:kern w:val="0"/>
                <w:sz w:val="24"/>
                <w:highlight w:val="none"/>
              </w:rPr>
            </w:pPr>
            <w:r>
              <w:rPr>
                <w:rFonts w:hint="eastAsia" w:ascii="宋体" w:hAnsi="宋体"/>
                <w:color w:val="auto"/>
                <w:kern w:val="0"/>
                <w:sz w:val="24"/>
                <w:highlight w:val="none"/>
              </w:rPr>
              <w:t>检定点数及次数、单点稳压时间可编辑，系统根据量程自动等分，升降压自动循环，无需人工干预；</w:t>
            </w:r>
          </w:p>
          <w:p w14:paraId="677034D9">
            <w:pPr>
              <w:widowControl/>
              <w:jc w:val="left"/>
              <w:textAlignment w:val="center"/>
              <w:rPr>
                <w:rFonts w:ascii="宋体"/>
                <w:color w:val="auto"/>
                <w:kern w:val="0"/>
                <w:sz w:val="24"/>
                <w:highlight w:val="none"/>
              </w:rPr>
            </w:pPr>
            <w:r>
              <w:rPr>
                <w:rFonts w:hint="eastAsia" w:ascii="宋体" w:hAnsi="宋体"/>
                <w:color w:val="auto"/>
                <w:kern w:val="0"/>
                <w:sz w:val="24"/>
                <w:highlight w:val="none"/>
              </w:rPr>
              <w:t>正反级推进功能，完美实现指针表的反向检定；</w:t>
            </w:r>
          </w:p>
          <w:p w14:paraId="499E7E11">
            <w:pPr>
              <w:widowControl/>
              <w:jc w:val="left"/>
              <w:textAlignment w:val="center"/>
              <w:rPr>
                <w:rFonts w:ascii="宋体"/>
                <w:color w:val="auto"/>
                <w:kern w:val="0"/>
                <w:sz w:val="24"/>
                <w:highlight w:val="none"/>
              </w:rPr>
            </w:pPr>
            <w:r>
              <w:rPr>
                <w:rFonts w:hint="eastAsia" w:ascii="宋体" w:hAnsi="宋体"/>
                <w:color w:val="auto"/>
                <w:kern w:val="0"/>
                <w:sz w:val="24"/>
                <w:highlight w:val="none"/>
              </w:rPr>
              <w:t>升降压曲线及误差曲线实时显示；</w:t>
            </w:r>
          </w:p>
          <w:p w14:paraId="0B70A334">
            <w:pPr>
              <w:widowControl/>
              <w:jc w:val="left"/>
              <w:textAlignment w:val="center"/>
              <w:rPr>
                <w:rFonts w:ascii="宋体"/>
                <w:color w:val="auto"/>
                <w:kern w:val="0"/>
                <w:sz w:val="24"/>
                <w:highlight w:val="none"/>
              </w:rPr>
            </w:pPr>
            <w:r>
              <w:rPr>
                <w:rFonts w:hint="eastAsia" w:ascii="宋体" w:hAnsi="宋体"/>
                <w:color w:val="auto"/>
                <w:kern w:val="0"/>
                <w:sz w:val="24"/>
                <w:highlight w:val="none"/>
              </w:rPr>
              <w:t>图标式管理菜单；中英文操作界面，10寸触摸屏显示；</w:t>
            </w:r>
          </w:p>
          <w:p w14:paraId="48DDB5E9">
            <w:pPr>
              <w:widowControl/>
              <w:jc w:val="left"/>
              <w:textAlignment w:val="center"/>
              <w:rPr>
                <w:rFonts w:ascii="宋体"/>
                <w:color w:val="auto"/>
                <w:kern w:val="0"/>
                <w:sz w:val="24"/>
                <w:highlight w:val="none"/>
              </w:rPr>
            </w:pPr>
            <w:r>
              <w:rPr>
                <w:rFonts w:hint="eastAsia" w:ascii="宋体" w:hAnsi="宋体"/>
                <w:color w:val="auto"/>
                <w:kern w:val="0"/>
                <w:sz w:val="24"/>
                <w:highlight w:val="none"/>
              </w:rPr>
              <w:t>测量值位数显示：4、5或6位可自定义；</w:t>
            </w:r>
          </w:p>
          <w:p w14:paraId="6A2C17DC">
            <w:pPr>
              <w:widowControl/>
              <w:jc w:val="left"/>
              <w:textAlignment w:val="center"/>
              <w:rPr>
                <w:rFonts w:ascii="宋体"/>
                <w:color w:val="auto"/>
                <w:kern w:val="0"/>
                <w:sz w:val="24"/>
                <w:highlight w:val="none"/>
              </w:rPr>
            </w:pPr>
            <w:r>
              <w:rPr>
                <w:rFonts w:hint="eastAsia" w:ascii="宋体" w:hAnsi="宋体"/>
                <w:color w:val="auto"/>
                <w:kern w:val="0"/>
                <w:sz w:val="24"/>
                <w:highlight w:val="none"/>
              </w:rPr>
              <w:t>具备误接保护功能，避免电路受损；</w:t>
            </w:r>
          </w:p>
          <w:p w14:paraId="2E01CD63">
            <w:pPr>
              <w:widowControl/>
              <w:jc w:val="left"/>
              <w:textAlignment w:val="center"/>
              <w:rPr>
                <w:rFonts w:ascii="宋体"/>
                <w:color w:val="auto"/>
                <w:kern w:val="0"/>
                <w:sz w:val="24"/>
                <w:highlight w:val="none"/>
              </w:rPr>
            </w:pPr>
            <w:r>
              <w:rPr>
                <w:rFonts w:hint="eastAsia" w:ascii="宋体" w:hAnsi="宋体"/>
                <w:color w:val="auto"/>
                <w:kern w:val="0"/>
                <w:sz w:val="24"/>
                <w:highlight w:val="none"/>
              </w:rPr>
              <w:t>其输出压力的准确度以数字压力标准模块作为控压依据，采用压力、压力变化率双闭环控制方案，快速响应，无超调；</w:t>
            </w:r>
          </w:p>
          <w:p w14:paraId="3FAD956C">
            <w:pPr>
              <w:widowControl/>
              <w:jc w:val="left"/>
              <w:textAlignment w:val="center"/>
              <w:rPr>
                <w:rFonts w:ascii="宋体"/>
                <w:color w:val="auto"/>
                <w:kern w:val="0"/>
                <w:sz w:val="24"/>
                <w:highlight w:val="none"/>
              </w:rPr>
            </w:pPr>
            <w:r>
              <w:rPr>
                <w:rFonts w:hint="eastAsia" w:ascii="宋体" w:hAnsi="宋体"/>
                <w:color w:val="auto"/>
                <w:kern w:val="0"/>
                <w:sz w:val="24"/>
                <w:highlight w:val="none"/>
              </w:rPr>
              <w:t>具有完整保护功能，过压（如果超过量程的120%则会发出报警）、传感器故障等报警，保护被校表的安全；</w:t>
            </w:r>
          </w:p>
          <w:p w14:paraId="47C62476">
            <w:pPr>
              <w:widowControl/>
              <w:jc w:val="left"/>
              <w:textAlignment w:val="center"/>
              <w:rPr>
                <w:rFonts w:ascii="宋体"/>
                <w:color w:val="auto"/>
                <w:kern w:val="0"/>
                <w:sz w:val="24"/>
                <w:highlight w:val="none"/>
              </w:rPr>
            </w:pPr>
            <w:r>
              <w:rPr>
                <w:rFonts w:hint="eastAsia" w:ascii="宋体" w:hAnsi="宋体"/>
                <w:color w:val="auto"/>
                <w:kern w:val="0"/>
                <w:sz w:val="24"/>
                <w:highlight w:val="none"/>
              </w:rPr>
              <w:t>压力校验系统在能实现全量程自动加压、减压、稳压、数据采集、误差计算、存储等，打印符合国家检定规程的校验记录、误差曲线及证书等；</w:t>
            </w:r>
          </w:p>
          <w:p w14:paraId="299DCE2C">
            <w:pPr>
              <w:widowControl/>
              <w:jc w:val="left"/>
              <w:textAlignment w:val="center"/>
              <w:rPr>
                <w:rFonts w:ascii="宋体"/>
                <w:color w:val="auto"/>
                <w:kern w:val="0"/>
                <w:sz w:val="24"/>
                <w:highlight w:val="none"/>
              </w:rPr>
            </w:pPr>
            <w:r>
              <w:rPr>
                <w:rFonts w:hint="eastAsia" w:ascii="宋体" w:hAnsi="宋体"/>
                <w:color w:val="auto"/>
                <w:kern w:val="0"/>
                <w:sz w:val="24"/>
                <w:highlight w:val="none"/>
              </w:rPr>
              <w:t>全自动压力校验系统可根据需要更换不同量程及精度等级的数字压力校验仪作为标准，用于检定不同量程和准确度的仪表；</w:t>
            </w:r>
          </w:p>
          <w:p w14:paraId="3A9DE5B6">
            <w:pPr>
              <w:widowControl/>
              <w:jc w:val="left"/>
              <w:textAlignment w:val="center"/>
              <w:rPr>
                <w:rFonts w:ascii="宋体"/>
                <w:color w:val="auto"/>
                <w:kern w:val="0"/>
                <w:sz w:val="24"/>
                <w:highlight w:val="none"/>
              </w:rPr>
            </w:pPr>
            <w:r>
              <w:rPr>
                <w:rFonts w:hint="eastAsia" w:ascii="宋体" w:hAnsi="宋体"/>
                <w:color w:val="auto"/>
                <w:kern w:val="0"/>
                <w:sz w:val="24"/>
                <w:highlight w:val="none"/>
              </w:rPr>
              <w:t>可校验HART压力变送器；</w:t>
            </w:r>
          </w:p>
          <w:p w14:paraId="5D805005">
            <w:pPr>
              <w:widowControl/>
              <w:jc w:val="left"/>
              <w:textAlignment w:val="center"/>
              <w:rPr>
                <w:rFonts w:ascii="宋体" w:cs="宋体"/>
                <w:color w:val="auto"/>
                <w:kern w:val="0"/>
                <w:sz w:val="24"/>
                <w:highlight w:val="none"/>
              </w:rPr>
            </w:pPr>
            <w:r>
              <w:rPr>
                <w:rFonts w:hint="eastAsia" w:ascii="宋体" w:hAnsi="宋体" w:cs="宋体"/>
                <w:color w:val="auto"/>
                <w:kern w:val="0"/>
                <w:sz w:val="24"/>
                <w:highlight w:val="none"/>
              </w:rPr>
              <w:t>压力单位：Pa, kPa, MPa, psi, bar, mbar, inH2O,mmH2O, inHg, mmHg, kgf/cm2</w:t>
            </w:r>
          </w:p>
        </w:tc>
        <w:tc>
          <w:tcPr>
            <w:tcW w:w="5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DF14E">
            <w:pPr>
              <w:widowControl/>
              <w:jc w:val="center"/>
              <w:textAlignment w:val="center"/>
              <w:rPr>
                <w:rFonts w:ascii="宋体" w:cs="宋体"/>
                <w:color w:val="auto"/>
                <w:kern w:val="0"/>
                <w:sz w:val="24"/>
                <w:highlight w:val="none"/>
              </w:rPr>
            </w:pPr>
            <w:r>
              <w:rPr>
                <w:rFonts w:hint="eastAsia" w:ascii="宋体" w:cs="宋体"/>
                <w:color w:val="auto"/>
                <w:kern w:val="0"/>
                <w:sz w:val="24"/>
                <w:highlight w:val="none"/>
              </w:rPr>
              <w:t>1</w:t>
            </w:r>
          </w:p>
        </w:tc>
      </w:tr>
      <w:tr w14:paraId="7BB330A4">
        <w:trPr>
          <w:trHeight w:val="806" w:hRule="atLeast"/>
          <w:jc w:val="center"/>
        </w:trPr>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297DB">
            <w:pPr>
              <w:widowControl/>
              <w:jc w:val="center"/>
              <w:textAlignment w:val="center"/>
              <w:rPr>
                <w:color w:val="auto"/>
                <w:sz w:val="24"/>
                <w:highlight w:val="none"/>
              </w:rPr>
            </w:pPr>
            <w:r>
              <w:rPr>
                <w:rFonts w:hint="eastAsia" w:ascii="宋体" w:cs="宋体"/>
                <w:color w:val="auto"/>
                <w:kern w:val="0"/>
                <w:sz w:val="24"/>
                <w:highlight w:val="none"/>
              </w:rPr>
              <w:t>4</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5D204">
            <w:pPr>
              <w:widowControl/>
              <w:jc w:val="center"/>
              <w:textAlignment w:val="center"/>
              <w:rPr>
                <w:rFonts w:ascii="宋体" w:cs="宋体"/>
                <w:color w:val="auto"/>
                <w:kern w:val="0"/>
                <w:sz w:val="24"/>
                <w:highlight w:val="none"/>
              </w:rPr>
            </w:pPr>
            <w:r>
              <w:rPr>
                <w:rFonts w:hint="eastAsia" w:ascii="宋体" w:cs="宋体"/>
                <w:color w:val="auto"/>
                <w:kern w:val="0"/>
                <w:sz w:val="24"/>
                <w:highlight w:val="none"/>
              </w:rPr>
              <w:t>活塞式压力计</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2F9A9">
            <w:pPr>
              <w:widowControl/>
              <w:jc w:val="left"/>
              <w:textAlignment w:val="center"/>
              <w:rPr>
                <w:rFonts w:ascii="宋体"/>
                <w:color w:val="auto"/>
                <w:kern w:val="0"/>
                <w:sz w:val="24"/>
                <w:highlight w:val="none"/>
              </w:rPr>
            </w:pPr>
            <w:r>
              <w:rPr>
                <w:rFonts w:hint="eastAsia" w:ascii="宋体" w:hAnsi="宋体"/>
                <w:color w:val="auto"/>
                <w:kern w:val="0"/>
                <w:sz w:val="24"/>
                <w:highlight w:val="none"/>
              </w:rPr>
              <w:t>测量范围：（-</w:t>
            </w:r>
            <w:r>
              <w:rPr>
                <w:rFonts w:hint="eastAsia" w:ascii="宋体"/>
                <w:color w:val="auto"/>
                <w:kern w:val="0"/>
                <w:sz w:val="24"/>
                <w:highlight w:val="none"/>
              </w:rPr>
              <w:t>0.1</w:t>
            </w:r>
            <w:r>
              <w:rPr>
                <w:rFonts w:hint="eastAsia" w:ascii="仿宋" w:hAnsi="仿宋" w:eastAsia="仿宋"/>
                <w:color w:val="auto"/>
                <w:kern w:val="0"/>
                <w:sz w:val="24"/>
                <w:highlight w:val="none"/>
              </w:rPr>
              <w:t>～</w:t>
            </w:r>
            <w:r>
              <w:rPr>
                <w:rFonts w:hint="eastAsia" w:ascii="宋体"/>
                <w:color w:val="auto"/>
                <w:kern w:val="0"/>
                <w:sz w:val="24"/>
                <w:highlight w:val="none"/>
              </w:rPr>
              <w:t>0.005；</w:t>
            </w:r>
            <w:r>
              <w:rPr>
                <w:rFonts w:hint="eastAsia" w:ascii="宋体" w:hAnsi="宋体"/>
                <w:color w:val="auto"/>
                <w:kern w:val="0"/>
                <w:sz w:val="24"/>
                <w:highlight w:val="none"/>
              </w:rPr>
              <w:t>0.0</w:t>
            </w:r>
            <w:r>
              <w:rPr>
                <w:rFonts w:hint="eastAsia" w:ascii="宋体"/>
                <w:color w:val="auto"/>
                <w:kern w:val="0"/>
                <w:sz w:val="24"/>
                <w:highlight w:val="none"/>
              </w:rPr>
              <w:t>05</w:t>
            </w:r>
            <w:r>
              <w:rPr>
                <w:rFonts w:hint="eastAsia" w:ascii="宋体" w:hAnsi="宋体"/>
                <w:color w:val="auto"/>
                <w:kern w:val="0"/>
                <w:sz w:val="24"/>
                <w:highlight w:val="none"/>
              </w:rPr>
              <w:t>～60）MPa，</w:t>
            </w:r>
            <w:r>
              <w:rPr>
                <w:rFonts w:hint="eastAsia" w:ascii="宋体"/>
                <w:color w:val="auto"/>
                <w:kern w:val="0"/>
                <w:sz w:val="24"/>
                <w:highlight w:val="none"/>
              </w:rPr>
              <w:br w:type="textWrapping"/>
            </w:r>
            <w:r>
              <w:rPr>
                <w:rFonts w:hint="eastAsia" w:ascii="宋体" w:hAnsi="宋体"/>
                <w:color w:val="auto"/>
                <w:kern w:val="0"/>
                <w:sz w:val="24"/>
                <w:highlight w:val="none"/>
              </w:rPr>
              <w:t>准确度等级：0.05级</w:t>
            </w:r>
          </w:p>
          <w:p w14:paraId="0AD01FB3">
            <w:pPr>
              <w:widowControl/>
              <w:jc w:val="left"/>
              <w:textAlignment w:val="center"/>
              <w:rPr>
                <w:rFonts w:ascii="宋体"/>
                <w:color w:val="auto"/>
                <w:kern w:val="0"/>
                <w:sz w:val="24"/>
                <w:highlight w:val="none"/>
              </w:rPr>
            </w:pPr>
            <w:r>
              <w:rPr>
                <w:rFonts w:hint="eastAsia" w:ascii="宋体" w:hAnsi="宋体"/>
                <w:color w:val="auto"/>
                <w:kern w:val="0"/>
                <w:sz w:val="24"/>
                <w:highlight w:val="none"/>
              </w:rPr>
              <w:t>气体活塞面积不得小于1</w:t>
            </w:r>
            <w:r>
              <w:rPr>
                <w:rFonts w:hint="eastAsia" w:ascii="宋体"/>
                <w:color w:val="auto"/>
                <w:kern w:val="0"/>
                <w:sz w:val="24"/>
                <w:highlight w:val="none"/>
              </w:rPr>
              <w:t>.9cm</w:t>
            </w:r>
            <w:r>
              <w:rPr>
                <w:rFonts w:hint="eastAsia"/>
                <w:color w:val="auto"/>
                <w:kern w:val="0"/>
                <w:sz w:val="24"/>
                <w:highlight w:val="none"/>
              </w:rPr>
              <w:t>²</w:t>
            </w:r>
          </w:p>
          <w:p w14:paraId="6B99BB70">
            <w:pPr>
              <w:widowControl/>
              <w:jc w:val="left"/>
              <w:textAlignment w:val="center"/>
              <w:rPr>
                <w:rFonts w:ascii="宋体"/>
                <w:color w:val="auto"/>
                <w:kern w:val="0"/>
                <w:sz w:val="24"/>
                <w:highlight w:val="none"/>
              </w:rPr>
            </w:pPr>
            <w:r>
              <w:rPr>
                <w:rFonts w:hint="eastAsia" w:ascii="宋体" w:hAnsi="宋体"/>
                <w:color w:val="auto"/>
                <w:kern w:val="0"/>
                <w:sz w:val="24"/>
                <w:highlight w:val="none"/>
              </w:rPr>
              <w:t>气体活塞式压力计采用干燥纯净空气或者纯净氮气作为气源，被检设备不受污染，主要针对清洁实验室、医疗行业产品以及污染防护等级较高禁油水的产品等，安全要求较高的检测场所设计，更加简单，更加安全。</w:t>
            </w:r>
          </w:p>
          <w:p w14:paraId="2D953FBE">
            <w:pPr>
              <w:widowControl/>
              <w:jc w:val="left"/>
              <w:textAlignment w:val="center"/>
              <w:rPr>
                <w:rFonts w:ascii="宋体"/>
                <w:color w:val="auto"/>
                <w:kern w:val="0"/>
                <w:sz w:val="24"/>
                <w:highlight w:val="none"/>
              </w:rPr>
            </w:pPr>
            <w:r>
              <w:rPr>
                <w:rFonts w:hint="eastAsia" w:ascii="宋体" w:hAnsi="宋体"/>
                <w:color w:val="auto"/>
                <w:kern w:val="0"/>
                <w:sz w:val="24"/>
                <w:highlight w:val="none"/>
              </w:rPr>
              <w:t>产品采用了正负压一体的结构，新开发的正负换向阀，有效解决了之前±换向复杂的问题，只需切换换向阀，就可以轻松切换正压和负压，大大提高效率，节省了成本。</w:t>
            </w:r>
          </w:p>
          <w:p w14:paraId="233116B4">
            <w:pPr>
              <w:widowControl/>
              <w:jc w:val="left"/>
              <w:textAlignment w:val="center"/>
              <w:rPr>
                <w:rFonts w:ascii="宋体"/>
                <w:color w:val="auto"/>
                <w:kern w:val="0"/>
                <w:sz w:val="24"/>
                <w:highlight w:val="none"/>
              </w:rPr>
            </w:pPr>
            <w:r>
              <w:rPr>
                <w:rFonts w:hint="eastAsia" w:ascii="宋体" w:hAnsi="宋体"/>
                <w:color w:val="auto"/>
                <w:kern w:val="0"/>
                <w:sz w:val="24"/>
                <w:highlight w:val="none"/>
              </w:rPr>
              <w:t>调压系统性能优于油压的调压系统，加压过程轻松，且不易漏压，免于维护。</w:t>
            </w:r>
          </w:p>
          <w:p w14:paraId="3C9974D2">
            <w:pPr>
              <w:widowControl/>
              <w:jc w:val="left"/>
              <w:textAlignment w:val="center"/>
              <w:rPr>
                <w:rFonts w:ascii="宋体"/>
                <w:color w:val="auto"/>
                <w:kern w:val="0"/>
                <w:sz w:val="24"/>
                <w:highlight w:val="none"/>
              </w:rPr>
            </w:pPr>
            <w:r>
              <w:rPr>
                <w:rFonts w:hint="eastAsia" w:ascii="宋体" w:hAnsi="宋体"/>
                <w:color w:val="auto"/>
                <w:kern w:val="0"/>
                <w:sz w:val="24"/>
                <w:highlight w:val="none"/>
              </w:rPr>
              <w:t>活塞系统支架部分采用全新的设计，密封性和稳定性更加可靠。</w:t>
            </w:r>
          </w:p>
          <w:p w14:paraId="5A4019B6">
            <w:pPr>
              <w:widowControl/>
              <w:jc w:val="left"/>
              <w:textAlignment w:val="center"/>
              <w:rPr>
                <w:rFonts w:ascii="宋体"/>
                <w:color w:val="auto"/>
                <w:kern w:val="0"/>
                <w:sz w:val="24"/>
                <w:highlight w:val="none"/>
              </w:rPr>
            </w:pPr>
            <w:r>
              <w:rPr>
                <w:rFonts w:hint="eastAsia" w:ascii="宋体" w:hAnsi="宋体"/>
                <w:color w:val="auto"/>
                <w:kern w:val="0"/>
                <w:sz w:val="24"/>
                <w:highlight w:val="none"/>
              </w:rPr>
              <w:t>产品升级增加进气流量控制阀，更加细致精准控制进气的流量，避免进气量过大对活塞系统，被检仪器产生不可避免的损坏。</w:t>
            </w:r>
          </w:p>
          <w:p w14:paraId="44B4A4AA">
            <w:pPr>
              <w:widowControl/>
              <w:jc w:val="left"/>
              <w:textAlignment w:val="center"/>
              <w:rPr>
                <w:rFonts w:ascii="宋体"/>
                <w:color w:val="auto"/>
                <w:kern w:val="0"/>
                <w:sz w:val="24"/>
                <w:highlight w:val="none"/>
              </w:rPr>
            </w:pPr>
            <w:r>
              <w:rPr>
                <w:rFonts w:hint="eastAsia" w:ascii="宋体" w:hAnsi="宋体"/>
                <w:color w:val="auto"/>
                <w:kern w:val="0"/>
                <w:sz w:val="24"/>
                <w:highlight w:val="none"/>
              </w:rPr>
              <w:t>产品机身配有安全阀，使用过程中操作失误引起的进气量过大，安全阀就会自动排气，保护活塞系统及被检仪器免受损坏。</w:t>
            </w:r>
          </w:p>
          <w:p w14:paraId="5079B2DF">
            <w:pPr>
              <w:widowControl/>
              <w:jc w:val="left"/>
              <w:textAlignment w:val="center"/>
              <w:rPr>
                <w:rFonts w:ascii="宋体" w:cs="宋体"/>
                <w:color w:val="auto"/>
                <w:kern w:val="0"/>
                <w:sz w:val="24"/>
                <w:highlight w:val="none"/>
              </w:rPr>
            </w:pPr>
            <w:r>
              <w:rPr>
                <w:rFonts w:hint="eastAsia" w:ascii="宋体" w:hAnsi="宋体" w:cs="宋体"/>
                <w:color w:val="auto"/>
                <w:kern w:val="0"/>
                <w:sz w:val="24"/>
                <w:highlight w:val="none"/>
              </w:rPr>
              <w:t>产品配有微调阀，加压过程中压力值偏高或者偏时，可以使用微调阀操作，轻松快速。</w:t>
            </w:r>
          </w:p>
        </w:tc>
        <w:tc>
          <w:tcPr>
            <w:tcW w:w="5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C0D144">
            <w:pPr>
              <w:widowControl/>
              <w:jc w:val="center"/>
              <w:textAlignment w:val="center"/>
              <w:rPr>
                <w:rFonts w:ascii="宋体" w:cs="宋体"/>
                <w:color w:val="auto"/>
                <w:kern w:val="0"/>
                <w:sz w:val="24"/>
                <w:highlight w:val="none"/>
              </w:rPr>
            </w:pPr>
            <w:r>
              <w:rPr>
                <w:rFonts w:hint="eastAsia" w:ascii="宋体" w:cs="宋体"/>
                <w:color w:val="auto"/>
                <w:kern w:val="0"/>
                <w:sz w:val="24"/>
                <w:highlight w:val="none"/>
              </w:rPr>
              <w:t>1</w:t>
            </w:r>
          </w:p>
        </w:tc>
      </w:tr>
      <w:tr w14:paraId="26EA758E">
        <w:trPr>
          <w:trHeight w:val="1076" w:hRule="atLeast"/>
          <w:jc w:val="center"/>
        </w:trPr>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C353F">
            <w:pPr>
              <w:widowControl/>
              <w:jc w:val="center"/>
              <w:textAlignment w:val="center"/>
              <w:rPr>
                <w:color w:val="auto"/>
                <w:sz w:val="24"/>
                <w:highlight w:val="none"/>
              </w:rPr>
            </w:pPr>
            <w:r>
              <w:rPr>
                <w:rFonts w:hint="eastAsia" w:ascii="宋体" w:cs="宋体"/>
                <w:color w:val="auto"/>
                <w:kern w:val="0"/>
                <w:sz w:val="24"/>
                <w:highlight w:val="none"/>
              </w:rPr>
              <w:t>5</w:t>
            </w: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E130E">
            <w:pPr>
              <w:widowControl/>
              <w:jc w:val="center"/>
              <w:textAlignment w:val="center"/>
              <w:rPr>
                <w:rFonts w:ascii="宋体" w:cs="宋体"/>
                <w:color w:val="auto"/>
                <w:kern w:val="0"/>
                <w:sz w:val="24"/>
                <w:highlight w:val="none"/>
              </w:rPr>
            </w:pPr>
            <w:r>
              <w:rPr>
                <w:rFonts w:hint="eastAsia" w:ascii="宋体" w:cs="宋体"/>
                <w:color w:val="auto"/>
                <w:kern w:val="0"/>
                <w:sz w:val="24"/>
                <w:highlight w:val="none"/>
              </w:rPr>
              <w:t>温湿度巡检仪</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C58E5">
            <w:pPr>
              <w:rPr>
                <w:rFonts w:ascii="宋体"/>
                <w:color w:val="auto"/>
                <w:kern w:val="0"/>
                <w:sz w:val="24"/>
                <w:highlight w:val="none"/>
              </w:rPr>
            </w:pPr>
            <w:r>
              <w:rPr>
                <w:rFonts w:hint="eastAsia" w:ascii="宋体" w:cs="宋体"/>
                <w:color w:val="auto"/>
                <w:kern w:val="0"/>
                <w:sz w:val="24"/>
                <w:highlight w:val="none"/>
              </w:rPr>
              <w:t>1</w:t>
            </w:r>
            <w:r>
              <w:rPr>
                <w:rFonts w:hint="eastAsia" w:ascii="宋体" w:hAnsi="宋体"/>
                <w:color w:val="auto"/>
                <w:kern w:val="0"/>
                <w:sz w:val="24"/>
                <w:highlight w:val="none"/>
              </w:rPr>
              <w:t>.准确度：</w:t>
            </w:r>
            <w:r>
              <w:rPr>
                <w:rFonts w:hint="eastAsia" w:ascii="宋体"/>
                <w:color w:val="auto"/>
                <w:kern w:val="0"/>
                <w:sz w:val="24"/>
                <w:highlight w:val="none"/>
              </w:rPr>
              <w:t>0.01级电测精度，通道数：30个温度或90个湿度通道</w:t>
            </w:r>
          </w:p>
          <w:p w14:paraId="387B19F2">
            <w:pPr>
              <w:rPr>
                <w:rFonts w:ascii="宋体"/>
                <w:color w:val="auto"/>
                <w:kern w:val="0"/>
                <w:sz w:val="24"/>
                <w:highlight w:val="none"/>
              </w:rPr>
            </w:pPr>
            <w:r>
              <w:rPr>
                <w:rFonts w:hint="eastAsia" w:ascii="宋体" w:hAnsi="宋体"/>
                <w:color w:val="auto"/>
                <w:kern w:val="0"/>
                <w:sz w:val="24"/>
                <w:highlight w:val="none"/>
              </w:rPr>
              <w:t>2.分辨率：</w:t>
            </w:r>
            <w:r>
              <w:rPr>
                <w:rFonts w:hint="eastAsia" w:ascii="宋体"/>
                <w:color w:val="auto"/>
                <w:kern w:val="0"/>
                <w:sz w:val="24"/>
                <w:highlight w:val="none"/>
              </w:rPr>
              <w:t>1uV（热电偶），1m</w:t>
            </w:r>
            <w:r>
              <w:rPr>
                <w:rFonts w:hint="eastAsia"/>
                <w:color w:val="auto"/>
                <w:kern w:val="0"/>
                <w:sz w:val="24"/>
                <w:highlight w:val="none"/>
              </w:rPr>
              <w:t>Ω</w:t>
            </w:r>
            <w:r>
              <w:rPr>
                <w:rFonts w:hint="eastAsia" w:ascii="宋体" w:hAnsi="宋体"/>
                <w:color w:val="auto"/>
                <w:kern w:val="0"/>
                <w:sz w:val="24"/>
                <w:highlight w:val="none"/>
              </w:rPr>
              <w:t>（热电阻），0.01%RH（湿度）</w:t>
            </w:r>
          </w:p>
          <w:p w14:paraId="0D8A35A2">
            <w:pPr>
              <w:rPr>
                <w:rFonts w:ascii="宋体"/>
                <w:color w:val="auto"/>
                <w:kern w:val="0"/>
                <w:sz w:val="24"/>
                <w:highlight w:val="none"/>
              </w:rPr>
            </w:pPr>
            <w:r>
              <w:rPr>
                <w:rFonts w:hint="eastAsia" w:ascii="宋体" w:hAnsi="宋体"/>
                <w:color w:val="auto"/>
                <w:kern w:val="0"/>
                <w:sz w:val="24"/>
                <w:highlight w:val="none"/>
              </w:rPr>
              <w:t>3.采用智能接线盒连接，内部集成参考端温度传感器及存储器，可自动识别、加载传感器编号、修正值等数据，信号回路可承受</w:t>
            </w:r>
            <w:r>
              <w:rPr>
                <w:rFonts w:hint="eastAsia" w:ascii="宋体"/>
                <w:color w:val="auto"/>
                <w:kern w:val="0"/>
                <w:sz w:val="24"/>
                <w:highlight w:val="none"/>
              </w:rPr>
              <w:t>250V AC电压误入。无需其它外设即可实现巡检配置、数据查看、传感器修正、数据统计、曲线显示等操作。</w:t>
            </w:r>
          </w:p>
          <w:p w14:paraId="1F68D89A">
            <w:pPr>
              <w:rPr>
                <w:rFonts w:ascii="宋体"/>
                <w:color w:val="auto"/>
                <w:kern w:val="0"/>
                <w:sz w:val="24"/>
                <w:highlight w:val="none"/>
              </w:rPr>
            </w:pPr>
            <w:r>
              <w:rPr>
                <w:rFonts w:hint="eastAsia" w:ascii="宋体" w:hAnsi="宋体"/>
                <w:color w:val="auto"/>
                <w:kern w:val="0"/>
                <w:sz w:val="24"/>
                <w:highlight w:val="none"/>
              </w:rPr>
              <w:t>4.物联网功能，内置蓝牙及</w:t>
            </w:r>
            <w:r>
              <w:rPr>
                <w:rFonts w:hint="eastAsia" w:ascii="宋体"/>
                <w:color w:val="auto"/>
                <w:kern w:val="0"/>
                <w:sz w:val="24"/>
                <w:highlight w:val="none"/>
              </w:rPr>
              <w:t>wifi模块，与手机APP配合使用，可远程实时监控、记录、数据输出、报警等功能；历史数据云端存储，数据查询处理，支持开通多用户同时在线以及配置不同用户权限级别。</w:t>
            </w:r>
          </w:p>
          <w:p w14:paraId="295E076F">
            <w:pPr>
              <w:rPr>
                <w:rFonts w:ascii="宋体"/>
                <w:color w:val="auto"/>
                <w:kern w:val="0"/>
                <w:sz w:val="24"/>
                <w:highlight w:val="none"/>
              </w:rPr>
            </w:pPr>
            <w:r>
              <w:rPr>
                <w:rFonts w:hint="eastAsia" w:ascii="宋体" w:hAnsi="宋体"/>
                <w:color w:val="auto"/>
                <w:kern w:val="0"/>
                <w:sz w:val="24"/>
                <w:highlight w:val="none"/>
              </w:rPr>
              <w:t>5.每个通道都具有独立的曲线及数据质量分析，可在巡检仪上直接翻看之前的测试记录及相关时间和数据信息。采集完成后可自动停止记录，</w:t>
            </w:r>
            <w:r>
              <w:rPr>
                <w:rFonts w:hint="eastAsia" w:ascii="宋体"/>
                <w:color w:val="auto"/>
                <w:kern w:val="0"/>
                <w:sz w:val="24"/>
                <w:highlight w:val="none"/>
              </w:rPr>
              <w:t xml:space="preserve">IP64防护等级。 </w:t>
            </w:r>
          </w:p>
          <w:p w14:paraId="5CFA1C39">
            <w:pPr>
              <w:rPr>
                <w:rFonts w:ascii="宋体"/>
                <w:color w:val="auto"/>
                <w:kern w:val="0"/>
                <w:sz w:val="24"/>
                <w:highlight w:val="none"/>
              </w:rPr>
            </w:pPr>
            <w:r>
              <w:rPr>
                <w:rFonts w:hint="eastAsia" w:ascii="宋体" w:hAnsi="宋体"/>
                <w:color w:val="auto"/>
                <w:kern w:val="0"/>
                <w:sz w:val="24"/>
                <w:highlight w:val="none"/>
              </w:rPr>
              <w:t>6.配热电阻</w:t>
            </w:r>
            <w:r>
              <w:rPr>
                <w:rFonts w:hint="eastAsia" w:ascii="宋体"/>
                <w:color w:val="auto"/>
                <w:kern w:val="0"/>
                <w:sz w:val="24"/>
                <w:highlight w:val="none"/>
              </w:rPr>
              <w:t>30支：A级精度，Pt100，3m引线，-80～300</w:t>
            </w:r>
            <w:r>
              <w:rPr>
                <w:rFonts w:hint="eastAsia"/>
                <w:color w:val="auto"/>
                <w:kern w:val="0"/>
                <w:sz w:val="24"/>
                <w:highlight w:val="none"/>
              </w:rPr>
              <w:t>℃</w:t>
            </w:r>
            <w:r>
              <w:rPr>
                <w:rFonts w:hint="eastAsia" w:ascii="宋体" w:hAnsi="宋体"/>
                <w:color w:val="auto"/>
                <w:kern w:val="0"/>
                <w:sz w:val="24"/>
                <w:highlight w:val="none"/>
              </w:rPr>
              <w:t>。</w:t>
            </w:r>
          </w:p>
          <w:p w14:paraId="485EE81A">
            <w:pPr>
              <w:ind w:firstLine="240" w:firstLineChars="100"/>
              <w:rPr>
                <w:rFonts w:ascii="宋体"/>
                <w:color w:val="auto"/>
                <w:kern w:val="0"/>
                <w:sz w:val="24"/>
                <w:highlight w:val="none"/>
              </w:rPr>
            </w:pPr>
            <w:r>
              <w:rPr>
                <w:rFonts w:hint="eastAsia" w:ascii="宋体" w:hAnsi="宋体"/>
                <w:color w:val="auto"/>
                <w:kern w:val="0"/>
                <w:sz w:val="24"/>
                <w:highlight w:val="none"/>
              </w:rPr>
              <w:t>配热电偶</w:t>
            </w:r>
            <w:r>
              <w:rPr>
                <w:rFonts w:hint="eastAsia" w:ascii="宋体"/>
                <w:color w:val="auto"/>
                <w:kern w:val="0"/>
                <w:sz w:val="24"/>
                <w:highlight w:val="none"/>
              </w:rPr>
              <w:t>10支：K型，I级精度，</w:t>
            </w:r>
            <w:r>
              <w:rPr>
                <w:rFonts w:hint="eastAsia"/>
                <w:color w:val="auto"/>
                <w:kern w:val="0"/>
                <w:sz w:val="24"/>
                <w:highlight w:val="none"/>
              </w:rPr>
              <w:t>Φ</w:t>
            </w:r>
            <w:r>
              <w:rPr>
                <w:rFonts w:hint="eastAsia" w:ascii="宋体" w:hAnsi="宋体"/>
                <w:color w:val="auto"/>
                <w:kern w:val="0"/>
                <w:sz w:val="24"/>
                <w:highlight w:val="none"/>
              </w:rPr>
              <w:t>2mmx1m探头，300～1100</w:t>
            </w:r>
            <w:r>
              <w:rPr>
                <w:rFonts w:hint="eastAsia"/>
                <w:color w:val="auto"/>
                <w:kern w:val="0"/>
                <w:sz w:val="24"/>
                <w:highlight w:val="none"/>
              </w:rPr>
              <w:t>℃</w:t>
            </w:r>
            <w:r>
              <w:rPr>
                <w:rFonts w:hint="eastAsia" w:ascii="宋体" w:hAnsi="宋体"/>
                <w:color w:val="auto"/>
                <w:kern w:val="0"/>
                <w:sz w:val="24"/>
                <w:highlight w:val="none"/>
              </w:rPr>
              <w:t>。</w:t>
            </w:r>
          </w:p>
          <w:p w14:paraId="05032BA3">
            <w:pPr>
              <w:widowControl/>
              <w:jc w:val="left"/>
              <w:textAlignment w:val="center"/>
              <w:rPr>
                <w:rFonts w:ascii="宋体" w:cs="宋体"/>
                <w:color w:val="auto"/>
                <w:kern w:val="0"/>
                <w:sz w:val="24"/>
                <w:highlight w:val="none"/>
              </w:rPr>
            </w:pPr>
            <w:r>
              <w:rPr>
                <w:rFonts w:hint="eastAsia" w:ascii="宋体" w:hAnsi="宋体" w:cs="宋体"/>
                <w:color w:val="auto"/>
                <w:kern w:val="0"/>
                <w:sz w:val="24"/>
                <w:highlight w:val="none"/>
              </w:rPr>
              <w:t>配湿度传感器</w:t>
            </w:r>
            <w:r>
              <w:rPr>
                <w:rFonts w:hint="eastAsia" w:ascii="宋体" w:cs="宋体"/>
                <w:color w:val="auto"/>
                <w:kern w:val="0"/>
                <w:sz w:val="24"/>
                <w:highlight w:val="none"/>
              </w:rPr>
              <w:t>5支：</w:t>
            </w:r>
            <w:r>
              <w:rPr>
                <w:rFonts w:hint="eastAsia" w:cs="宋体"/>
                <w:color w:val="auto"/>
                <w:kern w:val="0"/>
                <w:sz w:val="24"/>
                <w:highlight w:val="none"/>
              </w:rPr>
              <w:t>±</w:t>
            </w:r>
            <w:r>
              <w:rPr>
                <w:rFonts w:hint="eastAsia" w:ascii="宋体" w:hAnsi="宋体" w:cs="宋体"/>
                <w:color w:val="auto"/>
                <w:kern w:val="0"/>
                <w:sz w:val="24"/>
                <w:highlight w:val="none"/>
              </w:rPr>
              <w:t>0.8%RH，5米引线，0～100RH%</w:t>
            </w:r>
          </w:p>
        </w:tc>
        <w:tc>
          <w:tcPr>
            <w:tcW w:w="5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2D055">
            <w:pPr>
              <w:widowControl/>
              <w:jc w:val="center"/>
              <w:textAlignment w:val="center"/>
              <w:rPr>
                <w:rFonts w:ascii="宋体" w:cs="宋体"/>
                <w:color w:val="auto"/>
                <w:kern w:val="0"/>
                <w:sz w:val="24"/>
                <w:highlight w:val="none"/>
              </w:rPr>
            </w:pPr>
            <w:r>
              <w:rPr>
                <w:rFonts w:hint="eastAsia" w:ascii="宋体" w:cs="宋体"/>
                <w:color w:val="auto"/>
                <w:kern w:val="0"/>
                <w:sz w:val="24"/>
                <w:highlight w:val="none"/>
              </w:rPr>
              <w:t>1</w:t>
            </w:r>
          </w:p>
        </w:tc>
      </w:tr>
      <w:tr w14:paraId="1B92EB62">
        <w:trPr>
          <w:trHeight w:val="1076" w:hRule="atLeast"/>
          <w:jc w:val="center"/>
        </w:trPr>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F5EA3">
            <w:pPr>
              <w:widowControl/>
              <w:jc w:val="center"/>
              <w:textAlignment w:val="center"/>
              <w:rPr>
                <w:rFonts w:ascii="宋体" w:cs="宋体"/>
                <w:color w:val="auto"/>
                <w:kern w:val="0"/>
                <w:sz w:val="24"/>
                <w:highlight w:val="none"/>
              </w:rPr>
            </w:pPr>
          </w:p>
        </w:tc>
        <w:tc>
          <w:tcPr>
            <w:tcW w:w="7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48A1F">
            <w:pPr>
              <w:widowControl/>
              <w:jc w:val="center"/>
              <w:textAlignment w:val="center"/>
              <w:rPr>
                <w:rFonts w:ascii="宋体" w:cs="宋体"/>
                <w:color w:val="auto"/>
                <w:kern w:val="0"/>
                <w:sz w:val="24"/>
                <w:highlight w:val="none"/>
              </w:rPr>
            </w:pPr>
            <w:r>
              <w:rPr>
                <w:rFonts w:hint="eastAsia" w:ascii="宋体" w:cs="宋体"/>
                <w:color w:val="auto"/>
                <w:kern w:val="0"/>
                <w:sz w:val="24"/>
                <w:highlight w:val="none"/>
              </w:rPr>
              <w:t>热量表检定装置</w:t>
            </w:r>
          </w:p>
        </w:tc>
        <w:tc>
          <w:tcPr>
            <w:tcW w:w="3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BC58B">
            <w:pPr>
              <w:widowControl/>
              <w:numPr>
                <w:ilvl w:val="0"/>
                <w:numId w:val="4"/>
              </w:numPr>
              <w:jc w:val="left"/>
              <w:textAlignment w:val="center"/>
              <w:rPr>
                <w:rFonts w:ascii="宋体"/>
                <w:color w:val="auto"/>
                <w:kern w:val="0"/>
                <w:sz w:val="24"/>
                <w:highlight w:val="none"/>
              </w:rPr>
            </w:pPr>
            <w:r>
              <w:rPr>
                <w:rFonts w:hint="eastAsia" w:ascii="宋体" w:hAnsi="宋体"/>
                <w:color w:val="auto"/>
                <w:kern w:val="0"/>
                <w:sz w:val="24"/>
                <w:highlight w:val="none"/>
              </w:rPr>
              <w:t>装置主要技术参数</w:t>
            </w:r>
          </w:p>
          <w:p w14:paraId="50551FFC">
            <w:pPr>
              <w:widowControl/>
              <w:numPr>
                <w:ilvl w:val="0"/>
                <w:numId w:val="0"/>
              </w:numPr>
              <w:ind w:leftChars="0"/>
              <w:jc w:val="left"/>
              <w:textAlignment w:val="center"/>
              <w:rPr>
                <w:rFonts w:ascii="宋体"/>
                <w:color w:val="auto"/>
                <w:kern w:val="0"/>
                <w:sz w:val="24"/>
                <w:highlight w:val="none"/>
              </w:rPr>
            </w:pPr>
            <w:r>
              <w:rPr>
                <w:rFonts w:hint="eastAsia" w:ascii="宋体" w:hAnsi="宋体"/>
                <w:color w:val="auto"/>
                <w:kern w:val="0"/>
                <w:sz w:val="24"/>
                <w:highlight w:val="none"/>
              </w:rPr>
              <w:t>1、口径：DN15、DN20、DN25、DN32、DN40、DN50</w:t>
            </w:r>
            <w:r>
              <w:rPr>
                <w:rFonts w:hint="eastAsia" w:ascii="宋体"/>
                <w:color w:val="auto"/>
                <w:kern w:val="0"/>
                <w:sz w:val="24"/>
                <w:highlight w:val="none"/>
              </w:rPr>
              <w:br w:type="textWrapping"/>
            </w:r>
            <w:r>
              <w:rPr>
                <w:rFonts w:hint="eastAsia" w:ascii="宋体" w:hAnsi="宋体"/>
                <w:color w:val="auto"/>
                <w:kern w:val="0"/>
                <w:sz w:val="24"/>
                <w:highlight w:val="none"/>
              </w:rPr>
              <w:t>2、被检表种类：超声波热量表</w:t>
            </w:r>
            <w:r>
              <w:rPr>
                <w:rFonts w:hint="eastAsia" w:ascii="宋体"/>
                <w:color w:val="auto"/>
                <w:kern w:val="0"/>
                <w:sz w:val="24"/>
                <w:highlight w:val="none"/>
              </w:rPr>
              <w:br w:type="textWrapping"/>
            </w:r>
            <w:r>
              <w:rPr>
                <w:rFonts w:hint="eastAsia" w:ascii="宋体" w:hAnsi="宋体"/>
                <w:color w:val="auto"/>
                <w:kern w:val="0"/>
                <w:sz w:val="24"/>
                <w:highlight w:val="none"/>
              </w:rPr>
              <w:t>3、流量测量范围：(0.02-32)m³/h</w:t>
            </w:r>
            <w:r>
              <w:rPr>
                <w:rFonts w:hint="eastAsia" w:ascii="宋体"/>
                <w:color w:val="auto"/>
                <w:kern w:val="0"/>
                <w:sz w:val="24"/>
                <w:highlight w:val="none"/>
              </w:rPr>
              <w:br w:type="textWrapping"/>
            </w:r>
            <w:r>
              <w:rPr>
                <w:rFonts w:hint="eastAsia" w:ascii="宋体" w:hAnsi="宋体"/>
                <w:color w:val="auto"/>
                <w:kern w:val="0"/>
                <w:sz w:val="24"/>
                <w:highlight w:val="none"/>
              </w:rPr>
              <w:t>4、压力范围：0-0.8Mpa，最后一块被检表处背压大于0.03MPa，防止空化现象发生。</w:t>
            </w:r>
            <w:r>
              <w:rPr>
                <w:rFonts w:hint="eastAsia" w:ascii="宋体"/>
                <w:color w:val="auto"/>
                <w:kern w:val="0"/>
                <w:sz w:val="24"/>
                <w:highlight w:val="none"/>
              </w:rPr>
              <w:br w:type="textWrapping"/>
            </w:r>
            <w:r>
              <w:rPr>
                <w:rFonts w:hint="eastAsia" w:ascii="宋体" w:hAnsi="宋体"/>
                <w:color w:val="auto"/>
                <w:kern w:val="0"/>
                <w:sz w:val="24"/>
                <w:highlight w:val="none"/>
              </w:rPr>
              <w:t>5、被检测表数量：</w:t>
            </w:r>
            <w:r>
              <w:rPr>
                <w:rFonts w:hint="eastAsia" w:ascii="宋体"/>
                <w:color w:val="auto"/>
                <w:kern w:val="0"/>
                <w:sz w:val="24"/>
                <w:highlight w:val="none"/>
              </w:rPr>
              <w:br w:type="textWrapping"/>
            </w:r>
            <w:r>
              <w:rPr>
                <w:rFonts w:hint="eastAsia" w:ascii="宋体" w:hAnsi="宋体"/>
                <w:color w:val="auto"/>
                <w:kern w:val="0"/>
                <w:sz w:val="24"/>
                <w:highlight w:val="none"/>
              </w:rPr>
              <w:t>热量表：DN15（表长110mm）：10只； DN20（表长130mm）：9只； DN25（表长160mm）：7只；DN32（表长180mm）：5只 ；DN40（表长220mm）：3只； DN50（表长250mm）：3只，其他长度热量表根据长度响应减少检表数量便于安装。</w:t>
            </w:r>
            <w:r>
              <w:rPr>
                <w:rFonts w:hint="eastAsia" w:ascii="宋体"/>
                <w:color w:val="auto"/>
                <w:kern w:val="0"/>
                <w:sz w:val="24"/>
                <w:highlight w:val="none"/>
              </w:rPr>
              <w:br w:type="textWrapping"/>
            </w:r>
            <w:r>
              <w:rPr>
                <w:rFonts w:hint="eastAsia" w:ascii="宋体" w:hAnsi="宋体"/>
                <w:color w:val="auto"/>
                <w:kern w:val="0"/>
                <w:sz w:val="24"/>
                <w:highlight w:val="none"/>
              </w:rPr>
              <w:t>6、流量测量的扩展不确定度：质量法U≤0.2%，k=2；标准表法U≤0.5%，k=2</w:t>
            </w:r>
            <w:r>
              <w:rPr>
                <w:rFonts w:hint="eastAsia" w:ascii="宋体"/>
                <w:color w:val="auto"/>
                <w:kern w:val="0"/>
                <w:sz w:val="24"/>
                <w:highlight w:val="none"/>
              </w:rPr>
              <w:br w:type="textWrapping"/>
            </w:r>
            <w:r>
              <w:rPr>
                <w:rFonts w:hint="eastAsia" w:ascii="宋体" w:hAnsi="宋体"/>
                <w:color w:val="auto"/>
                <w:kern w:val="0"/>
                <w:sz w:val="24"/>
                <w:highlight w:val="none"/>
              </w:rPr>
              <w:t>7、电子天平：60kg 分度值为(6000e)显示30000d,600kg 分度值为(6000e)显示30000d。</w:t>
            </w:r>
            <w:r>
              <w:rPr>
                <w:rFonts w:hint="eastAsia" w:ascii="宋体"/>
                <w:color w:val="auto"/>
                <w:kern w:val="0"/>
                <w:sz w:val="24"/>
                <w:highlight w:val="none"/>
              </w:rPr>
              <w:br w:type="textWrapping"/>
            </w:r>
            <w:r>
              <w:rPr>
                <w:rFonts w:hint="eastAsia" w:ascii="宋体" w:hAnsi="宋体"/>
                <w:color w:val="auto"/>
                <w:kern w:val="0"/>
                <w:sz w:val="24"/>
                <w:highlight w:val="none"/>
              </w:rPr>
              <w:t>8、装置温度测量控制范围：</w:t>
            </w:r>
            <w:r>
              <w:rPr>
                <w:rFonts w:hint="eastAsia" w:ascii="宋体" w:hAnsi="宋体"/>
                <w:color w:val="auto"/>
                <w:kern w:val="0"/>
                <w:sz w:val="24"/>
                <w:highlight w:val="none"/>
                <w:lang w:val="en-US" w:eastAsia="zh-CN"/>
              </w:rPr>
              <w:t>室温</w:t>
            </w:r>
            <w:r>
              <w:rPr>
                <w:rFonts w:hint="eastAsia" w:ascii="宋体" w:hAnsi="宋体"/>
                <w:color w:val="auto"/>
                <w:kern w:val="0"/>
                <w:sz w:val="24"/>
                <w:highlight w:val="none"/>
              </w:rPr>
              <w:t>～95℃</w:t>
            </w:r>
            <w:r>
              <w:rPr>
                <w:rFonts w:hint="eastAsia" w:ascii="宋体"/>
                <w:color w:val="auto"/>
                <w:kern w:val="0"/>
                <w:sz w:val="24"/>
                <w:highlight w:val="none"/>
              </w:rPr>
              <w:br w:type="textWrapping"/>
            </w:r>
            <w:r>
              <w:rPr>
                <w:rFonts w:hint="eastAsia" w:ascii="宋体" w:hAnsi="宋体"/>
                <w:color w:val="auto"/>
                <w:kern w:val="0"/>
                <w:sz w:val="24"/>
                <w:highlight w:val="none"/>
              </w:rPr>
              <w:t>9、夹紧装置：气动</w:t>
            </w:r>
            <w:r>
              <w:rPr>
                <w:rFonts w:hint="eastAsia" w:ascii="宋体"/>
                <w:color w:val="auto"/>
                <w:kern w:val="0"/>
                <w:sz w:val="24"/>
                <w:highlight w:val="none"/>
              </w:rPr>
              <w:br w:type="textWrapping"/>
            </w:r>
            <w:r>
              <w:rPr>
                <w:rFonts w:hint="eastAsia" w:ascii="宋体" w:hAnsi="宋体"/>
                <w:color w:val="auto"/>
                <w:kern w:val="0"/>
                <w:sz w:val="24"/>
                <w:highlight w:val="none"/>
              </w:rPr>
              <w:t>10、环境条件：大气温度为3℃-35℃</w:t>
            </w:r>
            <w:r>
              <w:rPr>
                <w:rFonts w:hint="eastAsia" w:ascii="宋体"/>
                <w:color w:val="auto"/>
                <w:kern w:val="0"/>
                <w:sz w:val="24"/>
                <w:highlight w:val="none"/>
              </w:rPr>
              <w:br w:type="textWrapping"/>
            </w:r>
            <w:r>
              <w:rPr>
                <w:rFonts w:hint="eastAsia" w:ascii="宋体" w:hAnsi="宋体"/>
                <w:color w:val="auto"/>
                <w:kern w:val="0"/>
                <w:sz w:val="24"/>
                <w:highlight w:val="none"/>
              </w:rPr>
              <w:t>大气的相对湿度为15%-85%</w:t>
            </w:r>
            <w:r>
              <w:rPr>
                <w:rFonts w:hint="eastAsia" w:ascii="宋体"/>
                <w:color w:val="auto"/>
                <w:kern w:val="0"/>
                <w:sz w:val="24"/>
                <w:highlight w:val="none"/>
              </w:rPr>
              <w:br w:type="textWrapping"/>
            </w:r>
            <w:r>
              <w:rPr>
                <w:rFonts w:hint="eastAsia" w:ascii="宋体" w:hAnsi="宋体"/>
                <w:color w:val="auto"/>
                <w:kern w:val="0"/>
                <w:sz w:val="24"/>
                <w:highlight w:val="none"/>
              </w:rPr>
              <w:t>大气压力为86 KPa -106Kpa</w:t>
            </w:r>
            <w:r>
              <w:rPr>
                <w:rFonts w:hint="eastAsia" w:ascii="宋体"/>
                <w:color w:val="auto"/>
                <w:kern w:val="0"/>
                <w:sz w:val="24"/>
                <w:highlight w:val="none"/>
              </w:rPr>
              <w:br w:type="textWrapping"/>
            </w:r>
            <w:r>
              <w:rPr>
                <w:rFonts w:hint="eastAsia" w:ascii="宋体" w:hAnsi="宋体"/>
                <w:color w:val="auto"/>
                <w:kern w:val="0"/>
                <w:sz w:val="24"/>
                <w:highlight w:val="none"/>
              </w:rPr>
              <w:t>11、供电电源：380V±10%交流，电源频率50Hz 三相四线，单独接地线。</w:t>
            </w:r>
            <w:r>
              <w:rPr>
                <w:rFonts w:hint="eastAsia" w:ascii="宋体"/>
                <w:color w:val="auto"/>
                <w:kern w:val="0"/>
                <w:sz w:val="24"/>
                <w:highlight w:val="none"/>
              </w:rPr>
              <w:br w:type="textWrapping"/>
            </w:r>
            <w:r>
              <w:rPr>
                <w:rFonts w:hint="eastAsia" w:ascii="宋体" w:hAnsi="宋体"/>
                <w:color w:val="auto"/>
                <w:kern w:val="0"/>
                <w:sz w:val="24"/>
                <w:highlight w:val="none"/>
              </w:rPr>
              <w:t>12、标准表电磁流量计：</w:t>
            </w:r>
            <w:r>
              <w:rPr>
                <w:rFonts w:hint="eastAsia" w:ascii="宋体"/>
                <w:color w:val="auto"/>
                <w:kern w:val="0"/>
                <w:sz w:val="24"/>
                <w:highlight w:val="none"/>
              </w:rPr>
              <w:br w:type="textWrapping"/>
            </w:r>
            <w:r>
              <w:rPr>
                <w:rFonts w:hint="eastAsia" w:ascii="宋体" w:hAnsi="宋体"/>
                <w:color w:val="auto"/>
                <w:kern w:val="0"/>
                <w:sz w:val="24"/>
                <w:highlight w:val="none"/>
              </w:rPr>
              <w:t>（1） DN2.5-0.3级，20-140L/h；</w:t>
            </w:r>
            <w:r>
              <w:rPr>
                <w:rFonts w:hint="eastAsia" w:ascii="宋体"/>
                <w:color w:val="auto"/>
                <w:kern w:val="0"/>
                <w:sz w:val="24"/>
                <w:highlight w:val="none"/>
              </w:rPr>
              <w:br w:type="textWrapping"/>
            </w:r>
            <w:r>
              <w:rPr>
                <w:rFonts w:hint="eastAsia" w:ascii="宋体" w:hAnsi="宋体"/>
                <w:color w:val="auto"/>
                <w:kern w:val="0"/>
                <w:sz w:val="24"/>
                <w:highlight w:val="none"/>
              </w:rPr>
              <w:t>（2） DN10-0.3级，140-2100L/h；</w:t>
            </w:r>
            <w:r>
              <w:rPr>
                <w:rFonts w:hint="eastAsia" w:ascii="宋体"/>
                <w:color w:val="auto"/>
                <w:kern w:val="0"/>
                <w:sz w:val="24"/>
                <w:highlight w:val="none"/>
              </w:rPr>
              <w:br w:type="textWrapping"/>
            </w:r>
            <w:r>
              <w:rPr>
                <w:rFonts w:hint="eastAsia" w:ascii="宋体" w:hAnsi="宋体"/>
                <w:color w:val="auto"/>
                <w:kern w:val="0"/>
                <w:sz w:val="24"/>
                <w:highlight w:val="none"/>
              </w:rPr>
              <w:t>（3） DN50-0.2级，2100-32000L/h；</w:t>
            </w:r>
            <w:r>
              <w:rPr>
                <w:rFonts w:hint="eastAsia" w:ascii="宋体"/>
                <w:color w:val="auto"/>
                <w:kern w:val="0"/>
                <w:sz w:val="24"/>
                <w:highlight w:val="none"/>
              </w:rPr>
              <w:br w:type="textWrapping"/>
            </w:r>
            <w:r>
              <w:rPr>
                <w:rFonts w:hint="eastAsia" w:ascii="宋体" w:hAnsi="宋体"/>
                <w:color w:val="auto"/>
                <w:kern w:val="0"/>
                <w:sz w:val="24"/>
                <w:highlight w:val="none"/>
              </w:rPr>
              <w:t>13、水泵：3603/1-7.5kW,Q=32m³/h ,H=58m；</w:t>
            </w:r>
          </w:p>
          <w:p w14:paraId="28A9196B">
            <w:pPr>
              <w:widowControl/>
              <w:jc w:val="left"/>
              <w:textAlignment w:val="center"/>
              <w:rPr>
                <w:rFonts w:ascii="宋体"/>
                <w:color w:val="auto"/>
                <w:kern w:val="0"/>
                <w:sz w:val="24"/>
                <w:highlight w:val="none"/>
              </w:rPr>
            </w:pPr>
            <w:r>
              <w:rPr>
                <w:rFonts w:hint="eastAsia" w:ascii="宋体" w:hAnsi="宋体"/>
                <w:color w:val="auto"/>
                <w:kern w:val="0"/>
                <w:sz w:val="24"/>
                <w:highlight w:val="none"/>
              </w:rPr>
              <w:t>14、水箱：不小于2000L，304不锈钢，材质厚度2mm。</w:t>
            </w:r>
            <w:r>
              <w:rPr>
                <w:rFonts w:hint="eastAsia" w:ascii="宋体"/>
                <w:color w:val="auto"/>
                <w:kern w:val="0"/>
                <w:sz w:val="24"/>
                <w:highlight w:val="none"/>
              </w:rPr>
              <w:br w:type="textWrapping"/>
            </w:r>
            <w:r>
              <w:rPr>
                <w:rFonts w:hint="eastAsia" w:ascii="宋体" w:hAnsi="宋体"/>
                <w:color w:val="auto"/>
                <w:kern w:val="0"/>
                <w:sz w:val="24"/>
                <w:highlight w:val="none"/>
              </w:rPr>
              <w:t>15、稳压罐：500L。</w:t>
            </w:r>
            <w:r>
              <w:rPr>
                <w:rFonts w:hint="eastAsia" w:ascii="宋体"/>
                <w:color w:val="auto"/>
                <w:kern w:val="0"/>
                <w:sz w:val="24"/>
                <w:highlight w:val="none"/>
              </w:rPr>
              <w:br w:type="textWrapping"/>
            </w:r>
            <w:r>
              <w:rPr>
                <w:rFonts w:hint="eastAsia" w:ascii="宋体" w:hAnsi="宋体"/>
                <w:color w:val="auto"/>
                <w:kern w:val="0"/>
                <w:sz w:val="24"/>
                <w:highlight w:val="none"/>
              </w:rPr>
              <w:t>16、装置自动化：由计算机系统自动控制，对数据自动采集、计算、判断、打印、保存和查询。</w:t>
            </w:r>
            <w:r>
              <w:rPr>
                <w:rFonts w:hint="eastAsia" w:ascii="宋体"/>
                <w:color w:val="auto"/>
                <w:kern w:val="0"/>
                <w:sz w:val="24"/>
                <w:highlight w:val="none"/>
              </w:rPr>
              <w:br w:type="textWrapping"/>
            </w:r>
            <w:r>
              <w:rPr>
                <w:rFonts w:hint="eastAsia" w:ascii="宋体" w:hAnsi="宋体"/>
                <w:color w:val="auto"/>
                <w:kern w:val="0"/>
                <w:sz w:val="24"/>
                <w:highlight w:val="none"/>
              </w:rPr>
              <w:t>17、装置材质：主体骨架铝合金型材与不锈钢304，表面采用抛光处理。</w:t>
            </w:r>
            <w:r>
              <w:rPr>
                <w:rFonts w:hint="eastAsia" w:ascii="宋体"/>
                <w:color w:val="auto"/>
                <w:kern w:val="0"/>
                <w:sz w:val="24"/>
                <w:highlight w:val="none"/>
              </w:rPr>
              <w:br w:type="textWrapping"/>
            </w:r>
            <w:r>
              <w:rPr>
                <w:rFonts w:hint="eastAsia" w:ascii="宋体" w:hAnsi="宋体"/>
                <w:color w:val="auto"/>
                <w:kern w:val="0"/>
                <w:sz w:val="24"/>
                <w:highlight w:val="none"/>
              </w:rPr>
              <w:t>18、每只被检表采集接口连接线为并线六线制（铜芯软线0.25平方），每组线需要布线到控制箱，按最多的被检表数量布线，线终端与红外工具连接头为快速航空插头。</w:t>
            </w:r>
          </w:p>
          <w:p w14:paraId="4A27E1D4">
            <w:pPr>
              <w:rPr>
                <w:rFonts w:ascii="宋体" w:cs="宋体"/>
                <w:color w:val="auto"/>
                <w:kern w:val="0"/>
                <w:sz w:val="24"/>
                <w:highlight w:val="none"/>
              </w:rPr>
            </w:pPr>
            <w:r>
              <w:rPr>
                <w:rFonts w:hint="eastAsia" w:ascii="宋体" w:cs="宋体"/>
                <w:color w:val="auto"/>
                <w:kern w:val="0"/>
                <w:sz w:val="24"/>
                <w:highlight w:val="none"/>
              </w:rPr>
              <w:t>19、红外工具可使用USB接口与上位机自动抄表系统进行连接。</w:t>
            </w:r>
          </w:p>
        </w:tc>
        <w:tc>
          <w:tcPr>
            <w:tcW w:w="5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06929">
            <w:pPr>
              <w:widowControl/>
              <w:jc w:val="center"/>
              <w:textAlignment w:val="center"/>
              <w:rPr>
                <w:rFonts w:ascii="宋体" w:cs="宋体"/>
                <w:color w:val="auto"/>
                <w:kern w:val="0"/>
                <w:sz w:val="24"/>
                <w:highlight w:val="none"/>
              </w:rPr>
            </w:pPr>
            <w:r>
              <w:rPr>
                <w:rFonts w:hint="eastAsia" w:ascii="宋体" w:cs="宋体"/>
                <w:color w:val="auto"/>
                <w:kern w:val="0"/>
                <w:sz w:val="24"/>
                <w:highlight w:val="none"/>
              </w:rPr>
              <w:t>1</w:t>
            </w:r>
          </w:p>
        </w:tc>
      </w:tr>
      <w:tr w14:paraId="0D0406E5">
        <w:trPr>
          <w:trHeight w:val="1076" w:hRule="atLeast"/>
          <w:jc w:val="center"/>
        </w:trPr>
        <w:tc>
          <w:tcPr>
            <w:tcW w:w="50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3C84DE">
            <w:pPr>
              <w:widowControl/>
              <w:jc w:val="both"/>
              <w:textAlignment w:val="center"/>
              <w:rPr>
                <w:rFonts w:hint="default" w:ascii="宋体" w:eastAsia="宋体" w:cs="宋体"/>
                <w:color w:val="auto"/>
                <w:kern w:val="0"/>
                <w:sz w:val="24"/>
                <w:highlight w:val="none"/>
                <w:lang w:val="en-US" w:eastAsia="zh-CN"/>
              </w:rPr>
            </w:pPr>
            <w:r>
              <w:rPr>
                <w:rFonts w:hint="eastAsia" w:ascii="宋体" w:cs="宋体"/>
                <w:color w:val="auto"/>
                <w:kern w:val="0"/>
                <w:sz w:val="24"/>
                <w:highlight w:val="none"/>
                <w:lang w:val="en-US" w:eastAsia="zh-CN"/>
              </w:rPr>
              <w:t>交付验收需提交由省级及以上法定计量检定机构出具的设备计量检定/校准证书</w:t>
            </w:r>
          </w:p>
        </w:tc>
      </w:tr>
    </w:tbl>
    <w:p w14:paraId="71179329">
      <w:pPr>
        <w:pStyle w:val="10"/>
        <w:rPr>
          <w:color w:val="auto"/>
          <w:highlight w:val="none"/>
        </w:rPr>
      </w:pPr>
    </w:p>
    <w:p w14:paraId="1FCCE424">
      <w:pPr>
        <w:pStyle w:val="10"/>
        <w:rPr>
          <w:rFonts w:hint="eastAsia" w:ascii="宋体" w:hAnsi="宋体" w:eastAsia="宋体" w:cs="Times New Roman"/>
          <w:b/>
          <w:bCs/>
          <w:color w:val="auto"/>
          <w:kern w:val="0"/>
          <w:sz w:val="44"/>
          <w:szCs w:val="44"/>
          <w:highlight w:val="none"/>
        </w:rPr>
      </w:pPr>
    </w:p>
    <w:p w14:paraId="47D02120">
      <w:pPr>
        <w:rPr>
          <w:rFonts w:hint="eastAsia" w:ascii="宋体" w:hAnsi="宋体" w:eastAsia="宋体" w:cs="Times New Roman"/>
          <w:b/>
          <w:bCs/>
          <w:color w:val="auto"/>
          <w:kern w:val="0"/>
          <w:sz w:val="44"/>
          <w:szCs w:val="44"/>
          <w:highlight w:val="none"/>
        </w:rPr>
      </w:pPr>
      <w:r>
        <w:rPr>
          <w:rFonts w:hint="eastAsia" w:ascii="宋体" w:hAnsi="宋体" w:eastAsia="宋体" w:cs="Times New Roman"/>
          <w:b/>
          <w:bCs/>
          <w:color w:val="auto"/>
          <w:kern w:val="0"/>
          <w:sz w:val="44"/>
          <w:szCs w:val="44"/>
          <w:highlight w:val="none"/>
        </w:rPr>
        <w:br w:type="page"/>
      </w:r>
    </w:p>
    <w:p w14:paraId="4D2456B2">
      <w:pPr>
        <w:pStyle w:val="10"/>
        <w:jc w:val="center"/>
        <w:rPr>
          <w:rFonts w:hint="eastAsia" w:ascii="宋体" w:hAnsi="宋体" w:eastAsia="宋体" w:cs="宋体"/>
          <w:b w:val="0"/>
          <w:bCs/>
          <w:color w:val="auto"/>
          <w:sz w:val="30"/>
          <w:szCs w:val="30"/>
          <w:highlight w:val="none"/>
        </w:rPr>
      </w:pPr>
      <w:r>
        <w:rPr>
          <w:rFonts w:hint="eastAsia" w:ascii="宋体" w:hAnsi="宋体" w:eastAsia="宋体" w:cs="宋体"/>
          <w:b w:val="0"/>
          <w:bCs/>
          <w:color w:val="auto"/>
          <w:sz w:val="30"/>
          <w:szCs w:val="30"/>
          <w:highlight w:val="none"/>
          <w:lang w:val="en-US" w:eastAsia="zh-CN"/>
        </w:rPr>
        <w:t>2标段</w:t>
      </w:r>
      <w:r>
        <w:rPr>
          <w:rFonts w:hint="eastAsia" w:ascii="宋体" w:hAnsi="宋体" w:eastAsia="宋体" w:cs="宋体"/>
          <w:b w:val="0"/>
          <w:bCs/>
          <w:color w:val="auto"/>
          <w:sz w:val="30"/>
          <w:szCs w:val="30"/>
          <w:highlight w:val="none"/>
        </w:rPr>
        <w:t>（民生包）</w:t>
      </w:r>
    </w:p>
    <w:tbl>
      <w:tblPr>
        <w:tblStyle w:val="14"/>
        <w:tblW w:w="5765" w:type="pct"/>
        <w:jc w:val="center"/>
        <w:tblLayout w:type="fixed"/>
        <w:tblCellMar>
          <w:top w:w="0" w:type="dxa"/>
          <w:left w:w="108" w:type="dxa"/>
          <w:bottom w:w="0" w:type="dxa"/>
          <w:right w:w="108" w:type="dxa"/>
        </w:tblCellMar>
      </w:tblPr>
      <w:tblGrid>
        <w:gridCol w:w="594"/>
        <w:gridCol w:w="1097"/>
        <w:gridCol w:w="7173"/>
        <w:gridCol w:w="962"/>
      </w:tblGrid>
      <w:tr w14:paraId="6F20B4B4">
        <w:trPr>
          <w:trHeight w:val="232" w:hRule="atLeast"/>
          <w:jc w:val="center"/>
        </w:trPr>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49574">
            <w:pPr>
              <w:widowControl/>
              <w:spacing w:line="400" w:lineRule="exact"/>
              <w:jc w:val="center"/>
              <w:textAlignment w:val="center"/>
              <w:rPr>
                <w:rFonts w:ascii="宋体" w:cs="宋体"/>
                <w:color w:val="auto"/>
                <w:sz w:val="24"/>
                <w:highlight w:val="none"/>
              </w:rPr>
            </w:pPr>
            <w:r>
              <w:rPr>
                <w:rFonts w:hint="eastAsia" w:ascii="宋体" w:cs="宋体"/>
                <w:color w:val="auto"/>
                <w:kern w:val="0"/>
                <w:sz w:val="24"/>
                <w:highlight w:val="none"/>
              </w:rPr>
              <w:t>序号</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823CA">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产品名称</w:t>
            </w:r>
          </w:p>
        </w:tc>
        <w:tc>
          <w:tcPr>
            <w:tcW w:w="3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D81F8">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技术参数</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76AC0">
            <w:pPr>
              <w:widowControl/>
              <w:spacing w:line="400" w:lineRule="exact"/>
              <w:jc w:val="center"/>
              <w:textAlignment w:val="center"/>
              <w:rPr>
                <w:rFonts w:ascii="宋体" w:cs="宋体"/>
                <w:color w:val="auto"/>
                <w:sz w:val="24"/>
                <w:highlight w:val="none"/>
              </w:rPr>
            </w:pPr>
            <w:r>
              <w:rPr>
                <w:rFonts w:hint="eastAsia" w:ascii="宋体" w:cs="宋体"/>
                <w:color w:val="auto"/>
                <w:kern w:val="0"/>
                <w:sz w:val="24"/>
                <w:highlight w:val="none"/>
              </w:rPr>
              <w:t>数量</w:t>
            </w:r>
          </w:p>
        </w:tc>
      </w:tr>
      <w:tr w14:paraId="18F4BA96">
        <w:trPr>
          <w:trHeight w:val="232" w:hRule="atLeast"/>
          <w:jc w:val="center"/>
        </w:trPr>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E1928">
            <w:pPr>
              <w:widowControl/>
              <w:spacing w:line="400" w:lineRule="exact"/>
              <w:jc w:val="center"/>
              <w:textAlignment w:val="center"/>
              <w:rPr>
                <w:rFonts w:ascii="宋体" w:cs="宋体"/>
                <w:color w:val="auto"/>
                <w:kern w:val="0"/>
                <w:sz w:val="24"/>
                <w:highlight w:val="none"/>
              </w:rPr>
            </w:pPr>
            <w:r>
              <w:rPr>
                <w:rFonts w:hint="eastAsia" w:ascii="宋体" w:cs="宋体"/>
                <w:color w:val="auto"/>
                <w:kern w:val="0"/>
                <w:sz w:val="24"/>
                <w:highlight w:val="none"/>
              </w:rPr>
              <w:t>1</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B8AE8">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铸铁砝码</w:t>
            </w:r>
          </w:p>
        </w:tc>
        <w:tc>
          <w:tcPr>
            <w:tcW w:w="3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0DCAD">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M1等级：1000kg/个，13个</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D0996">
            <w:pPr>
              <w:widowControl/>
              <w:spacing w:line="400" w:lineRule="exact"/>
              <w:jc w:val="center"/>
              <w:textAlignment w:val="center"/>
              <w:rPr>
                <w:rFonts w:ascii="宋体" w:cs="宋体"/>
                <w:color w:val="auto"/>
                <w:kern w:val="0"/>
                <w:sz w:val="24"/>
                <w:highlight w:val="none"/>
              </w:rPr>
            </w:pPr>
            <w:r>
              <w:rPr>
                <w:rFonts w:hint="eastAsia" w:ascii="宋体" w:cs="宋体"/>
                <w:color w:val="auto"/>
                <w:kern w:val="0"/>
                <w:sz w:val="24"/>
                <w:highlight w:val="none"/>
              </w:rPr>
              <w:t>13</w:t>
            </w:r>
          </w:p>
        </w:tc>
      </w:tr>
      <w:tr w14:paraId="3EAAC56C">
        <w:trPr>
          <w:trHeight w:val="895" w:hRule="atLeast"/>
          <w:jc w:val="center"/>
        </w:trPr>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678E5">
            <w:pPr>
              <w:widowControl/>
              <w:jc w:val="center"/>
              <w:textAlignment w:val="center"/>
              <w:rPr>
                <w:color w:val="auto"/>
                <w:sz w:val="24"/>
                <w:highlight w:val="none"/>
              </w:rPr>
            </w:pPr>
            <w:r>
              <w:rPr>
                <w:rFonts w:hint="eastAsia" w:ascii="宋体" w:cs="宋体"/>
                <w:color w:val="auto"/>
                <w:kern w:val="0"/>
                <w:sz w:val="24"/>
                <w:highlight w:val="none"/>
              </w:rPr>
              <w:t>2</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CE91A">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验光仪检定装置</w:t>
            </w:r>
          </w:p>
        </w:tc>
        <w:tc>
          <w:tcPr>
            <w:tcW w:w="3650" w:type="pct"/>
            <w:tcBorders>
              <w:top w:val="single" w:color="000000" w:sz="4" w:space="0"/>
              <w:left w:val="single" w:color="000000" w:sz="4" w:space="0"/>
              <w:bottom w:val="single" w:color="000000" w:sz="4" w:space="0"/>
              <w:right w:val="single" w:color="000000" w:sz="4" w:space="0"/>
            </w:tcBorders>
            <w:shd w:val="clear" w:color="auto" w:fill="auto"/>
          </w:tcPr>
          <w:p w14:paraId="0A819479">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1、球镜度的扩展不确定度为：U=（0.07～0.10） m-1 (k＝3)。</w:t>
            </w:r>
          </w:p>
          <w:p w14:paraId="6833B51C">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①（0～±10）m-1范围的客观式模拟眼的球镜度量值的年变化量不超过±0.06 m-1；</w:t>
            </w:r>
          </w:p>
          <w:p w14:paraId="063EA0E1">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②绝对值大于10 m-1范围的客观式模拟眼的球镜度量值的年变化量不超过±0.10 m-1。</w:t>
            </w:r>
          </w:p>
          <w:p w14:paraId="71281CF4">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2、柱镜度的扩展不确定度为：U=0.08 m-1 (k＝3)。</w:t>
            </w:r>
          </w:p>
          <w:p w14:paraId="6D406C69">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柱镜度量值的年变化量不超过±0.06 m-1。</w:t>
            </w:r>
          </w:p>
          <w:p w14:paraId="733E6DB2">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3、轴位控制器0°和90°轴位方位允许误差为±1°。</w:t>
            </w:r>
          </w:p>
          <w:p w14:paraId="638BB5BE">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4、55mm，65mm，75mm三个标准瞳距的允差为±0.5mm。</w:t>
            </w:r>
          </w:p>
          <w:p w14:paraId="57F811D7">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角膜曲率计用计量标准器、角膜曲率计轴位标准器：</w:t>
            </w:r>
          </w:p>
          <w:p w14:paraId="38E8F8CA">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测量范围：曲率半径：（5.5~10.0）mm</w:t>
            </w:r>
          </w:p>
          <w:p w14:paraId="3AE36410">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轴位： 0°～180°</w:t>
            </w:r>
          </w:p>
          <w:p w14:paraId="515CEB5D">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不确定度：曲率半径U=0.002 mm(k=2)；</w:t>
            </w:r>
          </w:p>
          <w:p w14:paraId="1334A43B">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轴位U=1°(k=2)</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2EB1A">
            <w:pPr>
              <w:widowControl/>
              <w:jc w:val="center"/>
              <w:textAlignment w:val="center"/>
              <w:rPr>
                <w:rFonts w:ascii="宋体" w:cs="宋体"/>
                <w:color w:val="auto"/>
                <w:kern w:val="0"/>
                <w:sz w:val="24"/>
                <w:highlight w:val="none"/>
              </w:rPr>
            </w:pPr>
            <w:r>
              <w:rPr>
                <w:rFonts w:hint="eastAsia" w:ascii="宋体" w:cs="宋体"/>
                <w:color w:val="auto"/>
                <w:kern w:val="0"/>
                <w:sz w:val="24"/>
                <w:highlight w:val="none"/>
              </w:rPr>
              <w:t>1</w:t>
            </w:r>
          </w:p>
        </w:tc>
      </w:tr>
      <w:tr w14:paraId="273870DD">
        <w:trPr>
          <w:trHeight w:val="271" w:hRule="atLeast"/>
          <w:jc w:val="center"/>
        </w:trPr>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69011">
            <w:pPr>
              <w:widowControl/>
              <w:jc w:val="center"/>
              <w:textAlignment w:val="center"/>
              <w:rPr>
                <w:color w:val="auto"/>
                <w:sz w:val="24"/>
                <w:highlight w:val="none"/>
              </w:rPr>
            </w:pPr>
            <w:r>
              <w:rPr>
                <w:rFonts w:hint="eastAsia" w:ascii="宋体" w:cs="宋体"/>
                <w:color w:val="auto"/>
                <w:kern w:val="0"/>
                <w:sz w:val="24"/>
                <w:highlight w:val="none"/>
              </w:rPr>
              <w:t>3</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22631">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超声功率计</w:t>
            </w:r>
          </w:p>
        </w:tc>
        <w:tc>
          <w:tcPr>
            <w:tcW w:w="3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3D2C3">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1、功率范围：0- 30W</w:t>
            </w:r>
          </w:p>
          <w:p w14:paraId="4BDEE097">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2、分辨率：1 mW</w:t>
            </w:r>
          </w:p>
          <w:p w14:paraId="42A43C28">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3、最小可测量功率：1mW</w:t>
            </w:r>
          </w:p>
          <w:p w14:paraId="2139F26D">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4、显示灵敏度：0.001W</w:t>
            </w:r>
          </w:p>
          <w:p w14:paraId="5B40B519">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5、精度：± 3%±一个读数</w:t>
            </w:r>
          </w:p>
          <w:p w14:paraId="12F04CD7">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6、清零方法：自动</w:t>
            </w:r>
          </w:p>
          <w:p w14:paraId="3F48070E">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7、最大探头尺寸：8cm 直径</w:t>
            </w:r>
          </w:p>
          <w:p w14:paraId="4693006B">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8、探头操作频率：0.5-10MHz</w:t>
            </w:r>
          </w:p>
          <w:p w14:paraId="73E65E22">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9、反射靶材质：高分子复合材料</w:t>
            </w:r>
          </w:p>
          <w:p w14:paraId="5416A540">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10、挂靶方式：单杆挂靶</w:t>
            </w:r>
          </w:p>
          <w:p w14:paraId="5D1853D0">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11、锁定方式：双侧运输锁</w:t>
            </w:r>
          </w:p>
          <w:p w14:paraId="5AC89FE1">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12、测试介质：脱气水</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0A4E9">
            <w:pPr>
              <w:widowControl/>
              <w:jc w:val="center"/>
              <w:textAlignment w:val="center"/>
              <w:rPr>
                <w:rFonts w:ascii="宋体" w:cs="宋体"/>
                <w:color w:val="auto"/>
                <w:kern w:val="0"/>
                <w:sz w:val="24"/>
                <w:highlight w:val="none"/>
              </w:rPr>
            </w:pPr>
            <w:r>
              <w:rPr>
                <w:rFonts w:hint="eastAsia" w:ascii="宋体" w:cs="宋体"/>
                <w:color w:val="auto"/>
                <w:kern w:val="0"/>
                <w:sz w:val="24"/>
                <w:highlight w:val="none"/>
              </w:rPr>
              <w:t>1</w:t>
            </w:r>
          </w:p>
        </w:tc>
      </w:tr>
      <w:tr w14:paraId="3A850597">
        <w:trPr>
          <w:trHeight w:val="1964" w:hRule="atLeast"/>
          <w:jc w:val="center"/>
        </w:trPr>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62332">
            <w:pPr>
              <w:widowControl/>
              <w:jc w:val="center"/>
              <w:textAlignment w:val="center"/>
              <w:rPr>
                <w:color w:val="auto"/>
                <w:sz w:val="24"/>
                <w:highlight w:val="none"/>
              </w:rPr>
            </w:pPr>
            <w:r>
              <w:rPr>
                <w:rFonts w:hint="eastAsia" w:ascii="宋体" w:cs="宋体"/>
                <w:color w:val="auto"/>
                <w:kern w:val="0"/>
                <w:sz w:val="24"/>
                <w:highlight w:val="none"/>
              </w:rPr>
              <w:t>4</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FB622">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心脑电图机检定仪（智能化心、脑电图机、心电监护仪检定仪）</w:t>
            </w:r>
          </w:p>
        </w:tc>
        <w:tc>
          <w:tcPr>
            <w:tcW w:w="3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0AF91">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1、信号幅度（峰峰值）（方波、正弦波、三角波、标准心率信号）</w:t>
            </w:r>
          </w:p>
          <w:p w14:paraId="4611C7FE">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幅度范围:8μV～30V。最大允许误差：8μV～50μV，±5%；50μV～80μV，±1%；80μV～30V，±0.5%</w:t>
            </w:r>
          </w:p>
          <w:p w14:paraId="0706A951">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2、方波周期范围：2ms～50s，最大允许误差:±0.03%；输出阻抗小于600Ω；方波幅度调节最小步进0.05mV；方波周期/频率必须有以下点（针对心电图机检定规程最好以周期的方式显示和调节）。</w:t>
            </w:r>
          </w:p>
          <w:tbl>
            <w:tblPr>
              <w:tblStyle w:val="15"/>
              <w:tblW w:w="66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000"/>
              <w:gridCol w:w="887"/>
              <w:gridCol w:w="875"/>
              <w:gridCol w:w="700"/>
              <w:gridCol w:w="738"/>
              <w:gridCol w:w="650"/>
              <w:gridCol w:w="962"/>
            </w:tblGrid>
            <w:tr w14:paraId="6BDF9334">
              <w:tc>
                <w:tcPr>
                  <w:tcW w:w="885" w:type="dxa"/>
                  <w:tcBorders>
                    <w:top w:val="single" w:color="auto" w:sz="4" w:space="0"/>
                    <w:left w:val="single" w:color="auto" w:sz="4" w:space="0"/>
                    <w:bottom w:val="single" w:color="auto" w:sz="4" w:space="0"/>
                    <w:right w:val="single" w:color="auto" w:sz="4" w:space="0"/>
                  </w:tcBorders>
                  <w:vAlign w:val="center"/>
                </w:tcPr>
                <w:p w14:paraId="7727BEAF">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周期s</w:t>
                  </w:r>
                </w:p>
              </w:tc>
              <w:tc>
                <w:tcPr>
                  <w:tcW w:w="1000" w:type="dxa"/>
                  <w:tcBorders>
                    <w:top w:val="single" w:color="auto" w:sz="4" w:space="0"/>
                    <w:left w:val="single" w:color="auto" w:sz="4" w:space="0"/>
                    <w:bottom w:val="single" w:color="auto" w:sz="4" w:space="0"/>
                    <w:right w:val="single" w:color="auto" w:sz="4" w:space="0"/>
                  </w:tcBorders>
                  <w:vAlign w:val="center"/>
                </w:tcPr>
                <w:p w14:paraId="3C9ACE2F">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1.28</w:t>
                  </w:r>
                </w:p>
              </w:tc>
              <w:tc>
                <w:tcPr>
                  <w:tcW w:w="887" w:type="dxa"/>
                  <w:tcBorders>
                    <w:top w:val="single" w:color="auto" w:sz="4" w:space="0"/>
                    <w:left w:val="single" w:color="auto" w:sz="4" w:space="0"/>
                    <w:bottom w:val="single" w:color="auto" w:sz="4" w:space="0"/>
                    <w:right w:val="single" w:color="auto" w:sz="4" w:space="0"/>
                  </w:tcBorders>
                  <w:vAlign w:val="center"/>
                </w:tcPr>
                <w:p w14:paraId="137BC427">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0.64</w:t>
                  </w:r>
                </w:p>
              </w:tc>
              <w:tc>
                <w:tcPr>
                  <w:tcW w:w="875" w:type="dxa"/>
                  <w:tcBorders>
                    <w:top w:val="single" w:color="auto" w:sz="4" w:space="0"/>
                    <w:left w:val="single" w:color="auto" w:sz="4" w:space="0"/>
                    <w:bottom w:val="single" w:color="auto" w:sz="4" w:space="0"/>
                    <w:right w:val="single" w:color="auto" w:sz="4" w:space="0"/>
                  </w:tcBorders>
                  <w:vAlign w:val="center"/>
                </w:tcPr>
                <w:p w14:paraId="5CCC2975">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0.32</w:t>
                  </w:r>
                </w:p>
              </w:tc>
              <w:tc>
                <w:tcPr>
                  <w:tcW w:w="700" w:type="dxa"/>
                  <w:tcBorders>
                    <w:top w:val="single" w:color="auto" w:sz="4" w:space="0"/>
                    <w:left w:val="single" w:color="auto" w:sz="4" w:space="0"/>
                    <w:bottom w:val="single" w:color="auto" w:sz="4" w:space="0"/>
                    <w:right w:val="single" w:color="auto" w:sz="4" w:space="0"/>
                  </w:tcBorders>
                  <w:vAlign w:val="center"/>
                </w:tcPr>
                <w:p w14:paraId="638157FF">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0.16</w:t>
                  </w:r>
                </w:p>
              </w:tc>
              <w:tc>
                <w:tcPr>
                  <w:tcW w:w="738" w:type="dxa"/>
                  <w:tcBorders>
                    <w:top w:val="single" w:color="auto" w:sz="4" w:space="0"/>
                    <w:left w:val="single" w:color="auto" w:sz="4" w:space="0"/>
                    <w:bottom w:val="single" w:color="auto" w:sz="4" w:space="0"/>
                    <w:right w:val="single" w:color="auto" w:sz="4" w:space="0"/>
                  </w:tcBorders>
                  <w:vAlign w:val="center"/>
                </w:tcPr>
                <w:p w14:paraId="5AB559E1">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0.08</w:t>
                  </w:r>
                </w:p>
              </w:tc>
              <w:tc>
                <w:tcPr>
                  <w:tcW w:w="650" w:type="dxa"/>
                  <w:tcBorders>
                    <w:top w:val="single" w:color="auto" w:sz="4" w:space="0"/>
                    <w:left w:val="single" w:color="auto" w:sz="4" w:space="0"/>
                    <w:bottom w:val="single" w:color="auto" w:sz="4" w:space="0"/>
                    <w:right w:val="single" w:color="auto" w:sz="4" w:space="0"/>
                  </w:tcBorders>
                  <w:vAlign w:val="center"/>
                </w:tcPr>
                <w:p w14:paraId="23A9FDF9">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0.04</w:t>
                  </w:r>
                </w:p>
              </w:tc>
              <w:tc>
                <w:tcPr>
                  <w:tcW w:w="962" w:type="dxa"/>
                  <w:tcBorders>
                    <w:top w:val="single" w:color="auto" w:sz="4" w:space="0"/>
                    <w:left w:val="single" w:color="auto" w:sz="4" w:space="0"/>
                    <w:bottom w:val="single" w:color="auto" w:sz="4" w:space="0"/>
                    <w:right w:val="single" w:color="auto" w:sz="4" w:space="0"/>
                  </w:tcBorders>
                  <w:vAlign w:val="center"/>
                </w:tcPr>
                <w:p w14:paraId="0BCD8BCF">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0.02</w:t>
                  </w:r>
                </w:p>
              </w:tc>
            </w:tr>
            <w:tr w14:paraId="41FBAFEC">
              <w:tc>
                <w:tcPr>
                  <w:tcW w:w="885" w:type="dxa"/>
                  <w:tcBorders>
                    <w:top w:val="single" w:color="auto" w:sz="4" w:space="0"/>
                    <w:left w:val="single" w:color="auto" w:sz="4" w:space="0"/>
                    <w:bottom w:val="single" w:color="auto" w:sz="4" w:space="0"/>
                    <w:right w:val="single" w:color="auto" w:sz="4" w:space="0"/>
                  </w:tcBorders>
                  <w:vAlign w:val="center"/>
                </w:tcPr>
                <w:p w14:paraId="310216CA">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频率Hz</w:t>
                  </w:r>
                </w:p>
              </w:tc>
              <w:tc>
                <w:tcPr>
                  <w:tcW w:w="1000" w:type="dxa"/>
                  <w:tcBorders>
                    <w:top w:val="single" w:color="auto" w:sz="4" w:space="0"/>
                    <w:left w:val="single" w:color="auto" w:sz="4" w:space="0"/>
                    <w:bottom w:val="single" w:color="auto" w:sz="4" w:space="0"/>
                    <w:right w:val="single" w:color="auto" w:sz="4" w:space="0"/>
                  </w:tcBorders>
                  <w:vAlign w:val="center"/>
                </w:tcPr>
                <w:p w14:paraId="6CF96E1C">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0.78125</w:t>
                  </w:r>
                </w:p>
              </w:tc>
              <w:tc>
                <w:tcPr>
                  <w:tcW w:w="887" w:type="dxa"/>
                  <w:tcBorders>
                    <w:top w:val="single" w:color="auto" w:sz="4" w:space="0"/>
                    <w:left w:val="single" w:color="auto" w:sz="4" w:space="0"/>
                    <w:bottom w:val="single" w:color="auto" w:sz="4" w:space="0"/>
                    <w:right w:val="single" w:color="auto" w:sz="4" w:space="0"/>
                  </w:tcBorders>
                  <w:vAlign w:val="center"/>
                </w:tcPr>
                <w:p w14:paraId="1B7998D4">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1.5625</w:t>
                  </w:r>
                </w:p>
              </w:tc>
              <w:tc>
                <w:tcPr>
                  <w:tcW w:w="875" w:type="dxa"/>
                  <w:tcBorders>
                    <w:top w:val="single" w:color="auto" w:sz="4" w:space="0"/>
                    <w:left w:val="single" w:color="auto" w:sz="4" w:space="0"/>
                    <w:bottom w:val="single" w:color="auto" w:sz="4" w:space="0"/>
                    <w:right w:val="single" w:color="auto" w:sz="4" w:space="0"/>
                  </w:tcBorders>
                  <w:vAlign w:val="center"/>
                </w:tcPr>
                <w:p w14:paraId="0C999E07">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3.125</w:t>
                  </w:r>
                </w:p>
              </w:tc>
              <w:tc>
                <w:tcPr>
                  <w:tcW w:w="700" w:type="dxa"/>
                  <w:tcBorders>
                    <w:top w:val="single" w:color="auto" w:sz="4" w:space="0"/>
                    <w:left w:val="single" w:color="auto" w:sz="4" w:space="0"/>
                    <w:bottom w:val="single" w:color="auto" w:sz="4" w:space="0"/>
                    <w:right w:val="single" w:color="auto" w:sz="4" w:space="0"/>
                  </w:tcBorders>
                  <w:vAlign w:val="center"/>
                </w:tcPr>
                <w:p w14:paraId="0D29530F">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6.25</w:t>
                  </w:r>
                </w:p>
              </w:tc>
              <w:tc>
                <w:tcPr>
                  <w:tcW w:w="738" w:type="dxa"/>
                  <w:tcBorders>
                    <w:top w:val="single" w:color="auto" w:sz="4" w:space="0"/>
                    <w:left w:val="single" w:color="auto" w:sz="4" w:space="0"/>
                    <w:bottom w:val="single" w:color="auto" w:sz="4" w:space="0"/>
                    <w:right w:val="single" w:color="auto" w:sz="4" w:space="0"/>
                  </w:tcBorders>
                  <w:vAlign w:val="center"/>
                </w:tcPr>
                <w:p w14:paraId="29F11C85">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12.5</w:t>
                  </w:r>
                </w:p>
              </w:tc>
              <w:tc>
                <w:tcPr>
                  <w:tcW w:w="650" w:type="dxa"/>
                  <w:tcBorders>
                    <w:top w:val="single" w:color="auto" w:sz="4" w:space="0"/>
                    <w:left w:val="single" w:color="auto" w:sz="4" w:space="0"/>
                    <w:bottom w:val="single" w:color="auto" w:sz="4" w:space="0"/>
                    <w:right w:val="single" w:color="auto" w:sz="4" w:space="0"/>
                  </w:tcBorders>
                  <w:vAlign w:val="center"/>
                </w:tcPr>
                <w:p w14:paraId="411F32DD">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25</w:t>
                  </w:r>
                </w:p>
              </w:tc>
              <w:tc>
                <w:tcPr>
                  <w:tcW w:w="962" w:type="dxa"/>
                  <w:tcBorders>
                    <w:top w:val="single" w:color="auto" w:sz="4" w:space="0"/>
                    <w:left w:val="single" w:color="auto" w:sz="4" w:space="0"/>
                    <w:bottom w:val="single" w:color="auto" w:sz="4" w:space="0"/>
                    <w:right w:val="single" w:color="auto" w:sz="4" w:space="0"/>
                  </w:tcBorders>
                  <w:vAlign w:val="center"/>
                </w:tcPr>
                <w:p w14:paraId="2952DC4E">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50</w:t>
                  </w:r>
                </w:p>
              </w:tc>
            </w:tr>
          </w:tbl>
          <w:p w14:paraId="59B25A22">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3、正弦波</w:t>
            </w:r>
          </w:p>
          <w:p w14:paraId="6BBD7316">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频率范围：20mHz～1000Hz，最大允许误差：±0.03%；</w:t>
            </w:r>
          </w:p>
          <w:p w14:paraId="39C89B88">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失真度：500Hz以下＜1%；500Hz以上＜2%；</w:t>
            </w:r>
          </w:p>
          <w:p w14:paraId="443A68CF">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输出阻抗小于600Ω；</w:t>
            </w:r>
          </w:p>
          <w:p w14:paraId="2504F9A8">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4、三角波</w:t>
            </w:r>
          </w:p>
          <w:p w14:paraId="3BBA4575">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周期范围：2ms～50s，最大允许误差：±0.1%</w:t>
            </w:r>
          </w:p>
          <w:p w14:paraId="79CA7DAC">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5、微分信号</w:t>
            </w:r>
          </w:p>
          <w:p w14:paraId="7FDB2A1C">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 xml:space="preserve">频率1Hz，时间常数，50ms，最大允许误差：±0.1% </w:t>
            </w:r>
          </w:p>
          <w:p w14:paraId="7D0C3888">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6、标准心率信号1（三角脉冲波，正负2种极性）</w:t>
            </w:r>
          </w:p>
          <w:p w14:paraId="0896C616">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心率范围：10～500次／分钟，最大允许误差：±0.1%</w:t>
            </w:r>
          </w:p>
          <w:p w14:paraId="66E631BB">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7、标准心率信号2（仿真ECG（T波与QRS波极性相反）、HR仿真型信号T波与QRS波极性相反）、模拟窦性心率（T波与QRS波极性相同）)</w:t>
            </w:r>
          </w:p>
          <w:p w14:paraId="5DEA1760">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心率范围：20～300次／分钟，最大允许误差：±0.1%</w:t>
            </w:r>
          </w:p>
          <w:p w14:paraId="19F3B9E0">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8、起搏信号（正弦波与方波脉冲叠加信号）</w:t>
            </w:r>
          </w:p>
          <w:p w14:paraId="532C42D2">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方波脉冲幅度：2mV、20mV和200mV，最大允许误差:±0.5%。</w:t>
            </w:r>
          </w:p>
          <w:p w14:paraId="394E80B8">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方波脉冲频率误差:±0.2%。</w:t>
            </w:r>
          </w:p>
          <w:p w14:paraId="4C277499">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9、极化电压</w:t>
            </w:r>
          </w:p>
          <w:p w14:paraId="09D3C35C">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幅度范围：±300mV，最大允许误差：±1%。</w:t>
            </w:r>
          </w:p>
          <w:p w14:paraId="3979951D">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10、共模电压</w:t>
            </w:r>
          </w:p>
          <w:p w14:paraId="748B159A">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幅度范围：（9-11）V（有效值），最大允许误差：±5%</w:t>
            </w:r>
          </w:p>
          <w:p w14:paraId="01FA9689">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频率范围：（50±1）Hz，输入阻抗：＞300MΩ。</w:t>
            </w:r>
          </w:p>
          <w:p w14:paraId="1C33C9CC">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等效输出电容：200pF。</w:t>
            </w:r>
          </w:p>
          <w:p w14:paraId="448400DD">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11、脑电用平衡衰减器</w:t>
            </w:r>
          </w:p>
          <w:p w14:paraId="5A2ADDD3">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衰减比：1/1000，最大允许误差：±0.3%</w:t>
            </w:r>
          </w:p>
          <w:p w14:paraId="11527062">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12、模拟皮肤阻抗</w:t>
            </w:r>
          </w:p>
          <w:p w14:paraId="6355A25B">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51kΩ电阻与47nF电容并联</w:t>
            </w:r>
          </w:p>
          <w:p w14:paraId="7CB5FEA4">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最大允许误差：电阻±2%，电容±10%</w:t>
            </w:r>
          </w:p>
          <w:p w14:paraId="578D99A5">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 xml:space="preserve">13、输入阻抗 </w:t>
            </w:r>
          </w:p>
          <w:p w14:paraId="516149CD">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620kΩ电阻与4.7nF电容并联，电阻±2%，电容±10%；</w:t>
            </w:r>
          </w:p>
          <w:p w14:paraId="7048C8C4">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100kΩ，100Ω，最大允许误差±0.1%；</w:t>
            </w:r>
          </w:p>
          <w:p w14:paraId="1B855E7E">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1kΩ，111Ω，最大允许误差±1%；电容 0.5μF，最大允许误差±5%；</w:t>
            </w:r>
          </w:p>
          <w:p w14:paraId="36BEF3D7">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14、输入电流串接电阻（心电监护仪专用）</w:t>
            </w:r>
          </w:p>
          <w:p w14:paraId="254CB9A0">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10kΩ电阻，电阻最大允许误差：±2%。</w:t>
            </w:r>
          </w:p>
          <w:p w14:paraId="5AC75C7C">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15、标准器满足新版JJG543-2026心电图机检定规程。</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0D2D3">
            <w:pPr>
              <w:widowControl/>
              <w:jc w:val="center"/>
              <w:textAlignment w:val="center"/>
              <w:rPr>
                <w:rFonts w:ascii="宋体" w:cs="宋体"/>
                <w:color w:val="auto"/>
                <w:kern w:val="0"/>
                <w:sz w:val="24"/>
                <w:highlight w:val="none"/>
              </w:rPr>
            </w:pPr>
            <w:r>
              <w:rPr>
                <w:rFonts w:hint="eastAsia" w:ascii="宋体" w:cs="宋体"/>
                <w:color w:val="auto"/>
                <w:kern w:val="0"/>
                <w:sz w:val="24"/>
                <w:highlight w:val="none"/>
              </w:rPr>
              <w:t>1</w:t>
            </w:r>
          </w:p>
        </w:tc>
      </w:tr>
      <w:tr w14:paraId="1F9CAFAC">
        <w:trPr>
          <w:trHeight w:val="1162" w:hRule="atLeast"/>
          <w:jc w:val="center"/>
        </w:trPr>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C23AC">
            <w:pPr>
              <w:widowControl/>
              <w:jc w:val="center"/>
              <w:textAlignment w:val="center"/>
              <w:rPr>
                <w:color w:val="auto"/>
                <w:sz w:val="24"/>
                <w:highlight w:val="none"/>
              </w:rPr>
            </w:pPr>
            <w:r>
              <w:rPr>
                <w:rFonts w:hint="eastAsia" w:ascii="宋体" w:cs="宋体"/>
                <w:color w:val="auto"/>
                <w:kern w:val="0"/>
                <w:sz w:val="24"/>
                <w:highlight w:val="none"/>
              </w:rPr>
              <w:t>5</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5A6DB">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医用注射泵和输液泵检测仪</w:t>
            </w:r>
          </w:p>
        </w:tc>
        <w:tc>
          <w:tcPr>
            <w:tcW w:w="3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B9916">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1、可以测试：注射泵、输液泵、PCA泵、阻塞压力、喇叭曲线</w:t>
            </w:r>
          </w:p>
          <w:p w14:paraId="1B44BC71">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2、内置可充电电池，续航时间≥8h ，满足长时间现场检测与移动使用需求</w:t>
            </w:r>
          </w:p>
          <w:p w14:paraId="3CD6F086">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3、流量范围：(0.1～1000)mL/h；</w:t>
            </w:r>
          </w:p>
          <w:p w14:paraId="68A973B7">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精度：［5，20）mL/h，最大允许误差：±（2.0%读数＋1个分度值），</w:t>
            </w:r>
          </w:p>
          <w:p w14:paraId="46AE1AB7">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重复性：1.0%</w:t>
            </w:r>
          </w:p>
          <w:p w14:paraId="3DF701AE">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［20，200］mL/h，最大允许误差：±（1.0%读数＋1个分度值），</w:t>
            </w:r>
          </w:p>
          <w:p w14:paraId="0C88391A">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重复性：0.5%</w:t>
            </w:r>
          </w:p>
          <w:p w14:paraId="20E7EA99">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（200，1000］mL/h，最大允许误差：±（2.0%读数＋1个分度值），</w:t>
            </w:r>
          </w:p>
          <w:p w14:paraId="2DF79910">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重复性：1.0%</w:t>
            </w:r>
            <w:r>
              <w:rPr>
                <w:rFonts w:hint="eastAsia" w:ascii="宋体" w:hAnsi="宋体" w:eastAsia="宋体" w:cs="Arial"/>
                <w:color w:val="auto"/>
                <w:kern w:val="0"/>
                <w:sz w:val="24"/>
                <w:highlight w:val="none"/>
              </w:rPr>
              <w:tab/>
            </w:r>
          </w:p>
          <w:p w14:paraId="211EF495">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4、压力范围：（0～200）kPa</w:t>
            </w:r>
            <w:r>
              <w:rPr>
                <w:rFonts w:hint="eastAsia" w:ascii="宋体" w:hAnsi="宋体" w:eastAsia="宋体" w:cs="Arial"/>
                <w:color w:val="auto"/>
                <w:kern w:val="0"/>
                <w:sz w:val="24"/>
                <w:highlight w:val="none"/>
              </w:rPr>
              <w:tab/>
            </w:r>
            <w:r>
              <w:rPr>
                <w:rFonts w:hint="eastAsia" w:ascii="宋体" w:hAnsi="宋体" w:eastAsia="宋体" w:cs="Arial"/>
                <w:color w:val="auto"/>
                <w:kern w:val="0"/>
                <w:sz w:val="24"/>
                <w:highlight w:val="none"/>
              </w:rPr>
              <w:t>精度：±2.0kPa</w:t>
            </w:r>
          </w:p>
          <w:p w14:paraId="2F86E027">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 xml:space="preserve">5、时间间隔：1s </w:t>
            </w:r>
          </w:p>
          <w:p w14:paraId="29BE2D9A">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6、时间：0～1000h ；精度：±（0.2%+0.2秒）</w:t>
            </w:r>
          </w:p>
          <w:p w14:paraId="2D837A74">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7、推注容量范围：0.01～100000mL；精度：± (2%+0.01mL)</w:t>
            </w:r>
          </w:p>
          <w:p w14:paraId="37195C6C">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8、触发阈值：4μL；</w:t>
            </w:r>
          </w:p>
          <w:p w14:paraId="5E106EDD">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9、支持4通道同时测试。</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8092E">
            <w:pPr>
              <w:widowControl/>
              <w:jc w:val="center"/>
              <w:textAlignment w:val="center"/>
              <w:rPr>
                <w:rFonts w:ascii="宋体" w:cs="宋体"/>
                <w:color w:val="auto"/>
                <w:kern w:val="0"/>
                <w:sz w:val="24"/>
                <w:highlight w:val="none"/>
              </w:rPr>
            </w:pPr>
            <w:r>
              <w:rPr>
                <w:rFonts w:hint="eastAsia" w:ascii="宋体" w:cs="宋体"/>
                <w:color w:val="auto"/>
                <w:kern w:val="0"/>
                <w:sz w:val="24"/>
                <w:highlight w:val="none"/>
              </w:rPr>
              <w:t>1</w:t>
            </w:r>
          </w:p>
        </w:tc>
      </w:tr>
      <w:tr w14:paraId="63D2EA76">
        <w:trPr>
          <w:trHeight w:val="1073" w:hRule="atLeast"/>
          <w:jc w:val="center"/>
        </w:trPr>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95770">
            <w:pPr>
              <w:widowControl/>
              <w:jc w:val="center"/>
              <w:textAlignment w:val="center"/>
              <w:rPr>
                <w:color w:val="auto"/>
                <w:sz w:val="24"/>
                <w:highlight w:val="none"/>
              </w:rPr>
            </w:pPr>
            <w:r>
              <w:rPr>
                <w:rFonts w:hint="eastAsia" w:ascii="宋体" w:cs="宋体"/>
                <w:color w:val="auto"/>
                <w:kern w:val="0"/>
                <w:sz w:val="24"/>
                <w:highlight w:val="none"/>
              </w:rPr>
              <w:t>6</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C4C76">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CR/DR机多功能检定装置</w:t>
            </w:r>
          </w:p>
        </w:tc>
        <w:tc>
          <w:tcPr>
            <w:tcW w:w="3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408A5">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1、多功能剂量仪:</w:t>
            </w:r>
          </w:p>
          <w:p w14:paraId="216B999B">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（1）单次曝光可显示多个参数，包括千伏、曝光时间、总剂量、剂量率、HVL等参数；</w:t>
            </w:r>
          </w:p>
          <w:p w14:paraId="79AFF9E3">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（2）可通过WIFI、蓝牙或其他无线方式连接平板电脑，可将测量数据传至手机或者平板电脑；</w:t>
            </w:r>
          </w:p>
          <w:p w14:paraId="44856B15">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（3）数据采集以及记录均可生成表格，可记录以Excel形式输出；</w:t>
            </w:r>
          </w:p>
          <w:p w14:paraId="11C2687B">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2、摄影透视牙科多功能探测器</w:t>
            </w:r>
          </w:p>
          <w:p w14:paraId="2D733C8A">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（1）能量范围：40kV～150kV，误差：±2%；</w:t>
            </w:r>
          </w:p>
          <w:p w14:paraId="52FE493B">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（2）剂量范围：100nGy～999Gy；误差：±5%</w:t>
            </w:r>
          </w:p>
          <w:p w14:paraId="28F0D181">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（3）剂量率范围：100nGy/s～500mGy/s；误差：±5%</w:t>
            </w:r>
          </w:p>
          <w:p w14:paraId="2810FA52">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（4）曝光时间：1ms～999s，误差±1% ；</w:t>
            </w:r>
          </w:p>
          <w:p w14:paraId="6076E902">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（5）半值层：（1.0～14.0）mmAl，误差为±10%</w:t>
            </w:r>
          </w:p>
          <w:p w14:paraId="4C2D5310">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3、乳腺探测器</w:t>
            </w:r>
          </w:p>
          <w:p w14:paraId="49AB8683">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（1）能量范围：（18-50）kV，误差：±2%或±1kV；</w:t>
            </w:r>
          </w:p>
          <w:p w14:paraId="62BEFABB">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（2）剂量范围：100μGy～999Gy；误差：±5%</w:t>
            </w:r>
          </w:p>
          <w:p w14:paraId="00B22B49">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（3）剂量率范围：100μGy/s～150mGy/s；误差：±5%</w:t>
            </w:r>
          </w:p>
          <w:p w14:paraId="2270172E">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（4）曝光时间：1ms～999s，误差：±1%；</w:t>
            </w:r>
          </w:p>
          <w:p w14:paraId="4E977917">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（5）半值层滤过：（0.2～1.2）mmAl，误差：±10%；</w:t>
            </w:r>
          </w:p>
          <w:p w14:paraId="4C42499D">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4、乳腺模体</w:t>
            </w:r>
          </w:p>
          <w:p w14:paraId="3325F966">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（1）乳腺性能剂量模体：1套</w:t>
            </w:r>
          </w:p>
          <w:p w14:paraId="7A570313">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有机玻璃板（PMMA）；尺寸：长240mm，宽180mm，高40mm（叠加）</w:t>
            </w:r>
          </w:p>
          <w:p w14:paraId="6C42383F">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（2）乳腺分辨力模体: 1套</w:t>
            </w:r>
          </w:p>
          <w:p w14:paraId="3B3FD017">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材料：等效乳腺腺体50%，脂肪组织50%</w:t>
            </w:r>
          </w:p>
          <w:p w14:paraId="06F136D2">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尼龙纤维直径为：1.56、1.12、0.89、0.75、0.54和0.40mm</w:t>
            </w:r>
          </w:p>
          <w:p w14:paraId="6CC24F6C">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三氧化二铝斑点直径为：0.54、0.40、0.32、0.24和0.16mm</w:t>
            </w:r>
          </w:p>
          <w:p w14:paraId="287F5D78">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圆盘厚度为2.00、1.00、0.75、0.50和0.25mm；</w:t>
            </w:r>
          </w:p>
          <w:p w14:paraId="54D5F9E8">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尺寸：模体总厚度42mm，其中底座34mm，盖板3mm</w:t>
            </w:r>
          </w:p>
          <w:p w14:paraId="2E26C67F">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全景牙科性能检测模体</w:t>
            </w:r>
          </w:p>
          <w:p w14:paraId="4D57670C">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（1）附加衰减层：厚度6mm±0.1mm的铝</w:t>
            </w:r>
          </w:p>
          <w:p w14:paraId="5BF67BE5">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（2）低对比度分辨力：0.5mm铝箔，圆孔孔径：1mm、1.5mm、2mm、2.5mm</w:t>
            </w:r>
          </w:p>
          <w:p w14:paraId="10FA92FF">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（3）空间分辨力：（1.6，2.0，2.2，2.5,3.0）Lp/mm</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D23BE">
            <w:pPr>
              <w:widowControl/>
              <w:jc w:val="center"/>
              <w:textAlignment w:val="center"/>
              <w:rPr>
                <w:rFonts w:ascii="宋体" w:cs="宋体"/>
                <w:color w:val="auto"/>
                <w:kern w:val="0"/>
                <w:sz w:val="24"/>
                <w:highlight w:val="none"/>
              </w:rPr>
            </w:pPr>
            <w:r>
              <w:rPr>
                <w:rFonts w:hint="eastAsia" w:ascii="宋体" w:cs="宋体"/>
                <w:color w:val="auto"/>
                <w:kern w:val="0"/>
                <w:sz w:val="24"/>
                <w:highlight w:val="none"/>
              </w:rPr>
              <w:t>1</w:t>
            </w:r>
          </w:p>
        </w:tc>
      </w:tr>
      <w:tr w14:paraId="430ED868">
        <w:trPr>
          <w:trHeight w:val="1162" w:hRule="atLeast"/>
          <w:jc w:val="center"/>
        </w:trPr>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EA525">
            <w:pPr>
              <w:widowControl/>
              <w:jc w:val="center"/>
              <w:textAlignment w:val="center"/>
              <w:rPr>
                <w:color w:val="auto"/>
                <w:sz w:val="24"/>
                <w:highlight w:val="none"/>
              </w:rPr>
            </w:pPr>
            <w:r>
              <w:rPr>
                <w:rFonts w:hint="eastAsia" w:ascii="宋体" w:cs="宋体"/>
                <w:color w:val="auto"/>
                <w:kern w:val="0"/>
                <w:sz w:val="24"/>
                <w:highlight w:val="none"/>
              </w:rPr>
              <w:t>7</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44BDE">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无创血压模拟仪</w:t>
            </w:r>
          </w:p>
        </w:tc>
        <w:tc>
          <w:tcPr>
            <w:tcW w:w="3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71A6A">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1、具有气密性测试、放气速率测试、过压保护测试功能；</w:t>
            </w:r>
          </w:p>
          <w:p w14:paraId="7FC0F9B1">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2、静态压力 　</w:t>
            </w:r>
          </w:p>
          <w:p w14:paraId="2F188362">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 xml:space="preserve">（1）压力发生范围 (0-450)mmHg </w:t>
            </w:r>
          </w:p>
          <w:p w14:paraId="594212AC">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 xml:space="preserve">（2）压力测试范围 (0-450)mmHg </w:t>
            </w:r>
          </w:p>
          <w:p w14:paraId="7C815A93">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（3）准确等级 0.05级</w:t>
            </w:r>
          </w:p>
          <w:p w14:paraId="24EF9FFE">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（4）分辨力 0.01mmHg</w:t>
            </w:r>
          </w:p>
          <w:p w14:paraId="78A45574">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（5）控压稳定度 0.05%FS</w:t>
            </w:r>
          </w:p>
          <w:p w14:paraId="10B60BD5">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3、动态血压模拟 　</w:t>
            </w:r>
          </w:p>
          <w:p w14:paraId="3E8D7FCF">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（1）成人模式 收缩压：(20-250)mmHg 舒张压：(10-200)mmHg</w:t>
            </w:r>
          </w:p>
          <w:p w14:paraId="60FA2123">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（2）新生儿模式 收缩压：(30-120)mmHg 舒张压：(10-100)mmHg</w:t>
            </w:r>
          </w:p>
          <w:p w14:paraId="56655A21">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（3）血压值示值重复性 不大于0.13kPa（1mmHg）</w:t>
            </w:r>
          </w:p>
          <w:p w14:paraId="48400819">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（4）心率范围 （30-250）次/min</w:t>
            </w:r>
          </w:p>
          <w:p w14:paraId="442EA830">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（5）心率准确度 ±（1%R.D+1）（30-200）次/min</w:t>
            </w:r>
          </w:p>
          <w:p w14:paraId="69D72E69">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（6）脉搏量 (0.1-2.4)CC</w:t>
            </w:r>
          </w:p>
          <w:p w14:paraId="67BD62AF">
            <w:pPr>
              <w:widowControl/>
              <w:jc w:val="left"/>
              <w:textAlignment w:val="center"/>
              <w:rPr>
                <w:rFonts w:hint="eastAsia" w:ascii="宋体" w:hAnsi="宋体" w:eastAsia="宋体" w:cs="Arial"/>
                <w:color w:val="auto"/>
                <w:kern w:val="0"/>
                <w:sz w:val="24"/>
                <w:highlight w:val="none"/>
              </w:rPr>
            </w:pPr>
            <w:r>
              <w:rPr>
                <w:rFonts w:hint="eastAsia" w:ascii="宋体" w:hAnsi="宋体" w:eastAsia="宋体" w:cs="Arial"/>
                <w:color w:val="auto"/>
                <w:kern w:val="0"/>
                <w:sz w:val="24"/>
                <w:highlight w:val="none"/>
              </w:rPr>
              <w:t>（7）增量 0.1CC</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48EF2">
            <w:pPr>
              <w:widowControl/>
              <w:jc w:val="center"/>
              <w:textAlignment w:val="center"/>
              <w:rPr>
                <w:rFonts w:ascii="宋体" w:cs="宋体"/>
                <w:color w:val="auto"/>
                <w:kern w:val="0"/>
                <w:sz w:val="24"/>
                <w:highlight w:val="none"/>
              </w:rPr>
            </w:pPr>
            <w:r>
              <w:rPr>
                <w:rFonts w:hint="eastAsia" w:ascii="宋体" w:cs="宋体"/>
                <w:color w:val="auto"/>
                <w:kern w:val="0"/>
                <w:sz w:val="24"/>
                <w:highlight w:val="none"/>
              </w:rPr>
              <w:t>1</w:t>
            </w:r>
          </w:p>
        </w:tc>
      </w:tr>
      <w:tr w14:paraId="3E6EDD65">
        <w:trPr>
          <w:trHeight w:val="1162" w:hRule="atLeast"/>
          <w:jc w:val="center"/>
        </w:trPr>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A5062">
            <w:pPr>
              <w:widowControl/>
              <w:jc w:val="center"/>
              <w:textAlignment w:val="center"/>
              <w:rPr>
                <w:rFonts w:ascii="宋体" w:cs="宋体"/>
                <w:color w:val="auto"/>
                <w:kern w:val="0"/>
                <w:sz w:val="24"/>
                <w:highlight w:val="none"/>
              </w:rPr>
            </w:pPr>
            <w:r>
              <w:rPr>
                <w:rFonts w:hint="eastAsia" w:ascii="宋体" w:cs="宋体"/>
                <w:color w:val="auto"/>
                <w:kern w:val="0"/>
                <w:sz w:val="24"/>
                <w:highlight w:val="none"/>
              </w:rPr>
              <w:t>8</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77FF3">
            <w:pPr>
              <w:widowControl/>
              <w:jc w:val="center"/>
              <w:textAlignment w:val="center"/>
              <w:rPr>
                <w:rFonts w:ascii="宋体" w:hAnsi="宋体" w:cs="宋体"/>
                <w:color w:val="auto"/>
                <w:kern w:val="0"/>
                <w:sz w:val="20"/>
                <w:szCs w:val="20"/>
                <w:highlight w:val="none"/>
              </w:rPr>
            </w:pPr>
            <w:r>
              <w:rPr>
                <w:rFonts w:hint="eastAsia" w:ascii="宋体" w:cs="宋体"/>
                <w:color w:val="auto"/>
                <w:kern w:val="0"/>
                <w:sz w:val="24"/>
                <w:highlight w:val="none"/>
              </w:rPr>
              <w:t>标准金属量器</w:t>
            </w:r>
          </w:p>
        </w:tc>
        <w:tc>
          <w:tcPr>
            <w:tcW w:w="3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7A26E">
            <w:pPr>
              <w:widowControl/>
              <w:numPr>
                <w:ilvl w:val="0"/>
                <w:numId w:val="5"/>
              </w:numPr>
              <w:jc w:val="left"/>
              <w:textAlignment w:val="center"/>
              <w:rPr>
                <w:rFonts w:ascii="宋体" w:hAnsi="宋体"/>
                <w:color w:val="auto"/>
                <w:kern w:val="0"/>
                <w:sz w:val="24"/>
                <w:highlight w:val="none"/>
              </w:rPr>
            </w:pPr>
            <w:r>
              <w:rPr>
                <w:rFonts w:hint="eastAsia" w:ascii="宋体" w:hAnsi="宋体"/>
                <w:color w:val="auto"/>
                <w:kern w:val="0"/>
                <w:sz w:val="24"/>
                <w:highlight w:val="none"/>
              </w:rPr>
              <w:t>测量范围：20L/100L，最大允许误差:MPE:±2.5</w:t>
            </w:r>
            <w:r>
              <w:rPr>
                <w:rFonts w:ascii="Arial" w:hAnsi="Arial"/>
                <w:color w:val="auto"/>
                <w:kern w:val="0"/>
                <w:sz w:val="24"/>
                <w:highlight w:val="none"/>
              </w:rPr>
              <w:t>×</w:t>
            </w:r>
            <w:r>
              <w:rPr>
                <w:rFonts w:hint="eastAsia" w:ascii="宋体" w:hAnsi="宋体"/>
                <w:color w:val="auto"/>
                <w:kern w:val="0"/>
                <w:sz w:val="24"/>
                <w:highlight w:val="none"/>
              </w:rPr>
              <w:t>10</w:t>
            </w:r>
            <w:r>
              <w:rPr>
                <w:rFonts w:hint="eastAsia" w:ascii="宋体" w:hAnsi="宋体"/>
                <w:color w:val="auto"/>
                <w:kern w:val="0"/>
                <w:sz w:val="24"/>
                <w:highlight w:val="none"/>
                <w:vertAlign w:val="superscript"/>
              </w:rPr>
              <w:t>-4</w:t>
            </w:r>
            <w:r>
              <w:rPr>
                <w:rFonts w:hint="eastAsia" w:ascii="宋体" w:hAnsi="宋体"/>
                <w:color w:val="auto"/>
                <w:kern w:val="0"/>
                <w:sz w:val="24"/>
                <w:highlight w:val="none"/>
              </w:rPr>
              <w:t>； 材质：不锈钢；壁厚：≥2.5</w:t>
            </w:r>
            <w:r>
              <w:rPr>
                <w:rFonts w:hint="eastAsia" w:ascii="宋体" w:hAnsi="宋体"/>
                <w:color w:val="auto"/>
                <w:kern w:val="0"/>
                <w:sz w:val="24"/>
                <w:highlight w:val="none"/>
                <w:vertAlign w:val="subscript"/>
              </w:rPr>
              <w:t>-0.2</w:t>
            </w:r>
            <w:r>
              <w:rPr>
                <w:rFonts w:hint="eastAsia" w:ascii="宋体" w:hAnsi="宋体"/>
                <w:color w:val="auto"/>
                <w:kern w:val="0"/>
                <w:sz w:val="24"/>
                <w:highlight w:val="none"/>
              </w:rPr>
              <w:t>mm；计量颈的分度容积不大于标称容量的5</w:t>
            </w:r>
            <w:r>
              <w:rPr>
                <w:rFonts w:ascii="Arial" w:hAnsi="Arial"/>
                <w:color w:val="auto"/>
                <w:kern w:val="0"/>
                <w:sz w:val="24"/>
                <w:highlight w:val="none"/>
              </w:rPr>
              <w:t>×</w:t>
            </w:r>
            <w:r>
              <w:rPr>
                <w:rFonts w:hint="eastAsia" w:ascii="宋体" w:hAnsi="宋体"/>
                <w:color w:val="auto"/>
                <w:kern w:val="0"/>
                <w:sz w:val="24"/>
                <w:highlight w:val="none"/>
              </w:rPr>
              <w:t>10</w:t>
            </w:r>
            <w:r>
              <w:rPr>
                <w:rFonts w:hint="eastAsia" w:ascii="宋体" w:hAnsi="宋体"/>
                <w:color w:val="auto"/>
                <w:kern w:val="0"/>
                <w:sz w:val="24"/>
                <w:highlight w:val="none"/>
                <w:vertAlign w:val="superscript"/>
              </w:rPr>
              <w:t>-5</w:t>
            </w:r>
            <w:r>
              <w:rPr>
                <w:rFonts w:hint="eastAsia" w:ascii="宋体" w:hAnsi="宋体"/>
                <w:color w:val="auto"/>
                <w:kern w:val="0"/>
                <w:sz w:val="24"/>
                <w:highlight w:val="none"/>
              </w:rPr>
              <w:t>；</w:t>
            </w:r>
          </w:p>
          <w:p w14:paraId="1E06796B">
            <w:pPr>
              <w:widowControl/>
              <w:jc w:val="left"/>
              <w:textAlignment w:val="center"/>
              <w:rPr>
                <w:rFonts w:hint="eastAsia" w:ascii="宋体" w:hAnsi="宋体"/>
                <w:color w:val="auto"/>
                <w:kern w:val="0"/>
                <w:sz w:val="24"/>
                <w:highlight w:val="none"/>
              </w:rPr>
            </w:pPr>
            <w:r>
              <w:rPr>
                <w:rFonts w:hint="eastAsia" w:ascii="宋体" w:hAnsi="宋体"/>
                <w:color w:val="auto"/>
                <w:kern w:val="0"/>
                <w:sz w:val="24"/>
                <w:highlight w:val="none"/>
              </w:rPr>
              <w:t xml:space="preserve">2.量器应带有导液管，上计量颈末端应焊有溢流罩，溢流罩上边缘所在平面应与上计量颈轴线垂直；测量枪口油温与量器内油温的数显温度表(防爆)测量范围∶（-25～+55）℃，最大允许误差±0.1℃；量器应具有水平调节装置。 </w:t>
            </w:r>
            <w:r>
              <w:rPr>
                <w:rFonts w:hint="eastAsia" w:ascii="宋体" w:hAnsi="宋体"/>
                <w:color w:val="auto"/>
                <w:kern w:val="0"/>
                <w:sz w:val="24"/>
                <w:highlight w:val="none"/>
              </w:rPr>
              <w:br w:type="textWrapping"/>
            </w:r>
            <w:r>
              <w:rPr>
                <w:rFonts w:hint="eastAsia" w:ascii="宋体" w:hAnsi="宋体"/>
                <w:color w:val="auto"/>
                <w:kern w:val="0"/>
                <w:sz w:val="24"/>
                <w:highlight w:val="none"/>
              </w:rPr>
              <w:t>3. 检定工作专用皮卡车应符合国家机动车相关规定</w:t>
            </w:r>
            <w:r>
              <w:rPr>
                <w:rFonts w:hint="eastAsia" w:ascii="宋体" w:hAnsi="宋体"/>
                <w:color w:val="auto"/>
                <w:kern w:val="0"/>
                <w:sz w:val="24"/>
                <w:highlight w:val="none"/>
                <w:lang w:eastAsia="zh-CN"/>
              </w:rPr>
              <w:t>（</w:t>
            </w:r>
            <w:r>
              <w:rPr>
                <w:rFonts w:hint="eastAsia" w:ascii="宋体" w:hAnsi="宋体"/>
                <w:color w:val="auto"/>
                <w:kern w:val="0"/>
                <w:sz w:val="24"/>
                <w:highlight w:val="none"/>
                <w:lang w:val="en-US" w:eastAsia="zh-CN"/>
              </w:rPr>
              <w:t>绿牌</w:t>
            </w:r>
            <w:r>
              <w:rPr>
                <w:rFonts w:hint="eastAsia" w:ascii="宋体" w:hAnsi="宋体"/>
                <w:color w:val="auto"/>
                <w:kern w:val="0"/>
                <w:sz w:val="24"/>
                <w:highlight w:val="none"/>
                <w:lang w:eastAsia="zh-CN"/>
              </w:rPr>
              <w:t>）</w:t>
            </w:r>
            <w:r>
              <w:rPr>
                <w:rFonts w:hint="eastAsia" w:ascii="宋体" w:hAnsi="宋体"/>
                <w:color w:val="auto"/>
                <w:kern w:val="0"/>
                <w:sz w:val="24"/>
                <w:highlight w:val="none"/>
              </w:rPr>
              <w:t>；箱内尺寸不小于1760*1520*540mm</w:t>
            </w:r>
          </w:p>
          <w:p w14:paraId="66051662">
            <w:pPr>
              <w:widowControl/>
              <w:jc w:val="left"/>
              <w:textAlignment w:val="center"/>
              <w:rPr>
                <w:color w:val="auto"/>
                <w:highlight w:val="none"/>
              </w:rPr>
            </w:pPr>
            <w:r>
              <w:rPr>
                <w:rFonts w:hint="eastAsia" w:ascii="宋体" w:hAnsi="宋体"/>
                <w:color w:val="auto"/>
                <w:kern w:val="0"/>
                <w:sz w:val="24"/>
                <w:highlight w:val="none"/>
              </w:rPr>
              <w:t>4.其他指标应符合JJG259-2005标准金属量器检定规程二等量器的相关要求。满足JJG443-2023燃油加油机检定规程使用要求。</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ACFCA">
            <w:pPr>
              <w:widowControl/>
              <w:jc w:val="center"/>
              <w:textAlignment w:val="center"/>
              <w:rPr>
                <w:rFonts w:ascii="宋体" w:cs="宋体"/>
                <w:color w:val="auto"/>
                <w:kern w:val="0"/>
                <w:sz w:val="24"/>
                <w:highlight w:val="none"/>
              </w:rPr>
            </w:pPr>
            <w:r>
              <w:rPr>
                <w:rFonts w:hint="eastAsia" w:ascii="宋体" w:cs="宋体"/>
                <w:color w:val="auto"/>
                <w:kern w:val="0"/>
                <w:sz w:val="24"/>
                <w:highlight w:val="none"/>
              </w:rPr>
              <w:t>1</w:t>
            </w:r>
          </w:p>
        </w:tc>
      </w:tr>
      <w:tr w14:paraId="072CAA72">
        <w:trPr>
          <w:trHeight w:val="5446" w:hRule="atLeast"/>
          <w:jc w:val="center"/>
        </w:trPr>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60837">
            <w:pPr>
              <w:widowControl/>
              <w:jc w:val="center"/>
              <w:textAlignment w:val="center"/>
              <w:rPr>
                <w:rFonts w:ascii="宋体" w:cs="宋体"/>
                <w:color w:val="auto"/>
                <w:kern w:val="0"/>
                <w:sz w:val="24"/>
                <w:highlight w:val="none"/>
              </w:rPr>
            </w:pPr>
            <w:r>
              <w:rPr>
                <w:rFonts w:hint="eastAsia" w:ascii="宋体" w:cs="宋体"/>
                <w:color w:val="auto"/>
                <w:kern w:val="0"/>
                <w:sz w:val="24"/>
                <w:highlight w:val="none"/>
              </w:rPr>
              <w:t>9</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1949D">
            <w:pPr>
              <w:widowControl/>
              <w:jc w:val="center"/>
              <w:textAlignment w:val="center"/>
              <w:rPr>
                <w:rFonts w:ascii="宋体" w:hAnsi="宋体" w:cs="宋体"/>
                <w:color w:val="auto"/>
                <w:kern w:val="0"/>
                <w:sz w:val="20"/>
                <w:szCs w:val="20"/>
                <w:highlight w:val="none"/>
              </w:rPr>
            </w:pPr>
            <w:r>
              <w:rPr>
                <w:rFonts w:hint="eastAsia" w:ascii="宋体" w:cs="宋体"/>
                <w:color w:val="auto"/>
                <w:kern w:val="0"/>
                <w:sz w:val="24"/>
                <w:highlight w:val="none"/>
              </w:rPr>
              <w:t>全自动光栅指示表检定仪</w:t>
            </w:r>
          </w:p>
        </w:tc>
        <w:tc>
          <w:tcPr>
            <w:tcW w:w="3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F9A2A">
            <w:pPr>
              <w:widowControl/>
              <w:numPr>
                <w:ilvl w:val="0"/>
                <w:numId w:val="6"/>
              </w:numPr>
              <w:jc w:val="left"/>
              <w:textAlignment w:val="center"/>
              <w:rPr>
                <w:rFonts w:ascii="宋体" w:hAnsi="宋体" w:cs="宋体"/>
                <w:color w:val="auto"/>
                <w:kern w:val="0"/>
                <w:sz w:val="24"/>
                <w:highlight w:val="none"/>
              </w:rPr>
            </w:pPr>
            <w:r>
              <w:rPr>
                <w:rFonts w:hint="eastAsia" w:ascii="宋体" w:hAnsi="宋体" w:cs="宋体"/>
                <w:color w:val="auto"/>
                <w:kern w:val="0"/>
                <w:sz w:val="24"/>
                <w:highlight w:val="none"/>
              </w:rPr>
              <w:t>测量范围： 0</w:t>
            </w:r>
            <w:r>
              <w:rPr>
                <w:rFonts w:ascii="Times New Roman" w:hAnsi="Times New Roman" w:cs="Times New Roman"/>
                <w:color w:val="auto"/>
                <w:kern w:val="0"/>
                <w:sz w:val="24"/>
                <w:highlight w:val="none"/>
              </w:rPr>
              <w:t>~</w:t>
            </w:r>
            <w:r>
              <w:rPr>
                <w:rFonts w:hint="eastAsia" w:ascii="宋体" w:hAnsi="宋体" w:cs="宋体"/>
                <w:color w:val="auto"/>
                <w:kern w:val="0"/>
                <w:sz w:val="24"/>
                <w:highlight w:val="none"/>
              </w:rPr>
              <w:t>50mm；全程最大允许误差≤2.0µm；重复性0.1µm。</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 xml:space="preserve">2.分 辨 率：0.01µm </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 xml:space="preserve"> 任意 1mm 内≤0.6µm</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 xml:space="preserve"> 任意 2mm 内≤0.8µm</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 xml:space="preserve"> 全程最大误差≤2.0µm</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 xml:space="preserve"> 回程误差 ≤0.5µm</w:t>
            </w:r>
          </w:p>
          <w:p w14:paraId="669525CD">
            <w:pPr>
              <w:widowControl/>
              <w:jc w:val="left"/>
              <w:textAlignment w:val="center"/>
              <w:rPr>
                <w:rFonts w:ascii="宋体" w:hAnsi="宋体" w:cs="宋体"/>
                <w:color w:val="auto"/>
                <w:kern w:val="0"/>
                <w:sz w:val="24"/>
                <w:highlight w:val="none"/>
              </w:rPr>
            </w:pPr>
            <w:r>
              <w:rPr>
                <w:rFonts w:hint="eastAsia" w:ascii="宋体" w:hAnsi="宋体" w:cs="宋体"/>
                <w:color w:val="auto"/>
                <w:kern w:val="0"/>
                <w:sz w:val="24"/>
                <w:highlight w:val="none"/>
              </w:rPr>
              <w:t>3.其他指标应符合JJG201-2018指示类量具检定仪检定规程中相关要求，</w:t>
            </w:r>
          </w:p>
          <w:p w14:paraId="7BAF941F">
            <w:pPr>
              <w:autoSpaceDE w:val="0"/>
              <w:autoSpaceDN w:val="0"/>
              <w:adjustRightInd w:val="0"/>
              <w:spacing w:line="360" w:lineRule="auto"/>
              <w:jc w:val="left"/>
              <w:rPr>
                <w:rFonts w:ascii="宋体" w:hAnsi="宋体" w:cs="宋体"/>
                <w:color w:val="auto"/>
                <w:kern w:val="0"/>
                <w:sz w:val="24"/>
                <w:highlight w:val="none"/>
              </w:rPr>
            </w:pPr>
            <w:r>
              <w:rPr>
                <w:rFonts w:hint="eastAsia" w:ascii="宋体" w:hAnsi="宋体" w:cs="宋体"/>
                <w:color w:val="auto"/>
                <w:kern w:val="0"/>
                <w:sz w:val="24"/>
                <w:highlight w:val="none"/>
              </w:rPr>
              <w:t>4.指示表检定仪软件及其他性能指标应满足JJG34-2022相关要求，配备相关检定用电脑和打印设备；</w:t>
            </w:r>
          </w:p>
          <w:p w14:paraId="60F62C26">
            <w:pPr>
              <w:autoSpaceDE w:val="0"/>
              <w:autoSpaceDN w:val="0"/>
              <w:adjustRightInd w:val="0"/>
              <w:spacing w:line="360" w:lineRule="auto"/>
              <w:jc w:val="left"/>
              <w:rPr>
                <w:color w:val="auto"/>
                <w:highlight w:val="none"/>
              </w:rPr>
            </w:pPr>
            <w:r>
              <w:rPr>
                <w:rFonts w:hint="eastAsia" w:ascii="宋体" w:hAnsi="宋体" w:cs="宋体"/>
                <w:color w:val="auto"/>
                <w:kern w:val="0"/>
                <w:sz w:val="24"/>
                <w:highlight w:val="none"/>
              </w:rPr>
              <w:t>5.附件：配备表径为￠8mm的百分表、千分表夹具；表径为￠4、6、8mm的杠杆表、表径为￠4</w:t>
            </w:r>
            <w:r>
              <w:rPr>
                <w:rFonts w:ascii="Times New Roman" w:hAnsi="Times New Roman" w:cs="Times New Roman"/>
                <w:color w:val="auto"/>
                <w:kern w:val="0"/>
                <w:sz w:val="24"/>
                <w:highlight w:val="none"/>
              </w:rPr>
              <w:t>~</w:t>
            </w:r>
            <w:r>
              <w:rPr>
                <w:rFonts w:hint="eastAsia" w:ascii="宋体" w:hAnsi="宋体" w:cs="宋体"/>
                <w:color w:val="auto"/>
                <w:kern w:val="0"/>
                <w:sz w:val="24"/>
                <w:highlight w:val="none"/>
              </w:rPr>
              <w:t>28mm的内径表夹具；直径小于3mm小内径表夹具及专用校准软件模块。</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F2667">
            <w:pPr>
              <w:widowControl/>
              <w:jc w:val="center"/>
              <w:textAlignment w:val="center"/>
              <w:rPr>
                <w:rFonts w:ascii="宋体" w:cs="宋体"/>
                <w:color w:val="auto"/>
                <w:kern w:val="0"/>
                <w:sz w:val="24"/>
                <w:highlight w:val="none"/>
              </w:rPr>
            </w:pPr>
            <w:r>
              <w:rPr>
                <w:rFonts w:hint="eastAsia" w:ascii="宋体" w:cs="宋体"/>
                <w:color w:val="auto"/>
                <w:kern w:val="0"/>
                <w:sz w:val="24"/>
                <w:highlight w:val="none"/>
              </w:rPr>
              <w:t>1</w:t>
            </w:r>
          </w:p>
        </w:tc>
      </w:tr>
      <w:tr w14:paraId="4FB13F17">
        <w:trPr>
          <w:trHeight w:val="1162" w:hRule="atLeast"/>
          <w:jc w:val="center"/>
        </w:trPr>
        <w:tc>
          <w:tcPr>
            <w:tcW w:w="30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F23C8">
            <w:pPr>
              <w:widowControl/>
              <w:jc w:val="center"/>
              <w:textAlignment w:val="center"/>
              <w:rPr>
                <w:rFonts w:ascii="宋体" w:cs="宋体"/>
                <w:color w:val="auto"/>
                <w:kern w:val="0"/>
                <w:sz w:val="24"/>
                <w:highlight w:val="none"/>
              </w:rPr>
            </w:pPr>
            <w:r>
              <w:rPr>
                <w:rFonts w:hint="eastAsia" w:ascii="宋体" w:cs="宋体"/>
                <w:color w:val="auto"/>
                <w:kern w:val="0"/>
                <w:sz w:val="24"/>
                <w:highlight w:val="none"/>
              </w:rPr>
              <w:t>10</w:t>
            </w:r>
          </w:p>
        </w:tc>
        <w:tc>
          <w:tcPr>
            <w:tcW w:w="5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2AFA4">
            <w:pPr>
              <w:widowControl/>
              <w:jc w:val="center"/>
              <w:textAlignment w:val="center"/>
              <w:rPr>
                <w:rFonts w:ascii="宋体" w:hAnsi="宋体" w:cs="宋体"/>
                <w:color w:val="auto"/>
                <w:kern w:val="0"/>
                <w:sz w:val="20"/>
                <w:szCs w:val="20"/>
                <w:highlight w:val="none"/>
              </w:rPr>
            </w:pPr>
            <w:r>
              <w:rPr>
                <w:rFonts w:hint="eastAsia" w:ascii="宋体" w:cs="宋体"/>
                <w:color w:val="auto"/>
                <w:kern w:val="0"/>
                <w:sz w:val="24"/>
                <w:highlight w:val="none"/>
              </w:rPr>
              <w:t>压缩天然气加气机检定装置</w:t>
            </w:r>
          </w:p>
        </w:tc>
        <w:tc>
          <w:tcPr>
            <w:tcW w:w="36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B2FAD">
            <w:pPr>
              <w:widowControl/>
              <w:numPr>
                <w:ilvl w:val="0"/>
                <w:numId w:val="7"/>
              </w:numPr>
              <w:jc w:val="left"/>
              <w:textAlignment w:val="center"/>
              <w:rPr>
                <w:rFonts w:ascii="宋体" w:hAnsi="宋体" w:cs="宋体"/>
                <w:color w:val="auto"/>
                <w:kern w:val="0"/>
                <w:sz w:val="24"/>
                <w:highlight w:val="none"/>
              </w:rPr>
            </w:pPr>
            <w:r>
              <w:rPr>
                <w:rFonts w:hint="eastAsia" w:ascii="宋体" w:hAnsi="宋体" w:cs="宋体"/>
                <w:color w:val="auto"/>
                <w:kern w:val="0"/>
                <w:sz w:val="24"/>
                <w:highlight w:val="none"/>
              </w:rPr>
              <w:t>流量测量范围：（1～80）kg/min；</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2 、工作压力：最大工作压力不大于25MPa ；系统最高耐压37.5 MPa；</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3、 准确度等级：0.2级</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4、 重复性：≤ 0.1%；</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5、 工作温度：-25 ℃ ～ + 55 ℃；工作相对湿度： 30% ～ 90%；工作电压： 12V/ 1A （直流）；</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6、 主标准器质量流量计须经过严格筛选（1～80）kg/min ；5%流量点优于±0.2%。需提供筛选能力证明材料。</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7、 数字精密压力表</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压力测量范围：（0～40）MPa；准确度等级：不低于0.2级；</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8、检定软件（1套）：满足JJG996-2012《压缩天然气加气机检定规程》要求，能提供检测原始数据，能生成符合规范的原始记录、检定证书/报告；</w:t>
            </w:r>
          </w:p>
          <w:p w14:paraId="57C1E0A6">
            <w:pPr>
              <w:widowControl/>
              <w:numPr>
                <w:ilvl w:val="0"/>
                <w:numId w:val="8"/>
              </w:numPr>
              <w:jc w:val="left"/>
              <w:textAlignment w:val="center"/>
              <w:rPr>
                <w:rFonts w:ascii="宋体" w:hAnsi="宋体" w:cs="宋体"/>
                <w:color w:val="auto"/>
                <w:kern w:val="0"/>
                <w:sz w:val="24"/>
                <w:highlight w:val="none"/>
              </w:rPr>
            </w:pPr>
            <w:r>
              <w:rPr>
                <w:rFonts w:hint="eastAsia" w:ascii="宋体" w:hAnsi="宋体" w:cs="宋体"/>
                <w:color w:val="auto"/>
                <w:kern w:val="0"/>
                <w:sz w:val="24"/>
                <w:highlight w:val="none"/>
              </w:rPr>
              <w:t>数据处理系统：（笔记本电脑）双核、内存4G以上、硬盘500G以上支持win 10或win11系统；</w:t>
            </w:r>
          </w:p>
          <w:p w14:paraId="47A8892A">
            <w:pPr>
              <w:widowControl/>
              <w:jc w:val="left"/>
              <w:textAlignment w:val="center"/>
              <w:rPr>
                <w:color w:val="auto"/>
                <w:highlight w:val="none"/>
              </w:rPr>
            </w:pPr>
            <w:r>
              <w:rPr>
                <w:rFonts w:hint="eastAsia" w:ascii="宋体" w:hAnsi="宋体" w:cs="宋体"/>
                <w:color w:val="auto"/>
                <w:kern w:val="0"/>
                <w:sz w:val="24"/>
                <w:highlight w:val="none"/>
              </w:rPr>
              <w:t>10、检测控制系统：计数器累积脉冲数、数据采集、信号处理、数据处理及通信所引起的流量测量标准不确定度应不超过标准表法流量标准装置准确度等级的1/10。流量稳定性≤0.5%。</w:t>
            </w:r>
            <w:r>
              <w:rPr>
                <w:rFonts w:hint="eastAsia" w:ascii="宋体" w:hAnsi="宋体" w:cs="宋体"/>
                <w:color w:val="auto"/>
                <w:kern w:val="0"/>
                <w:sz w:val="24"/>
                <w:highlight w:val="none"/>
              </w:rPr>
              <w:br w:type="textWrapping"/>
            </w:r>
            <w:r>
              <w:rPr>
                <w:rFonts w:hint="eastAsia" w:ascii="宋体" w:hAnsi="宋体" w:cs="宋体"/>
                <w:color w:val="auto"/>
                <w:kern w:val="0"/>
                <w:sz w:val="24"/>
                <w:highlight w:val="none"/>
              </w:rPr>
              <w:t>11、附件：含加（卸）气柱加气枪（含软管）。</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71EA0">
            <w:pPr>
              <w:widowControl/>
              <w:jc w:val="center"/>
              <w:textAlignment w:val="center"/>
              <w:rPr>
                <w:rFonts w:ascii="宋体" w:cs="宋体"/>
                <w:color w:val="auto"/>
                <w:kern w:val="0"/>
                <w:sz w:val="24"/>
                <w:highlight w:val="none"/>
              </w:rPr>
            </w:pPr>
            <w:r>
              <w:rPr>
                <w:rFonts w:hint="eastAsia" w:ascii="宋体" w:cs="宋体"/>
                <w:color w:val="auto"/>
                <w:kern w:val="0"/>
                <w:sz w:val="24"/>
                <w:highlight w:val="none"/>
              </w:rPr>
              <w:t>1</w:t>
            </w:r>
          </w:p>
        </w:tc>
      </w:tr>
      <w:tr w14:paraId="044F3435">
        <w:trPr>
          <w:trHeight w:val="719" w:hRule="atLeast"/>
          <w:jc w:val="center"/>
        </w:trPr>
        <w:tc>
          <w:tcPr>
            <w:tcW w:w="86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784144">
            <w:pPr>
              <w:widowControl/>
              <w:jc w:val="center"/>
              <w:textAlignment w:val="center"/>
              <w:rPr>
                <w:rFonts w:hint="eastAsia" w:ascii="宋体" w:eastAsia="宋体" w:cs="宋体"/>
                <w:color w:val="auto"/>
                <w:kern w:val="0"/>
                <w:sz w:val="24"/>
                <w:highlight w:val="none"/>
                <w:lang w:val="en-US" w:eastAsia="zh-CN"/>
              </w:rPr>
            </w:pPr>
            <w:r>
              <w:rPr>
                <w:rFonts w:hint="eastAsia" w:ascii="宋体" w:cs="宋体"/>
                <w:color w:val="auto"/>
                <w:kern w:val="0"/>
                <w:sz w:val="24"/>
                <w:highlight w:val="none"/>
                <w:lang w:val="en-US" w:eastAsia="zh-CN"/>
              </w:rPr>
              <w:t>合计</w:t>
            </w:r>
          </w:p>
        </w:tc>
        <w:tc>
          <w:tcPr>
            <w:tcW w:w="413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C06E91">
            <w:pPr>
              <w:widowControl/>
              <w:tabs>
                <w:tab w:val="left" w:pos="1839"/>
              </w:tabs>
              <w:jc w:val="left"/>
              <w:textAlignment w:val="center"/>
              <w:rPr>
                <w:rFonts w:hint="eastAsia" w:ascii="宋体" w:eastAsia="宋体" w:cs="宋体"/>
                <w:color w:val="auto"/>
                <w:kern w:val="0"/>
                <w:sz w:val="24"/>
                <w:highlight w:val="none"/>
                <w:lang w:eastAsia="zh-CN"/>
              </w:rPr>
            </w:pPr>
            <w:r>
              <w:rPr>
                <w:rFonts w:hint="eastAsia" w:ascii="宋体" w:cs="宋体"/>
                <w:color w:val="auto"/>
                <w:kern w:val="0"/>
                <w:sz w:val="24"/>
                <w:highlight w:val="none"/>
                <w:lang w:eastAsia="zh-CN"/>
              </w:rPr>
              <w:t>交付验收需提交由省级及以上法定计量检定机构出具的设备计量检定/校准证书</w:t>
            </w:r>
          </w:p>
        </w:tc>
      </w:tr>
    </w:tbl>
    <w:p w14:paraId="74E2EA15">
      <w:pPr>
        <w:pStyle w:val="10"/>
        <w:rPr>
          <w:rFonts w:hint="eastAsia"/>
          <w:color w:val="auto"/>
          <w:highlight w:val="none"/>
        </w:rPr>
      </w:pPr>
    </w:p>
    <w:p w14:paraId="2CC30A96">
      <w:pPr>
        <w:rPr>
          <w:rFonts w:hint="eastAsia" w:ascii="宋体" w:hAnsi="宋体" w:eastAsia="宋体" w:cs="Times New Roman"/>
          <w:b/>
          <w:bCs/>
          <w:color w:val="auto"/>
          <w:kern w:val="0"/>
          <w:sz w:val="44"/>
          <w:szCs w:val="44"/>
          <w:highlight w:val="none"/>
        </w:rPr>
      </w:pPr>
      <w:r>
        <w:rPr>
          <w:rFonts w:hint="eastAsia" w:ascii="宋体" w:hAnsi="宋体" w:eastAsia="宋体" w:cs="Times New Roman"/>
          <w:b/>
          <w:bCs/>
          <w:color w:val="auto"/>
          <w:kern w:val="0"/>
          <w:sz w:val="44"/>
          <w:szCs w:val="44"/>
          <w:highlight w:val="none"/>
        </w:rPr>
        <w:br w:type="page"/>
      </w:r>
    </w:p>
    <w:p w14:paraId="75DC4843">
      <w:pPr>
        <w:spacing w:after="120"/>
        <w:jc w:val="center"/>
        <w:rPr>
          <w:rFonts w:ascii="宋体" w:hAnsi="宋体" w:eastAsia="宋体" w:cs="Times New Roman"/>
          <w:color w:val="auto"/>
          <w:kern w:val="0"/>
          <w:sz w:val="28"/>
          <w:szCs w:val="28"/>
          <w:highlight w:val="none"/>
        </w:rPr>
      </w:pPr>
      <w:r>
        <w:rPr>
          <w:rFonts w:hint="eastAsia" w:ascii="宋体" w:hAnsi="宋体" w:eastAsia="宋体" w:cs="Times New Roman"/>
          <w:b/>
          <w:bCs/>
          <w:color w:val="auto"/>
          <w:kern w:val="0"/>
          <w:sz w:val="44"/>
          <w:szCs w:val="44"/>
          <w:highlight w:val="none"/>
        </w:rPr>
        <w:t>第四章 评标办法</w:t>
      </w:r>
    </w:p>
    <w:p w14:paraId="34E2C949">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1. 投标文件的评审、比较和否决</w:t>
      </w:r>
    </w:p>
    <w:p w14:paraId="316F56CC">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1.1</w:t>
      </w:r>
      <w:r>
        <w:rPr>
          <w:rFonts w:hint="eastAsia" w:ascii="宋体" w:hAnsi="宋体" w:eastAsia="宋体" w:cs="Times New Roman"/>
          <w:color w:val="auto"/>
          <w:kern w:val="0"/>
          <w:sz w:val="24"/>
          <w:szCs w:val="24"/>
          <w:highlight w:val="none"/>
        </w:rPr>
        <w:t>评标委员会将按照招标文件的规定，仅对在实质上响应招标文件要求的投标文件进行评估和比较。</w:t>
      </w:r>
    </w:p>
    <w:p w14:paraId="2E0683A9">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1.2</w:t>
      </w:r>
      <w:r>
        <w:rPr>
          <w:rFonts w:hint="eastAsia" w:ascii="宋体" w:hAnsi="宋体" w:eastAsia="宋体" w:cs="Times New Roman"/>
          <w:color w:val="auto"/>
          <w:kern w:val="0"/>
          <w:sz w:val="24"/>
          <w:szCs w:val="24"/>
          <w:highlight w:val="none"/>
        </w:rPr>
        <w:t>根据相关法律法规及有关招投标文件规定，结合本项目具体情况，制定本次招标评标办法。并按照“公平、公正、科学、择优”的原则进行评标。采用百分制综合评估法进行评比。</w:t>
      </w:r>
    </w:p>
    <w:p w14:paraId="5F2F528A">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1.3</w:t>
      </w:r>
      <w:r>
        <w:rPr>
          <w:rFonts w:hint="eastAsia" w:ascii="宋体" w:hAnsi="宋体" w:eastAsia="宋体" w:cs="Times New Roman"/>
          <w:color w:val="auto"/>
          <w:kern w:val="0"/>
          <w:sz w:val="24"/>
          <w:szCs w:val="24"/>
          <w:highlight w:val="none"/>
        </w:rPr>
        <w:t>在评审过程中，评标委员会可以要求</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就投标文件中含义不明确的内容进行陈述；</w:t>
      </w:r>
      <w:r>
        <w:rPr>
          <w:rFonts w:hint="eastAsia" w:ascii="宋体" w:hAnsi="宋体" w:eastAsia="宋体" w:cs="Times New Roman"/>
          <w:color w:val="auto"/>
          <w:spacing w:val="-12"/>
          <w:kern w:val="0"/>
          <w:sz w:val="24"/>
          <w:szCs w:val="24"/>
          <w:highlight w:val="none"/>
        </w:rPr>
        <w:t>凡遇到招标文件中无界定或界定不清、前后不一致使评委会成员</w:t>
      </w:r>
      <w:r>
        <w:rPr>
          <w:rFonts w:hint="eastAsia" w:ascii="宋体" w:hAnsi="宋体" w:eastAsia="宋体" w:cs="Times New Roman"/>
          <w:color w:val="auto"/>
          <w:kern w:val="0"/>
          <w:sz w:val="24"/>
          <w:szCs w:val="24"/>
          <w:highlight w:val="none"/>
        </w:rPr>
        <w:t>意见</w:t>
      </w:r>
      <w:r>
        <w:rPr>
          <w:rFonts w:hint="eastAsia" w:ascii="宋体" w:hAnsi="宋体" w:eastAsia="宋体" w:cs="Times New Roman"/>
          <w:color w:val="auto"/>
          <w:spacing w:val="-12"/>
          <w:kern w:val="0"/>
          <w:sz w:val="24"/>
          <w:szCs w:val="24"/>
          <w:highlight w:val="none"/>
        </w:rPr>
        <w:t>有分歧且又难于协商一致的问题，均由评委会予以表决，获半数以上同意的即为通过，未获半数同意的即为否决</w:t>
      </w:r>
      <w:r>
        <w:rPr>
          <w:rFonts w:hint="eastAsia" w:ascii="宋体" w:hAnsi="宋体" w:eastAsia="宋体" w:cs="Times New Roman"/>
          <w:color w:val="auto"/>
          <w:kern w:val="0"/>
          <w:sz w:val="24"/>
          <w:szCs w:val="24"/>
          <w:highlight w:val="none"/>
        </w:rPr>
        <w:t>。</w:t>
      </w:r>
    </w:p>
    <w:p w14:paraId="7B04C991">
      <w:pPr>
        <w:widowControl/>
        <w:spacing w:line="360" w:lineRule="auto"/>
        <w:ind w:firstLine="480"/>
        <w:rPr>
          <w:rFonts w:hint="eastAsia" w:ascii="宋体" w:hAnsi="宋体"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1.4</w:t>
      </w:r>
      <w:r>
        <w:rPr>
          <w:rFonts w:hint="eastAsia" w:ascii="宋体" w:hAnsi="宋体" w:eastAsia="宋体" w:cs="Times New Roman"/>
          <w:color w:val="auto"/>
          <w:kern w:val="0"/>
          <w:sz w:val="24"/>
          <w:szCs w:val="24"/>
          <w:highlight w:val="none"/>
        </w:rPr>
        <w:t>评标时，投标报价是评标的重要依据，但不是唯一依据，采购人不承诺将合同授予报价最低或最高的</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w:t>
      </w:r>
    </w:p>
    <w:p w14:paraId="5E343A30">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1.</w:t>
      </w:r>
      <w:r>
        <w:rPr>
          <w:rFonts w:hint="eastAsia" w:ascii="宋体" w:hAnsi="宋体" w:eastAsia="宋体" w:cs="Times New Roman"/>
          <w:b/>
          <w:bCs/>
          <w:color w:val="auto"/>
          <w:kern w:val="0"/>
          <w:sz w:val="24"/>
          <w:szCs w:val="24"/>
          <w:highlight w:val="none"/>
          <w:lang w:val="en-US" w:eastAsia="zh-CN"/>
        </w:rPr>
        <w:t>5</w:t>
      </w:r>
      <w:r>
        <w:rPr>
          <w:rFonts w:hint="eastAsia" w:ascii="宋体" w:hAnsi="宋体" w:eastAsia="宋体" w:cs="Times New Roman"/>
          <w:color w:val="auto"/>
          <w:kern w:val="0"/>
          <w:sz w:val="24"/>
          <w:szCs w:val="24"/>
          <w:highlight w:val="none"/>
        </w:rPr>
        <w:t>评标委员会依据招标文件中规定的评标标准和方法，对投标文件进行评审和比较，向采购人提出书面评标报告，并推荐合格的中标候选人。采购人根据评标委员会提出的书面评标报告和推荐的中标候选人按序确定中标人。</w:t>
      </w:r>
    </w:p>
    <w:p w14:paraId="54B76C0F">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2. 评审程序</w:t>
      </w:r>
    </w:p>
    <w:p w14:paraId="30027EC6">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2.1 资格审查</w:t>
      </w:r>
    </w:p>
    <w:p w14:paraId="5F396B34">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本项目采用资格后审</w:t>
      </w:r>
    </w:p>
    <w:p w14:paraId="7004212D">
      <w:pPr>
        <w:widowControl/>
        <w:spacing w:line="360" w:lineRule="auto"/>
        <w:ind w:firstLine="480"/>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采购人或采购代理机构应当按照招标文件第二章</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须知2.0项要求，对</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的投标文件进行资格评审，有一项不符合的，视为未通过资格审查，合格</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不足3家的，不得评标。符合的进入下一评标程序。</w:t>
      </w:r>
    </w:p>
    <w:p w14:paraId="49E265FA">
      <w:pPr>
        <w:widowControl/>
        <w:spacing w:line="360" w:lineRule="auto"/>
        <w:ind w:firstLine="480"/>
        <w:rPr>
          <w:rFonts w:hint="default" w:asciiTheme="minorEastAsia" w:hAnsiTheme="minorEastAsia" w:cstheme="minorEastAsia"/>
          <w:color w:val="auto"/>
          <w:kern w:val="0"/>
          <w:sz w:val="24"/>
          <w:szCs w:val="24"/>
          <w:highlight w:val="none"/>
          <w:lang w:val="en-US" w:eastAsia="zh-CN"/>
        </w:rPr>
      </w:pPr>
      <w:r>
        <w:rPr>
          <w:rFonts w:hint="eastAsia" w:asciiTheme="minorEastAsia" w:hAnsiTheme="minorEastAsia" w:cstheme="minorEastAsia"/>
          <w:color w:val="auto"/>
          <w:kern w:val="0"/>
          <w:sz w:val="24"/>
          <w:szCs w:val="24"/>
          <w:highlight w:val="none"/>
          <w:lang w:val="en-US" w:eastAsia="zh-CN"/>
        </w:rPr>
        <w:t>2.2符合性审查及实质性审查</w:t>
      </w:r>
    </w:p>
    <w:p w14:paraId="4798F294">
      <w:pPr>
        <w:widowControl/>
        <w:spacing w:line="360" w:lineRule="auto"/>
        <w:ind w:firstLine="470" w:firstLineChars="196"/>
        <w:jc w:val="left"/>
        <w:rPr>
          <w:rFonts w:hint="eastAsia" w:asciiTheme="minorEastAsia" w:hAnsiTheme="minorEastAsia" w:cstheme="minorEastAsia"/>
          <w:color w:val="auto"/>
          <w:kern w:val="0"/>
          <w:sz w:val="24"/>
          <w:szCs w:val="24"/>
          <w:highlight w:val="none"/>
          <w:lang w:eastAsia="zh-CN"/>
        </w:rPr>
      </w:pPr>
      <w:r>
        <w:rPr>
          <w:rFonts w:hint="eastAsia" w:asciiTheme="minorEastAsia" w:hAnsiTheme="minorEastAsia" w:cstheme="minorEastAsia"/>
          <w:color w:val="auto"/>
          <w:kern w:val="0"/>
          <w:sz w:val="24"/>
          <w:szCs w:val="24"/>
          <w:highlight w:val="none"/>
          <w:lang w:val="en-US" w:eastAsia="zh-CN"/>
        </w:rPr>
        <w:t>评标委员会按照招标文件的要求，</w:t>
      </w:r>
      <w:r>
        <w:rPr>
          <w:rFonts w:hint="eastAsia" w:asciiTheme="minorEastAsia" w:hAnsiTheme="minorEastAsia" w:cstheme="minorEastAsia"/>
          <w:color w:val="auto"/>
          <w:kern w:val="0"/>
          <w:sz w:val="24"/>
          <w:szCs w:val="24"/>
          <w:highlight w:val="none"/>
        </w:rPr>
        <w:t>对供应商的投标文件进行</w:t>
      </w:r>
      <w:r>
        <w:rPr>
          <w:rFonts w:hint="eastAsia" w:asciiTheme="minorEastAsia" w:hAnsiTheme="minorEastAsia" w:cstheme="minorEastAsia"/>
          <w:color w:val="auto"/>
          <w:kern w:val="0"/>
          <w:sz w:val="24"/>
          <w:szCs w:val="24"/>
          <w:highlight w:val="none"/>
          <w:lang w:val="en-US" w:eastAsia="zh-CN"/>
        </w:rPr>
        <w:t>符合性</w:t>
      </w:r>
      <w:r>
        <w:rPr>
          <w:rFonts w:hint="eastAsia" w:asciiTheme="minorEastAsia" w:hAnsiTheme="minorEastAsia" w:cstheme="minorEastAsia"/>
          <w:color w:val="auto"/>
          <w:kern w:val="0"/>
          <w:sz w:val="24"/>
          <w:szCs w:val="24"/>
          <w:highlight w:val="none"/>
        </w:rPr>
        <w:t>评审，有一项不符合的，视为未通过</w:t>
      </w:r>
      <w:r>
        <w:rPr>
          <w:rFonts w:hint="eastAsia" w:asciiTheme="minorEastAsia" w:hAnsiTheme="minorEastAsia" w:cstheme="minorEastAsia"/>
          <w:color w:val="auto"/>
          <w:kern w:val="0"/>
          <w:sz w:val="24"/>
          <w:szCs w:val="24"/>
          <w:highlight w:val="none"/>
          <w:lang w:val="en-US" w:eastAsia="zh-CN"/>
        </w:rPr>
        <w:t>符合性</w:t>
      </w:r>
      <w:r>
        <w:rPr>
          <w:rFonts w:hint="eastAsia" w:asciiTheme="minorEastAsia" w:hAnsiTheme="minorEastAsia" w:cstheme="minorEastAsia"/>
          <w:color w:val="auto"/>
          <w:kern w:val="0"/>
          <w:sz w:val="24"/>
          <w:szCs w:val="24"/>
          <w:highlight w:val="none"/>
        </w:rPr>
        <w:t>审查</w:t>
      </w:r>
      <w:r>
        <w:rPr>
          <w:rFonts w:hint="eastAsia" w:asciiTheme="minorEastAsia" w:hAnsiTheme="minorEastAsia" w:cstheme="minorEastAsia"/>
          <w:color w:val="auto"/>
          <w:kern w:val="0"/>
          <w:sz w:val="24"/>
          <w:szCs w:val="24"/>
          <w:highlight w:val="none"/>
          <w:lang w:eastAsia="zh-CN"/>
        </w:rPr>
        <w:t>。有一项不符合的，按废标处理。</w:t>
      </w:r>
    </w:p>
    <w:p w14:paraId="58EB285D">
      <w:pPr>
        <w:widowControl/>
        <w:spacing w:line="360" w:lineRule="auto"/>
        <w:ind w:firstLine="471" w:firstLineChars="196"/>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3.评标具体方法和标准</w:t>
      </w:r>
    </w:p>
    <w:p w14:paraId="2AE4DC91">
      <w:pPr>
        <w:widowControl/>
        <w:spacing w:line="360" w:lineRule="auto"/>
        <w:ind w:firstLine="360" w:firstLineChars="150"/>
        <w:jc w:val="left"/>
        <w:rPr>
          <w:rFonts w:ascii="宋体" w:hAnsi="宋体" w:eastAsia="宋体" w:cs="Times New Roman"/>
          <w:color w:val="auto"/>
          <w:kern w:val="0"/>
          <w:sz w:val="28"/>
          <w:szCs w:val="28"/>
          <w:highlight w:val="none"/>
        </w:rPr>
      </w:pPr>
      <w:r>
        <w:rPr>
          <w:rFonts w:hint="eastAsia" w:ascii="宋体" w:hAnsi="宋体" w:eastAsia="宋体" w:cs="Times New Roman"/>
          <w:color w:val="auto"/>
          <w:kern w:val="0"/>
          <w:sz w:val="24"/>
          <w:szCs w:val="24"/>
          <w:highlight w:val="none"/>
        </w:rPr>
        <w:t>评标委员会根据评标原则和办法对所有投标文件进行集中审核，分别评价。</w:t>
      </w:r>
    </w:p>
    <w:tbl>
      <w:tblPr>
        <w:tblStyle w:val="14"/>
        <w:tblW w:w="105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1284"/>
        <w:gridCol w:w="2167"/>
        <w:gridCol w:w="6170"/>
      </w:tblGrid>
      <w:tr w14:paraId="529501B1">
        <w:trPr>
          <w:trHeight w:val="440" w:hRule="atLeast"/>
          <w:jc w:val="center"/>
        </w:trPr>
        <w:tc>
          <w:tcPr>
            <w:tcW w:w="2211" w:type="dxa"/>
            <w:gridSpan w:val="2"/>
            <w:tcBorders>
              <w:top w:val="single" w:color="auto" w:sz="4" w:space="0"/>
              <w:left w:val="single" w:color="auto" w:sz="4" w:space="0"/>
              <w:bottom w:val="single" w:color="auto" w:sz="4" w:space="0"/>
              <w:right w:val="single" w:color="auto" w:sz="4" w:space="0"/>
            </w:tcBorders>
            <w:vAlign w:val="center"/>
          </w:tcPr>
          <w:p w14:paraId="1D4F149C">
            <w:pPr>
              <w:keepNext/>
              <w:keepLines/>
              <w:tabs>
                <w:tab w:val="left" w:pos="5852"/>
              </w:tabs>
              <w:snapToGrid w:val="0"/>
              <w:spacing w:line="240" w:lineRule="exact"/>
              <w:ind w:left="425"/>
              <w:outlineLvl w:val="2"/>
              <w:rPr>
                <w:rFonts w:ascii="宋体" w:hAnsi="宋体" w:eastAsia="宋体" w:cs="Times New Roman"/>
                <w:b/>
                <w:color w:val="auto"/>
                <w:sz w:val="24"/>
                <w:szCs w:val="24"/>
                <w:highlight w:val="none"/>
              </w:rPr>
            </w:pPr>
            <w:r>
              <w:rPr>
                <w:rFonts w:hint="eastAsia" w:ascii="宋体" w:hAnsi="宋体" w:eastAsia="宋体" w:cs="Times New Roman"/>
                <w:color w:val="auto"/>
                <w:kern w:val="0"/>
                <w:sz w:val="28"/>
                <w:szCs w:val="28"/>
                <w:highlight w:val="none"/>
              </w:rPr>
              <w:br w:type="page"/>
            </w:r>
            <w:r>
              <w:rPr>
                <w:rFonts w:hint="eastAsia" w:ascii="宋体" w:hAnsi="宋体" w:eastAsia="宋体" w:cs="Times New Roman"/>
                <w:b/>
                <w:color w:val="auto"/>
                <w:sz w:val="24"/>
                <w:szCs w:val="24"/>
                <w:highlight w:val="none"/>
              </w:rPr>
              <w:t>条款号</w:t>
            </w:r>
          </w:p>
        </w:tc>
        <w:tc>
          <w:tcPr>
            <w:tcW w:w="2167" w:type="dxa"/>
            <w:tcBorders>
              <w:top w:val="single" w:color="auto" w:sz="4" w:space="0"/>
              <w:left w:val="single" w:color="auto" w:sz="4" w:space="0"/>
              <w:bottom w:val="single" w:color="auto" w:sz="4" w:space="0"/>
              <w:right w:val="single" w:color="auto" w:sz="4" w:space="0"/>
            </w:tcBorders>
            <w:vAlign w:val="center"/>
          </w:tcPr>
          <w:p w14:paraId="3CAEC50E">
            <w:pPr>
              <w:spacing w:line="360" w:lineRule="auto"/>
              <w:jc w:val="center"/>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评审因素</w:t>
            </w:r>
          </w:p>
        </w:tc>
        <w:tc>
          <w:tcPr>
            <w:tcW w:w="6170" w:type="dxa"/>
            <w:tcBorders>
              <w:top w:val="single" w:color="auto" w:sz="4" w:space="0"/>
              <w:left w:val="single" w:color="auto" w:sz="4" w:space="0"/>
              <w:bottom w:val="single" w:color="auto" w:sz="4" w:space="0"/>
              <w:right w:val="single" w:color="auto" w:sz="4" w:space="0"/>
            </w:tcBorders>
            <w:vAlign w:val="center"/>
          </w:tcPr>
          <w:p w14:paraId="69B00A3B">
            <w:pPr>
              <w:spacing w:line="360" w:lineRule="auto"/>
              <w:jc w:val="center"/>
              <w:rPr>
                <w:rFonts w:ascii="宋体" w:hAnsi="宋体" w:eastAsia="宋体" w:cs="Times New Roman"/>
                <w:b/>
                <w:color w:val="auto"/>
                <w:sz w:val="24"/>
                <w:szCs w:val="24"/>
                <w:highlight w:val="none"/>
              </w:rPr>
            </w:pPr>
            <w:r>
              <w:rPr>
                <w:rFonts w:hint="eastAsia" w:ascii="宋体" w:hAnsi="宋体" w:eastAsia="宋体" w:cs="Times New Roman"/>
                <w:b/>
                <w:color w:val="auto"/>
                <w:sz w:val="24"/>
                <w:szCs w:val="24"/>
                <w:highlight w:val="none"/>
              </w:rPr>
              <w:t>评审标准</w:t>
            </w:r>
          </w:p>
        </w:tc>
      </w:tr>
      <w:tr w14:paraId="7BB548F8">
        <w:trPr>
          <w:trHeight w:val="575" w:hRule="atLeast"/>
          <w:jc w:val="center"/>
        </w:trPr>
        <w:tc>
          <w:tcPr>
            <w:tcW w:w="927" w:type="dxa"/>
            <w:vMerge w:val="restart"/>
            <w:tcBorders>
              <w:top w:val="single" w:color="auto" w:sz="4" w:space="0"/>
              <w:left w:val="single" w:color="auto" w:sz="4" w:space="0"/>
              <w:right w:val="single" w:color="auto" w:sz="4" w:space="0"/>
            </w:tcBorders>
            <w:vAlign w:val="center"/>
          </w:tcPr>
          <w:p w14:paraId="34AB25C5">
            <w:pPr>
              <w:spacing w:line="360" w:lineRule="auto"/>
              <w:jc w:val="center"/>
              <w:rPr>
                <w:rFonts w:ascii="宋体" w:hAnsi="宋体" w:eastAsia="宋体" w:cs="Times New Roman"/>
                <w:b/>
                <w:color w:val="auto"/>
                <w:sz w:val="24"/>
                <w:szCs w:val="24"/>
                <w:highlight w:val="none"/>
              </w:rPr>
            </w:pPr>
            <w:r>
              <w:rPr>
                <w:rFonts w:hint="eastAsia" w:ascii="宋体" w:hAnsi="宋体" w:eastAsia="宋体" w:cs="Times New Roman"/>
                <w:bCs/>
                <w:color w:val="auto"/>
                <w:sz w:val="24"/>
                <w:szCs w:val="24"/>
                <w:highlight w:val="none"/>
              </w:rPr>
              <w:t>2.1.1</w:t>
            </w:r>
          </w:p>
        </w:tc>
        <w:tc>
          <w:tcPr>
            <w:tcW w:w="1284" w:type="dxa"/>
            <w:vMerge w:val="restart"/>
            <w:tcBorders>
              <w:top w:val="single" w:color="auto" w:sz="4" w:space="0"/>
              <w:left w:val="single" w:color="auto" w:sz="4" w:space="0"/>
              <w:right w:val="single" w:color="auto" w:sz="4" w:space="0"/>
            </w:tcBorders>
            <w:vAlign w:val="center"/>
          </w:tcPr>
          <w:p w14:paraId="44E97D61">
            <w:pPr>
              <w:widowControl/>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kern w:val="0"/>
                <w:sz w:val="24"/>
                <w:szCs w:val="24"/>
                <w:highlight w:val="none"/>
              </w:rPr>
              <w:t>资格</w:t>
            </w:r>
            <w:r>
              <w:rPr>
                <w:rFonts w:hint="eastAsia" w:ascii="宋体" w:hAnsi="宋体" w:eastAsia="宋体" w:cs="Times New Roman"/>
                <w:color w:val="auto"/>
                <w:sz w:val="24"/>
                <w:szCs w:val="24"/>
                <w:highlight w:val="none"/>
              </w:rPr>
              <w:t>性</w:t>
            </w:r>
          </w:p>
          <w:p w14:paraId="18CB3215">
            <w:pPr>
              <w:widowControl/>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审查</w:t>
            </w:r>
          </w:p>
          <w:p w14:paraId="2FB152B4">
            <w:pPr>
              <w:spacing w:line="360" w:lineRule="auto"/>
              <w:jc w:val="center"/>
              <w:rPr>
                <w:rFonts w:ascii="宋体" w:hAnsi="宋体" w:eastAsia="宋体" w:cs="Times New Roman"/>
                <w:b/>
                <w:color w:val="auto"/>
                <w:sz w:val="24"/>
                <w:szCs w:val="24"/>
                <w:highlight w:val="none"/>
              </w:rPr>
            </w:pPr>
            <w:r>
              <w:rPr>
                <w:rFonts w:hint="eastAsia" w:ascii="宋体" w:hAnsi="宋体" w:eastAsia="宋体" w:cs="Times New Roman"/>
                <w:color w:val="auto"/>
                <w:sz w:val="24"/>
                <w:szCs w:val="24"/>
                <w:highlight w:val="none"/>
              </w:rPr>
              <w:t>标准</w:t>
            </w:r>
          </w:p>
        </w:tc>
        <w:tc>
          <w:tcPr>
            <w:tcW w:w="2167" w:type="dxa"/>
            <w:tcBorders>
              <w:top w:val="single" w:color="auto" w:sz="4" w:space="0"/>
              <w:left w:val="single" w:color="auto" w:sz="4" w:space="0"/>
              <w:bottom w:val="single" w:color="auto" w:sz="4" w:space="0"/>
              <w:right w:val="single" w:color="auto" w:sz="4" w:space="0"/>
            </w:tcBorders>
            <w:vAlign w:val="center"/>
          </w:tcPr>
          <w:p w14:paraId="35ABF9F4">
            <w:pPr>
              <w:jc w:val="center"/>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lang w:eastAsia="zh-CN"/>
              </w:rPr>
              <w:t>营业执照</w:t>
            </w:r>
          </w:p>
        </w:tc>
        <w:tc>
          <w:tcPr>
            <w:tcW w:w="6170" w:type="dxa"/>
            <w:tcBorders>
              <w:top w:val="single" w:color="auto" w:sz="4" w:space="0"/>
              <w:left w:val="single" w:color="auto" w:sz="4" w:space="0"/>
              <w:bottom w:val="single" w:color="auto" w:sz="4" w:space="0"/>
              <w:right w:val="single" w:color="auto" w:sz="4" w:space="0"/>
            </w:tcBorders>
            <w:vAlign w:val="center"/>
          </w:tcPr>
          <w:p w14:paraId="28425EF5">
            <w:pPr>
              <w:spacing w:line="276"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lang w:eastAsia="zh-CN"/>
              </w:rPr>
              <w:t>投标供应商</w:t>
            </w:r>
            <w:r>
              <w:rPr>
                <w:rFonts w:hint="eastAsia" w:ascii="宋体" w:hAnsi="宋体" w:eastAsia="宋体" w:cs="Times New Roman"/>
                <w:color w:val="auto"/>
                <w:sz w:val="24"/>
                <w:szCs w:val="24"/>
                <w:highlight w:val="none"/>
              </w:rPr>
              <w:t>须具有合法有效的营业执照（可使用电子营业执照）；</w:t>
            </w:r>
          </w:p>
        </w:tc>
      </w:tr>
      <w:tr w14:paraId="522EFD8D">
        <w:trPr>
          <w:trHeight w:val="793" w:hRule="atLeast"/>
          <w:jc w:val="center"/>
        </w:trPr>
        <w:tc>
          <w:tcPr>
            <w:tcW w:w="927" w:type="dxa"/>
            <w:vMerge w:val="continue"/>
            <w:tcBorders>
              <w:left w:val="single" w:color="auto" w:sz="4" w:space="0"/>
              <w:right w:val="single" w:color="auto" w:sz="4" w:space="0"/>
            </w:tcBorders>
            <w:vAlign w:val="center"/>
          </w:tcPr>
          <w:p w14:paraId="3B9CDA9D">
            <w:pPr>
              <w:spacing w:line="360" w:lineRule="auto"/>
              <w:jc w:val="center"/>
              <w:rPr>
                <w:rFonts w:hint="eastAsia" w:ascii="宋体" w:hAnsi="宋体" w:eastAsia="宋体" w:cs="Times New Roman"/>
                <w:bCs/>
                <w:color w:val="auto"/>
                <w:sz w:val="24"/>
                <w:szCs w:val="24"/>
                <w:highlight w:val="none"/>
              </w:rPr>
            </w:pPr>
          </w:p>
        </w:tc>
        <w:tc>
          <w:tcPr>
            <w:tcW w:w="1284" w:type="dxa"/>
            <w:vMerge w:val="continue"/>
            <w:tcBorders>
              <w:left w:val="single" w:color="auto" w:sz="4" w:space="0"/>
              <w:right w:val="single" w:color="auto" w:sz="4" w:space="0"/>
            </w:tcBorders>
            <w:vAlign w:val="center"/>
          </w:tcPr>
          <w:p w14:paraId="52271152">
            <w:pPr>
              <w:spacing w:line="360" w:lineRule="auto"/>
              <w:jc w:val="center"/>
              <w:rPr>
                <w:rFonts w:hint="eastAsia" w:ascii="宋体" w:hAnsi="宋体" w:eastAsia="宋体" w:cs="Times New Roman"/>
                <w:color w:val="auto"/>
                <w:sz w:val="24"/>
                <w:szCs w:val="24"/>
                <w:highlight w:val="none"/>
              </w:rPr>
            </w:pPr>
          </w:p>
        </w:tc>
        <w:tc>
          <w:tcPr>
            <w:tcW w:w="2167" w:type="dxa"/>
            <w:tcBorders>
              <w:top w:val="single" w:color="auto" w:sz="4" w:space="0"/>
              <w:left w:val="single" w:color="auto" w:sz="4" w:space="0"/>
              <w:right w:val="single" w:color="auto" w:sz="4" w:space="0"/>
            </w:tcBorders>
            <w:shd w:val="clear" w:color="auto" w:fill="auto"/>
            <w:vAlign w:val="center"/>
          </w:tcPr>
          <w:p w14:paraId="2881D40E">
            <w:pPr>
              <w:spacing w:line="276" w:lineRule="auto"/>
              <w:jc w:val="center"/>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sz w:val="24"/>
                <w:szCs w:val="24"/>
                <w:highlight w:val="none"/>
              </w:rPr>
              <w:t>无商业贿赂和不正当竞争行为</w:t>
            </w:r>
          </w:p>
        </w:tc>
        <w:tc>
          <w:tcPr>
            <w:tcW w:w="6170" w:type="dxa"/>
            <w:tcBorders>
              <w:top w:val="single" w:color="auto" w:sz="4" w:space="0"/>
              <w:left w:val="single" w:color="auto" w:sz="4" w:space="0"/>
              <w:bottom w:val="single" w:color="auto" w:sz="4" w:space="0"/>
              <w:right w:val="single" w:color="auto" w:sz="4" w:space="0"/>
            </w:tcBorders>
            <w:shd w:val="clear" w:color="auto" w:fill="auto"/>
            <w:vAlign w:val="center"/>
          </w:tcPr>
          <w:p w14:paraId="4C20CC5D">
            <w:pPr>
              <w:spacing w:line="276" w:lineRule="auto"/>
              <w:jc w:val="both"/>
              <w:rPr>
                <w:rFonts w:hint="eastAsia" w:ascii="宋体" w:hAnsi="宋体" w:eastAsia="宋体" w:cs="Times New Roman"/>
                <w:color w:val="auto"/>
                <w:kern w:val="2"/>
                <w:sz w:val="24"/>
                <w:szCs w:val="24"/>
                <w:highlight w:val="none"/>
                <w:lang w:val="en-US" w:eastAsia="zh-CN" w:bidi="ar-SA"/>
              </w:rPr>
            </w:pPr>
            <w:r>
              <w:rPr>
                <w:rFonts w:hint="eastAsia" w:ascii="宋体" w:hAnsi="宋体" w:eastAsia="宋体" w:cs="Times New Roman"/>
                <w:color w:val="auto"/>
                <w:sz w:val="24"/>
                <w:szCs w:val="24"/>
                <w:highlight w:val="none"/>
                <w:lang w:eastAsia="zh-CN"/>
              </w:rPr>
              <w:t>投标供应商</w:t>
            </w:r>
            <w:r>
              <w:rPr>
                <w:rFonts w:hint="eastAsia" w:ascii="宋体" w:hAnsi="宋体" w:eastAsia="宋体" w:cs="Times New Roman"/>
                <w:color w:val="auto"/>
                <w:sz w:val="24"/>
                <w:szCs w:val="24"/>
                <w:highlight w:val="none"/>
              </w:rPr>
              <w:t>须承诺本企业无商业贿赂和不正当竞争行为；</w:t>
            </w:r>
            <w:r>
              <w:rPr>
                <w:rFonts w:hint="eastAsia" w:ascii="宋体" w:hAnsi="宋体" w:eastAsia="宋体" w:cs="Times New Roman"/>
                <w:color w:val="auto"/>
                <w:sz w:val="24"/>
                <w:szCs w:val="24"/>
                <w:highlight w:val="none"/>
                <w:lang w:val="en-US" w:eastAsia="zh-CN"/>
              </w:rPr>
              <w:t>（自行承诺，格式自拟）</w:t>
            </w:r>
          </w:p>
        </w:tc>
      </w:tr>
      <w:tr w14:paraId="7FAD0F36">
        <w:trPr>
          <w:trHeight w:val="3968" w:hRule="exact"/>
          <w:jc w:val="center"/>
        </w:trPr>
        <w:tc>
          <w:tcPr>
            <w:tcW w:w="927" w:type="dxa"/>
            <w:vMerge w:val="continue"/>
            <w:tcBorders>
              <w:left w:val="single" w:color="auto" w:sz="4" w:space="0"/>
              <w:right w:val="single" w:color="auto" w:sz="4" w:space="0"/>
            </w:tcBorders>
            <w:vAlign w:val="center"/>
          </w:tcPr>
          <w:p w14:paraId="734D831B">
            <w:pPr>
              <w:widowControl/>
              <w:jc w:val="left"/>
              <w:rPr>
                <w:rFonts w:ascii="宋体" w:hAnsi="宋体" w:eastAsia="宋体" w:cs="Times New Roman"/>
                <w:b/>
                <w:color w:val="auto"/>
                <w:sz w:val="24"/>
                <w:szCs w:val="24"/>
                <w:highlight w:val="none"/>
              </w:rPr>
            </w:pPr>
          </w:p>
        </w:tc>
        <w:tc>
          <w:tcPr>
            <w:tcW w:w="1284" w:type="dxa"/>
            <w:vMerge w:val="continue"/>
            <w:tcBorders>
              <w:left w:val="single" w:color="auto" w:sz="4" w:space="0"/>
              <w:right w:val="single" w:color="auto" w:sz="4" w:space="0"/>
            </w:tcBorders>
            <w:vAlign w:val="center"/>
          </w:tcPr>
          <w:p w14:paraId="47645412">
            <w:pPr>
              <w:widowControl/>
              <w:jc w:val="left"/>
              <w:rPr>
                <w:rFonts w:ascii="宋体" w:hAnsi="宋体" w:eastAsia="宋体" w:cs="Times New Roman"/>
                <w:b/>
                <w:color w:val="auto"/>
                <w:sz w:val="24"/>
                <w:szCs w:val="24"/>
                <w:highlight w:val="none"/>
              </w:rPr>
            </w:pPr>
          </w:p>
        </w:tc>
        <w:tc>
          <w:tcPr>
            <w:tcW w:w="2167" w:type="dxa"/>
            <w:tcBorders>
              <w:top w:val="single" w:color="auto" w:sz="4" w:space="0"/>
              <w:left w:val="single" w:color="auto" w:sz="4" w:space="0"/>
              <w:bottom w:val="single" w:color="auto" w:sz="4" w:space="0"/>
              <w:right w:val="single" w:color="auto" w:sz="4" w:space="0"/>
            </w:tcBorders>
            <w:vAlign w:val="center"/>
          </w:tcPr>
          <w:p w14:paraId="2A162E90">
            <w:pPr>
              <w:spacing w:line="276"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信用查询</w:t>
            </w:r>
          </w:p>
        </w:tc>
        <w:tc>
          <w:tcPr>
            <w:tcW w:w="6170" w:type="dxa"/>
            <w:tcBorders>
              <w:top w:val="single" w:color="auto" w:sz="4" w:space="0"/>
              <w:left w:val="single" w:color="auto" w:sz="4" w:space="0"/>
              <w:bottom w:val="single" w:color="auto" w:sz="4" w:space="0"/>
              <w:right w:val="single" w:color="auto" w:sz="4" w:space="0"/>
            </w:tcBorders>
            <w:vAlign w:val="center"/>
          </w:tcPr>
          <w:p w14:paraId="52980BF7">
            <w:pPr>
              <w:spacing w:line="276" w:lineRule="auto"/>
              <w:jc w:val="left"/>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根据《关于在政府采购活动中查询及使用信用记录有关问题的通知》(财库[2016]125号)和豫财购【2016】15号的规定，对列入失信被执行人、重大税收违法失信主体、政府采购严重违法失信行为记录名单的供应商，拒绝参与本项目采购活动；须提供中国执行信息公开网（http://zxgk.court.gov.cn/）关于“失信被执行人”查询截图；信用中国(www.creditchina.gov.cn）关于“重大税收违法失信主体”查询截图；中国政府采购网（www.ccgp.gov.cn）关于“政府采购严重违法失信行为记录名单”查询截图。查询日期自公告发布之日起，查询截止时间为投标截止时间止。</w:t>
            </w:r>
          </w:p>
        </w:tc>
      </w:tr>
      <w:tr w14:paraId="5840A520">
        <w:trPr>
          <w:trHeight w:val="2268" w:hRule="exact"/>
          <w:jc w:val="center"/>
        </w:trPr>
        <w:tc>
          <w:tcPr>
            <w:tcW w:w="927" w:type="dxa"/>
            <w:vMerge w:val="continue"/>
            <w:tcBorders>
              <w:left w:val="single" w:color="auto" w:sz="4" w:space="0"/>
              <w:right w:val="single" w:color="auto" w:sz="4" w:space="0"/>
            </w:tcBorders>
            <w:vAlign w:val="center"/>
          </w:tcPr>
          <w:p w14:paraId="52B6673B">
            <w:pPr>
              <w:widowControl/>
              <w:jc w:val="left"/>
              <w:rPr>
                <w:rFonts w:ascii="宋体" w:hAnsi="宋体" w:eastAsia="宋体" w:cs="Times New Roman"/>
                <w:b/>
                <w:color w:val="auto"/>
                <w:sz w:val="24"/>
                <w:szCs w:val="24"/>
                <w:highlight w:val="none"/>
              </w:rPr>
            </w:pPr>
          </w:p>
        </w:tc>
        <w:tc>
          <w:tcPr>
            <w:tcW w:w="1284" w:type="dxa"/>
            <w:vMerge w:val="continue"/>
            <w:tcBorders>
              <w:left w:val="single" w:color="auto" w:sz="4" w:space="0"/>
              <w:right w:val="single" w:color="auto" w:sz="4" w:space="0"/>
            </w:tcBorders>
            <w:vAlign w:val="center"/>
          </w:tcPr>
          <w:p w14:paraId="515DBE77">
            <w:pPr>
              <w:widowControl/>
              <w:jc w:val="left"/>
              <w:rPr>
                <w:rFonts w:ascii="宋体" w:hAnsi="宋体" w:eastAsia="宋体" w:cs="Times New Roman"/>
                <w:b/>
                <w:color w:val="auto"/>
                <w:sz w:val="24"/>
                <w:szCs w:val="24"/>
                <w:highlight w:val="none"/>
              </w:rPr>
            </w:pPr>
          </w:p>
        </w:tc>
        <w:tc>
          <w:tcPr>
            <w:tcW w:w="2167" w:type="dxa"/>
            <w:tcBorders>
              <w:top w:val="single" w:color="auto" w:sz="4" w:space="0"/>
              <w:left w:val="single" w:color="auto" w:sz="4" w:space="0"/>
              <w:bottom w:val="single" w:color="auto" w:sz="4" w:space="0"/>
              <w:right w:val="single" w:color="auto" w:sz="4" w:space="0"/>
            </w:tcBorders>
            <w:vAlign w:val="center"/>
          </w:tcPr>
          <w:p w14:paraId="0AB51130">
            <w:pPr>
              <w:spacing w:line="276"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单位负责人为同一人或者存在直接控股、管理关系的不同供应商，不得同时参加同一项目的投标</w:t>
            </w:r>
          </w:p>
        </w:tc>
        <w:tc>
          <w:tcPr>
            <w:tcW w:w="6170" w:type="dxa"/>
            <w:tcBorders>
              <w:top w:val="single" w:color="auto" w:sz="4" w:space="0"/>
              <w:left w:val="single" w:color="auto" w:sz="4" w:space="0"/>
              <w:bottom w:val="single" w:color="auto" w:sz="4" w:space="0"/>
              <w:right w:val="single" w:color="auto" w:sz="4" w:space="0"/>
            </w:tcBorders>
            <w:vAlign w:val="center"/>
          </w:tcPr>
          <w:p w14:paraId="0A8EC224">
            <w:pPr>
              <w:spacing w:line="276" w:lineRule="auto"/>
              <w:jc w:val="left"/>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rPr>
              <w:t>单位负责人为同一人或者存在直接控股、管理关系的不同供应商，不得同时参加同一项目的投标（提供“国家企业信用信息公示系统”中公示的公司基础信息、股东或投资人信息，查询结果清晰可见）</w:t>
            </w:r>
            <w:r>
              <w:rPr>
                <w:rFonts w:hint="eastAsia" w:ascii="宋体" w:hAnsi="宋体" w:eastAsia="宋体" w:cs="Times New Roman"/>
                <w:color w:val="auto"/>
                <w:sz w:val="24"/>
                <w:szCs w:val="24"/>
                <w:highlight w:val="none"/>
                <w:lang w:eastAsia="zh-CN"/>
              </w:rPr>
              <w:t>。</w:t>
            </w:r>
          </w:p>
        </w:tc>
      </w:tr>
      <w:tr w14:paraId="4CD1BFCE">
        <w:trPr>
          <w:trHeight w:val="2268" w:hRule="exact"/>
          <w:jc w:val="center"/>
        </w:trPr>
        <w:tc>
          <w:tcPr>
            <w:tcW w:w="927" w:type="dxa"/>
            <w:vMerge w:val="continue"/>
            <w:tcBorders>
              <w:left w:val="single" w:color="auto" w:sz="4" w:space="0"/>
              <w:bottom w:val="single" w:color="auto" w:sz="4" w:space="0"/>
              <w:right w:val="single" w:color="auto" w:sz="4" w:space="0"/>
            </w:tcBorders>
            <w:vAlign w:val="center"/>
          </w:tcPr>
          <w:p w14:paraId="0197BC1E">
            <w:pPr>
              <w:widowControl/>
              <w:jc w:val="left"/>
              <w:rPr>
                <w:rFonts w:ascii="宋体" w:hAnsi="宋体" w:eastAsia="宋体" w:cs="Times New Roman"/>
                <w:b/>
                <w:color w:val="auto"/>
                <w:sz w:val="24"/>
                <w:szCs w:val="24"/>
                <w:highlight w:val="none"/>
              </w:rPr>
            </w:pPr>
          </w:p>
        </w:tc>
        <w:tc>
          <w:tcPr>
            <w:tcW w:w="1284" w:type="dxa"/>
            <w:vMerge w:val="continue"/>
            <w:tcBorders>
              <w:left w:val="single" w:color="auto" w:sz="4" w:space="0"/>
              <w:bottom w:val="single" w:color="auto" w:sz="4" w:space="0"/>
              <w:right w:val="single" w:color="auto" w:sz="4" w:space="0"/>
            </w:tcBorders>
            <w:vAlign w:val="center"/>
          </w:tcPr>
          <w:p w14:paraId="2A3FA564">
            <w:pPr>
              <w:widowControl/>
              <w:jc w:val="left"/>
              <w:rPr>
                <w:rFonts w:ascii="宋体" w:hAnsi="宋体" w:eastAsia="宋体" w:cs="Times New Roman"/>
                <w:b/>
                <w:color w:val="auto"/>
                <w:sz w:val="24"/>
                <w:szCs w:val="24"/>
                <w:highlight w:val="none"/>
              </w:rPr>
            </w:pPr>
          </w:p>
        </w:tc>
        <w:tc>
          <w:tcPr>
            <w:tcW w:w="2167" w:type="dxa"/>
            <w:tcBorders>
              <w:top w:val="single" w:color="auto" w:sz="4" w:space="0"/>
              <w:left w:val="single" w:color="auto" w:sz="4" w:space="0"/>
              <w:bottom w:val="single" w:color="auto" w:sz="4" w:space="0"/>
              <w:right w:val="single" w:color="auto" w:sz="4" w:space="0"/>
            </w:tcBorders>
            <w:vAlign w:val="center"/>
          </w:tcPr>
          <w:p w14:paraId="155FF034">
            <w:pPr>
              <w:spacing w:line="276" w:lineRule="auto"/>
              <w:jc w:val="center"/>
              <w:rPr>
                <w:rFonts w:hint="eastAsia"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满足《中华人民共和国政府采购法》第二十二条规定</w:t>
            </w:r>
          </w:p>
        </w:tc>
        <w:tc>
          <w:tcPr>
            <w:tcW w:w="6170" w:type="dxa"/>
            <w:tcBorders>
              <w:top w:val="single" w:color="auto" w:sz="4" w:space="0"/>
              <w:left w:val="single" w:color="auto" w:sz="4" w:space="0"/>
              <w:bottom w:val="single" w:color="auto" w:sz="4" w:space="0"/>
              <w:right w:val="single" w:color="auto" w:sz="4" w:space="0"/>
            </w:tcBorders>
            <w:vAlign w:val="center"/>
          </w:tcPr>
          <w:p w14:paraId="41B21BC9">
            <w:pPr>
              <w:spacing w:line="276" w:lineRule="auto"/>
              <w:jc w:val="left"/>
              <w:rPr>
                <w:rFonts w:hint="default"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rPr>
              <w:t>满足《中华人民共和国政府采购法》第二十二条规定</w:t>
            </w:r>
            <w:r>
              <w:rPr>
                <w:rFonts w:hint="eastAsia" w:ascii="宋体" w:hAnsi="宋体" w:eastAsia="宋体" w:cs="Times New Roman"/>
                <w:color w:val="auto"/>
                <w:sz w:val="24"/>
                <w:szCs w:val="24"/>
                <w:highlight w:val="none"/>
                <w:lang w:eastAsia="zh-CN"/>
              </w:rPr>
              <w:t>，</w:t>
            </w:r>
            <w:r>
              <w:rPr>
                <w:rFonts w:hint="eastAsia" w:ascii="宋体" w:hAnsi="宋体" w:eastAsia="宋体" w:cs="Times New Roman"/>
                <w:color w:val="auto"/>
                <w:sz w:val="24"/>
                <w:szCs w:val="24"/>
                <w:highlight w:val="none"/>
                <w:lang w:val="en-US" w:eastAsia="zh-CN"/>
              </w:rPr>
              <w:t>提供承诺书</w:t>
            </w:r>
          </w:p>
        </w:tc>
      </w:tr>
      <w:tr w14:paraId="3040C28E">
        <w:trPr>
          <w:trHeight w:val="1406" w:hRule="atLeast"/>
          <w:jc w:val="center"/>
        </w:trPr>
        <w:tc>
          <w:tcPr>
            <w:tcW w:w="10548" w:type="dxa"/>
            <w:gridSpan w:val="4"/>
            <w:tcBorders>
              <w:top w:val="single" w:color="auto" w:sz="4" w:space="0"/>
              <w:left w:val="single" w:color="auto" w:sz="4" w:space="0"/>
              <w:bottom w:val="single" w:color="auto" w:sz="4" w:space="0"/>
              <w:right w:val="single" w:color="auto" w:sz="4" w:space="0"/>
            </w:tcBorders>
            <w:vAlign w:val="center"/>
          </w:tcPr>
          <w:p w14:paraId="38213BFC">
            <w:pPr>
              <w:spacing w:line="276" w:lineRule="auto"/>
              <w:jc w:val="center"/>
              <w:rPr>
                <w:rFonts w:ascii="Times New Roman" w:hAnsi="宋体" w:eastAsia="宋体" w:cs="Times New Roman"/>
                <w:b/>
                <w:bCs/>
                <w:color w:val="auto"/>
                <w:sz w:val="24"/>
                <w:szCs w:val="24"/>
                <w:highlight w:val="none"/>
              </w:rPr>
            </w:pPr>
            <w:r>
              <w:rPr>
                <w:rFonts w:hint="eastAsia" w:ascii="Times New Roman" w:hAnsi="宋体" w:eastAsia="宋体" w:cs="Times New Roman"/>
                <w:b/>
                <w:bCs/>
                <w:color w:val="auto"/>
                <w:sz w:val="24"/>
                <w:szCs w:val="24"/>
                <w:highlight w:val="none"/>
              </w:rPr>
              <w:t>应中华人民共和国财政部令第</w:t>
            </w:r>
            <w:r>
              <w:rPr>
                <w:rFonts w:ascii="Times New Roman" w:hAnsi="宋体" w:eastAsia="宋体" w:cs="Times New Roman"/>
                <w:b/>
                <w:bCs/>
                <w:color w:val="auto"/>
                <w:sz w:val="24"/>
                <w:szCs w:val="24"/>
                <w:highlight w:val="none"/>
              </w:rPr>
              <w:t>87</w:t>
            </w:r>
            <w:r>
              <w:rPr>
                <w:rFonts w:hint="eastAsia" w:ascii="Times New Roman" w:hAnsi="宋体" w:eastAsia="宋体" w:cs="Times New Roman"/>
                <w:b/>
                <w:bCs/>
                <w:color w:val="auto"/>
                <w:sz w:val="24"/>
                <w:szCs w:val="24"/>
                <w:highlight w:val="none"/>
              </w:rPr>
              <w:t>号《政府采购货物和服务招标投标管理办法》第四</w:t>
            </w:r>
          </w:p>
          <w:p w14:paraId="7F6B3DA9">
            <w:pPr>
              <w:spacing w:line="276" w:lineRule="auto"/>
              <w:rPr>
                <w:rFonts w:ascii="Times New Roman" w:hAnsi="宋体" w:eastAsia="宋体" w:cs="Times New Roman"/>
                <w:b/>
                <w:color w:val="auto"/>
                <w:sz w:val="24"/>
                <w:szCs w:val="24"/>
                <w:highlight w:val="none"/>
              </w:rPr>
            </w:pPr>
            <w:r>
              <w:rPr>
                <w:rFonts w:hint="eastAsia" w:ascii="Times New Roman" w:hAnsi="宋体" w:eastAsia="宋体" w:cs="Times New Roman"/>
                <w:b/>
                <w:bCs/>
                <w:color w:val="auto"/>
                <w:sz w:val="24"/>
                <w:szCs w:val="24"/>
                <w:highlight w:val="none"/>
              </w:rPr>
              <w:t>十四条</w:t>
            </w:r>
            <w:r>
              <w:rPr>
                <w:rFonts w:hint="eastAsia" w:ascii="Times New Roman" w:hAnsi="宋体" w:eastAsia="宋体" w:cs="Times New Roman"/>
                <w:b/>
                <w:color w:val="auto"/>
                <w:sz w:val="24"/>
                <w:szCs w:val="24"/>
                <w:highlight w:val="none"/>
              </w:rPr>
              <w:t>公开招标采购项目开标结束后，采购人或者采购代理机构应当依法对</w:t>
            </w:r>
            <w:r>
              <w:rPr>
                <w:rFonts w:hint="eastAsia" w:ascii="Times New Roman" w:hAnsi="宋体" w:eastAsia="宋体" w:cs="Times New Roman"/>
                <w:b/>
                <w:color w:val="auto"/>
                <w:sz w:val="24"/>
                <w:szCs w:val="24"/>
                <w:highlight w:val="none"/>
                <w:lang w:eastAsia="zh-CN"/>
              </w:rPr>
              <w:t>投标供应商</w:t>
            </w:r>
            <w:r>
              <w:rPr>
                <w:rFonts w:hint="eastAsia" w:ascii="Times New Roman" w:hAnsi="宋体" w:eastAsia="宋体" w:cs="Times New Roman"/>
                <w:b/>
                <w:color w:val="auto"/>
                <w:sz w:val="24"/>
                <w:szCs w:val="24"/>
                <w:highlight w:val="none"/>
              </w:rPr>
              <w:t>的资格进行审查。合格投标</w:t>
            </w:r>
            <w:r>
              <w:rPr>
                <w:rFonts w:hint="eastAsia" w:ascii="Times New Roman" w:hAnsi="宋体" w:eastAsia="宋体" w:cs="Times New Roman"/>
                <w:b/>
                <w:color w:val="auto"/>
                <w:sz w:val="24"/>
                <w:szCs w:val="24"/>
                <w:highlight w:val="none"/>
                <w:lang w:eastAsia="zh-CN"/>
              </w:rPr>
              <w:t>投标供应商</w:t>
            </w:r>
            <w:r>
              <w:rPr>
                <w:rFonts w:hint="eastAsia" w:ascii="Times New Roman" w:hAnsi="宋体" w:eastAsia="宋体" w:cs="Times New Roman"/>
                <w:b/>
                <w:color w:val="auto"/>
                <w:sz w:val="24"/>
                <w:szCs w:val="24"/>
                <w:highlight w:val="none"/>
              </w:rPr>
              <w:t>不足</w:t>
            </w:r>
            <w:r>
              <w:rPr>
                <w:rFonts w:ascii="Times New Roman" w:hAnsi="宋体" w:eastAsia="宋体" w:cs="Times New Roman"/>
                <w:b/>
                <w:color w:val="auto"/>
                <w:sz w:val="24"/>
                <w:szCs w:val="24"/>
                <w:highlight w:val="none"/>
              </w:rPr>
              <w:t>3</w:t>
            </w:r>
            <w:r>
              <w:rPr>
                <w:rFonts w:hint="eastAsia" w:ascii="Times New Roman" w:hAnsi="宋体" w:eastAsia="宋体" w:cs="Times New Roman"/>
                <w:b/>
                <w:color w:val="auto"/>
                <w:sz w:val="24"/>
                <w:szCs w:val="24"/>
                <w:highlight w:val="none"/>
              </w:rPr>
              <w:t>家的，不得评标。</w:t>
            </w:r>
          </w:p>
        </w:tc>
      </w:tr>
      <w:tr w14:paraId="4AB250D5">
        <w:trPr>
          <w:trHeight w:val="679" w:hRule="exact"/>
          <w:jc w:val="center"/>
        </w:trPr>
        <w:tc>
          <w:tcPr>
            <w:tcW w:w="927" w:type="dxa"/>
            <w:vMerge w:val="restart"/>
            <w:tcBorders>
              <w:top w:val="single" w:color="auto" w:sz="4" w:space="0"/>
              <w:left w:val="single" w:color="auto" w:sz="4" w:space="0"/>
              <w:bottom w:val="single" w:color="auto" w:sz="4" w:space="0"/>
              <w:right w:val="single" w:color="auto" w:sz="4" w:space="0"/>
            </w:tcBorders>
            <w:vAlign w:val="center"/>
          </w:tcPr>
          <w:p w14:paraId="21C9177C">
            <w:pPr>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2.1.2</w:t>
            </w:r>
          </w:p>
        </w:tc>
        <w:tc>
          <w:tcPr>
            <w:tcW w:w="1284" w:type="dxa"/>
            <w:vMerge w:val="restart"/>
            <w:tcBorders>
              <w:top w:val="single" w:color="auto" w:sz="4" w:space="0"/>
              <w:left w:val="single" w:color="auto" w:sz="4" w:space="0"/>
              <w:bottom w:val="single" w:color="auto" w:sz="4" w:space="0"/>
              <w:right w:val="single" w:color="auto" w:sz="4" w:space="0"/>
            </w:tcBorders>
            <w:vAlign w:val="center"/>
          </w:tcPr>
          <w:p w14:paraId="556EB39D">
            <w:pPr>
              <w:widowControl/>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符合性</w:t>
            </w:r>
          </w:p>
          <w:p w14:paraId="7EE2ACAD">
            <w:pPr>
              <w:widowControl/>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审查</w:t>
            </w:r>
          </w:p>
          <w:p w14:paraId="4CCD0884">
            <w:pPr>
              <w:widowControl/>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标准</w:t>
            </w:r>
          </w:p>
        </w:tc>
        <w:tc>
          <w:tcPr>
            <w:tcW w:w="2167" w:type="dxa"/>
            <w:tcBorders>
              <w:top w:val="single" w:color="auto" w:sz="4" w:space="0"/>
              <w:left w:val="single" w:color="auto" w:sz="4" w:space="0"/>
              <w:bottom w:val="single" w:color="auto" w:sz="4" w:space="0"/>
              <w:right w:val="single" w:color="auto" w:sz="4" w:space="0"/>
            </w:tcBorders>
            <w:vAlign w:val="center"/>
          </w:tcPr>
          <w:p w14:paraId="119871F5">
            <w:pPr>
              <w:spacing w:line="276"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lang w:eastAsia="zh-CN"/>
              </w:rPr>
              <w:t>投标供应商</w:t>
            </w:r>
            <w:r>
              <w:rPr>
                <w:rFonts w:hint="eastAsia" w:ascii="宋体" w:hAnsi="宋体" w:eastAsia="宋体" w:cs="Times New Roman"/>
                <w:color w:val="auto"/>
                <w:sz w:val="24"/>
                <w:szCs w:val="24"/>
                <w:highlight w:val="none"/>
              </w:rPr>
              <w:t>名称</w:t>
            </w:r>
          </w:p>
        </w:tc>
        <w:tc>
          <w:tcPr>
            <w:tcW w:w="6170" w:type="dxa"/>
            <w:tcBorders>
              <w:top w:val="single" w:color="auto" w:sz="4" w:space="0"/>
              <w:left w:val="single" w:color="auto" w:sz="4" w:space="0"/>
              <w:bottom w:val="single" w:color="auto" w:sz="4" w:space="0"/>
              <w:right w:val="single" w:color="auto" w:sz="4" w:space="0"/>
            </w:tcBorders>
            <w:vAlign w:val="center"/>
          </w:tcPr>
          <w:p w14:paraId="31C4BD24">
            <w:pPr>
              <w:spacing w:line="720" w:lineRule="auto"/>
              <w:jc w:val="both"/>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与营业执照一致</w:t>
            </w:r>
          </w:p>
        </w:tc>
      </w:tr>
      <w:tr w14:paraId="5EF9FD24">
        <w:trPr>
          <w:trHeight w:val="732" w:hRule="exact"/>
          <w:jc w:val="center"/>
        </w:trPr>
        <w:tc>
          <w:tcPr>
            <w:tcW w:w="927" w:type="dxa"/>
            <w:vMerge w:val="continue"/>
            <w:tcBorders>
              <w:top w:val="single" w:color="auto" w:sz="4" w:space="0"/>
              <w:left w:val="single" w:color="auto" w:sz="4" w:space="0"/>
              <w:bottom w:val="single" w:color="auto" w:sz="4" w:space="0"/>
              <w:right w:val="single" w:color="auto" w:sz="4" w:space="0"/>
            </w:tcBorders>
            <w:vAlign w:val="center"/>
          </w:tcPr>
          <w:p w14:paraId="5A8CA973">
            <w:pPr>
              <w:widowControl/>
              <w:jc w:val="left"/>
              <w:rPr>
                <w:rFonts w:ascii="宋体" w:hAnsi="宋体" w:eastAsia="宋体" w:cs="Times New Roman"/>
                <w:color w:val="auto"/>
                <w:sz w:val="24"/>
                <w:szCs w:val="24"/>
                <w:highlight w:val="none"/>
              </w:rPr>
            </w:pPr>
          </w:p>
        </w:tc>
        <w:tc>
          <w:tcPr>
            <w:tcW w:w="1284" w:type="dxa"/>
            <w:vMerge w:val="continue"/>
            <w:tcBorders>
              <w:top w:val="single" w:color="auto" w:sz="4" w:space="0"/>
              <w:left w:val="single" w:color="auto" w:sz="4" w:space="0"/>
              <w:bottom w:val="single" w:color="auto" w:sz="4" w:space="0"/>
              <w:right w:val="single" w:color="auto" w:sz="4" w:space="0"/>
            </w:tcBorders>
            <w:vAlign w:val="center"/>
          </w:tcPr>
          <w:p w14:paraId="353ED26F">
            <w:pPr>
              <w:widowControl/>
              <w:jc w:val="left"/>
              <w:rPr>
                <w:rFonts w:ascii="宋体" w:hAnsi="宋体" w:eastAsia="宋体" w:cs="Times New Roman"/>
                <w:color w:val="auto"/>
                <w:sz w:val="24"/>
                <w:szCs w:val="24"/>
                <w:highlight w:val="none"/>
              </w:rPr>
            </w:pPr>
          </w:p>
        </w:tc>
        <w:tc>
          <w:tcPr>
            <w:tcW w:w="2167" w:type="dxa"/>
            <w:tcBorders>
              <w:top w:val="single" w:color="auto" w:sz="4" w:space="0"/>
              <w:left w:val="single" w:color="auto" w:sz="4" w:space="0"/>
              <w:bottom w:val="single" w:color="auto" w:sz="4" w:space="0"/>
              <w:right w:val="single" w:color="auto" w:sz="4" w:space="0"/>
            </w:tcBorders>
            <w:vAlign w:val="center"/>
          </w:tcPr>
          <w:p w14:paraId="7427C765">
            <w:pPr>
              <w:spacing w:line="276"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投标函法人、单位盖章</w:t>
            </w:r>
          </w:p>
        </w:tc>
        <w:tc>
          <w:tcPr>
            <w:tcW w:w="6170" w:type="dxa"/>
            <w:tcBorders>
              <w:top w:val="single" w:color="auto" w:sz="4" w:space="0"/>
              <w:left w:val="single" w:color="auto" w:sz="4" w:space="0"/>
              <w:bottom w:val="single" w:color="auto" w:sz="4" w:space="0"/>
              <w:right w:val="single" w:color="auto" w:sz="4" w:space="0"/>
            </w:tcBorders>
            <w:vAlign w:val="center"/>
          </w:tcPr>
          <w:p w14:paraId="67B89689">
            <w:pPr>
              <w:spacing w:line="720" w:lineRule="auto"/>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符合招标文件要求</w:t>
            </w:r>
          </w:p>
        </w:tc>
      </w:tr>
      <w:tr w14:paraId="67311067">
        <w:trPr>
          <w:trHeight w:val="691" w:hRule="exact"/>
          <w:jc w:val="center"/>
        </w:trPr>
        <w:tc>
          <w:tcPr>
            <w:tcW w:w="927" w:type="dxa"/>
            <w:vMerge w:val="continue"/>
            <w:tcBorders>
              <w:top w:val="single" w:color="auto" w:sz="4" w:space="0"/>
              <w:left w:val="single" w:color="auto" w:sz="4" w:space="0"/>
              <w:bottom w:val="single" w:color="auto" w:sz="4" w:space="0"/>
              <w:right w:val="single" w:color="auto" w:sz="4" w:space="0"/>
            </w:tcBorders>
            <w:vAlign w:val="center"/>
          </w:tcPr>
          <w:p w14:paraId="71C20FA3">
            <w:pPr>
              <w:widowControl/>
              <w:jc w:val="left"/>
              <w:rPr>
                <w:rFonts w:ascii="宋体" w:hAnsi="宋体" w:eastAsia="宋体" w:cs="Times New Roman"/>
                <w:color w:val="auto"/>
                <w:sz w:val="24"/>
                <w:szCs w:val="24"/>
                <w:highlight w:val="none"/>
              </w:rPr>
            </w:pPr>
          </w:p>
        </w:tc>
        <w:tc>
          <w:tcPr>
            <w:tcW w:w="1284" w:type="dxa"/>
            <w:vMerge w:val="restart"/>
            <w:tcBorders>
              <w:top w:val="single" w:color="auto" w:sz="4" w:space="0"/>
              <w:left w:val="single" w:color="auto" w:sz="4" w:space="0"/>
              <w:right w:val="single" w:color="auto" w:sz="4" w:space="0"/>
            </w:tcBorders>
            <w:vAlign w:val="center"/>
          </w:tcPr>
          <w:p w14:paraId="2A6F2A3D">
            <w:pPr>
              <w:widowControl/>
              <w:jc w:val="left"/>
              <w:rPr>
                <w:rFonts w:hint="default"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实质性响应审查</w:t>
            </w:r>
          </w:p>
        </w:tc>
        <w:tc>
          <w:tcPr>
            <w:tcW w:w="2167" w:type="dxa"/>
            <w:tcBorders>
              <w:top w:val="single" w:color="auto" w:sz="4" w:space="0"/>
              <w:left w:val="single" w:color="auto" w:sz="4" w:space="0"/>
              <w:bottom w:val="single" w:color="auto" w:sz="4" w:space="0"/>
              <w:right w:val="single" w:color="auto" w:sz="4" w:space="0"/>
            </w:tcBorders>
            <w:vAlign w:val="center"/>
          </w:tcPr>
          <w:p w14:paraId="1BEFEC18">
            <w:pPr>
              <w:spacing w:line="720" w:lineRule="auto"/>
              <w:jc w:val="center"/>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lang w:eastAsia="zh-CN"/>
              </w:rPr>
              <w:t>交货期</w:t>
            </w:r>
          </w:p>
        </w:tc>
        <w:tc>
          <w:tcPr>
            <w:tcW w:w="6170" w:type="dxa"/>
            <w:tcBorders>
              <w:top w:val="single" w:color="auto" w:sz="4" w:space="0"/>
              <w:left w:val="single" w:color="auto" w:sz="4" w:space="0"/>
              <w:bottom w:val="single" w:color="auto" w:sz="4" w:space="0"/>
              <w:right w:val="single" w:color="auto" w:sz="4" w:space="0"/>
            </w:tcBorders>
            <w:vAlign w:val="center"/>
          </w:tcPr>
          <w:p w14:paraId="1CC634C2">
            <w:pPr>
              <w:spacing w:line="720" w:lineRule="auto"/>
              <w:rPr>
                <w:rFonts w:hint="eastAsia" w:ascii="宋体" w:hAnsi="宋体" w:eastAsia="宋体" w:cs="Times New Roman"/>
                <w:color w:val="auto"/>
                <w:sz w:val="24"/>
                <w:szCs w:val="24"/>
                <w:highlight w:val="none"/>
                <w:lang w:eastAsia="zh-CN"/>
              </w:rPr>
            </w:pPr>
            <w:r>
              <w:rPr>
                <w:rFonts w:hint="eastAsia" w:ascii="宋体" w:hAnsi="宋体" w:eastAsia="宋体" w:cs="Times New Roman"/>
                <w:color w:val="auto"/>
                <w:sz w:val="24"/>
                <w:szCs w:val="24"/>
                <w:highlight w:val="none"/>
                <w:lang w:eastAsia="zh-CN"/>
              </w:rPr>
              <w:t>自签订合同之日起30日历天内</w:t>
            </w:r>
          </w:p>
        </w:tc>
      </w:tr>
      <w:tr w14:paraId="1110EE8C">
        <w:trPr>
          <w:trHeight w:val="400" w:hRule="exact"/>
          <w:jc w:val="center"/>
        </w:trPr>
        <w:tc>
          <w:tcPr>
            <w:tcW w:w="927" w:type="dxa"/>
            <w:vMerge w:val="continue"/>
            <w:tcBorders>
              <w:top w:val="single" w:color="auto" w:sz="4" w:space="0"/>
              <w:left w:val="single" w:color="auto" w:sz="4" w:space="0"/>
              <w:bottom w:val="single" w:color="auto" w:sz="4" w:space="0"/>
              <w:right w:val="single" w:color="auto" w:sz="4" w:space="0"/>
            </w:tcBorders>
            <w:vAlign w:val="center"/>
          </w:tcPr>
          <w:p w14:paraId="7DFF822F">
            <w:pPr>
              <w:widowControl/>
              <w:jc w:val="left"/>
              <w:rPr>
                <w:rFonts w:ascii="宋体" w:hAnsi="宋体" w:eastAsia="宋体" w:cs="Times New Roman"/>
                <w:color w:val="auto"/>
                <w:sz w:val="24"/>
                <w:szCs w:val="24"/>
                <w:highlight w:val="none"/>
              </w:rPr>
            </w:pPr>
          </w:p>
        </w:tc>
        <w:tc>
          <w:tcPr>
            <w:tcW w:w="1284" w:type="dxa"/>
            <w:vMerge w:val="continue"/>
            <w:tcBorders>
              <w:top w:val="single" w:color="auto" w:sz="4" w:space="0"/>
              <w:left w:val="single" w:color="auto" w:sz="4" w:space="0"/>
              <w:bottom w:val="single" w:color="auto" w:sz="4" w:space="0"/>
              <w:right w:val="single" w:color="auto" w:sz="4" w:space="0"/>
            </w:tcBorders>
            <w:vAlign w:val="center"/>
          </w:tcPr>
          <w:p w14:paraId="29DFE51D">
            <w:pPr>
              <w:widowControl/>
              <w:jc w:val="left"/>
              <w:rPr>
                <w:rFonts w:ascii="宋体" w:hAnsi="宋体" w:eastAsia="宋体" w:cs="Times New Roman"/>
                <w:color w:val="auto"/>
                <w:sz w:val="24"/>
                <w:szCs w:val="24"/>
                <w:highlight w:val="none"/>
              </w:rPr>
            </w:pPr>
          </w:p>
        </w:tc>
        <w:tc>
          <w:tcPr>
            <w:tcW w:w="2167" w:type="dxa"/>
            <w:tcBorders>
              <w:top w:val="single" w:color="auto" w:sz="4" w:space="0"/>
              <w:left w:val="single" w:color="auto" w:sz="4" w:space="0"/>
              <w:bottom w:val="single" w:color="auto" w:sz="4" w:space="0"/>
              <w:right w:val="single" w:color="auto" w:sz="4" w:space="0"/>
            </w:tcBorders>
            <w:vAlign w:val="center"/>
          </w:tcPr>
          <w:p w14:paraId="2DA7826A">
            <w:pPr>
              <w:spacing w:line="276"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质量要求</w:t>
            </w:r>
          </w:p>
        </w:tc>
        <w:tc>
          <w:tcPr>
            <w:tcW w:w="6170" w:type="dxa"/>
            <w:tcBorders>
              <w:top w:val="single" w:color="auto" w:sz="4" w:space="0"/>
              <w:left w:val="single" w:color="auto" w:sz="4" w:space="0"/>
              <w:bottom w:val="single" w:color="auto" w:sz="4" w:space="0"/>
              <w:right w:val="single" w:color="auto" w:sz="4" w:space="0"/>
            </w:tcBorders>
            <w:vAlign w:val="center"/>
          </w:tcPr>
          <w:p w14:paraId="52FFFD9D">
            <w:pP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合格</w:t>
            </w:r>
          </w:p>
        </w:tc>
      </w:tr>
      <w:tr w14:paraId="7EB1CD34">
        <w:trPr>
          <w:trHeight w:val="573" w:hRule="atLeast"/>
          <w:jc w:val="center"/>
        </w:trPr>
        <w:tc>
          <w:tcPr>
            <w:tcW w:w="927" w:type="dxa"/>
            <w:vMerge w:val="continue"/>
            <w:tcBorders>
              <w:top w:val="single" w:color="auto" w:sz="4" w:space="0"/>
              <w:left w:val="single" w:color="auto" w:sz="4" w:space="0"/>
              <w:bottom w:val="single" w:color="auto" w:sz="4" w:space="0"/>
              <w:right w:val="single" w:color="auto" w:sz="4" w:space="0"/>
            </w:tcBorders>
            <w:vAlign w:val="center"/>
          </w:tcPr>
          <w:p w14:paraId="0C2B1D6E">
            <w:pPr>
              <w:widowControl/>
              <w:jc w:val="left"/>
              <w:rPr>
                <w:rFonts w:ascii="宋体" w:hAnsi="宋体" w:eastAsia="宋体" w:cs="Times New Roman"/>
                <w:color w:val="auto"/>
                <w:sz w:val="24"/>
                <w:szCs w:val="24"/>
                <w:highlight w:val="none"/>
              </w:rPr>
            </w:pPr>
          </w:p>
        </w:tc>
        <w:tc>
          <w:tcPr>
            <w:tcW w:w="1284" w:type="dxa"/>
            <w:vMerge w:val="continue"/>
            <w:tcBorders>
              <w:top w:val="single" w:color="auto" w:sz="4" w:space="0"/>
              <w:left w:val="single" w:color="auto" w:sz="4" w:space="0"/>
              <w:bottom w:val="single" w:color="auto" w:sz="4" w:space="0"/>
              <w:right w:val="single" w:color="auto" w:sz="4" w:space="0"/>
            </w:tcBorders>
            <w:vAlign w:val="center"/>
          </w:tcPr>
          <w:p w14:paraId="5E0A166C">
            <w:pPr>
              <w:widowControl/>
              <w:jc w:val="left"/>
              <w:rPr>
                <w:rFonts w:ascii="宋体" w:hAnsi="宋体" w:eastAsia="宋体" w:cs="Times New Roman"/>
                <w:color w:val="auto"/>
                <w:sz w:val="24"/>
                <w:szCs w:val="24"/>
                <w:highlight w:val="none"/>
              </w:rPr>
            </w:pPr>
          </w:p>
        </w:tc>
        <w:tc>
          <w:tcPr>
            <w:tcW w:w="2167" w:type="dxa"/>
            <w:tcBorders>
              <w:top w:val="single" w:color="auto" w:sz="4" w:space="0"/>
              <w:left w:val="single" w:color="auto" w:sz="4" w:space="0"/>
              <w:right w:val="single" w:color="auto" w:sz="4" w:space="0"/>
            </w:tcBorders>
            <w:vAlign w:val="center"/>
          </w:tcPr>
          <w:p w14:paraId="4DC10B68">
            <w:pPr>
              <w:spacing w:line="276"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投标有效期</w:t>
            </w:r>
          </w:p>
        </w:tc>
        <w:tc>
          <w:tcPr>
            <w:tcW w:w="6170" w:type="dxa"/>
            <w:tcBorders>
              <w:top w:val="single" w:color="auto" w:sz="4" w:space="0"/>
              <w:left w:val="single" w:color="auto" w:sz="4" w:space="0"/>
              <w:right w:val="single" w:color="auto" w:sz="4" w:space="0"/>
            </w:tcBorders>
            <w:vAlign w:val="center"/>
          </w:tcPr>
          <w:p w14:paraId="7D6FA487">
            <w:pP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60日历天</w:t>
            </w:r>
          </w:p>
        </w:tc>
      </w:tr>
      <w:tr w14:paraId="0201B9BD">
        <w:trPr>
          <w:trHeight w:val="497" w:hRule="atLeast"/>
          <w:jc w:val="center"/>
        </w:trPr>
        <w:tc>
          <w:tcPr>
            <w:tcW w:w="927" w:type="dxa"/>
            <w:vMerge w:val="continue"/>
            <w:tcBorders>
              <w:top w:val="single" w:color="auto" w:sz="4" w:space="0"/>
              <w:left w:val="single" w:color="auto" w:sz="4" w:space="0"/>
              <w:bottom w:val="single" w:color="auto" w:sz="4" w:space="0"/>
              <w:right w:val="single" w:color="auto" w:sz="4" w:space="0"/>
            </w:tcBorders>
            <w:vAlign w:val="center"/>
          </w:tcPr>
          <w:p w14:paraId="2B858EFE">
            <w:pPr>
              <w:widowControl/>
              <w:jc w:val="left"/>
              <w:rPr>
                <w:rFonts w:ascii="宋体" w:hAnsi="宋体" w:eastAsia="宋体" w:cs="Times New Roman"/>
                <w:color w:val="auto"/>
                <w:sz w:val="24"/>
                <w:szCs w:val="24"/>
                <w:highlight w:val="none"/>
              </w:rPr>
            </w:pPr>
          </w:p>
        </w:tc>
        <w:tc>
          <w:tcPr>
            <w:tcW w:w="1284" w:type="dxa"/>
            <w:vMerge w:val="continue"/>
            <w:tcBorders>
              <w:top w:val="single" w:color="auto" w:sz="4" w:space="0"/>
              <w:left w:val="single" w:color="auto" w:sz="4" w:space="0"/>
              <w:bottom w:val="single" w:color="auto" w:sz="4" w:space="0"/>
              <w:right w:val="single" w:color="auto" w:sz="4" w:space="0"/>
            </w:tcBorders>
            <w:vAlign w:val="center"/>
          </w:tcPr>
          <w:p w14:paraId="773734AB">
            <w:pPr>
              <w:widowControl/>
              <w:jc w:val="left"/>
              <w:rPr>
                <w:rFonts w:ascii="宋体" w:hAnsi="宋体" w:eastAsia="宋体" w:cs="Times New Roman"/>
                <w:color w:val="auto"/>
                <w:sz w:val="24"/>
                <w:szCs w:val="24"/>
                <w:highlight w:val="none"/>
              </w:rPr>
            </w:pPr>
          </w:p>
        </w:tc>
        <w:tc>
          <w:tcPr>
            <w:tcW w:w="2167" w:type="dxa"/>
            <w:tcBorders>
              <w:top w:val="single" w:color="auto" w:sz="4" w:space="0"/>
              <w:left w:val="single" w:color="auto" w:sz="4" w:space="0"/>
              <w:right w:val="single" w:color="auto" w:sz="4" w:space="0"/>
            </w:tcBorders>
            <w:vAlign w:val="center"/>
          </w:tcPr>
          <w:p w14:paraId="5BDD9DF9">
            <w:pPr>
              <w:spacing w:line="276" w:lineRule="auto"/>
              <w:jc w:val="center"/>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质保期</w:t>
            </w:r>
          </w:p>
        </w:tc>
        <w:tc>
          <w:tcPr>
            <w:tcW w:w="6170" w:type="dxa"/>
            <w:tcBorders>
              <w:top w:val="single" w:color="auto" w:sz="4" w:space="0"/>
              <w:left w:val="single" w:color="auto" w:sz="4" w:space="0"/>
              <w:right w:val="single" w:color="auto" w:sz="4" w:space="0"/>
            </w:tcBorders>
            <w:vAlign w:val="center"/>
          </w:tcPr>
          <w:p w14:paraId="3BB9FCE9">
            <w:pPr>
              <w:rPr>
                <w:rFonts w:hint="eastAsia" w:ascii="宋体" w:hAnsi="宋体" w:eastAsia="宋体" w:cs="Times New Roman"/>
                <w:color w:val="auto"/>
                <w:sz w:val="24"/>
                <w:szCs w:val="24"/>
                <w:highlight w:val="none"/>
                <w:lang w:val="en-US" w:eastAsia="zh-CN"/>
              </w:rPr>
            </w:pPr>
            <w:r>
              <w:rPr>
                <w:rFonts w:hint="eastAsia" w:ascii="宋体" w:hAnsi="宋体" w:eastAsia="宋体" w:cs="Times New Roman"/>
                <w:color w:val="auto"/>
                <w:sz w:val="24"/>
                <w:szCs w:val="24"/>
                <w:highlight w:val="none"/>
                <w:lang w:val="en-US" w:eastAsia="zh-CN"/>
              </w:rPr>
              <w:t>3年</w:t>
            </w:r>
          </w:p>
        </w:tc>
      </w:tr>
      <w:tr w14:paraId="20E99566">
        <w:trPr>
          <w:trHeight w:val="612" w:hRule="exact"/>
          <w:jc w:val="center"/>
        </w:trPr>
        <w:tc>
          <w:tcPr>
            <w:tcW w:w="927" w:type="dxa"/>
            <w:vMerge w:val="continue"/>
            <w:tcBorders>
              <w:top w:val="single" w:color="auto" w:sz="4" w:space="0"/>
              <w:left w:val="single" w:color="auto" w:sz="4" w:space="0"/>
              <w:bottom w:val="single" w:color="auto" w:sz="4" w:space="0"/>
              <w:right w:val="single" w:color="auto" w:sz="4" w:space="0"/>
            </w:tcBorders>
            <w:vAlign w:val="center"/>
          </w:tcPr>
          <w:p w14:paraId="76C89384">
            <w:pPr>
              <w:widowControl/>
              <w:jc w:val="left"/>
              <w:rPr>
                <w:rFonts w:ascii="宋体" w:hAnsi="宋体" w:eastAsia="宋体" w:cs="Times New Roman"/>
                <w:color w:val="auto"/>
                <w:sz w:val="24"/>
                <w:szCs w:val="24"/>
                <w:highlight w:val="none"/>
              </w:rPr>
            </w:pPr>
          </w:p>
        </w:tc>
        <w:tc>
          <w:tcPr>
            <w:tcW w:w="1284" w:type="dxa"/>
            <w:vMerge w:val="continue"/>
            <w:tcBorders>
              <w:top w:val="single" w:color="auto" w:sz="4" w:space="0"/>
              <w:left w:val="single" w:color="auto" w:sz="4" w:space="0"/>
              <w:bottom w:val="single" w:color="auto" w:sz="4" w:space="0"/>
              <w:right w:val="single" w:color="auto" w:sz="4" w:space="0"/>
            </w:tcBorders>
            <w:vAlign w:val="center"/>
          </w:tcPr>
          <w:p w14:paraId="16338ED6">
            <w:pPr>
              <w:widowControl/>
              <w:jc w:val="left"/>
              <w:rPr>
                <w:rFonts w:ascii="宋体" w:hAnsi="宋体" w:eastAsia="宋体" w:cs="Times New Roman"/>
                <w:color w:val="auto"/>
                <w:sz w:val="24"/>
                <w:szCs w:val="24"/>
                <w:highlight w:val="none"/>
              </w:rPr>
            </w:pPr>
          </w:p>
        </w:tc>
        <w:tc>
          <w:tcPr>
            <w:tcW w:w="2167" w:type="dxa"/>
            <w:tcBorders>
              <w:top w:val="single" w:color="auto" w:sz="4" w:space="0"/>
              <w:left w:val="single" w:color="auto" w:sz="4" w:space="0"/>
              <w:bottom w:val="single" w:color="auto" w:sz="4" w:space="0"/>
              <w:right w:val="single" w:color="auto" w:sz="4" w:space="0"/>
            </w:tcBorders>
            <w:vAlign w:val="center"/>
          </w:tcPr>
          <w:p w14:paraId="01043900">
            <w:pPr>
              <w:spacing w:line="360" w:lineRule="auto"/>
              <w:jc w:val="center"/>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投标报价</w:t>
            </w:r>
          </w:p>
        </w:tc>
        <w:tc>
          <w:tcPr>
            <w:tcW w:w="6170" w:type="dxa"/>
            <w:tcBorders>
              <w:top w:val="single" w:color="auto" w:sz="4" w:space="0"/>
              <w:left w:val="single" w:color="auto" w:sz="4" w:space="0"/>
              <w:bottom w:val="single" w:color="auto" w:sz="4" w:space="0"/>
              <w:right w:val="single" w:color="auto" w:sz="4" w:space="0"/>
            </w:tcBorders>
            <w:vAlign w:val="center"/>
          </w:tcPr>
          <w:p w14:paraId="4A2D8B4E">
            <w:pPr>
              <w:spacing w:line="360" w:lineRule="auto"/>
              <w:rPr>
                <w:rFonts w:ascii="宋体" w:hAnsi="宋体" w:eastAsia="宋体" w:cs="Times New Roman"/>
                <w:color w:val="auto"/>
                <w:sz w:val="24"/>
                <w:szCs w:val="24"/>
                <w:highlight w:val="none"/>
              </w:rPr>
            </w:pPr>
            <w:r>
              <w:rPr>
                <w:rFonts w:hint="eastAsia" w:ascii="宋体" w:hAnsi="宋体" w:eastAsia="宋体" w:cs="Times New Roman"/>
                <w:color w:val="auto"/>
                <w:kern w:val="0"/>
                <w:sz w:val="24"/>
                <w:szCs w:val="24"/>
                <w:highlight w:val="none"/>
              </w:rPr>
              <w:t>超出“最高限价”的，该</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的投标按无效处理。</w:t>
            </w:r>
          </w:p>
        </w:tc>
      </w:tr>
    </w:tbl>
    <w:p w14:paraId="6AB5DB8C">
      <w:pPr>
        <w:pStyle w:val="9"/>
        <w:jc w:val="center"/>
        <w:rPr>
          <w:rFonts w:hint="eastAsia" w:ascii="宋体" w:hAnsi="宋体" w:eastAsia="宋体" w:cs="Times New Roman"/>
          <w:b/>
          <w:bCs/>
          <w:color w:val="auto"/>
          <w:kern w:val="0"/>
          <w:sz w:val="28"/>
          <w:szCs w:val="28"/>
          <w:highlight w:val="none"/>
          <w:lang w:val="en-US" w:eastAsia="zh-CN"/>
        </w:rPr>
      </w:pPr>
      <w:r>
        <w:rPr>
          <w:rFonts w:hint="eastAsia" w:hAnsi="宋体" w:cs="Times New Roman"/>
          <w:b/>
          <w:bCs/>
          <w:color w:val="auto"/>
          <w:kern w:val="0"/>
          <w:sz w:val="28"/>
          <w:szCs w:val="28"/>
          <w:highlight w:val="none"/>
          <w:lang w:val="en-US" w:eastAsia="zh-CN"/>
        </w:rPr>
        <w:t>详 细 评 审</w:t>
      </w:r>
    </w:p>
    <w:tbl>
      <w:tblPr>
        <w:tblStyle w:val="14"/>
        <w:tblW w:w="94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3"/>
        <w:gridCol w:w="1275"/>
        <w:gridCol w:w="6121"/>
        <w:gridCol w:w="838"/>
      </w:tblGrid>
      <w:tr w14:paraId="22C124F5">
        <w:trPr>
          <w:trHeight w:val="764" w:hRule="atLeast"/>
          <w:jc w:val="center"/>
        </w:trPr>
        <w:tc>
          <w:tcPr>
            <w:tcW w:w="1263" w:type="dxa"/>
            <w:noWrap w:val="0"/>
            <w:vAlign w:val="center"/>
          </w:tcPr>
          <w:p w14:paraId="59E997BC">
            <w:pPr>
              <w:snapToGrid w:val="0"/>
              <w:spacing w:line="440" w:lineRule="exact"/>
              <w:jc w:val="center"/>
              <w:rPr>
                <w:rFonts w:hint="eastAsia"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评分</w:t>
            </w:r>
          </w:p>
          <w:p w14:paraId="50F4EA0E">
            <w:pPr>
              <w:snapToGrid w:val="0"/>
              <w:spacing w:line="440" w:lineRule="exact"/>
              <w:jc w:val="center"/>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因素</w:t>
            </w:r>
          </w:p>
        </w:tc>
        <w:tc>
          <w:tcPr>
            <w:tcW w:w="1275" w:type="dxa"/>
            <w:noWrap w:val="0"/>
            <w:vAlign w:val="center"/>
          </w:tcPr>
          <w:p w14:paraId="1528F762">
            <w:pPr>
              <w:snapToGrid w:val="0"/>
              <w:spacing w:line="440" w:lineRule="exact"/>
              <w:jc w:val="center"/>
              <w:rPr>
                <w:rFonts w:hint="eastAsia"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评分</w:t>
            </w:r>
          </w:p>
          <w:p w14:paraId="105D356D">
            <w:pPr>
              <w:snapToGrid w:val="0"/>
              <w:spacing w:line="440" w:lineRule="exact"/>
              <w:jc w:val="center"/>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内容</w:t>
            </w:r>
          </w:p>
        </w:tc>
        <w:tc>
          <w:tcPr>
            <w:tcW w:w="6121" w:type="dxa"/>
            <w:noWrap w:val="0"/>
            <w:vAlign w:val="center"/>
          </w:tcPr>
          <w:p w14:paraId="022D1554">
            <w:pPr>
              <w:snapToGrid w:val="0"/>
              <w:spacing w:line="440" w:lineRule="exact"/>
              <w:jc w:val="center"/>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评分标准</w:t>
            </w:r>
          </w:p>
        </w:tc>
        <w:tc>
          <w:tcPr>
            <w:tcW w:w="838" w:type="dxa"/>
            <w:noWrap w:val="0"/>
            <w:vAlign w:val="center"/>
          </w:tcPr>
          <w:p w14:paraId="43BEEFAE">
            <w:pPr>
              <w:snapToGrid w:val="0"/>
              <w:spacing w:line="440" w:lineRule="exact"/>
              <w:jc w:val="center"/>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分值</w:t>
            </w:r>
          </w:p>
        </w:tc>
      </w:tr>
      <w:tr w14:paraId="7C9C2500">
        <w:trPr>
          <w:trHeight w:val="557" w:hRule="atLeast"/>
          <w:jc w:val="center"/>
        </w:trPr>
        <w:tc>
          <w:tcPr>
            <w:tcW w:w="1263" w:type="dxa"/>
            <w:noWrap w:val="0"/>
            <w:vAlign w:val="center"/>
          </w:tcPr>
          <w:p w14:paraId="277D1828">
            <w:pPr>
              <w:snapToGrid w:val="0"/>
              <w:spacing w:line="440" w:lineRule="exact"/>
              <w:jc w:val="center"/>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投标</w:t>
            </w:r>
          </w:p>
          <w:p w14:paraId="5BCF7501">
            <w:pPr>
              <w:snapToGrid w:val="0"/>
              <w:spacing w:line="440" w:lineRule="exact"/>
              <w:jc w:val="center"/>
              <w:rPr>
                <w:rFonts w:ascii="宋体" w:hAnsi="宋体" w:eastAsia="宋体"/>
                <w:color w:val="auto"/>
                <w:kern w:val="0"/>
                <w:sz w:val="24"/>
                <w:szCs w:val="24"/>
                <w:highlight w:val="none"/>
              </w:rPr>
            </w:pPr>
            <w:r>
              <w:rPr>
                <w:rFonts w:hint="eastAsia" w:ascii="宋体" w:hAnsi="宋体" w:eastAsia="宋体"/>
                <w:color w:val="auto"/>
                <w:kern w:val="0"/>
                <w:sz w:val="24"/>
                <w:szCs w:val="24"/>
                <w:highlight w:val="none"/>
              </w:rPr>
              <w:t>报价</w:t>
            </w:r>
          </w:p>
          <w:p w14:paraId="2CD87BF9">
            <w:pPr>
              <w:snapToGrid w:val="0"/>
              <w:spacing w:line="440" w:lineRule="exact"/>
              <w:jc w:val="center"/>
              <w:rPr>
                <w:rFonts w:ascii="宋体" w:hAnsi="宋体" w:eastAsia="宋体"/>
                <w:color w:val="auto"/>
                <w:kern w:val="0"/>
                <w:sz w:val="24"/>
                <w:szCs w:val="24"/>
                <w:highlight w:val="none"/>
              </w:rPr>
            </w:pPr>
            <w:r>
              <w:rPr>
                <w:rFonts w:hint="eastAsia" w:ascii="宋体" w:hAnsi="宋体" w:eastAsia="宋体"/>
                <w:color w:val="auto"/>
                <w:kern w:val="0"/>
                <w:sz w:val="24"/>
                <w:szCs w:val="24"/>
                <w:highlight w:val="none"/>
              </w:rPr>
              <w:t>（30分）</w:t>
            </w:r>
          </w:p>
          <w:p w14:paraId="165DDEC9">
            <w:pPr>
              <w:snapToGrid w:val="0"/>
              <w:spacing w:line="440" w:lineRule="exact"/>
              <w:jc w:val="center"/>
              <w:rPr>
                <w:rFonts w:ascii="宋体" w:hAnsi="宋体" w:eastAsia="宋体"/>
                <w:color w:val="auto"/>
                <w:kern w:val="0"/>
                <w:sz w:val="24"/>
                <w:szCs w:val="24"/>
                <w:highlight w:val="none"/>
              </w:rPr>
            </w:pPr>
          </w:p>
        </w:tc>
        <w:tc>
          <w:tcPr>
            <w:tcW w:w="1275" w:type="dxa"/>
            <w:noWrap w:val="0"/>
            <w:vAlign w:val="center"/>
          </w:tcPr>
          <w:p w14:paraId="59A0670A">
            <w:pPr>
              <w:snapToGrid w:val="0"/>
              <w:spacing w:line="440" w:lineRule="exact"/>
              <w:jc w:val="center"/>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投标报价</w:t>
            </w:r>
          </w:p>
          <w:p w14:paraId="3DE57C94">
            <w:pPr>
              <w:snapToGrid w:val="0"/>
              <w:spacing w:line="440" w:lineRule="exact"/>
              <w:jc w:val="center"/>
              <w:rPr>
                <w:rFonts w:ascii="宋体" w:hAnsi="宋体" w:eastAsia="宋体"/>
                <w:color w:val="auto"/>
                <w:kern w:val="0"/>
                <w:sz w:val="24"/>
                <w:szCs w:val="24"/>
                <w:highlight w:val="none"/>
              </w:rPr>
            </w:pPr>
          </w:p>
        </w:tc>
        <w:tc>
          <w:tcPr>
            <w:tcW w:w="6121" w:type="dxa"/>
            <w:noWrap w:val="0"/>
            <w:vAlign w:val="center"/>
          </w:tcPr>
          <w:p w14:paraId="2B0996B6">
            <w:pPr>
              <w:snapToGrid w:val="0"/>
              <w:ind w:firstLine="480" w:firstLineChars="200"/>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本项目投标价超出最高限价的，采购人不予接受，且投标为无效标。</w:t>
            </w:r>
          </w:p>
          <w:p w14:paraId="235D4366">
            <w:pPr>
              <w:snapToGrid w:val="0"/>
              <w:spacing w:before="156" w:beforeLines="50"/>
              <w:ind w:firstLine="480" w:firstLineChars="200"/>
              <w:rPr>
                <w:rFonts w:hint="eastAsia" w:ascii="宋体" w:hAnsi="宋体" w:eastAsia="宋体"/>
                <w:color w:val="auto"/>
                <w:kern w:val="0"/>
                <w:sz w:val="24"/>
                <w:szCs w:val="24"/>
                <w:highlight w:val="none"/>
              </w:rPr>
            </w:pPr>
            <w:r>
              <w:rPr>
                <w:rFonts w:hint="eastAsia" w:ascii="宋体" w:hAnsi="宋体" w:eastAsia="宋体"/>
                <w:color w:val="auto"/>
                <w:kern w:val="0"/>
                <w:sz w:val="24"/>
                <w:szCs w:val="24"/>
                <w:highlight w:val="none"/>
              </w:rPr>
              <w:t>投标报价得分：价格分采用低价优先法计算，即满足招标文件要求且投标价格最低的投标报价为评标基准价，得30分，其他供应商的价格分按照下列公式计算：报价得分=（评标基准价/投标报价）×30×100%</w:t>
            </w:r>
          </w:p>
          <w:p w14:paraId="3E860518">
            <w:pPr>
              <w:pStyle w:val="25"/>
              <w:keepNext w:val="0"/>
              <w:keepLines w:val="0"/>
              <w:pageBreakBefore w:val="0"/>
              <w:numPr>
                <w:ilvl w:val="0"/>
                <w:numId w:val="0"/>
              </w:numPr>
              <w:tabs>
                <w:tab w:val="left" w:pos="343"/>
              </w:tabs>
              <w:kinsoku/>
              <w:wordWrap/>
              <w:overflowPunct/>
              <w:topLinePunct w:val="0"/>
              <w:bidi w:val="0"/>
              <w:adjustRightInd w:val="0"/>
              <w:snapToGrid w:val="0"/>
              <w:spacing w:line="440" w:lineRule="exact"/>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为了促进中小企业发展，根据《三门峡市财政局关于进一步加大政府采购支持中小企业发展有关事项的通知》（三财购﹝2022﹞9号）的规定，对小微企业产品的价格给予10%～20%的扣除，本项目小微企业按20%扣除，用扣除后的价格参加评审（采购项目含有多个采购标的，只有当供应商提供的每个标的均由小微企业制造，才能享受价格扣除政策。如果小微供应商提供的货物既有中型企业制造货物，也有小微企业制造货物的，不享受价格扣除相关政策）。中小企业划型标准见《关于印发中小企业划型标准规定的通知》（工信部联企业[2011]300号）。</w:t>
            </w:r>
          </w:p>
          <w:p w14:paraId="7889ADC3">
            <w:pPr>
              <w:pStyle w:val="25"/>
              <w:keepNext w:val="0"/>
              <w:keepLines w:val="0"/>
              <w:pageBreakBefore w:val="0"/>
              <w:numPr>
                <w:ilvl w:val="0"/>
                <w:numId w:val="0"/>
              </w:numPr>
              <w:tabs>
                <w:tab w:val="left" w:pos="343"/>
              </w:tabs>
              <w:kinsoku/>
              <w:wordWrap/>
              <w:overflowPunct/>
              <w:topLinePunct w:val="0"/>
              <w:bidi w:val="0"/>
              <w:adjustRightInd w:val="0"/>
              <w:snapToGrid w:val="0"/>
              <w:spacing w:line="440" w:lineRule="exact"/>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2）为了发挥政府采购促进残疾人就业的作用，进一步保障残疾人权益，根据财库【2017】141号的规定，给予残疾人福利性单位（供应商为残疾人福利性单位且提供的所有投标产品均为残疾人福利性单位产品）价格20%的扣除，用扣除后的价格参与评审，残疾人福利性单位投标报价=残疾人福利性单位报价×（1-20%）。</w:t>
            </w:r>
          </w:p>
          <w:p w14:paraId="4264DECC">
            <w:pPr>
              <w:pStyle w:val="25"/>
              <w:keepNext w:val="0"/>
              <w:keepLines w:val="0"/>
              <w:pageBreakBefore w:val="0"/>
              <w:numPr>
                <w:ilvl w:val="0"/>
                <w:numId w:val="0"/>
              </w:numPr>
              <w:tabs>
                <w:tab w:val="left" w:pos="343"/>
              </w:tabs>
              <w:kinsoku/>
              <w:wordWrap/>
              <w:overflowPunct/>
              <w:topLinePunct w:val="0"/>
              <w:bidi w:val="0"/>
              <w:adjustRightInd w:val="0"/>
              <w:snapToGrid w:val="0"/>
              <w:spacing w:line="440" w:lineRule="exact"/>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（3）根据《关于政府采购支持监狱企业发展有关问题的通知》（财库[2014]68 号）文件规定，监狱企业视同小型、微型企业，评审中享受价格20%扣除，用扣除后的价格参与评审，监狱企业产品投标报价=监狱企业产品报价×（1-20%）。（须提供由省级以上监狱管理局、戒毒管理局（含新疆生产建设兵团）出具的属于监狱企业的证明文件）。</w:t>
            </w:r>
          </w:p>
          <w:p w14:paraId="0918C35F">
            <w:pPr>
              <w:pStyle w:val="25"/>
              <w:keepNext w:val="0"/>
              <w:keepLines w:val="0"/>
              <w:pageBreakBefore w:val="0"/>
              <w:numPr>
                <w:ilvl w:val="0"/>
                <w:numId w:val="0"/>
              </w:numPr>
              <w:tabs>
                <w:tab w:val="left" w:pos="343"/>
              </w:tabs>
              <w:kinsoku/>
              <w:wordWrap/>
              <w:overflowPunct/>
              <w:topLinePunct w:val="0"/>
              <w:bidi w:val="0"/>
              <w:adjustRightInd w:val="0"/>
              <w:snapToGrid w:val="0"/>
              <w:spacing w:line="440" w:lineRule="exact"/>
              <w:jc w:val="left"/>
              <w:textAlignment w:val="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（4）监狱企业、残疾人福利性单位属于小型、微型企业的，不重复享受政策，仅给予一次价格20%的扣除。</w:t>
            </w:r>
          </w:p>
          <w:p w14:paraId="4710734E">
            <w:pPr>
              <w:rPr>
                <w:rFonts w:hint="eastAsia" w:ascii="Times New Roman" w:hAnsi="Times New Roman" w:eastAsia="宋体"/>
                <w:color w:val="auto"/>
                <w:kern w:val="0"/>
                <w:sz w:val="20"/>
                <w:szCs w:val="21"/>
                <w:highlight w:val="none"/>
              </w:rPr>
            </w:pPr>
            <w:r>
              <w:rPr>
                <w:rFonts w:hint="eastAsia" w:ascii="宋体" w:hAnsi="宋体" w:eastAsia="宋体" w:cs="宋体"/>
                <w:color w:val="auto"/>
                <w:kern w:val="0"/>
                <w:sz w:val="24"/>
                <w:szCs w:val="24"/>
                <w:highlight w:val="none"/>
                <w:lang w:val="en-US" w:eastAsia="zh-CN"/>
              </w:rPr>
              <w:t>（5）评标委员会认为供应商的报价明显低于其他通过实质性审查供应商的报价，有可能影响服务质量或者不能诚信履约的，应当要求其在评标现场合理的时间内提供书面说明，必要时提交相关证明材料；供应商不能证明其报价合理性的，评标委员会应当将其作为无效投标处理。</w:t>
            </w:r>
          </w:p>
        </w:tc>
        <w:tc>
          <w:tcPr>
            <w:tcW w:w="838" w:type="dxa"/>
            <w:noWrap w:val="0"/>
            <w:vAlign w:val="center"/>
          </w:tcPr>
          <w:p w14:paraId="637C252C">
            <w:pPr>
              <w:snapToGrid w:val="0"/>
              <w:spacing w:line="440" w:lineRule="exact"/>
              <w:jc w:val="center"/>
              <w:rPr>
                <w:rFonts w:ascii="宋体" w:hAnsi="宋体" w:eastAsia="宋体"/>
                <w:color w:val="auto"/>
                <w:kern w:val="0"/>
                <w:sz w:val="24"/>
                <w:szCs w:val="24"/>
                <w:highlight w:val="none"/>
              </w:rPr>
            </w:pPr>
            <w:r>
              <w:rPr>
                <w:rFonts w:hint="eastAsia" w:ascii="宋体" w:hAnsi="宋体" w:eastAsia="宋体"/>
                <w:color w:val="auto"/>
                <w:kern w:val="0"/>
                <w:sz w:val="24"/>
                <w:szCs w:val="24"/>
                <w:highlight w:val="none"/>
              </w:rPr>
              <w:t>30分</w:t>
            </w:r>
          </w:p>
        </w:tc>
      </w:tr>
      <w:tr w14:paraId="597A9A5B">
        <w:trPr>
          <w:trHeight w:val="659" w:hRule="atLeast"/>
          <w:jc w:val="center"/>
        </w:trPr>
        <w:tc>
          <w:tcPr>
            <w:tcW w:w="1263" w:type="dxa"/>
            <w:vMerge w:val="restart"/>
            <w:noWrap w:val="0"/>
            <w:vAlign w:val="center"/>
          </w:tcPr>
          <w:p w14:paraId="76B0B250">
            <w:pPr>
              <w:snapToGrid w:val="0"/>
              <w:spacing w:line="440" w:lineRule="exact"/>
              <w:jc w:val="center"/>
              <w:rPr>
                <w:rFonts w:ascii="宋体" w:hAnsi="宋体" w:eastAsia="宋体"/>
                <w:color w:val="auto"/>
                <w:kern w:val="0"/>
                <w:sz w:val="24"/>
                <w:szCs w:val="24"/>
                <w:highlight w:val="none"/>
              </w:rPr>
            </w:pPr>
            <w:r>
              <w:rPr>
                <w:rFonts w:hint="eastAsia" w:ascii="宋体" w:hAnsi="宋体" w:eastAsia="宋体"/>
                <w:color w:val="auto"/>
                <w:kern w:val="0"/>
                <w:sz w:val="24"/>
                <w:szCs w:val="24"/>
                <w:highlight w:val="none"/>
              </w:rPr>
              <w:t>技术</w:t>
            </w:r>
            <w:r>
              <w:rPr>
                <w:rFonts w:hint="eastAsia" w:ascii="宋体" w:hAnsi="宋体" w:eastAsia="宋体" w:cs="宋体"/>
                <w:color w:val="auto"/>
                <w:sz w:val="24"/>
                <w:szCs w:val="24"/>
                <w:highlight w:val="none"/>
              </w:rPr>
              <w:t>标（</w:t>
            </w:r>
            <w:r>
              <w:rPr>
                <w:rFonts w:ascii="宋体" w:hAnsi="宋体" w:eastAsia="宋体" w:cs="宋体"/>
                <w:color w:val="auto"/>
                <w:sz w:val="24"/>
                <w:szCs w:val="24"/>
                <w:highlight w:val="none"/>
              </w:rPr>
              <w:t>46</w:t>
            </w:r>
            <w:r>
              <w:rPr>
                <w:rFonts w:hint="eastAsia" w:ascii="宋体" w:hAnsi="宋体" w:eastAsia="宋体" w:cs="宋体"/>
                <w:color w:val="auto"/>
                <w:sz w:val="24"/>
                <w:szCs w:val="24"/>
                <w:highlight w:val="none"/>
              </w:rPr>
              <w:t>分）</w:t>
            </w:r>
          </w:p>
        </w:tc>
        <w:tc>
          <w:tcPr>
            <w:tcW w:w="1275" w:type="dxa"/>
            <w:noWrap w:val="0"/>
            <w:vAlign w:val="center"/>
          </w:tcPr>
          <w:p w14:paraId="37758EDE">
            <w:pPr>
              <w:spacing w:line="44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技术指标响应情况</w:t>
            </w:r>
          </w:p>
        </w:tc>
        <w:tc>
          <w:tcPr>
            <w:tcW w:w="6121" w:type="dxa"/>
            <w:noWrap w:val="0"/>
            <w:vAlign w:val="center"/>
          </w:tcPr>
          <w:p w14:paraId="18C0907F">
            <w:pPr>
              <w:ind w:firstLine="480" w:firstLineChars="20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评审专家根据招标文件要求的技术条款及投标文件中《</w:t>
            </w:r>
            <w:r>
              <w:rPr>
                <w:rFonts w:hint="eastAsia" w:ascii="宋体" w:hAnsi="宋体" w:eastAsia="宋体" w:cs="宋体"/>
                <w:b/>
                <w:bCs/>
                <w:color w:val="auto"/>
                <w:sz w:val="24"/>
                <w:szCs w:val="24"/>
                <w:highlight w:val="none"/>
              </w:rPr>
              <w:t>技术参数偏离表</w:t>
            </w:r>
            <w:r>
              <w:rPr>
                <w:rFonts w:hint="eastAsia" w:ascii="宋体" w:hAnsi="宋体" w:eastAsia="宋体" w:cs="宋体"/>
                <w:color w:val="auto"/>
                <w:sz w:val="24"/>
                <w:szCs w:val="24"/>
                <w:highlight w:val="none"/>
              </w:rPr>
              <w:t>》响应的条款进行打分评审（</w:t>
            </w:r>
            <w:r>
              <w:rPr>
                <w:rFonts w:hint="eastAsia" w:ascii="宋体" w:hAnsi="宋体" w:eastAsia="宋体" w:cs="宋体"/>
                <w:b/>
                <w:bCs/>
                <w:color w:val="auto"/>
                <w:sz w:val="24"/>
                <w:szCs w:val="24"/>
                <w:highlight w:val="none"/>
              </w:rPr>
              <w:t>供应商需提供相关证明材料并标明每条技术参数对应的证明材料页码及条款</w:t>
            </w:r>
            <w:r>
              <w:rPr>
                <w:rFonts w:hint="eastAsia" w:ascii="宋体" w:hAnsi="宋体" w:eastAsia="宋体" w:cs="宋体"/>
                <w:color w:val="auto"/>
                <w:sz w:val="24"/>
                <w:szCs w:val="24"/>
                <w:highlight w:val="none"/>
              </w:rPr>
              <w:t>），所有条款均符合招标文件技术参数与要求，得</w:t>
            </w:r>
            <w:r>
              <w:rPr>
                <w:rFonts w:ascii="宋体" w:hAnsi="宋体" w:eastAsia="宋体" w:cs="宋体"/>
                <w:color w:val="auto"/>
                <w:sz w:val="24"/>
                <w:szCs w:val="24"/>
                <w:highlight w:val="none"/>
              </w:rPr>
              <w:t>2</w:t>
            </w:r>
            <w:r>
              <w:rPr>
                <w:rFonts w:hint="eastAsia" w:ascii="宋体" w:hAnsi="宋体" w:eastAsia="宋体" w:cs="宋体"/>
                <w:color w:val="auto"/>
                <w:sz w:val="24"/>
                <w:szCs w:val="24"/>
                <w:highlight w:val="none"/>
              </w:rPr>
              <w:t>0分；</w:t>
            </w:r>
          </w:p>
          <w:p w14:paraId="1CED2B08">
            <w:pPr>
              <w:ind w:firstLine="500" w:firstLineChars="200"/>
              <w:jc w:val="left"/>
              <w:rPr>
                <w:rFonts w:hint="eastAsia" w:ascii="宋体" w:hAnsi="宋体" w:eastAsia="宋体"/>
                <w:color w:val="auto"/>
                <w:sz w:val="24"/>
                <w:szCs w:val="24"/>
                <w:highlight w:val="none"/>
              </w:rPr>
            </w:pPr>
            <w:r>
              <w:rPr>
                <w:rFonts w:hint="eastAsia" w:ascii="宋体" w:hAnsi="宋体" w:eastAsia="宋体" w:cs="微软雅黑"/>
                <w:color w:val="auto"/>
                <w:spacing w:val="5"/>
                <w:kern w:val="0"/>
                <w:sz w:val="24"/>
                <w:szCs w:val="24"/>
                <w:highlight w:val="none"/>
              </w:rPr>
              <w:t>技术参数</w:t>
            </w:r>
            <w:r>
              <w:rPr>
                <w:rFonts w:hint="eastAsia" w:ascii="宋体" w:hAnsi="宋体" w:eastAsia="宋体"/>
                <w:color w:val="auto"/>
                <w:sz w:val="24"/>
                <w:szCs w:val="24"/>
                <w:highlight w:val="none"/>
              </w:rPr>
              <w:t>不满足招标</w:t>
            </w:r>
            <w:r>
              <w:rPr>
                <w:rFonts w:ascii="宋体" w:hAnsi="宋体" w:eastAsia="宋体"/>
                <w:color w:val="auto"/>
                <w:sz w:val="24"/>
                <w:szCs w:val="24"/>
                <w:highlight w:val="none"/>
              </w:rPr>
              <w:t>文件要求的</w:t>
            </w:r>
            <w:r>
              <w:rPr>
                <w:rFonts w:hint="eastAsia" w:ascii="宋体" w:hAnsi="宋体" w:eastAsia="宋体"/>
                <w:color w:val="auto"/>
                <w:sz w:val="24"/>
                <w:szCs w:val="24"/>
                <w:highlight w:val="none"/>
              </w:rPr>
              <w:t>（负偏离）</w:t>
            </w:r>
            <w:r>
              <w:rPr>
                <w:rFonts w:ascii="宋体" w:hAnsi="宋体" w:eastAsia="宋体"/>
                <w:color w:val="auto"/>
                <w:sz w:val="24"/>
                <w:szCs w:val="24"/>
                <w:highlight w:val="none"/>
              </w:rPr>
              <w:t>,</w:t>
            </w:r>
            <w:r>
              <w:rPr>
                <w:rFonts w:hint="eastAsia" w:ascii="宋体" w:hAnsi="宋体" w:eastAsia="宋体"/>
                <w:color w:val="auto"/>
                <w:sz w:val="24"/>
                <w:szCs w:val="24"/>
                <w:highlight w:val="none"/>
              </w:rPr>
              <w:t>每有一项不满足的在基础分</w:t>
            </w:r>
            <w:r>
              <w:rPr>
                <w:rFonts w:ascii="宋体" w:hAnsi="宋体" w:eastAsia="宋体"/>
                <w:color w:val="auto"/>
                <w:sz w:val="24"/>
                <w:szCs w:val="24"/>
                <w:highlight w:val="none"/>
              </w:rPr>
              <w:t>20</w:t>
            </w:r>
            <w:r>
              <w:rPr>
                <w:rFonts w:hint="eastAsia" w:ascii="宋体" w:hAnsi="宋体" w:eastAsia="宋体"/>
                <w:color w:val="auto"/>
                <w:sz w:val="24"/>
                <w:szCs w:val="24"/>
                <w:highlight w:val="none"/>
              </w:rPr>
              <w:t>分上扣</w:t>
            </w:r>
            <w:r>
              <w:rPr>
                <w:rFonts w:hint="eastAsia" w:ascii="宋体" w:hAnsi="宋体" w:eastAsia="宋体"/>
                <w:color w:val="auto"/>
                <w:sz w:val="24"/>
                <w:szCs w:val="24"/>
                <w:highlight w:val="none"/>
                <w:lang w:val="en-US" w:eastAsia="zh-CN"/>
              </w:rPr>
              <w:t>2</w:t>
            </w:r>
            <w:r>
              <w:rPr>
                <w:rFonts w:hint="eastAsia" w:ascii="宋体" w:hAnsi="宋体" w:eastAsia="宋体"/>
                <w:color w:val="auto"/>
                <w:sz w:val="24"/>
                <w:szCs w:val="24"/>
                <w:highlight w:val="none"/>
              </w:rPr>
              <w:t>分；负偏离参数达到</w:t>
            </w:r>
            <w:r>
              <w:rPr>
                <w:rFonts w:ascii="宋体" w:hAnsi="宋体" w:eastAsia="宋体"/>
                <w:color w:val="auto"/>
                <w:sz w:val="24"/>
                <w:szCs w:val="24"/>
                <w:highlight w:val="none"/>
              </w:rPr>
              <w:t>1</w:t>
            </w:r>
            <w:r>
              <w:rPr>
                <w:rFonts w:hint="eastAsia" w:ascii="宋体" w:hAnsi="宋体" w:eastAsia="宋体"/>
                <w:color w:val="auto"/>
                <w:sz w:val="24"/>
                <w:szCs w:val="24"/>
                <w:highlight w:val="none"/>
              </w:rPr>
              <w:t>0条及以上的本项不得分。</w:t>
            </w:r>
          </w:p>
        </w:tc>
        <w:tc>
          <w:tcPr>
            <w:tcW w:w="838" w:type="dxa"/>
            <w:noWrap w:val="0"/>
            <w:vAlign w:val="center"/>
          </w:tcPr>
          <w:p w14:paraId="44D6C774">
            <w:pPr>
              <w:spacing w:before="156" w:line="440" w:lineRule="exact"/>
              <w:jc w:val="center"/>
              <w:rPr>
                <w:rFonts w:hint="eastAsia" w:ascii="宋体" w:hAnsi="宋体" w:eastAsia="宋体" w:cs="宋体"/>
                <w:color w:val="auto"/>
                <w:sz w:val="24"/>
                <w:szCs w:val="24"/>
                <w:highlight w:val="none"/>
              </w:rPr>
            </w:pPr>
            <w:r>
              <w:rPr>
                <w:rFonts w:ascii="宋体" w:hAnsi="宋体" w:eastAsia="宋体" w:cs="宋体"/>
                <w:color w:val="auto"/>
                <w:sz w:val="24"/>
                <w:szCs w:val="24"/>
                <w:highlight w:val="none"/>
              </w:rPr>
              <w:t>20</w:t>
            </w:r>
            <w:r>
              <w:rPr>
                <w:rFonts w:hint="eastAsia" w:ascii="宋体" w:hAnsi="宋体" w:eastAsia="宋体" w:cs="宋体"/>
                <w:color w:val="auto"/>
                <w:sz w:val="24"/>
                <w:szCs w:val="24"/>
                <w:highlight w:val="none"/>
              </w:rPr>
              <w:t>分</w:t>
            </w:r>
          </w:p>
        </w:tc>
      </w:tr>
      <w:tr w14:paraId="0C191A73">
        <w:trPr>
          <w:trHeight w:val="983" w:hRule="atLeast"/>
          <w:jc w:val="center"/>
        </w:trPr>
        <w:tc>
          <w:tcPr>
            <w:tcW w:w="1263" w:type="dxa"/>
            <w:vMerge w:val="continue"/>
            <w:noWrap w:val="0"/>
            <w:vAlign w:val="center"/>
          </w:tcPr>
          <w:p w14:paraId="63CBC9C7">
            <w:pPr>
              <w:snapToGrid w:val="0"/>
              <w:spacing w:line="440" w:lineRule="exact"/>
              <w:jc w:val="center"/>
              <w:rPr>
                <w:rFonts w:hint="eastAsia" w:ascii="宋体" w:hAnsi="宋体" w:eastAsia="宋体"/>
                <w:color w:val="auto"/>
                <w:kern w:val="0"/>
                <w:sz w:val="24"/>
                <w:szCs w:val="24"/>
                <w:highlight w:val="none"/>
              </w:rPr>
            </w:pPr>
          </w:p>
        </w:tc>
        <w:tc>
          <w:tcPr>
            <w:tcW w:w="1275" w:type="dxa"/>
            <w:noWrap w:val="0"/>
            <w:vAlign w:val="center"/>
          </w:tcPr>
          <w:p w14:paraId="6CF6E418">
            <w:pPr>
              <w:snapToGrid w:val="0"/>
              <w:spacing w:line="360" w:lineRule="auto"/>
              <w:jc w:val="center"/>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rPr>
              <w:t>供货、安装调试、培训方案</w:t>
            </w:r>
          </w:p>
        </w:tc>
        <w:tc>
          <w:tcPr>
            <w:tcW w:w="6121" w:type="dxa"/>
            <w:noWrap w:val="0"/>
            <w:vAlign w:val="center"/>
          </w:tcPr>
          <w:p w14:paraId="4704B5E8">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1.供货方案全面、合理、措施有保障的，</w:t>
            </w:r>
            <w:r>
              <w:rPr>
                <w:rFonts w:hint="eastAsia" w:ascii="宋体" w:hAnsi="宋体" w:eastAsia="宋体" w:cs="宋体"/>
                <w:color w:val="auto"/>
                <w:sz w:val="24"/>
                <w:szCs w:val="24"/>
                <w:highlight w:val="none"/>
                <w:lang w:val="en-US" w:eastAsia="zh-CN"/>
              </w:rPr>
              <w:t>最优响应</w:t>
            </w:r>
            <w:r>
              <w:rPr>
                <w:rFonts w:hint="eastAsia" w:ascii="宋体" w:hAnsi="宋体" w:eastAsia="宋体" w:cs="宋体"/>
                <w:color w:val="auto"/>
                <w:sz w:val="24"/>
                <w:szCs w:val="24"/>
                <w:highlight w:val="none"/>
              </w:rPr>
              <w:t>得</w:t>
            </w:r>
            <w:r>
              <w:rPr>
                <w:rFonts w:ascii="宋体" w:hAnsi="宋体" w:eastAsia="宋体" w:cs="宋体"/>
                <w:color w:val="auto"/>
                <w:sz w:val="24"/>
                <w:szCs w:val="24"/>
                <w:highlight w:val="none"/>
              </w:rPr>
              <w:t>6</w:t>
            </w:r>
            <w:r>
              <w:rPr>
                <w:rFonts w:hint="eastAsia" w:ascii="宋体" w:hAnsi="宋体" w:eastAsia="宋体" w:cs="宋体"/>
                <w:color w:val="auto"/>
                <w:sz w:val="24"/>
                <w:szCs w:val="24"/>
                <w:highlight w:val="none"/>
              </w:rPr>
              <w:t xml:space="preserve"> 分；较全面、较详尽或者个别方面不能完全满足采购需求的，</w:t>
            </w:r>
            <w:r>
              <w:rPr>
                <w:rFonts w:hint="eastAsia" w:ascii="宋体" w:hAnsi="宋体" w:eastAsia="宋体" w:cs="宋体"/>
                <w:color w:val="auto"/>
                <w:sz w:val="24"/>
                <w:szCs w:val="24"/>
                <w:highlight w:val="none"/>
                <w:lang w:val="en-US" w:eastAsia="zh-CN"/>
              </w:rPr>
              <w:t>次优响应得</w:t>
            </w:r>
            <w:r>
              <w:rPr>
                <w:rFonts w:ascii="宋体" w:hAnsi="宋体" w:eastAsia="宋体" w:cs="宋体"/>
                <w:color w:val="auto"/>
                <w:sz w:val="24"/>
                <w:szCs w:val="24"/>
                <w:highlight w:val="none"/>
              </w:rPr>
              <w:t>3</w:t>
            </w:r>
            <w:r>
              <w:rPr>
                <w:rFonts w:hint="eastAsia" w:ascii="宋体" w:hAnsi="宋体" w:eastAsia="宋体" w:cs="宋体"/>
                <w:color w:val="auto"/>
                <w:sz w:val="24"/>
                <w:szCs w:val="24"/>
                <w:highlight w:val="none"/>
              </w:rPr>
              <w:t xml:space="preserve"> 分；基本满足采购需求的，</w:t>
            </w:r>
            <w:r>
              <w:rPr>
                <w:rFonts w:hint="eastAsia" w:ascii="宋体" w:hAnsi="宋体" w:eastAsia="宋体" w:cs="宋体"/>
                <w:color w:val="auto"/>
                <w:sz w:val="24"/>
                <w:szCs w:val="24"/>
                <w:highlight w:val="none"/>
                <w:lang w:val="en-US" w:eastAsia="zh-CN"/>
              </w:rPr>
              <w:t>基础响应</w:t>
            </w:r>
            <w:r>
              <w:rPr>
                <w:rFonts w:hint="eastAsia" w:ascii="宋体" w:hAnsi="宋体" w:eastAsia="宋体" w:cs="宋体"/>
                <w:color w:val="auto"/>
                <w:sz w:val="24"/>
                <w:szCs w:val="24"/>
                <w:highlight w:val="none"/>
              </w:rPr>
              <w:t>得</w:t>
            </w:r>
            <w:r>
              <w:rPr>
                <w:rFonts w:ascii="宋体" w:hAnsi="宋体" w:eastAsia="宋体" w:cs="宋体"/>
                <w:color w:val="auto"/>
                <w:sz w:val="24"/>
                <w:szCs w:val="24"/>
                <w:highlight w:val="none"/>
              </w:rPr>
              <w:t>1</w:t>
            </w:r>
            <w:r>
              <w:rPr>
                <w:rFonts w:hint="eastAsia" w:ascii="宋体" w:hAnsi="宋体" w:eastAsia="宋体" w:cs="宋体"/>
                <w:color w:val="auto"/>
                <w:sz w:val="24"/>
                <w:szCs w:val="24"/>
                <w:highlight w:val="none"/>
              </w:rPr>
              <w:t xml:space="preserve"> 分。</w:t>
            </w:r>
          </w:p>
          <w:p w14:paraId="4BFCE073">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2.安装调试的方案（安装调试前期工作、人员配备、时间安排、工具配备</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提供交钥匙工程、设备能直接进行检定使用</w:t>
            </w:r>
            <w:r>
              <w:rPr>
                <w:rFonts w:hint="eastAsia" w:ascii="宋体" w:hAnsi="宋体" w:eastAsia="宋体" w:cs="宋体"/>
                <w:color w:val="auto"/>
                <w:sz w:val="24"/>
                <w:szCs w:val="24"/>
                <w:highlight w:val="none"/>
              </w:rPr>
              <w:t>）内容详实具体、安装调试充分且高效、人数充足，实施保障措施可靠，满足项目实施</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最优响应</w:t>
            </w:r>
            <w:r>
              <w:rPr>
                <w:rFonts w:hint="eastAsia" w:ascii="宋体" w:hAnsi="宋体" w:eastAsia="宋体" w:cs="宋体"/>
                <w:color w:val="auto"/>
                <w:sz w:val="24"/>
                <w:szCs w:val="24"/>
                <w:highlight w:val="none"/>
              </w:rPr>
              <w:t>得</w:t>
            </w:r>
            <w:r>
              <w:rPr>
                <w:rFonts w:ascii="宋体" w:hAnsi="宋体" w:eastAsia="宋体" w:cs="宋体"/>
                <w:color w:val="auto"/>
                <w:sz w:val="24"/>
                <w:szCs w:val="24"/>
                <w:highlight w:val="none"/>
              </w:rPr>
              <w:t>6</w:t>
            </w:r>
            <w:r>
              <w:rPr>
                <w:rFonts w:hint="eastAsia" w:ascii="宋体" w:hAnsi="宋体" w:eastAsia="宋体" w:cs="宋体"/>
                <w:color w:val="auto"/>
                <w:sz w:val="24"/>
                <w:szCs w:val="24"/>
                <w:highlight w:val="none"/>
              </w:rPr>
              <w:t>分；有较具体的安装调试方案，内容较详实，基本满足项目需求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次优响应得</w:t>
            </w:r>
            <w:r>
              <w:rPr>
                <w:rFonts w:ascii="宋体" w:hAnsi="宋体" w:eastAsia="宋体" w:cs="宋体"/>
                <w:color w:val="auto"/>
                <w:sz w:val="24"/>
                <w:szCs w:val="24"/>
                <w:highlight w:val="none"/>
              </w:rPr>
              <w:t>3</w:t>
            </w:r>
            <w:r>
              <w:rPr>
                <w:rFonts w:hint="eastAsia" w:ascii="宋体" w:hAnsi="宋体" w:eastAsia="宋体" w:cs="宋体"/>
                <w:color w:val="auto"/>
                <w:sz w:val="24"/>
                <w:szCs w:val="24"/>
                <w:highlight w:val="none"/>
              </w:rPr>
              <w:t>分；培训方案欠完备，内容一般，基本满足需求的</w:t>
            </w:r>
            <w:r>
              <w:rPr>
                <w:rFonts w:hint="eastAsia" w:ascii="宋体" w:hAnsi="宋体" w:eastAsia="宋体" w:cs="宋体"/>
                <w:color w:val="auto"/>
                <w:sz w:val="24"/>
                <w:szCs w:val="24"/>
                <w:highlight w:val="none"/>
                <w:lang w:val="en-US" w:eastAsia="zh-CN"/>
              </w:rPr>
              <w:t>基础响应</w:t>
            </w:r>
            <w:r>
              <w:rPr>
                <w:rFonts w:hint="eastAsia" w:ascii="宋体" w:hAnsi="宋体" w:eastAsia="宋体" w:cs="宋体"/>
                <w:color w:val="auto"/>
                <w:sz w:val="24"/>
                <w:szCs w:val="24"/>
                <w:highlight w:val="none"/>
              </w:rPr>
              <w:t>得</w:t>
            </w:r>
            <w:r>
              <w:rPr>
                <w:rFonts w:ascii="宋体" w:hAnsi="宋体" w:eastAsia="宋体" w:cs="宋体"/>
                <w:color w:val="auto"/>
                <w:sz w:val="24"/>
                <w:szCs w:val="24"/>
                <w:highlight w:val="none"/>
              </w:rPr>
              <w:t>1</w:t>
            </w:r>
            <w:r>
              <w:rPr>
                <w:rFonts w:hint="eastAsia" w:ascii="宋体" w:hAnsi="宋体" w:eastAsia="宋体" w:cs="宋体"/>
                <w:color w:val="auto"/>
                <w:sz w:val="24"/>
                <w:szCs w:val="24"/>
                <w:highlight w:val="none"/>
              </w:rPr>
              <w:t>分；否则不得分。</w:t>
            </w:r>
          </w:p>
          <w:p w14:paraId="546AA74B">
            <w:pPr>
              <w:rPr>
                <w:rFonts w:hint="eastAsia" w:ascii="宋体" w:hAnsi="宋体" w:eastAsia="宋体"/>
                <w:color w:val="auto"/>
                <w:sz w:val="24"/>
                <w:szCs w:val="24"/>
                <w:highlight w:val="none"/>
              </w:rPr>
            </w:pPr>
            <w:r>
              <w:rPr>
                <w:rFonts w:hint="eastAsia" w:ascii="宋体" w:hAnsi="宋体" w:eastAsia="宋体" w:cs="宋体"/>
                <w:color w:val="auto"/>
                <w:sz w:val="24"/>
                <w:szCs w:val="24"/>
                <w:highlight w:val="none"/>
              </w:rPr>
              <w:t>3.培训方案内容详实具体，培训时长充分且高效、人数充足，满足项目实施的</w:t>
            </w:r>
            <w:r>
              <w:rPr>
                <w:rFonts w:hint="eastAsia" w:ascii="宋体" w:hAnsi="宋体" w:eastAsia="宋体" w:cs="宋体"/>
                <w:color w:val="auto"/>
                <w:sz w:val="24"/>
                <w:szCs w:val="24"/>
                <w:highlight w:val="none"/>
                <w:lang w:val="en-US" w:eastAsia="zh-CN"/>
              </w:rPr>
              <w:t>最优响应</w:t>
            </w:r>
            <w:r>
              <w:rPr>
                <w:rFonts w:hint="eastAsia" w:ascii="宋体" w:hAnsi="宋体" w:eastAsia="宋体" w:cs="宋体"/>
                <w:color w:val="auto"/>
                <w:sz w:val="24"/>
                <w:szCs w:val="24"/>
                <w:highlight w:val="none"/>
              </w:rPr>
              <w:t>得</w:t>
            </w:r>
            <w:r>
              <w:rPr>
                <w:rFonts w:ascii="宋体" w:hAnsi="宋体" w:eastAsia="宋体" w:cs="宋体"/>
                <w:color w:val="auto"/>
                <w:sz w:val="24"/>
                <w:szCs w:val="24"/>
                <w:highlight w:val="none"/>
              </w:rPr>
              <w:t>6</w:t>
            </w:r>
            <w:r>
              <w:rPr>
                <w:rFonts w:hint="eastAsia" w:ascii="宋体" w:hAnsi="宋体" w:eastAsia="宋体" w:cs="宋体"/>
                <w:color w:val="auto"/>
                <w:sz w:val="24"/>
                <w:szCs w:val="24"/>
                <w:highlight w:val="none"/>
              </w:rPr>
              <w:t>分；有较具体的培训方案，内容较详实，培训时长基本满足项目需求、人数基本满足项目实施的</w:t>
            </w:r>
            <w:r>
              <w:rPr>
                <w:rFonts w:hint="eastAsia" w:ascii="宋体" w:hAnsi="宋体" w:eastAsia="宋体" w:cs="宋体"/>
                <w:color w:val="auto"/>
                <w:sz w:val="24"/>
                <w:szCs w:val="24"/>
                <w:highlight w:val="none"/>
                <w:lang w:val="en-US" w:eastAsia="zh-CN"/>
              </w:rPr>
              <w:t>次优响应得</w:t>
            </w:r>
            <w:r>
              <w:rPr>
                <w:rFonts w:ascii="宋体" w:hAnsi="宋体" w:eastAsia="宋体" w:cs="宋体"/>
                <w:color w:val="auto"/>
                <w:sz w:val="24"/>
                <w:szCs w:val="24"/>
                <w:highlight w:val="none"/>
              </w:rPr>
              <w:t>3</w:t>
            </w:r>
            <w:r>
              <w:rPr>
                <w:rFonts w:hint="eastAsia" w:ascii="宋体" w:hAnsi="宋体" w:eastAsia="宋体" w:cs="宋体"/>
                <w:color w:val="auto"/>
                <w:sz w:val="24"/>
                <w:szCs w:val="24"/>
                <w:highlight w:val="none"/>
              </w:rPr>
              <w:t>分；培训方案欠完备，内容一般，培训时长及人数基本满足需求的</w:t>
            </w:r>
            <w:r>
              <w:rPr>
                <w:rFonts w:hint="eastAsia" w:ascii="宋体" w:hAnsi="宋体" w:eastAsia="宋体" w:cs="宋体"/>
                <w:color w:val="auto"/>
                <w:sz w:val="24"/>
                <w:szCs w:val="24"/>
                <w:highlight w:val="none"/>
                <w:lang w:val="en-US" w:eastAsia="zh-CN"/>
              </w:rPr>
              <w:t>基础响应</w:t>
            </w:r>
            <w:r>
              <w:rPr>
                <w:rFonts w:hint="eastAsia" w:ascii="宋体" w:hAnsi="宋体" w:eastAsia="宋体" w:cs="宋体"/>
                <w:color w:val="auto"/>
                <w:sz w:val="24"/>
                <w:szCs w:val="24"/>
                <w:highlight w:val="none"/>
              </w:rPr>
              <w:t>得</w:t>
            </w:r>
            <w:r>
              <w:rPr>
                <w:rFonts w:ascii="宋体" w:hAnsi="宋体" w:eastAsia="宋体" w:cs="宋体"/>
                <w:color w:val="auto"/>
                <w:sz w:val="24"/>
                <w:szCs w:val="24"/>
                <w:highlight w:val="none"/>
              </w:rPr>
              <w:t>1</w:t>
            </w:r>
            <w:r>
              <w:rPr>
                <w:rFonts w:hint="eastAsia" w:ascii="宋体" w:hAnsi="宋体" w:eastAsia="宋体" w:cs="宋体"/>
                <w:color w:val="auto"/>
                <w:sz w:val="24"/>
                <w:szCs w:val="24"/>
                <w:highlight w:val="none"/>
              </w:rPr>
              <w:t>分。</w:t>
            </w:r>
          </w:p>
        </w:tc>
        <w:tc>
          <w:tcPr>
            <w:tcW w:w="838" w:type="dxa"/>
            <w:noWrap w:val="0"/>
            <w:vAlign w:val="center"/>
          </w:tcPr>
          <w:p w14:paraId="3AACC406">
            <w:pPr>
              <w:spacing w:before="156" w:line="440" w:lineRule="exact"/>
              <w:jc w:val="center"/>
              <w:rPr>
                <w:rFonts w:hint="eastAsia" w:ascii="宋体" w:hAnsi="宋体" w:eastAsia="宋体" w:cs="宋体"/>
                <w:color w:val="auto"/>
                <w:sz w:val="24"/>
                <w:szCs w:val="24"/>
                <w:highlight w:val="none"/>
              </w:rPr>
            </w:pPr>
            <w:r>
              <w:rPr>
                <w:rFonts w:ascii="宋体" w:hAnsi="宋体" w:eastAsia="宋体" w:cs="宋体"/>
                <w:color w:val="auto"/>
                <w:sz w:val="24"/>
                <w:szCs w:val="24"/>
                <w:highlight w:val="none"/>
              </w:rPr>
              <w:t>18</w:t>
            </w:r>
            <w:r>
              <w:rPr>
                <w:rFonts w:hint="eastAsia" w:ascii="宋体" w:hAnsi="宋体" w:eastAsia="宋体" w:cs="宋体"/>
                <w:color w:val="auto"/>
                <w:sz w:val="24"/>
                <w:szCs w:val="24"/>
                <w:highlight w:val="none"/>
              </w:rPr>
              <w:t>分</w:t>
            </w:r>
          </w:p>
        </w:tc>
      </w:tr>
      <w:tr w14:paraId="28C6CD97">
        <w:trPr>
          <w:trHeight w:val="699" w:hRule="atLeast"/>
          <w:jc w:val="center"/>
        </w:trPr>
        <w:tc>
          <w:tcPr>
            <w:tcW w:w="1263" w:type="dxa"/>
            <w:vMerge w:val="continue"/>
            <w:noWrap w:val="0"/>
            <w:vAlign w:val="center"/>
          </w:tcPr>
          <w:p w14:paraId="0EB3C939">
            <w:pPr>
              <w:snapToGrid w:val="0"/>
              <w:spacing w:line="440" w:lineRule="exact"/>
              <w:jc w:val="center"/>
              <w:rPr>
                <w:rFonts w:hint="eastAsia" w:ascii="宋体" w:hAnsi="宋体" w:eastAsia="宋体"/>
                <w:color w:val="auto"/>
                <w:kern w:val="0"/>
                <w:sz w:val="24"/>
                <w:szCs w:val="24"/>
                <w:highlight w:val="none"/>
              </w:rPr>
            </w:pPr>
          </w:p>
        </w:tc>
        <w:tc>
          <w:tcPr>
            <w:tcW w:w="1275" w:type="dxa"/>
            <w:noWrap w:val="0"/>
            <w:vAlign w:val="center"/>
          </w:tcPr>
          <w:p w14:paraId="6AD62A1F">
            <w:pPr>
              <w:spacing w:line="440" w:lineRule="exact"/>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技术先进</w:t>
            </w:r>
          </w:p>
          <w:p w14:paraId="5E99AE4C">
            <w:pPr>
              <w:spacing w:line="440" w:lineRule="exact"/>
              <w:jc w:val="center"/>
              <w:rPr>
                <w:rFonts w:hint="eastAsia" w:ascii="宋体" w:hAnsi="宋体" w:eastAsia="宋体"/>
                <w:color w:val="auto"/>
                <w:sz w:val="24"/>
                <w:szCs w:val="24"/>
                <w:highlight w:val="none"/>
              </w:rPr>
            </w:pPr>
            <w:r>
              <w:rPr>
                <w:rFonts w:hint="eastAsia" w:ascii="宋体" w:hAnsi="宋体" w:eastAsia="宋体"/>
                <w:color w:val="auto"/>
                <w:sz w:val="24"/>
                <w:szCs w:val="24"/>
                <w:highlight w:val="none"/>
              </w:rPr>
              <w:t>性</w:t>
            </w:r>
          </w:p>
        </w:tc>
        <w:tc>
          <w:tcPr>
            <w:tcW w:w="6121" w:type="dxa"/>
            <w:noWrap w:val="0"/>
            <w:vAlign w:val="center"/>
          </w:tcPr>
          <w:p w14:paraId="7F3B648C">
            <w:pPr>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由评委根据项目特性结合各投标设备操控性、性能及技术先进性</w:t>
            </w:r>
            <w:r>
              <w:rPr>
                <w:rFonts w:hint="eastAsia" w:ascii="宋体" w:hAnsi="宋体" w:eastAsia="宋体" w:cs="宋体"/>
                <w:color w:val="auto"/>
                <w:sz w:val="24"/>
                <w:szCs w:val="24"/>
                <w:highlight w:val="none"/>
              </w:rPr>
              <w:t>、制造工艺、稳定性</w:t>
            </w:r>
            <w:r>
              <w:rPr>
                <w:rFonts w:ascii="宋体" w:hAnsi="宋体" w:eastAsia="宋体" w:cs="宋体"/>
                <w:color w:val="auto"/>
                <w:sz w:val="24"/>
                <w:szCs w:val="24"/>
                <w:highlight w:val="none"/>
              </w:rPr>
              <w:t>等进行打分：</w:t>
            </w:r>
          </w:p>
          <w:p w14:paraId="7B803CD0">
            <w:pPr>
              <w:rPr>
                <w:rFonts w:hint="eastAsia" w:ascii="宋体" w:hAnsi="宋体" w:eastAsia="宋体" w:cs="宋体"/>
                <w:color w:val="auto"/>
                <w:sz w:val="24"/>
                <w:szCs w:val="24"/>
                <w:highlight w:val="none"/>
              </w:rPr>
            </w:pPr>
            <w:r>
              <w:rPr>
                <w:rFonts w:ascii="宋体" w:hAnsi="宋体" w:eastAsia="宋体" w:cs="宋体"/>
                <w:color w:val="auto"/>
                <w:sz w:val="24"/>
                <w:szCs w:val="24"/>
                <w:highlight w:val="none"/>
              </w:rPr>
              <w:t>所投产品优秀，操控性强、性能好、技术先进</w:t>
            </w:r>
            <w:r>
              <w:rPr>
                <w:rFonts w:hint="eastAsia" w:ascii="宋体" w:hAnsi="宋体" w:eastAsia="宋体" w:cs="宋体"/>
                <w:color w:val="auto"/>
                <w:sz w:val="24"/>
                <w:szCs w:val="24"/>
                <w:highlight w:val="none"/>
              </w:rPr>
              <w:t>，</w:t>
            </w:r>
            <w:r>
              <w:rPr>
                <w:rFonts w:ascii="宋体" w:hAnsi="宋体" w:eastAsia="宋体" w:cs="宋体"/>
                <w:color w:val="auto"/>
                <w:sz w:val="24"/>
                <w:szCs w:val="24"/>
                <w:highlight w:val="none"/>
              </w:rPr>
              <w:t>制造工艺、稳定性好，安全性（操作维修安全等）</w:t>
            </w:r>
            <w:r>
              <w:rPr>
                <w:rFonts w:hint="eastAsia" w:ascii="宋体" w:hAnsi="宋体" w:eastAsia="宋体" w:cs="宋体"/>
                <w:color w:val="auto"/>
                <w:sz w:val="24"/>
                <w:szCs w:val="24"/>
                <w:highlight w:val="none"/>
                <w:lang w:val="en-US" w:eastAsia="zh-CN"/>
              </w:rPr>
              <w:t>最优响应</w:t>
            </w:r>
            <w:r>
              <w:rPr>
                <w:rFonts w:hint="eastAsia" w:ascii="宋体" w:hAnsi="宋体" w:eastAsia="宋体" w:cs="宋体"/>
                <w:color w:val="auto"/>
                <w:sz w:val="24"/>
                <w:szCs w:val="24"/>
                <w:highlight w:val="none"/>
              </w:rPr>
              <w:t>得</w:t>
            </w:r>
          </w:p>
          <w:p w14:paraId="3D60A5FA">
            <w:pPr>
              <w:spacing w:line="400" w:lineRule="exact"/>
              <w:rPr>
                <w:rFonts w:ascii="宋体" w:hAnsi="宋体" w:eastAsia="宋体" w:cs="宋体"/>
                <w:color w:val="auto"/>
                <w:sz w:val="24"/>
                <w:szCs w:val="24"/>
                <w:highlight w:val="none"/>
              </w:rPr>
            </w:pPr>
            <w:r>
              <w:rPr>
                <w:rFonts w:ascii="宋体" w:hAnsi="宋体" w:eastAsia="宋体" w:cs="宋体"/>
                <w:color w:val="auto"/>
                <w:sz w:val="24"/>
                <w:szCs w:val="24"/>
                <w:highlight w:val="none"/>
              </w:rPr>
              <w:t>8分；</w:t>
            </w:r>
          </w:p>
          <w:p w14:paraId="6D0AF162">
            <w:pPr>
              <w:rPr>
                <w:rFonts w:ascii="宋体" w:hAnsi="宋体" w:eastAsia="宋体" w:cs="宋体"/>
                <w:color w:val="auto"/>
                <w:sz w:val="24"/>
                <w:szCs w:val="24"/>
                <w:highlight w:val="none"/>
              </w:rPr>
            </w:pPr>
            <w:r>
              <w:rPr>
                <w:rFonts w:ascii="宋体" w:hAnsi="宋体" w:eastAsia="宋体" w:cs="宋体"/>
                <w:color w:val="auto"/>
                <w:sz w:val="24"/>
                <w:szCs w:val="24"/>
                <w:highlight w:val="none"/>
              </w:rPr>
              <w:t>所投产品较好，操控性较强、性能较好、技术较先进</w:t>
            </w:r>
            <w:r>
              <w:rPr>
                <w:rFonts w:hint="eastAsia" w:ascii="宋体" w:hAnsi="宋体" w:eastAsia="宋体" w:cs="宋体"/>
                <w:color w:val="auto"/>
                <w:sz w:val="24"/>
                <w:szCs w:val="24"/>
                <w:highlight w:val="none"/>
              </w:rPr>
              <w:t>，</w:t>
            </w:r>
            <w:r>
              <w:rPr>
                <w:rFonts w:ascii="宋体" w:hAnsi="宋体" w:eastAsia="宋体" w:cs="宋体"/>
                <w:color w:val="auto"/>
                <w:sz w:val="24"/>
                <w:szCs w:val="24"/>
                <w:highlight w:val="none"/>
              </w:rPr>
              <w:t>制造工艺、稳定性</w:t>
            </w:r>
            <w:r>
              <w:rPr>
                <w:rFonts w:hint="eastAsia" w:ascii="宋体" w:hAnsi="宋体" w:eastAsia="宋体" w:cs="宋体"/>
                <w:color w:val="auto"/>
                <w:sz w:val="24"/>
                <w:szCs w:val="24"/>
                <w:highlight w:val="none"/>
              </w:rPr>
              <w:t>较</w:t>
            </w:r>
            <w:r>
              <w:rPr>
                <w:rFonts w:ascii="宋体" w:hAnsi="宋体" w:eastAsia="宋体" w:cs="宋体"/>
                <w:color w:val="auto"/>
                <w:sz w:val="24"/>
                <w:szCs w:val="24"/>
                <w:highlight w:val="none"/>
              </w:rPr>
              <w:t>好，安全性（操作维修安全等）</w:t>
            </w:r>
            <w:r>
              <w:rPr>
                <w:rFonts w:hint="eastAsia" w:ascii="宋体" w:hAnsi="宋体" w:eastAsia="宋体" w:cs="宋体"/>
                <w:color w:val="auto"/>
                <w:sz w:val="24"/>
                <w:szCs w:val="24"/>
                <w:highlight w:val="none"/>
                <w:lang w:val="en-US" w:eastAsia="zh-CN"/>
              </w:rPr>
              <w:t>次优响应得</w:t>
            </w:r>
            <w:r>
              <w:rPr>
                <w:rFonts w:ascii="宋体" w:hAnsi="宋体" w:eastAsia="宋体" w:cs="宋体"/>
                <w:color w:val="auto"/>
                <w:sz w:val="24"/>
                <w:szCs w:val="24"/>
                <w:highlight w:val="none"/>
              </w:rPr>
              <w:t xml:space="preserve"> 4分；</w:t>
            </w:r>
          </w:p>
          <w:p w14:paraId="53D9CB4E">
            <w:pPr>
              <w:rPr>
                <w:rFonts w:hint="eastAsia" w:ascii="宋体" w:hAnsi="宋体" w:eastAsia="宋体" w:cs="宋体"/>
                <w:color w:val="auto"/>
                <w:sz w:val="24"/>
                <w:szCs w:val="24"/>
                <w:highlight w:val="none"/>
                <w:lang w:val="en-US" w:eastAsia="zh-CN"/>
              </w:rPr>
            </w:pPr>
            <w:r>
              <w:rPr>
                <w:rFonts w:ascii="宋体" w:hAnsi="宋体" w:eastAsia="宋体" w:cs="宋体"/>
                <w:color w:val="auto"/>
                <w:sz w:val="24"/>
                <w:szCs w:val="24"/>
                <w:highlight w:val="none"/>
              </w:rPr>
              <w:t>所投产品一般，操控性一般、性能一般、技术保守</w:t>
            </w:r>
            <w:r>
              <w:rPr>
                <w:rFonts w:hint="eastAsia" w:ascii="宋体" w:hAnsi="宋体" w:eastAsia="宋体" w:cs="宋体"/>
                <w:color w:val="auto"/>
                <w:sz w:val="24"/>
                <w:szCs w:val="24"/>
                <w:highlight w:val="none"/>
              </w:rPr>
              <w:t>，</w:t>
            </w:r>
            <w:r>
              <w:rPr>
                <w:rFonts w:ascii="宋体" w:hAnsi="宋体" w:eastAsia="宋体" w:cs="宋体"/>
                <w:color w:val="auto"/>
                <w:sz w:val="24"/>
                <w:szCs w:val="24"/>
                <w:highlight w:val="none"/>
              </w:rPr>
              <w:t>制造工艺、稳定性，安全性（操作维修安全等）</w:t>
            </w:r>
            <w:r>
              <w:rPr>
                <w:rFonts w:hint="eastAsia" w:ascii="宋体" w:hAnsi="宋体" w:eastAsia="宋体" w:cs="宋体"/>
                <w:color w:val="auto"/>
                <w:sz w:val="24"/>
                <w:szCs w:val="24"/>
                <w:highlight w:val="none"/>
                <w:lang w:val="en-US" w:eastAsia="zh-CN"/>
              </w:rPr>
              <w:t>基础响应</w:t>
            </w:r>
            <w:r>
              <w:rPr>
                <w:rFonts w:hint="eastAsia" w:ascii="宋体" w:hAnsi="宋体" w:eastAsia="宋体" w:cs="宋体"/>
                <w:color w:val="auto"/>
                <w:sz w:val="24"/>
                <w:szCs w:val="24"/>
                <w:highlight w:val="none"/>
              </w:rPr>
              <w:t>得</w:t>
            </w:r>
          </w:p>
          <w:p w14:paraId="5FA1086A">
            <w:pPr>
              <w:spacing w:line="400" w:lineRule="exact"/>
              <w:rPr>
                <w:rFonts w:hint="eastAsia" w:ascii="Times New Roman" w:hAnsi="Times New Roman" w:eastAsia="宋体"/>
                <w:color w:val="auto"/>
                <w:szCs w:val="21"/>
                <w:highlight w:val="none"/>
              </w:rPr>
            </w:pPr>
            <w:r>
              <w:rPr>
                <w:rFonts w:hint="eastAsia" w:ascii="宋体" w:hAnsi="宋体" w:eastAsia="宋体" w:cs="宋体"/>
                <w:color w:val="auto"/>
                <w:sz w:val="24"/>
                <w:szCs w:val="24"/>
                <w:highlight w:val="none"/>
              </w:rPr>
              <w:t>1</w:t>
            </w:r>
            <w:r>
              <w:rPr>
                <w:rFonts w:ascii="宋体" w:hAnsi="宋体" w:eastAsia="宋体" w:cs="宋体"/>
                <w:color w:val="auto"/>
                <w:sz w:val="24"/>
                <w:szCs w:val="24"/>
                <w:highlight w:val="none"/>
              </w:rPr>
              <w:t>分。</w:t>
            </w:r>
          </w:p>
        </w:tc>
        <w:tc>
          <w:tcPr>
            <w:tcW w:w="838" w:type="dxa"/>
            <w:noWrap w:val="0"/>
            <w:vAlign w:val="center"/>
          </w:tcPr>
          <w:p w14:paraId="53332FB2">
            <w:pPr>
              <w:spacing w:before="156" w:line="440" w:lineRule="exact"/>
              <w:jc w:val="center"/>
              <w:rPr>
                <w:rFonts w:ascii="宋体" w:hAnsi="宋体" w:eastAsia="宋体" w:cs="宋体"/>
                <w:color w:val="auto"/>
                <w:sz w:val="24"/>
                <w:szCs w:val="24"/>
                <w:highlight w:val="none"/>
              </w:rPr>
            </w:pPr>
            <w:r>
              <w:rPr>
                <w:rFonts w:ascii="宋体" w:hAnsi="宋体" w:eastAsia="宋体" w:cs="宋体"/>
                <w:color w:val="auto"/>
                <w:sz w:val="24"/>
                <w:szCs w:val="24"/>
                <w:highlight w:val="none"/>
              </w:rPr>
              <w:t>8</w:t>
            </w:r>
            <w:r>
              <w:rPr>
                <w:rFonts w:hint="eastAsia" w:ascii="宋体" w:hAnsi="宋体" w:eastAsia="宋体" w:cs="宋体"/>
                <w:color w:val="auto"/>
                <w:sz w:val="24"/>
                <w:szCs w:val="24"/>
                <w:highlight w:val="none"/>
              </w:rPr>
              <w:t>分</w:t>
            </w:r>
          </w:p>
        </w:tc>
      </w:tr>
      <w:tr w14:paraId="11497594">
        <w:trPr>
          <w:trHeight w:val="1111" w:hRule="atLeast"/>
          <w:jc w:val="center"/>
        </w:trPr>
        <w:tc>
          <w:tcPr>
            <w:tcW w:w="1263" w:type="dxa"/>
            <w:vMerge w:val="restart"/>
            <w:noWrap w:val="0"/>
            <w:vAlign w:val="center"/>
          </w:tcPr>
          <w:p w14:paraId="56DD1FB0">
            <w:pPr>
              <w:snapToGrid w:val="0"/>
              <w:spacing w:line="440" w:lineRule="exact"/>
              <w:jc w:val="center"/>
              <w:rPr>
                <w:rFonts w:hint="eastAsia" w:ascii="宋体" w:hAnsi="宋体" w:eastAsia="宋体"/>
                <w:color w:val="auto"/>
                <w:kern w:val="0"/>
                <w:sz w:val="24"/>
                <w:szCs w:val="24"/>
                <w:highlight w:val="none"/>
              </w:rPr>
            </w:pPr>
            <w:bookmarkStart w:id="5" w:name="_Hlk136873109"/>
            <w:r>
              <w:rPr>
                <w:rFonts w:hint="eastAsia" w:ascii="宋体" w:hAnsi="宋体" w:eastAsia="宋体"/>
                <w:color w:val="auto"/>
                <w:kern w:val="0"/>
                <w:sz w:val="24"/>
                <w:szCs w:val="24"/>
                <w:highlight w:val="none"/>
              </w:rPr>
              <w:t>综合标（2</w:t>
            </w:r>
            <w:r>
              <w:rPr>
                <w:rFonts w:hint="eastAsia" w:ascii="宋体" w:hAnsi="宋体" w:eastAsia="宋体"/>
                <w:color w:val="auto"/>
                <w:kern w:val="0"/>
                <w:sz w:val="24"/>
                <w:szCs w:val="24"/>
                <w:highlight w:val="none"/>
                <w:lang w:val="en-US" w:eastAsia="zh-CN"/>
              </w:rPr>
              <w:t>4</w:t>
            </w:r>
            <w:r>
              <w:rPr>
                <w:rFonts w:hint="eastAsia" w:ascii="宋体" w:hAnsi="宋体" w:eastAsia="宋体"/>
                <w:color w:val="auto"/>
                <w:kern w:val="0"/>
                <w:sz w:val="24"/>
                <w:szCs w:val="24"/>
                <w:highlight w:val="none"/>
              </w:rPr>
              <w:t>分）</w:t>
            </w:r>
          </w:p>
        </w:tc>
        <w:tc>
          <w:tcPr>
            <w:tcW w:w="1275" w:type="dxa"/>
            <w:noWrap w:val="0"/>
            <w:vAlign w:val="center"/>
          </w:tcPr>
          <w:p w14:paraId="704C7DF8">
            <w:pPr>
              <w:spacing w:line="440" w:lineRule="exact"/>
              <w:jc w:val="center"/>
              <w:rPr>
                <w:rFonts w:ascii="宋体" w:hAnsi="宋体" w:eastAsia="宋体"/>
                <w:color w:val="auto"/>
                <w:sz w:val="24"/>
                <w:szCs w:val="24"/>
                <w:highlight w:val="none"/>
              </w:rPr>
            </w:pPr>
            <w:r>
              <w:rPr>
                <w:rFonts w:hint="eastAsia" w:ascii="宋体" w:hAnsi="宋体" w:eastAsia="宋体"/>
                <w:color w:val="auto"/>
                <w:sz w:val="24"/>
                <w:szCs w:val="24"/>
                <w:highlight w:val="none"/>
              </w:rPr>
              <w:t>企业业绩</w:t>
            </w:r>
          </w:p>
        </w:tc>
        <w:tc>
          <w:tcPr>
            <w:tcW w:w="6121" w:type="dxa"/>
            <w:noWrap w:val="0"/>
            <w:vAlign w:val="center"/>
          </w:tcPr>
          <w:p w14:paraId="4B61DEFF">
            <w:pPr>
              <w:spacing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供应商自20</w:t>
            </w:r>
            <w:r>
              <w:rPr>
                <w:rFonts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3</w:t>
            </w:r>
            <w:r>
              <w:rPr>
                <w:rFonts w:ascii="宋体" w:hAnsi="宋体" w:eastAsia="宋体" w:cs="宋体"/>
                <w:color w:val="auto"/>
                <w:sz w:val="24"/>
                <w:szCs w:val="24"/>
                <w:highlight w:val="none"/>
              </w:rPr>
              <w:t>年</w:t>
            </w:r>
            <w:r>
              <w:rPr>
                <w:rFonts w:hint="eastAsia" w:ascii="宋体" w:hAnsi="宋体" w:eastAsia="宋体" w:cs="宋体"/>
                <w:color w:val="auto"/>
                <w:sz w:val="24"/>
                <w:szCs w:val="24"/>
                <w:highlight w:val="none"/>
              </w:rPr>
              <w:t>1月1日以来（以合同签订时间为准）有</w:t>
            </w:r>
            <w:r>
              <w:rPr>
                <w:rFonts w:hint="eastAsia" w:ascii="宋体" w:hAnsi="宋体" w:eastAsia="宋体" w:cs="宋体"/>
                <w:color w:val="auto"/>
                <w:sz w:val="24"/>
                <w:szCs w:val="24"/>
                <w:highlight w:val="none"/>
                <w:lang w:val="en-US" w:eastAsia="zh-CN"/>
              </w:rPr>
              <w:t>相关</w:t>
            </w:r>
            <w:r>
              <w:rPr>
                <w:rFonts w:hint="eastAsia" w:ascii="宋体" w:hAnsi="宋体" w:eastAsia="宋体" w:cs="宋体"/>
                <w:color w:val="auto"/>
                <w:sz w:val="24"/>
                <w:szCs w:val="24"/>
                <w:highlight w:val="none"/>
              </w:rPr>
              <w:t>业绩，每提供一项得2分，最多得</w:t>
            </w:r>
            <w:r>
              <w:rPr>
                <w:rFonts w:ascii="宋体" w:hAnsi="宋体" w:eastAsia="宋体" w:cs="宋体"/>
                <w:color w:val="auto"/>
                <w:sz w:val="24"/>
                <w:szCs w:val="24"/>
                <w:highlight w:val="none"/>
              </w:rPr>
              <w:t>4</w:t>
            </w:r>
            <w:r>
              <w:rPr>
                <w:rFonts w:hint="eastAsia" w:ascii="宋体" w:hAnsi="宋体" w:eastAsia="宋体" w:cs="宋体"/>
                <w:color w:val="auto"/>
                <w:sz w:val="24"/>
                <w:szCs w:val="24"/>
                <w:highlight w:val="none"/>
              </w:rPr>
              <w:t>分。（提供合同协议书）。投标文件附扫描件。</w:t>
            </w:r>
          </w:p>
        </w:tc>
        <w:tc>
          <w:tcPr>
            <w:tcW w:w="838" w:type="dxa"/>
            <w:noWrap w:val="0"/>
            <w:vAlign w:val="center"/>
          </w:tcPr>
          <w:p w14:paraId="23454C28">
            <w:pPr>
              <w:spacing w:line="440" w:lineRule="exact"/>
              <w:jc w:val="center"/>
              <w:rPr>
                <w:rFonts w:hint="eastAsia" w:ascii="宋体" w:hAnsi="宋体" w:eastAsia="宋体"/>
                <w:color w:val="auto"/>
                <w:sz w:val="24"/>
                <w:szCs w:val="24"/>
                <w:highlight w:val="none"/>
              </w:rPr>
            </w:pPr>
            <w:r>
              <w:rPr>
                <w:rFonts w:ascii="宋体" w:hAnsi="宋体" w:eastAsia="宋体"/>
                <w:color w:val="auto"/>
                <w:sz w:val="24"/>
                <w:szCs w:val="24"/>
                <w:highlight w:val="none"/>
              </w:rPr>
              <w:t>4</w:t>
            </w:r>
            <w:r>
              <w:rPr>
                <w:rFonts w:hint="eastAsia" w:ascii="宋体" w:hAnsi="宋体" w:eastAsia="宋体"/>
                <w:color w:val="auto"/>
                <w:sz w:val="24"/>
                <w:szCs w:val="24"/>
                <w:highlight w:val="none"/>
              </w:rPr>
              <w:t>分</w:t>
            </w:r>
          </w:p>
        </w:tc>
      </w:tr>
      <w:tr w14:paraId="6602E298">
        <w:trPr>
          <w:trHeight w:val="833" w:hRule="atLeast"/>
          <w:jc w:val="center"/>
        </w:trPr>
        <w:tc>
          <w:tcPr>
            <w:tcW w:w="1263" w:type="dxa"/>
            <w:vMerge w:val="continue"/>
            <w:noWrap w:val="0"/>
            <w:vAlign w:val="center"/>
          </w:tcPr>
          <w:p w14:paraId="3E031E1D">
            <w:pPr>
              <w:snapToGrid w:val="0"/>
              <w:spacing w:line="440" w:lineRule="exact"/>
              <w:jc w:val="center"/>
              <w:rPr>
                <w:rFonts w:hint="eastAsia" w:ascii="宋体" w:hAnsi="宋体" w:eastAsia="宋体"/>
                <w:color w:val="auto"/>
                <w:kern w:val="0"/>
                <w:sz w:val="24"/>
                <w:szCs w:val="24"/>
                <w:highlight w:val="none"/>
              </w:rPr>
            </w:pPr>
          </w:p>
        </w:tc>
        <w:tc>
          <w:tcPr>
            <w:tcW w:w="1275" w:type="dxa"/>
            <w:noWrap w:val="0"/>
            <w:vAlign w:val="center"/>
          </w:tcPr>
          <w:p w14:paraId="76D6FEC0">
            <w:pPr>
              <w:spacing w:before="156"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售后服务</w:t>
            </w:r>
          </w:p>
        </w:tc>
        <w:tc>
          <w:tcPr>
            <w:tcW w:w="6121" w:type="dxa"/>
            <w:noWrap w:val="0"/>
            <w:vAlign w:val="center"/>
          </w:tcPr>
          <w:p w14:paraId="64642C1D">
            <w:pPr>
              <w:spacing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根据投标人制定的售后服务方案</w:t>
            </w:r>
          </w:p>
          <w:p w14:paraId="04F11EA9">
            <w:pPr>
              <w:spacing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1、质保期内：售后人员安排方案、服务计划方案、服务内容阐述、按时履约的保障措施、响应时间及故障排除时间安排、应急响应方案；对方案的完整性、可靠性，服务承诺的合理性、可行性等进行综合评价</w:t>
            </w:r>
          </w:p>
          <w:p w14:paraId="3296FF08">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服务方案非常合理成熟、可靠，内容非常完善，服务承诺内容非常齐全，可控性、可行性强，</w:t>
            </w:r>
            <w:r>
              <w:rPr>
                <w:rFonts w:hint="eastAsia" w:ascii="宋体" w:hAnsi="宋体" w:eastAsia="宋体" w:cs="宋体"/>
                <w:color w:val="auto"/>
                <w:sz w:val="24"/>
                <w:szCs w:val="24"/>
                <w:highlight w:val="none"/>
                <w:lang w:val="en-US" w:eastAsia="zh-CN"/>
              </w:rPr>
              <w:t>最优响应</w:t>
            </w:r>
            <w:r>
              <w:rPr>
                <w:rFonts w:hint="eastAsia" w:ascii="宋体" w:hAnsi="宋体" w:eastAsia="宋体" w:cs="宋体"/>
                <w:color w:val="auto"/>
                <w:sz w:val="24"/>
                <w:szCs w:val="24"/>
                <w:highlight w:val="none"/>
              </w:rPr>
              <w:t>得</w:t>
            </w:r>
            <w:r>
              <w:rPr>
                <w:rFonts w:ascii="宋体" w:hAnsi="宋体" w:eastAsia="宋体" w:cs="宋体"/>
                <w:color w:val="auto"/>
                <w:sz w:val="24"/>
                <w:szCs w:val="24"/>
                <w:highlight w:val="none"/>
              </w:rPr>
              <w:t>7</w:t>
            </w:r>
            <w:r>
              <w:rPr>
                <w:rFonts w:hint="eastAsia" w:ascii="宋体" w:hAnsi="宋体" w:eastAsia="宋体" w:cs="宋体"/>
                <w:color w:val="auto"/>
                <w:sz w:val="24"/>
                <w:szCs w:val="24"/>
                <w:highlight w:val="none"/>
              </w:rPr>
              <w:t>分；</w:t>
            </w:r>
          </w:p>
          <w:p w14:paraId="6B5FD1B5">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服务方案基本合理成熟，内容基本完善，服务承诺内容可行性基本合理，</w:t>
            </w:r>
            <w:r>
              <w:rPr>
                <w:rFonts w:hint="eastAsia" w:ascii="宋体" w:hAnsi="宋体" w:eastAsia="宋体" w:cs="宋体"/>
                <w:color w:val="auto"/>
                <w:sz w:val="24"/>
                <w:szCs w:val="24"/>
                <w:highlight w:val="none"/>
                <w:lang w:val="en-US" w:eastAsia="zh-CN"/>
              </w:rPr>
              <w:t>次优响应得</w:t>
            </w:r>
            <w:r>
              <w:rPr>
                <w:rFonts w:hint="eastAsia" w:ascii="宋体" w:hAnsi="宋体" w:eastAsia="宋体" w:cs="宋体"/>
                <w:color w:val="auto"/>
                <w:sz w:val="24"/>
                <w:szCs w:val="24"/>
                <w:highlight w:val="none"/>
              </w:rPr>
              <w:t>4分；</w:t>
            </w:r>
          </w:p>
          <w:p w14:paraId="5255D423">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服务方案、服务承诺可行性</w:t>
            </w:r>
            <w:r>
              <w:rPr>
                <w:rFonts w:hint="eastAsia" w:ascii="宋体" w:hAnsi="宋体" w:eastAsia="宋体" w:cs="宋体"/>
                <w:color w:val="auto"/>
                <w:sz w:val="24"/>
                <w:szCs w:val="24"/>
                <w:highlight w:val="none"/>
                <w:lang w:val="en-US" w:eastAsia="zh-CN"/>
              </w:rPr>
              <w:t>基础响应</w:t>
            </w:r>
            <w:r>
              <w:rPr>
                <w:rFonts w:hint="eastAsia" w:ascii="宋体" w:hAnsi="宋体" w:eastAsia="宋体" w:cs="宋体"/>
                <w:color w:val="auto"/>
                <w:sz w:val="24"/>
                <w:szCs w:val="24"/>
                <w:highlight w:val="none"/>
              </w:rPr>
              <w:t>得</w:t>
            </w:r>
            <w:r>
              <w:rPr>
                <w:rFonts w:ascii="宋体" w:hAnsi="宋体" w:eastAsia="宋体" w:cs="宋体"/>
                <w:color w:val="auto"/>
                <w:sz w:val="24"/>
                <w:szCs w:val="24"/>
                <w:highlight w:val="none"/>
              </w:rPr>
              <w:t>1</w:t>
            </w:r>
            <w:r>
              <w:rPr>
                <w:rFonts w:hint="eastAsia" w:ascii="宋体" w:hAnsi="宋体" w:eastAsia="宋体" w:cs="宋体"/>
                <w:color w:val="auto"/>
                <w:sz w:val="24"/>
                <w:szCs w:val="24"/>
                <w:highlight w:val="none"/>
              </w:rPr>
              <w:t>分。</w:t>
            </w:r>
          </w:p>
          <w:p w14:paraId="3F9201B2">
            <w:pPr>
              <w:spacing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2、质保期外：包括但不限于质保期外服务的保障措施、服务内容、定期巡检、升级服务、备品备件配备情况等；对方案的完整性、可靠性，服务承诺的合理性、可行性等进行综合评价</w:t>
            </w:r>
          </w:p>
          <w:p w14:paraId="3604CEB7">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服务方案非常合理成熟、可靠，内容非常完善，服务承诺内容非常齐全，可控性、可行性强，</w:t>
            </w:r>
            <w:r>
              <w:rPr>
                <w:rFonts w:hint="eastAsia" w:ascii="宋体" w:hAnsi="宋体" w:eastAsia="宋体" w:cs="宋体"/>
                <w:color w:val="auto"/>
                <w:sz w:val="24"/>
                <w:szCs w:val="24"/>
                <w:highlight w:val="none"/>
                <w:lang w:val="en-US" w:eastAsia="zh-CN"/>
              </w:rPr>
              <w:t>最优响应</w:t>
            </w:r>
            <w:r>
              <w:rPr>
                <w:rFonts w:hint="eastAsia" w:ascii="宋体" w:hAnsi="宋体" w:eastAsia="宋体" w:cs="宋体"/>
                <w:color w:val="auto"/>
                <w:sz w:val="24"/>
                <w:szCs w:val="24"/>
                <w:highlight w:val="none"/>
              </w:rPr>
              <w:t>得</w:t>
            </w:r>
            <w:r>
              <w:rPr>
                <w:rFonts w:ascii="宋体" w:hAnsi="宋体" w:eastAsia="宋体" w:cs="宋体"/>
                <w:color w:val="auto"/>
                <w:sz w:val="24"/>
                <w:szCs w:val="24"/>
                <w:highlight w:val="none"/>
              </w:rPr>
              <w:t>7</w:t>
            </w:r>
            <w:r>
              <w:rPr>
                <w:rFonts w:hint="eastAsia" w:ascii="宋体" w:hAnsi="宋体" w:eastAsia="宋体" w:cs="宋体"/>
                <w:color w:val="auto"/>
                <w:sz w:val="24"/>
                <w:szCs w:val="24"/>
                <w:highlight w:val="none"/>
              </w:rPr>
              <w:t>分；</w:t>
            </w:r>
          </w:p>
          <w:p w14:paraId="11DA8D0D">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服务方案基本合理成熟，内容基本完善，服务承诺内容可行性</w:t>
            </w:r>
            <w:r>
              <w:rPr>
                <w:rFonts w:hint="eastAsia" w:ascii="宋体" w:hAnsi="宋体" w:eastAsia="宋体" w:cs="宋体"/>
                <w:color w:val="auto"/>
                <w:sz w:val="24"/>
                <w:szCs w:val="24"/>
                <w:highlight w:val="none"/>
                <w:lang w:val="en-US" w:eastAsia="zh-CN"/>
              </w:rPr>
              <w:t>次优响应得</w:t>
            </w:r>
            <w:r>
              <w:rPr>
                <w:rFonts w:hint="eastAsia" w:ascii="宋体" w:hAnsi="宋体" w:eastAsia="宋体" w:cs="宋体"/>
                <w:color w:val="auto"/>
                <w:sz w:val="24"/>
                <w:szCs w:val="24"/>
                <w:highlight w:val="none"/>
              </w:rPr>
              <w:t>4分；</w:t>
            </w:r>
          </w:p>
          <w:p w14:paraId="50B4D215">
            <w:pPr>
              <w:rPr>
                <w:rFonts w:hint="eastAsia" w:ascii="Times New Roman" w:hAnsi="Times New Roman" w:eastAsia="宋体"/>
                <w:color w:val="auto"/>
                <w:szCs w:val="21"/>
                <w:highlight w:val="none"/>
              </w:rPr>
            </w:pPr>
            <w:r>
              <w:rPr>
                <w:rFonts w:hint="eastAsia" w:ascii="宋体" w:hAnsi="宋体" w:eastAsia="宋体" w:cs="宋体"/>
                <w:color w:val="auto"/>
                <w:sz w:val="24"/>
                <w:szCs w:val="24"/>
                <w:highlight w:val="none"/>
              </w:rPr>
              <w:t>服务方案、服务承诺可行性</w:t>
            </w:r>
            <w:r>
              <w:rPr>
                <w:rFonts w:hint="eastAsia" w:ascii="宋体" w:hAnsi="宋体" w:eastAsia="宋体" w:cs="宋体"/>
                <w:color w:val="auto"/>
                <w:sz w:val="24"/>
                <w:szCs w:val="24"/>
                <w:highlight w:val="none"/>
                <w:lang w:val="en-US" w:eastAsia="zh-CN"/>
              </w:rPr>
              <w:t>基础响应</w:t>
            </w:r>
            <w:r>
              <w:rPr>
                <w:rFonts w:hint="eastAsia" w:ascii="宋体" w:hAnsi="宋体" w:eastAsia="宋体" w:cs="宋体"/>
                <w:color w:val="auto"/>
                <w:sz w:val="24"/>
                <w:szCs w:val="24"/>
                <w:highlight w:val="none"/>
              </w:rPr>
              <w:t>得</w:t>
            </w:r>
            <w:r>
              <w:rPr>
                <w:rFonts w:ascii="宋体" w:hAnsi="宋体" w:eastAsia="宋体" w:cs="宋体"/>
                <w:color w:val="auto"/>
                <w:sz w:val="24"/>
                <w:szCs w:val="24"/>
                <w:highlight w:val="none"/>
              </w:rPr>
              <w:t>1</w:t>
            </w:r>
            <w:r>
              <w:rPr>
                <w:rFonts w:hint="eastAsia" w:ascii="宋体" w:hAnsi="宋体" w:eastAsia="宋体" w:cs="宋体"/>
                <w:color w:val="auto"/>
                <w:sz w:val="24"/>
                <w:szCs w:val="24"/>
                <w:highlight w:val="none"/>
              </w:rPr>
              <w:t>分。</w:t>
            </w:r>
          </w:p>
        </w:tc>
        <w:tc>
          <w:tcPr>
            <w:tcW w:w="838" w:type="dxa"/>
            <w:noWrap w:val="0"/>
            <w:vAlign w:val="center"/>
          </w:tcPr>
          <w:p w14:paraId="58282AB6">
            <w:pPr>
              <w:spacing w:line="44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14</w:t>
            </w:r>
            <w:r>
              <w:rPr>
                <w:rFonts w:hint="eastAsia" w:ascii="宋体" w:hAnsi="宋体" w:eastAsia="宋体" w:cs="宋体"/>
                <w:color w:val="auto"/>
                <w:sz w:val="24"/>
                <w:szCs w:val="24"/>
                <w:highlight w:val="none"/>
              </w:rPr>
              <w:t>分</w:t>
            </w:r>
          </w:p>
        </w:tc>
      </w:tr>
      <w:tr w14:paraId="256C51DA">
        <w:trPr>
          <w:trHeight w:val="1493" w:hRule="atLeast"/>
          <w:jc w:val="center"/>
        </w:trPr>
        <w:tc>
          <w:tcPr>
            <w:tcW w:w="1263" w:type="dxa"/>
            <w:vMerge w:val="continue"/>
            <w:noWrap w:val="0"/>
            <w:vAlign w:val="center"/>
          </w:tcPr>
          <w:p w14:paraId="1DFEE6F3">
            <w:pPr>
              <w:snapToGrid w:val="0"/>
              <w:spacing w:line="440" w:lineRule="exact"/>
              <w:jc w:val="center"/>
              <w:rPr>
                <w:rFonts w:hint="eastAsia" w:ascii="宋体" w:hAnsi="宋体" w:eastAsia="宋体"/>
                <w:color w:val="auto"/>
                <w:kern w:val="0"/>
                <w:sz w:val="24"/>
                <w:szCs w:val="24"/>
                <w:highlight w:val="none"/>
              </w:rPr>
            </w:pPr>
          </w:p>
        </w:tc>
        <w:tc>
          <w:tcPr>
            <w:tcW w:w="1275" w:type="dxa"/>
            <w:shd w:val="clear" w:color="auto" w:fill="auto"/>
            <w:noWrap w:val="0"/>
            <w:vAlign w:val="center"/>
          </w:tcPr>
          <w:p w14:paraId="610C622E">
            <w:pPr>
              <w:spacing w:before="156" w:line="440" w:lineRule="exac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承诺函</w:t>
            </w:r>
          </w:p>
        </w:tc>
        <w:tc>
          <w:tcPr>
            <w:tcW w:w="6121" w:type="dxa"/>
            <w:shd w:val="clear" w:color="auto" w:fill="auto"/>
            <w:noWrap w:val="0"/>
            <w:vAlign w:val="center"/>
          </w:tcPr>
          <w:p w14:paraId="56063F39">
            <w:pPr>
              <w:spacing w:before="156"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供应商能够承诺如若中标，在质保期内设备因质量问题导致不能正常工作运营且15日内处理不好的，由设备中标供应商负责赔偿运营商应付的设备设施使用费。</w:t>
            </w:r>
          </w:p>
          <w:p w14:paraId="0E70404D">
            <w:pPr>
              <w:spacing w:before="156"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承诺函非常合理成熟、可靠，内容非常完善，服务承诺内容非常齐全，可控性、可行性强，</w:t>
            </w:r>
            <w:r>
              <w:rPr>
                <w:rFonts w:hint="eastAsia" w:ascii="宋体" w:hAnsi="宋体" w:eastAsia="宋体" w:cs="宋体"/>
                <w:color w:val="auto"/>
                <w:sz w:val="24"/>
                <w:szCs w:val="24"/>
                <w:highlight w:val="none"/>
                <w:lang w:val="en-US" w:eastAsia="zh-CN"/>
              </w:rPr>
              <w:t>最优响应</w:t>
            </w:r>
            <w:r>
              <w:rPr>
                <w:rFonts w:hint="eastAsia" w:ascii="宋体" w:hAnsi="宋体" w:eastAsia="宋体" w:cs="宋体"/>
                <w:color w:val="auto"/>
                <w:sz w:val="24"/>
                <w:szCs w:val="24"/>
                <w:highlight w:val="none"/>
              </w:rPr>
              <w:t>得6分；</w:t>
            </w:r>
          </w:p>
          <w:p w14:paraId="3078F13C">
            <w:pPr>
              <w:spacing w:before="156"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承诺函基本合理成熟，内容基本完善，服务承诺内容可行性</w:t>
            </w:r>
            <w:r>
              <w:rPr>
                <w:rFonts w:hint="eastAsia" w:ascii="宋体" w:hAnsi="宋体" w:eastAsia="宋体" w:cs="宋体"/>
                <w:color w:val="auto"/>
                <w:sz w:val="24"/>
                <w:szCs w:val="24"/>
                <w:highlight w:val="none"/>
                <w:lang w:val="en-US" w:eastAsia="zh-CN"/>
              </w:rPr>
              <w:t>次优响应得</w:t>
            </w:r>
            <w:r>
              <w:rPr>
                <w:rFonts w:hint="eastAsia" w:ascii="宋体" w:hAnsi="宋体" w:eastAsia="宋体" w:cs="宋体"/>
                <w:color w:val="auto"/>
                <w:sz w:val="24"/>
                <w:szCs w:val="24"/>
                <w:highlight w:val="none"/>
              </w:rPr>
              <w:t>3分；</w:t>
            </w:r>
          </w:p>
          <w:p w14:paraId="29EAFBA3">
            <w:pP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承诺函内容可行性</w:t>
            </w:r>
            <w:r>
              <w:rPr>
                <w:rFonts w:hint="eastAsia" w:ascii="宋体" w:hAnsi="宋体" w:eastAsia="宋体" w:cs="宋体"/>
                <w:color w:val="auto"/>
                <w:sz w:val="24"/>
                <w:szCs w:val="24"/>
                <w:highlight w:val="none"/>
                <w:lang w:val="en-US" w:eastAsia="zh-CN"/>
              </w:rPr>
              <w:t>基础响应</w:t>
            </w:r>
            <w:r>
              <w:rPr>
                <w:rFonts w:hint="eastAsia" w:ascii="宋体" w:hAnsi="宋体" w:eastAsia="宋体" w:cs="宋体"/>
                <w:color w:val="auto"/>
                <w:sz w:val="24"/>
                <w:szCs w:val="24"/>
                <w:highlight w:val="none"/>
              </w:rPr>
              <w:t>得1分。</w:t>
            </w:r>
          </w:p>
        </w:tc>
        <w:tc>
          <w:tcPr>
            <w:tcW w:w="838" w:type="dxa"/>
            <w:noWrap w:val="0"/>
            <w:vAlign w:val="center"/>
          </w:tcPr>
          <w:p w14:paraId="7D27F700">
            <w:pPr>
              <w:spacing w:line="44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分</w:t>
            </w:r>
          </w:p>
        </w:tc>
      </w:tr>
      <w:bookmarkEnd w:id="5"/>
    </w:tbl>
    <w:p w14:paraId="3C218657">
      <w:pPr>
        <w:widowControl/>
        <w:jc w:val="left"/>
        <w:rPr>
          <w:rFonts w:ascii="宋体" w:hAnsi="宋体" w:eastAsia="宋体" w:cs="Times New Roman"/>
          <w:b/>
          <w:bCs/>
          <w:color w:val="auto"/>
          <w:kern w:val="0"/>
          <w:sz w:val="44"/>
          <w:szCs w:val="44"/>
          <w:highlight w:val="none"/>
        </w:rPr>
      </w:pPr>
      <w:r>
        <w:rPr>
          <w:rFonts w:hint="eastAsia" w:ascii="宋体" w:hAnsi="宋体" w:eastAsia="宋体" w:cs="宋体"/>
          <w:color w:val="auto"/>
          <w:sz w:val="24"/>
          <w:szCs w:val="24"/>
          <w:highlight w:val="none"/>
        </w:rPr>
        <w:t>以上项目若有缺项的，该项为0分；不缺项的，不低于最低分。</w:t>
      </w:r>
      <w:r>
        <w:rPr>
          <w:rFonts w:ascii="宋体" w:hAnsi="宋体" w:eastAsia="宋体" w:cs="Times New Roman"/>
          <w:b/>
          <w:bCs/>
          <w:color w:val="auto"/>
          <w:kern w:val="0"/>
          <w:sz w:val="44"/>
          <w:szCs w:val="44"/>
          <w:highlight w:val="none"/>
        </w:rPr>
        <w:br w:type="page"/>
      </w:r>
    </w:p>
    <w:p w14:paraId="528139BA">
      <w:pPr>
        <w:widowControl/>
        <w:numPr>
          <w:ilvl w:val="0"/>
          <w:numId w:val="9"/>
        </w:numPr>
        <w:jc w:val="center"/>
        <w:rPr>
          <w:rFonts w:hint="eastAsia" w:ascii="宋体" w:hAnsi="宋体" w:eastAsia="宋体" w:cs="Times New Roman"/>
          <w:b/>
          <w:bCs/>
          <w:color w:val="auto"/>
          <w:kern w:val="0"/>
          <w:sz w:val="44"/>
          <w:szCs w:val="44"/>
          <w:highlight w:val="none"/>
        </w:rPr>
      </w:pPr>
      <w:r>
        <w:rPr>
          <w:rFonts w:hint="eastAsia" w:ascii="宋体" w:hAnsi="宋体" w:eastAsia="宋体" w:cs="Times New Roman"/>
          <w:b/>
          <w:bCs/>
          <w:color w:val="auto"/>
          <w:kern w:val="0"/>
          <w:sz w:val="44"/>
          <w:szCs w:val="44"/>
          <w:highlight w:val="none"/>
        </w:rPr>
        <w:t xml:space="preserve">  合同条款及格式</w:t>
      </w:r>
    </w:p>
    <w:p w14:paraId="6EDEF4C1">
      <w:pPr>
        <w:widowControl/>
        <w:jc w:val="center"/>
        <w:rPr>
          <w:rFonts w:hint="eastAsia" w:ascii="宋体" w:hAnsi="宋体"/>
          <w:b/>
          <w:color w:val="auto"/>
          <w:sz w:val="28"/>
          <w:szCs w:val="28"/>
          <w:highlight w:val="none"/>
        </w:rPr>
      </w:pPr>
      <w:r>
        <w:rPr>
          <w:rFonts w:hint="eastAsia" w:ascii="宋体" w:hAnsi="宋体"/>
          <w:b/>
          <w:color w:val="auto"/>
          <w:sz w:val="28"/>
          <w:szCs w:val="28"/>
          <w:highlight w:val="none"/>
        </w:rPr>
        <w:t>（仅供参考，具体以实际签订合同为准）</w:t>
      </w:r>
    </w:p>
    <w:p w14:paraId="5841FE35">
      <w:pPr>
        <w:ind w:firstLine="645"/>
        <w:rPr>
          <w:rFonts w:ascii="仿宋" w:hAnsi="仿宋" w:eastAsia="仿宋"/>
          <w:color w:val="auto"/>
          <w:sz w:val="28"/>
          <w:szCs w:val="28"/>
          <w:highlight w:val="none"/>
        </w:rPr>
      </w:pPr>
      <w:r>
        <w:rPr>
          <w:rFonts w:hint="eastAsia" w:ascii="仿宋" w:hAnsi="仿宋" w:eastAsia="仿宋"/>
          <w:color w:val="auto"/>
          <w:sz w:val="28"/>
          <w:szCs w:val="28"/>
          <w:highlight w:val="none"/>
        </w:rPr>
        <w:t>按《三门峡市财政局关于市本级政府采购合同备案管理工作的通知》（三财购[2021]9号）文要求，集中采购目录以外政府采购项目，原则上自中标通知书发出之日起2个工作日内与中标（成交）供应商按照采购文件确定的事项与供应商签订政府采购合同。</w:t>
      </w:r>
    </w:p>
    <w:p w14:paraId="6967BCAD">
      <w:pPr>
        <w:pStyle w:val="6"/>
        <w:jc w:val="center"/>
        <w:rPr>
          <w:rFonts w:ascii="宋体" w:cs="宋体"/>
          <w:b/>
          <w:bCs/>
          <w:color w:val="auto"/>
          <w:spacing w:val="-20"/>
          <w:kern w:val="44"/>
          <w:sz w:val="28"/>
          <w:szCs w:val="28"/>
          <w:highlight w:val="none"/>
        </w:rPr>
      </w:pPr>
      <w:r>
        <w:rPr>
          <w:rFonts w:hint="eastAsia" w:ascii="宋体" w:cs="宋体"/>
          <w:b/>
          <w:bCs/>
          <w:color w:val="auto"/>
          <w:spacing w:val="-20"/>
          <w:kern w:val="44"/>
          <w:sz w:val="28"/>
          <w:szCs w:val="28"/>
          <w:highlight w:val="none"/>
        </w:rPr>
        <w:t>政府采购货物买卖合同</w:t>
      </w:r>
    </w:p>
    <w:p w14:paraId="6F724626">
      <w:pPr>
        <w:pStyle w:val="6"/>
        <w:jc w:val="center"/>
        <w:rPr>
          <w:rFonts w:ascii="宋体" w:eastAsia="宋体" w:cs="宋体"/>
          <w:b/>
          <w:bCs/>
          <w:color w:val="auto"/>
          <w:spacing w:val="-20"/>
          <w:kern w:val="44"/>
          <w:sz w:val="28"/>
          <w:szCs w:val="28"/>
          <w:highlight w:val="none"/>
        </w:rPr>
      </w:pPr>
      <w:r>
        <w:rPr>
          <w:rFonts w:hint="eastAsia" w:ascii="宋体" w:cs="宋体"/>
          <w:b/>
          <w:bCs/>
          <w:color w:val="auto"/>
          <w:spacing w:val="-20"/>
          <w:kern w:val="44"/>
          <w:sz w:val="28"/>
          <w:szCs w:val="28"/>
          <w:highlight w:val="none"/>
        </w:rPr>
        <w:t>（试行）</w:t>
      </w:r>
    </w:p>
    <w:p w14:paraId="528DEEF6">
      <w:pPr>
        <w:rPr>
          <w:rFonts w:ascii="宋体" w:hAnsi="宋体" w:cs="宋体"/>
          <w:b/>
          <w:bCs/>
          <w:color w:val="auto"/>
          <w:spacing w:val="-20"/>
          <w:kern w:val="44"/>
          <w:sz w:val="40"/>
          <w:szCs w:val="40"/>
          <w:highlight w:val="none"/>
        </w:rPr>
      </w:pPr>
    </w:p>
    <w:p w14:paraId="420764AB">
      <w:pPr>
        <w:rPr>
          <w:rFonts w:ascii="宋体" w:hAnsi="宋体" w:cs="宋体"/>
          <w:b/>
          <w:bCs/>
          <w:color w:val="auto"/>
          <w:spacing w:val="-20"/>
          <w:kern w:val="44"/>
          <w:sz w:val="40"/>
          <w:szCs w:val="40"/>
          <w:highlight w:val="none"/>
        </w:rPr>
      </w:pPr>
    </w:p>
    <w:p w14:paraId="36D4A531">
      <w:pPr>
        <w:spacing w:line="360" w:lineRule="auto"/>
        <w:ind w:left="420" w:leftChars="200"/>
        <w:rPr>
          <w:color w:val="auto"/>
          <w:sz w:val="32"/>
          <w:szCs w:val="32"/>
          <w:highlight w:val="none"/>
        </w:rPr>
      </w:pPr>
      <w:r>
        <w:rPr>
          <w:rFonts w:hint="eastAsia" w:ascii="宋体" w:hAnsi="宋体" w:cs="宋体"/>
          <w:color w:val="auto"/>
          <w:kern w:val="0"/>
          <w:sz w:val="32"/>
          <w:szCs w:val="32"/>
          <w:highlight w:val="none"/>
        </w:rPr>
        <w:t>项目名称：</w:t>
      </w:r>
    </w:p>
    <w:p w14:paraId="6DCAF8D6">
      <w:pPr>
        <w:spacing w:line="360" w:lineRule="auto"/>
        <w:ind w:left="420" w:leftChars="200"/>
        <w:rPr>
          <w:color w:val="auto"/>
          <w:sz w:val="32"/>
          <w:szCs w:val="32"/>
          <w:highlight w:val="none"/>
          <w:u w:val="single"/>
        </w:rPr>
      </w:pPr>
      <w:r>
        <w:rPr>
          <w:rFonts w:hint="eastAsia"/>
          <w:color w:val="auto"/>
          <w:sz w:val="32"/>
          <w:szCs w:val="32"/>
          <w:highlight w:val="none"/>
        </w:rPr>
        <w:t>合同编号：</w:t>
      </w:r>
    </w:p>
    <w:p w14:paraId="61970966">
      <w:pPr>
        <w:spacing w:line="360" w:lineRule="auto"/>
        <w:ind w:left="420" w:leftChars="200"/>
        <w:rPr>
          <w:color w:val="auto"/>
          <w:sz w:val="32"/>
          <w:szCs w:val="32"/>
          <w:highlight w:val="none"/>
        </w:rPr>
      </w:pPr>
      <w:r>
        <w:rPr>
          <w:rFonts w:hint="eastAsia"/>
          <w:color w:val="auto"/>
          <w:sz w:val="32"/>
          <w:szCs w:val="32"/>
          <w:highlight w:val="none"/>
        </w:rPr>
        <w:t>甲    方：</w:t>
      </w:r>
    </w:p>
    <w:p w14:paraId="0F1D9409">
      <w:pPr>
        <w:spacing w:line="360" w:lineRule="auto"/>
        <w:ind w:left="420" w:leftChars="200"/>
        <w:rPr>
          <w:color w:val="auto"/>
          <w:sz w:val="32"/>
          <w:szCs w:val="32"/>
          <w:highlight w:val="none"/>
          <w:u w:val="single"/>
        </w:rPr>
      </w:pPr>
      <w:r>
        <w:rPr>
          <w:rFonts w:hint="eastAsia"/>
          <w:color w:val="auto"/>
          <w:sz w:val="32"/>
          <w:szCs w:val="32"/>
          <w:highlight w:val="none"/>
        </w:rPr>
        <w:t>乙    方：</w:t>
      </w:r>
    </w:p>
    <w:p w14:paraId="6EBB4A11">
      <w:pPr>
        <w:spacing w:line="360" w:lineRule="auto"/>
        <w:ind w:left="420" w:leftChars="200"/>
        <w:rPr>
          <w:color w:val="auto"/>
          <w:sz w:val="32"/>
          <w:szCs w:val="32"/>
          <w:highlight w:val="none"/>
        </w:rPr>
      </w:pPr>
      <w:r>
        <w:rPr>
          <w:rFonts w:hint="eastAsia"/>
          <w:color w:val="auto"/>
          <w:sz w:val="32"/>
          <w:szCs w:val="32"/>
          <w:highlight w:val="none"/>
        </w:rPr>
        <w:t>签订时间：</w:t>
      </w:r>
    </w:p>
    <w:p w14:paraId="29BE8079">
      <w:pPr>
        <w:rPr>
          <w:color w:val="auto"/>
          <w:highlight w:val="none"/>
        </w:rPr>
      </w:pPr>
    </w:p>
    <w:p w14:paraId="3110621C">
      <w:pPr>
        <w:jc w:val="center"/>
        <w:rPr>
          <w:rFonts w:eastAsia="黑体"/>
          <w:color w:val="auto"/>
          <w:sz w:val="44"/>
          <w:szCs w:val="44"/>
          <w:highlight w:val="none"/>
        </w:rPr>
      </w:pPr>
    </w:p>
    <w:p w14:paraId="1F9D8EB0">
      <w:pPr>
        <w:jc w:val="center"/>
        <w:rPr>
          <w:rFonts w:eastAsia="黑体"/>
          <w:color w:val="auto"/>
          <w:sz w:val="44"/>
          <w:szCs w:val="44"/>
          <w:highlight w:val="none"/>
        </w:rPr>
      </w:pPr>
    </w:p>
    <w:p w14:paraId="1BA4B4C7">
      <w:pPr>
        <w:pStyle w:val="19"/>
        <w:rPr>
          <w:color w:val="auto"/>
          <w:highlight w:val="none"/>
        </w:rPr>
      </w:pPr>
    </w:p>
    <w:p w14:paraId="39988E0F">
      <w:pPr>
        <w:jc w:val="center"/>
        <w:rPr>
          <w:rFonts w:eastAsia="黑体"/>
          <w:color w:val="auto"/>
          <w:sz w:val="44"/>
          <w:szCs w:val="44"/>
          <w:highlight w:val="none"/>
        </w:rPr>
      </w:pPr>
    </w:p>
    <w:p w14:paraId="02675795">
      <w:pPr>
        <w:jc w:val="center"/>
        <w:rPr>
          <w:rFonts w:eastAsia="黑体"/>
          <w:color w:val="auto"/>
          <w:sz w:val="44"/>
          <w:szCs w:val="44"/>
          <w:highlight w:val="none"/>
        </w:rPr>
      </w:pPr>
    </w:p>
    <w:p w14:paraId="62B6033A">
      <w:pPr>
        <w:jc w:val="center"/>
        <w:rPr>
          <w:rFonts w:hint="eastAsia" w:eastAsia="黑体"/>
          <w:color w:val="auto"/>
          <w:sz w:val="44"/>
          <w:szCs w:val="44"/>
          <w:highlight w:val="none"/>
        </w:rPr>
      </w:pPr>
    </w:p>
    <w:p w14:paraId="0646E5CD">
      <w:pPr>
        <w:pStyle w:val="10"/>
        <w:rPr>
          <w:rFonts w:hint="eastAsia"/>
          <w:color w:val="auto"/>
          <w:highlight w:val="none"/>
        </w:rPr>
      </w:pPr>
    </w:p>
    <w:p w14:paraId="0A60F15F">
      <w:pPr>
        <w:jc w:val="center"/>
        <w:rPr>
          <w:rFonts w:eastAsia="黑体"/>
          <w:color w:val="auto"/>
          <w:sz w:val="24"/>
          <w:szCs w:val="24"/>
          <w:highlight w:val="none"/>
        </w:rPr>
      </w:pPr>
      <w:r>
        <w:rPr>
          <w:rFonts w:hint="eastAsia" w:eastAsia="黑体"/>
          <w:color w:val="auto"/>
          <w:sz w:val="24"/>
          <w:szCs w:val="24"/>
          <w:highlight w:val="none"/>
        </w:rPr>
        <w:t>使用说明</w:t>
      </w:r>
    </w:p>
    <w:p w14:paraId="2C5BD9BD">
      <w:pPr>
        <w:ind w:firstLine="480" w:firstLineChars="200"/>
        <w:rPr>
          <w:rFonts w:ascii="仿宋_GB2312" w:hAnsi="仿宋_GB2312" w:eastAsia="仿宋_GB2312" w:cs="仿宋_GB2312"/>
          <w:color w:val="auto"/>
          <w:sz w:val="24"/>
          <w:szCs w:val="24"/>
          <w:highlight w:val="none"/>
        </w:rPr>
      </w:pPr>
    </w:p>
    <w:p w14:paraId="712381F5">
      <w:pPr>
        <w:ind w:firstLine="480" w:firstLineChars="200"/>
        <w:rPr>
          <w:rFonts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1.本合同标准文本适用于购买现成货物的采购项目，不包括需要供应商定制开发、创新研发的货物采购项目。</w:t>
      </w:r>
    </w:p>
    <w:p w14:paraId="64619E11">
      <w:pPr>
        <w:rPr>
          <w:rFonts w:eastAsia="黑体"/>
          <w:color w:val="auto"/>
          <w:sz w:val="24"/>
          <w:szCs w:val="24"/>
          <w:highlight w:val="none"/>
        </w:rPr>
      </w:pPr>
      <w:r>
        <w:rPr>
          <w:rFonts w:hint="eastAsia" w:ascii="仿宋_GB2312" w:hAnsi="仿宋_GB2312" w:eastAsia="仿宋_GB2312" w:cs="仿宋_GB2312"/>
          <w:color w:val="auto"/>
          <w:sz w:val="24"/>
          <w:szCs w:val="24"/>
          <w:highlight w:val="none"/>
        </w:rPr>
        <w:t>2.本合同标准文本为政府采购货物买卖合同编制提供参考，可以结合采购项目具体情况，对文本作必要的调整修订后使用。</w:t>
      </w:r>
    </w:p>
    <w:p w14:paraId="4D16ECBE">
      <w:pPr>
        <w:ind w:firstLine="480" w:firstLineChars="200"/>
        <w:rPr>
          <w:rFonts w:eastAsia="黑体"/>
          <w:color w:val="auto"/>
          <w:sz w:val="24"/>
          <w:szCs w:val="24"/>
          <w:highlight w:val="none"/>
        </w:rPr>
        <w:sectPr>
          <w:type w:val="continuous"/>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color w:val="auto"/>
          <w:sz w:val="24"/>
          <w:szCs w:val="24"/>
          <w:highlight w:val="none"/>
        </w:rPr>
        <w:t>3.本合同标准文本各条款中，如涉及填写多家供应商、制造商，多种采购标的、分包主要内容等信息的，可根据采购项目具体情况添加信息项。</w:t>
      </w:r>
    </w:p>
    <w:p w14:paraId="0DCB3ED5">
      <w:pPr>
        <w:pStyle w:val="4"/>
        <w:adjustRightInd w:val="0"/>
        <w:snapToGrid w:val="0"/>
        <w:spacing w:line="400" w:lineRule="exact"/>
        <w:jc w:val="both"/>
        <w:rPr>
          <w:rFonts w:ascii="黑体" w:hAnsi="黑体"/>
          <w:b w:val="0"/>
          <w:color w:val="auto"/>
          <w:sz w:val="24"/>
          <w:szCs w:val="24"/>
          <w:highlight w:val="none"/>
        </w:rPr>
      </w:pPr>
      <w:bookmarkStart w:id="6" w:name="_Toc22209"/>
    </w:p>
    <w:p w14:paraId="62C19268">
      <w:pPr>
        <w:rPr>
          <w:rFonts w:ascii="黑体" w:hAnsi="黑体"/>
          <w:b w:val="0"/>
          <w:color w:val="auto"/>
          <w:szCs w:val="28"/>
          <w:highlight w:val="none"/>
        </w:rPr>
      </w:pPr>
    </w:p>
    <w:p w14:paraId="1147337D">
      <w:pPr>
        <w:pStyle w:val="3"/>
        <w:rPr>
          <w:rFonts w:ascii="黑体" w:hAnsi="黑体"/>
          <w:b w:val="0"/>
          <w:color w:val="auto"/>
          <w:szCs w:val="28"/>
          <w:highlight w:val="none"/>
        </w:rPr>
      </w:pPr>
    </w:p>
    <w:p w14:paraId="12D77A7D">
      <w:pPr>
        <w:pStyle w:val="4"/>
        <w:rPr>
          <w:rFonts w:ascii="黑体" w:hAnsi="黑体"/>
          <w:b w:val="0"/>
          <w:color w:val="auto"/>
          <w:szCs w:val="28"/>
          <w:highlight w:val="none"/>
        </w:rPr>
      </w:pPr>
    </w:p>
    <w:p w14:paraId="72AB5896">
      <w:pPr>
        <w:rPr>
          <w:rFonts w:ascii="黑体" w:hAnsi="黑体"/>
          <w:b w:val="0"/>
          <w:color w:val="auto"/>
          <w:szCs w:val="28"/>
          <w:highlight w:val="none"/>
        </w:rPr>
      </w:pPr>
    </w:p>
    <w:p w14:paraId="0037D2C9">
      <w:pPr>
        <w:pStyle w:val="3"/>
        <w:rPr>
          <w:rFonts w:ascii="黑体" w:hAnsi="黑体"/>
          <w:b w:val="0"/>
          <w:color w:val="auto"/>
          <w:szCs w:val="28"/>
          <w:highlight w:val="none"/>
        </w:rPr>
      </w:pPr>
    </w:p>
    <w:p w14:paraId="4E7ECBBE">
      <w:pPr>
        <w:pStyle w:val="4"/>
        <w:rPr>
          <w:rFonts w:ascii="黑体" w:hAnsi="黑体"/>
          <w:b w:val="0"/>
          <w:color w:val="auto"/>
          <w:szCs w:val="28"/>
          <w:highlight w:val="none"/>
        </w:rPr>
      </w:pPr>
    </w:p>
    <w:p w14:paraId="6E24F97B">
      <w:pPr>
        <w:rPr>
          <w:rFonts w:ascii="黑体" w:hAnsi="黑体"/>
          <w:b w:val="0"/>
          <w:color w:val="auto"/>
          <w:szCs w:val="28"/>
          <w:highlight w:val="none"/>
        </w:rPr>
      </w:pPr>
    </w:p>
    <w:p w14:paraId="07879B3A">
      <w:pPr>
        <w:pStyle w:val="4"/>
        <w:adjustRightInd w:val="0"/>
        <w:snapToGrid w:val="0"/>
        <w:spacing w:line="400" w:lineRule="exact"/>
        <w:jc w:val="both"/>
        <w:rPr>
          <w:rFonts w:hint="eastAsia" w:ascii="黑体" w:hAnsi="黑体"/>
          <w:b w:val="0"/>
          <w:color w:val="auto"/>
          <w:szCs w:val="28"/>
          <w:highlight w:val="none"/>
        </w:rPr>
      </w:pPr>
    </w:p>
    <w:p w14:paraId="57BB8448">
      <w:pPr>
        <w:rPr>
          <w:rFonts w:hint="eastAsia" w:ascii="黑体" w:hAnsi="黑体"/>
          <w:b w:val="0"/>
          <w:color w:val="auto"/>
          <w:szCs w:val="28"/>
          <w:highlight w:val="none"/>
        </w:rPr>
      </w:pPr>
      <w:r>
        <w:rPr>
          <w:rFonts w:hint="eastAsia" w:ascii="黑体" w:hAnsi="黑体"/>
          <w:b w:val="0"/>
          <w:color w:val="auto"/>
          <w:szCs w:val="28"/>
          <w:highlight w:val="none"/>
        </w:rPr>
        <w:br w:type="page"/>
      </w:r>
    </w:p>
    <w:p w14:paraId="5C92FF2C">
      <w:pPr>
        <w:pStyle w:val="4"/>
        <w:adjustRightInd w:val="0"/>
        <w:snapToGrid w:val="0"/>
        <w:spacing w:line="400" w:lineRule="exact"/>
        <w:jc w:val="both"/>
        <w:rPr>
          <w:rFonts w:ascii="黑体" w:hAnsi="华文中宋"/>
          <w:b w:val="0"/>
          <w:color w:val="auto"/>
          <w:szCs w:val="28"/>
          <w:highlight w:val="none"/>
        </w:rPr>
      </w:pPr>
      <w:r>
        <w:rPr>
          <w:rFonts w:hint="eastAsia" w:ascii="黑体" w:hAnsi="黑体"/>
          <w:b w:val="0"/>
          <w:color w:val="auto"/>
          <w:szCs w:val="28"/>
          <w:highlight w:val="none"/>
        </w:rPr>
        <w:t xml:space="preserve">第一节 </w:t>
      </w:r>
      <w:r>
        <w:rPr>
          <w:rFonts w:hint="eastAsia" w:ascii="黑体" w:hAnsi="华文中宋"/>
          <w:b w:val="0"/>
          <w:color w:val="auto"/>
          <w:szCs w:val="28"/>
          <w:highlight w:val="none"/>
        </w:rPr>
        <w:t>政府采购合同协议书</w:t>
      </w:r>
      <w:bookmarkEnd w:id="6"/>
    </w:p>
    <w:p w14:paraId="4CD0E260">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甲方（全称）：（采购人、受采购人委托签订合同的单位或采购文件约定的合同甲方）</w:t>
      </w:r>
    </w:p>
    <w:p w14:paraId="4647ACC6">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乙方1（全称）：（供应商）</w:t>
      </w:r>
    </w:p>
    <w:p w14:paraId="220DB132">
      <w:pPr>
        <w:pStyle w:val="8"/>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14:paraId="3D81D2E7">
      <w:pPr>
        <w:numPr>
          <w:ilvl w:val="0"/>
          <w:numId w:val="10"/>
        </w:numPr>
        <w:adjustRightInd w:val="0"/>
        <w:snapToGrid w:val="0"/>
        <w:spacing w:line="400" w:lineRule="exact"/>
        <w:rPr>
          <w:rFonts w:asciiTheme="minorEastAsia" w:hAnsiTheme="minorEastAsia" w:cstheme="minorEastAsia"/>
          <w:b/>
          <w:color w:val="auto"/>
          <w:sz w:val="24"/>
          <w:szCs w:val="24"/>
          <w:highlight w:val="none"/>
        </w:rPr>
      </w:pPr>
      <w:r>
        <w:rPr>
          <w:rFonts w:hint="eastAsia" w:asciiTheme="minorEastAsia" w:hAnsiTheme="minorEastAsia" w:cstheme="minorEastAsia"/>
          <w:b/>
          <w:color w:val="auto"/>
          <w:sz w:val="24"/>
          <w:szCs w:val="24"/>
          <w:highlight w:val="none"/>
        </w:rPr>
        <w:t>项目信息</w:t>
      </w:r>
    </w:p>
    <w:p w14:paraId="5BB5E7C1">
      <w:pPr>
        <w:pStyle w:val="8"/>
        <w:numPr>
          <w:ilvl w:val="0"/>
          <w:numId w:val="11"/>
        </w:numPr>
        <w:adjustRightInd w:val="0"/>
        <w:snapToGrid w:val="0"/>
        <w:spacing w:after="0" w:line="400" w:lineRule="exact"/>
        <w:ind w:left="0" w:leftChars="0"/>
        <w:rPr>
          <w:rFonts w:asciiTheme="minorEastAsia" w:hAnsiTheme="minorEastAsia" w:cstheme="minorEastAsia"/>
          <w:color w:val="auto"/>
          <w:sz w:val="24"/>
          <w:szCs w:val="24"/>
          <w:highlight w:val="none"/>
          <w:u w:val="single"/>
        </w:rPr>
      </w:pPr>
      <w:r>
        <w:rPr>
          <w:rFonts w:hint="eastAsia" w:asciiTheme="minorEastAsia" w:hAnsiTheme="minorEastAsia" w:cstheme="minorEastAsia"/>
          <w:color w:val="auto"/>
          <w:sz w:val="24"/>
          <w:szCs w:val="24"/>
          <w:highlight w:val="none"/>
        </w:rPr>
        <w:t>采购项目名称：</w:t>
      </w:r>
    </w:p>
    <w:p w14:paraId="3918136A">
      <w:pPr>
        <w:pStyle w:val="8"/>
        <w:numPr>
          <w:ilvl w:val="255"/>
          <w:numId w:val="0"/>
        </w:numPr>
        <w:tabs>
          <w:tab w:val="left" w:pos="999"/>
        </w:tabs>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 xml:space="preserve">    采购项目编号：</w:t>
      </w:r>
    </w:p>
    <w:p w14:paraId="1EAD81CC">
      <w:pPr>
        <w:pStyle w:val="8"/>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（2）采购计划编号：</w:t>
      </w:r>
    </w:p>
    <w:p w14:paraId="785CB0E9">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（3）项目内容：</w:t>
      </w:r>
    </w:p>
    <w:p w14:paraId="1C2E6508">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采购标的及数量（台/套/个/架/组等）：</w:t>
      </w:r>
    </w:p>
    <w:p w14:paraId="6F7AF365">
      <w:pPr>
        <w:numPr>
          <w:ilvl w:val="255"/>
          <w:numId w:val="0"/>
        </w:num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品牌：规格型号：</w:t>
      </w:r>
    </w:p>
    <w:p w14:paraId="17DF820F">
      <w:pPr>
        <w:adjustRightInd w:val="0"/>
        <w:snapToGrid w:val="0"/>
        <w:spacing w:line="400" w:lineRule="exact"/>
        <w:rPr>
          <w:rFonts w:asciiTheme="minorEastAsia" w:hAnsiTheme="minorEastAsia" w:cstheme="minorEastAsia"/>
          <w:color w:val="auto"/>
          <w:sz w:val="24"/>
          <w:szCs w:val="24"/>
          <w:highlight w:val="none"/>
          <w:u w:val="single"/>
        </w:rPr>
      </w:pPr>
      <w:r>
        <w:rPr>
          <w:rFonts w:hint="eastAsia" w:asciiTheme="minorEastAsia" w:hAnsiTheme="minorEastAsia" w:cstheme="minorEastAsia"/>
          <w:color w:val="auto"/>
          <w:sz w:val="24"/>
          <w:szCs w:val="24"/>
          <w:highlight w:val="none"/>
        </w:rPr>
        <w:t>采购标的的技术要求、商务要求具体见附件。</w:t>
      </w:r>
    </w:p>
    <w:p w14:paraId="7E41B5AC">
      <w:pPr>
        <w:numPr>
          <w:ilvl w:val="255"/>
          <w:numId w:val="0"/>
        </w:num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①涉及信息类产品，请填写该产品关键部件的品牌、型号：</w:t>
      </w:r>
    </w:p>
    <w:p w14:paraId="032DF9D4">
      <w:pPr>
        <w:numPr>
          <w:ilvl w:val="255"/>
          <w:numId w:val="0"/>
        </w:numPr>
        <w:adjustRightInd w:val="0"/>
        <w:snapToGrid w:val="0"/>
        <w:spacing w:line="400" w:lineRule="exact"/>
        <w:rPr>
          <w:rFonts w:asciiTheme="minorEastAsia" w:hAnsiTheme="minorEastAsia" w:cstheme="minorEastAsia"/>
          <w:color w:val="auto"/>
          <w:kern w:val="0"/>
          <w:sz w:val="24"/>
          <w:szCs w:val="24"/>
          <w:highlight w:val="none"/>
          <w:u w:val="single"/>
        </w:rPr>
      </w:pPr>
      <w:r>
        <w:rPr>
          <w:rFonts w:hint="eastAsia" w:asciiTheme="minorEastAsia" w:hAnsiTheme="minorEastAsia" w:cstheme="minorEastAsia"/>
          <w:color w:val="auto"/>
          <w:sz w:val="24"/>
          <w:szCs w:val="24"/>
          <w:highlight w:val="none"/>
        </w:rPr>
        <w:t xml:space="preserve">     标的名称：</w:t>
      </w:r>
    </w:p>
    <w:p w14:paraId="076ECFC2">
      <w:pPr>
        <w:numPr>
          <w:ilvl w:val="255"/>
          <w:numId w:val="0"/>
        </w:num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 xml:space="preserve">     关键部件：品牌：型号：</w:t>
      </w:r>
    </w:p>
    <w:p w14:paraId="6FC96ACD">
      <w:pPr>
        <w:pStyle w:val="19"/>
        <w:ind w:firstLine="0" w:firstLineChars="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highlight w:val="none"/>
        </w:rPr>
        <w:t>关键部件</w:t>
      </w:r>
      <w:r>
        <w:rPr>
          <w:rFonts w:hint="eastAsia" w:asciiTheme="minorEastAsia" w:hAnsiTheme="minorEastAsia" w:eastAsiaTheme="minorEastAsia" w:cstheme="minorEastAsia"/>
          <w:color w:val="auto"/>
          <w:sz w:val="24"/>
          <w:szCs w:val="24"/>
          <w:highlight w:val="none"/>
        </w:rPr>
        <w:t>：品牌：型号：</w:t>
      </w:r>
    </w:p>
    <w:p w14:paraId="480D7709">
      <w:pPr>
        <w:pStyle w:val="19"/>
        <w:ind w:firstLine="0" w:firstLineChars="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关键部件：品牌：型号：</w:t>
      </w:r>
    </w:p>
    <w:p w14:paraId="3115CCA7">
      <w:pPr>
        <w:pStyle w:val="19"/>
        <w:numPr>
          <w:ilvl w:val="255"/>
          <w:numId w:val="0"/>
        </w:numPr>
        <w:snapToGrid w:val="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（注：关键部件是指财政部会同有关部门发布的政府采购需求标准规定的需要通过国家有关部门指定的测评机构开展的安全可靠测评的软硬件，如CPU芯片、操作系统、数据库等。）</w:t>
      </w:r>
    </w:p>
    <w:p w14:paraId="2D9971BF">
      <w:pPr>
        <w:pStyle w:val="19"/>
        <w:numPr>
          <w:ilvl w:val="255"/>
          <w:numId w:val="0"/>
        </w:numPr>
        <w:snapToGrid w:val="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②涉及车辆采购，请填写是否属于新能源汽车：</w:t>
      </w:r>
    </w:p>
    <w:p w14:paraId="37CDC1BB">
      <w:pPr>
        <w:pStyle w:val="19"/>
        <w:numPr>
          <w:ilvl w:val="255"/>
          <w:numId w:val="0"/>
        </w:numPr>
        <w:snapToGrid w:val="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是，《政府采购品目分类目录》底级品目名称： 数量： 金额：</w:t>
      </w:r>
    </w:p>
    <w:p w14:paraId="0DA25439">
      <w:pPr>
        <w:pStyle w:val="19"/>
        <w:numPr>
          <w:ilvl w:val="255"/>
          <w:numId w:val="0"/>
        </w:numPr>
        <w:snapToGrid w:val="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否</w:t>
      </w:r>
    </w:p>
    <w:p w14:paraId="36587C9D">
      <w:pPr>
        <w:pStyle w:val="19"/>
        <w:numPr>
          <w:ilvl w:val="255"/>
          <w:numId w:val="0"/>
        </w:numPr>
        <w:snapToGrid w:val="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（4）政府采购组织形式：</w:t>
      </w: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政府集中采购</w:t>
      </w: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 xml:space="preserve">部门集中采购  </w:t>
      </w: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分散采购</w:t>
      </w:r>
    </w:p>
    <w:p w14:paraId="2F6CE14C">
      <w:pPr>
        <w:pStyle w:val="19"/>
        <w:numPr>
          <w:ilvl w:val="255"/>
          <w:numId w:val="0"/>
        </w:numPr>
        <w:snapToGrid w:val="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（5）政府采购方式：</w:t>
      </w: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公开招标</w:t>
      </w: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邀请招标</w:t>
      </w: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竞争性谈判</w:t>
      </w: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竞争性磋商</w:t>
      </w:r>
    </w:p>
    <w:p w14:paraId="3BDC666C">
      <w:pPr>
        <w:pStyle w:val="19"/>
        <w:numPr>
          <w:ilvl w:val="255"/>
          <w:numId w:val="0"/>
        </w:numPr>
        <w:snapToGrid w:val="0"/>
        <w:rPr>
          <w:rFonts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询价</w:t>
      </w: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单一来源</w:t>
      </w: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框架协议</w:t>
      </w: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其他：</w:t>
      </w:r>
    </w:p>
    <w:p w14:paraId="19D1DC98">
      <w:pPr>
        <w:pStyle w:val="19"/>
        <w:numPr>
          <w:ilvl w:val="255"/>
          <w:numId w:val="0"/>
        </w:numPr>
        <w:snapToGrid w:val="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（注：在框架协议采购的第二阶段，可选择使用该合同文本）</w:t>
      </w:r>
    </w:p>
    <w:p w14:paraId="720D9382">
      <w:pPr>
        <w:pStyle w:val="19"/>
        <w:numPr>
          <w:ilvl w:val="255"/>
          <w:numId w:val="0"/>
        </w:numPr>
        <w:snapToGrid w:val="0"/>
        <w:rPr>
          <w:rFonts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sz w:val="24"/>
          <w:szCs w:val="24"/>
          <w:highlight w:val="none"/>
        </w:rPr>
        <w:t>（6）</w:t>
      </w:r>
      <w:r>
        <w:rPr>
          <w:rFonts w:hint="eastAsia" w:asciiTheme="minorEastAsia" w:hAnsiTheme="minorEastAsia" w:eastAsiaTheme="minorEastAsia" w:cstheme="minorEastAsia"/>
          <w:color w:val="auto"/>
          <w:kern w:val="2"/>
          <w:sz w:val="24"/>
          <w:szCs w:val="24"/>
          <w:highlight w:val="none"/>
        </w:rPr>
        <w:t>中标（成交）采购标的制造商是否为中小企业：</w:t>
      </w:r>
      <w:r>
        <w:rPr>
          <w:rFonts w:hint="eastAsia" w:asciiTheme="minorEastAsia" w:hAnsiTheme="minorEastAsia" w:eastAsiaTheme="minorEastAsia" w:cstheme="minorEastAsia"/>
          <w:color w:val="auto"/>
          <w:kern w:val="2"/>
          <w:sz w:val="24"/>
          <w:szCs w:val="24"/>
          <w:highlight w:val="none"/>
        </w:rPr>
        <w:sym w:font="Wingdings" w:char="00A8"/>
      </w:r>
      <w:r>
        <w:rPr>
          <w:rFonts w:hint="eastAsia" w:asciiTheme="minorEastAsia" w:hAnsiTheme="minorEastAsia" w:eastAsiaTheme="minorEastAsia" w:cstheme="minorEastAsia"/>
          <w:color w:val="auto"/>
          <w:kern w:val="2"/>
          <w:sz w:val="24"/>
          <w:szCs w:val="24"/>
          <w:highlight w:val="none"/>
        </w:rPr>
        <w:t xml:space="preserve">是      </w:t>
      </w:r>
      <w:r>
        <w:rPr>
          <w:rFonts w:hint="eastAsia" w:asciiTheme="minorEastAsia" w:hAnsiTheme="minorEastAsia" w:eastAsiaTheme="minorEastAsia" w:cstheme="minorEastAsia"/>
          <w:color w:val="auto"/>
          <w:kern w:val="2"/>
          <w:sz w:val="24"/>
          <w:szCs w:val="24"/>
          <w:highlight w:val="none"/>
        </w:rPr>
        <w:sym w:font="Wingdings" w:char="00A8"/>
      </w:r>
      <w:r>
        <w:rPr>
          <w:rFonts w:hint="eastAsia" w:asciiTheme="minorEastAsia" w:hAnsiTheme="minorEastAsia" w:eastAsiaTheme="minorEastAsia" w:cstheme="minorEastAsia"/>
          <w:color w:val="auto"/>
          <w:kern w:val="2"/>
          <w:sz w:val="24"/>
          <w:szCs w:val="24"/>
          <w:highlight w:val="none"/>
        </w:rPr>
        <w:t>否</w:t>
      </w:r>
    </w:p>
    <w:p w14:paraId="769CC77D">
      <w:pPr>
        <w:numPr>
          <w:ilvl w:val="255"/>
          <w:numId w:val="0"/>
        </w:numPr>
        <w:adjustRightInd w:val="0"/>
        <w:snapToGrid w:val="0"/>
        <w:spacing w:line="400" w:lineRule="exact"/>
        <w:rPr>
          <w:rFonts w:asciiTheme="minorEastAsia" w:hAnsiTheme="minorEastAsia" w:cstheme="minorEastAsia"/>
          <w:iCs/>
          <w:color w:val="auto"/>
          <w:sz w:val="24"/>
          <w:szCs w:val="24"/>
          <w:highlight w:val="none"/>
        </w:rPr>
      </w:pPr>
      <w:r>
        <w:rPr>
          <w:rFonts w:hint="eastAsia" w:asciiTheme="minorEastAsia" w:hAnsiTheme="minorEastAsia" w:cstheme="minorEastAsia"/>
          <w:color w:val="auto"/>
          <w:sz w:val="24"/>
          <w:szCs w:val="24"/>
          <w:highlight w:val="none"/>
        </w:rPr>
        <w:t xml:space="preserve"> 本合同是否为专门面向中小企业的采购合同（中小企业预留合同）：</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 xml:space="preserve">是 </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否</w:t>
      </w:r>
    </w:p>
    <w:p w14:paraId="2793C4B9">
      <w:pPr>
        <w:numPr>
          <w:ilvl w:val="255"/>
          <w:numId w:val="0"/>
        </w:numPr>
        <w:adjustRightInd w:val="0"/>
        <w:snapToGrid w:val="0"/>
        <w:spacing w:line="400" w:lineRule="exact"/>
        <w:rPr>
          <w:rFonts w:asciiTheme="minorEastAsia" w:hAnsiTheme="minorEastAsia" w:cstheme="minorEastAsia"/>
          <w:iCs/>
          <w:color w:val="auto"/>
          <w:sz w:val="24"/>
          <w:szCs w:val="24"/>
          <w:highlight w:val="none"/>
        </w:rPr>
      </w:pPr>
      <w:r>
        <w:rPr>
          <w:rFonts w:hint="eastAsia" w:asciiTheme="minorEastAsia" w:hAnsiTheme="minorEastAsia" w:cstheme="minorEastAsia"/>
          <w:color w:val="auto"/>
          <w:sz w:val="24"/>
          <w:szCs w:val="24"/>
          <w:highlight w:val="none"/>
        </w:rPr>
        <w:t xml:space="preserve"> 若本项目不专门面向中小企业采购，是否给予小微企业评审优惠：</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 xml:space="preserve">是   </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否</w:t>
      </w:r>
    </w:p>
    <w:p w14:paraId="70CF30AE">
      <w:pPr>
        <w:numPr>
          <w:ilvl w:val="255"/>
          <w:numId w:val="0"/>
        </w:numPr>
        <w:adjustRightInd w:val="0"/>
        <w:snapToGrid w:val="0"/>
        <w:spacing w:line="400" w:lineRule="exact"/>
        <w:rPr>
          <w:rFonts w:asciiTheme="minorEastAsia" w:hAnsiTheme="minorEastAsia" w:cstheme="minorEastAsia"/>
          <w:iCs/>
          <w:color w:val="auto"/>
          <w:sz w:val="24"/>
          <w:szCs w:val="24"/>
          <w:highlight w:val="none"/>
        </w:rPr>
      </w:pPr>
      <w:r>
        <w:rPr>
          <w:rFonts w:hint="eastAsia" w:asciiTheme="minorEastAsia" w:hAnsiTheme="minorEastAsia" w:cstheme="minorEastAsia"/>
          <w:color w:val="auto"/>
          <w:sz w:val="24"/>
          <w:szCs w:val="24"/>
          <w:highlight w:val="none"/>
        </w:rPr>
        <w:t xml:space="preserve"> 中标（成交）采购标的制造商是否为残疾人福利性单位：</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 xml:space="preserve">是   </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否</w:t>
      </w:r>
    </w:p>
    <w:p w14:paraId="61434A5A">
      <w:pPr>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中标（成交）采购标的制造商是否为监狱企业：</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 xml:space="preserve">是       </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否</w:t>
      </w:r>
    </w:p>
    <w:p w14:paraId="646A2909">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（7）合同是否分包：</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 xml:space="preserve">是       </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否</w:t>
      </w:r>
    </w:p>
    <w:p w14:paraId="79441891">
      <w:pPr>
        <w:adjustRightInd w:val="0"/>
        <w:snapToGrid w:val="0"/>
        <w:spacing w:line="400" w:lineRule="exact"/>
        <w:rPr>
          <w:rFonts w:asciiTheme="minorEastAsia" w:hAnsiTheme="minorEastAsia" w:cstheme="minorEastAsia"/>
          <w:color w:val="auto"/>
          <w:sz w:val="24"/>
          <w:szCs w:val="24"/>
          <w:highlight w:val="none"/>
          <w:u w:val="single"/>
        </w:rPr>
      </w:pPr>
      <w:r>
        <w:rPr>
          <w:rFonts w:hint="eastAsia" w:asciiTheme="minorEastAsia" w:hAnsiTheme="minorEastAsia" w:cstheme="minorEastAsia"/>
          <w:color w:val="auto"/>
          <w:sz w:val="24"/>
          <w:szCs w:val="24"/>
          <w:highlight w:val="none"/>
        </w:rPr>
        <w:t>分包主要内容：</w:t>
      </w:r>
    </w:p>
    <w:p w14:paraId="4336593C">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分包供应商/制造商名称（如供应商和制造商不同，请分别填写）：</w:t>
      </w:r>
    </w:p>
    <w:p w14:paraId="4D9C9703">
      <w:pPr>
        <w:adjustRightInd w:val="0"/>
        <w:snapToGrid w:val="0"/>
        <w:spacing w:line="400" w:lineRule="exact"/>
        <w:rPr>
          <w:rFonts w:asciiTheme="minorEastAsia" w:hAnsiTheme="minorEastAsia" w:cstheme="minorEastAsia"/>
          <w:color w:val="auto"/>
          <w:sz w:val="24"/>
          <w:szCs w:val="24"/>
          <w:highlight w:val="none"/>
          <w:u w:val="single"/>
        </w:rPr>
      </w:pPr>
    </w:p>
    <w:p w14:paraId="16ABE620">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分包供应商/制造商类型（如果供应商和制造商不同，只填写制造商类型）：</w:t>
      </w:r>
    </w:p>
    <w:p w14:paraId="65A044C8">
      <w:pPr>
        <w:adjustRightInd w:val="0"/>
        <w:snapToGrid w:val="0"/>
        <w:spacing w:line="400" w:lineRule="exact"/>
        <w:rPr>
          <w:rFonts w:asciiTheme="minorEastAsia" w:hAnsiTheme="minorEastAsia" w:cstheme="minorEastAsia"/>
          <w:iCs/>
          <w:color w:val="auto"/>
          <w:sz w:val="24"/>
          <w:szCs w:val="24"/>
          <w:highlight w:val="none"/>
        </w:rPr>
      </w:pP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 xml:space="preserve">大型企业  </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 xml:space="preserve">中型企业  </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小微型企业</w:t>
      </w:r>
    </w:p>
    <w:p w14:paraId="53DF75F8">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残疾人福利性单位</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监狱企业</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其他</w:t>
      </w:r>
    </w:p>
    <w:p w14:paraId="62292242">
      <w:pPr>
        <w:numPr>
          <w:ilvl w:val="255"/>
          <w:numId w:val="0"/>
        </w:numPr>
        <w:adjustRightInd w:val="0"/>
        <w:snapToGrid w:val="0"/>
        <w:spacing w:line="400" w:lineRule="exact"/>
        <w:rPr>
          <w:rFonts w:asciiTheme="minorEastAsia" w:hAnsiTheme="minorEastAsia" w:cstheme="minorEastAsia"/>
          <w:iCs/>
          <w:color w:val="auto"/>
          <w:sz w:val="24"/>
          <w:szCs w:val="24"/>
          <w:highlight w:val="none"/>
        </w:rPr>
      </w:pPr>
      <w:r>
        <w:rPr>
          <w:rFonts w:hint="eastAsia" w:asciiTheme="minorEastAsia" w:hAnsiTheme="minorEastAsia" w:cstheme="minorEastAsia"/>
          <w:color w:val="auto"/>
          <w:sz w:val="24"/>
          <w:szCs w:val="24"/>
          <w:highlight w:val="none"/>
        </w:rPr>
        <w:t>（8）中标（成交）供应商是否为外商投资企业：</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 xml:space="preserve">是       </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否</w:t>
      </w:r>
    </w:p>
    <w:p w14:paraId="0000FD6E">
      <w:pPr>
        <w:pStyle w:val="19"/>
        <w:tabs>
          <w:tab w:val="left" w:pos="1340"/>
        </w:tabs>
        <w:ind w:firstLine="0" w:firstLineChars="0"/>
        <w:rPr>
          <w:rFonts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 xml:space="preserve"> 外商投资企业类型：</w:t>
      </w:r>
      <w:r>
        <w:rPr>
          <w:rFonts w:hint="eastAsia" w:asciiTheme="minorEastAsia" w:hAnsiTheme="minorEastAsia" w:eastAsiaTheme="minorEastAsia" w:cstheme="minorEastAsia"/>
          <w:iCs/>
          <w:color w:val="auto"/>
          <w:sz w:val="24"/>
          <w:szCs w:val="24"/>
          <w:highlight w:val="none"/>
        </w:rPr>
        <w:sym w:font="Wingdings" w:char="00A8"/>
      </w:r>
      <w:r>
        <w:rPr>
          <w:rFonts w:hint="eastAsia" w:asciiTheme="minorEastAsia" w:hAnsiTheme="minorEastAsia" w:eastAsiaTheme="minorEastAsia" w:cstheme="minorEastAsia"/>
          <w:color w:val="auto"/>
          <w:sz w:val="24"/>
          <w:szCs w:val="24"/>
          <w:highlight w:val="none"/>
        </w:rPr>
        <w:t xml:space="preserve">全部由外国投资者投资  </w:t>
      </w:r>
      <w:r>
        <w:rPr>
          <w:rFonts w:hint="eastAsia" w:asciiTheme="minorEastAsia" w:hAnsiTheme="minorEastAsia" w:eastAsiaTheme="minorEastAsia" w:cstheme="minorEastAsia"/>
          <w:iCs/>
          <w:color w:val="auto"/>
          <w:sz w:val="24"/>
          <w:szCs w:val="24"/>
          <w:highlight w:val="none"/>
        </w:rPr>
        <w:sym w:font="Wingdings" w:char="00A8"/>
      </w:r>
      <w:r>
        <w:rPr>
          <w:rFonts w:hint="eastAsia" w:asciiTheme="minorEastAsia" w:hAnsiTheme="minorEastAsia" w:eastAsiaTheme="minorEastAsia" w:cstheme="minorEastAsia"/>
          <w:iCs/>
          <w:color w:val="auto"/>
          <w:sz w:val="24"/>
          <w:szCs w:val="24"/>
          <w:highlight w:val="none"/>
        </w:rPr>
        <w:t>部分由外国投资者投资</w:t>
      </w:r>
    </w:p>
    <w:p w14:paraId="208CC0C8">
      <w:pPr>
        <w:numPr>
          <w:ilvl w:val="255"/>
          <w:numId w:val="0"/>
        </w:num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（9）是否涉及进口产品：</w:t>
      </w:r>
    </w:p>
    <w:p w14:paraId="29ACF8A8">
      <w:pPr>
        <w:numPr>
          <w:ilvl w:val="255"/>
          <w:numId w:val="0"/>
        </w:numPr>
        <w:adjustRightInd w:val="0"/>
        <w:snapToGrid w:val="0"/>
        <w:spacing w:line="400" w:lineRule="exact"/>
        <w:rPr>
          <w:rFonts w:asciiTheme="minorEastAsia" w:hAnsiTheme="minorEastAsia" w:cstheme="minorEastAsia"/>
          <w:color w:val="auto"/>
          <w:sz w:val="24"/>
          <w:szCs w:val="24"/>
          <w:highlight w:val="none"/>
          <w:u w:val="single"/>
        </w:rPr>
      </w:pP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是，《政府采购品目分类目录》底级品目名称： 金额：</w:t>
      </w:r>
    </w:p>
    <w:p w14:paraId="618045FC">
      <w:pPr>
        <w:numPr>
          <w:ilvl w:val="255"/>
          <w:numId w:val="0"/>
        </w:num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 xml:space="preserve">        国别： 品牌： 规格型号：</w:t>
      </w:r>
    </w:p>
    <w:p w14:paraId="0EC6025E">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否</w:t>
      </w:r>
    </w:p>
    <w:p w14:paraId="51161BC0">
      <w:pPr>
        <w:numPr>
          <w:ilvl w:val="255"/>
          <w:numId w:val="0"/>
        </w:numPr>
        <w:tabs>
          <w:tab w:val="left" w:pos="740"/>
        </w:tabs>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 xml:space="preserve"> （10）是否涉及节能产品：</w:t>
      </w:r>
    </w:p>
    <w:p w14:paraId="1E74D722">
      <w:pPr>
        <w:numPr>
          <w:ilvl w:val="255"/>
          <w:numId w:val="0"/>
        </w:numPr>
        <w:tabs>
          <w:tab w:val="left" w:pos="740"/>
        </w:tabs>
        <w:adjustRightInd w:val="0"/>
        <w:snapToGrid w:val="0"/>
        <w:spacing w:line="400" w:lineRule="exact"/>
        <w:rPr>
          <w:rFonts w:asciiTheme="minorEastAsia" w:hAnsiTheme="minorEastAsia" w:cstheme="minorEastAsia"/>
          <w:iCs/>
          <w:color w:val="auto"/>
          <w:sz w:val="24"/>
          <w:szCs w:val="24"/>
          <w:highlight w:val="none"/>
        </w:rPr>
      </w:pP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是，《节能产品政府采购品目清单》的底级品目名称：</w:t>
      </w:r>
    </w:p>
    <w:p w14:paraId="1C1F3A9E">
      <w:pPr>
        <w:numPr>
          <w:ilvl w:val="255"/>
          <w:numId w:val="0"/>
        </w:numPr>
        <w:tabs>
          <w:tab w:val="left" w:pos="740"/>
        </w:tabs>
        <w:adjustRightInd w:val="0"/>
        <w:snapToGrid w:val="0"/>
        <w:spacing w:line="400" w:lineRule="exact"/>
        <w:rPr>
          <w:rFonts w:asciiTheme="minorEastAsia" w:hAnsiTheme="minorEastAsia" w:cstheme="minorEastAsia"/>
          <w:iCs/>
          <w:color w:val="auto"/>
          <w:sz w:val="24"/>
          <w:szCs w:val="24"/>
          <w:highlight w:val="none"/>
        </w:rPr>
      </w:pP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强制采购</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优先采购</w:t>
      </w:r>
    </w:p>
    <w:p w14:paraId="60C18F1A">
      <w:pPr>
        <w:numPr>
          <w:ilvl w:val="255"/>
          <w:numId w:val="0"/>
        </w:numPr>
        <w:tabs>
          <w:tab w:val="left" w:pos="740"/>
        </w:tabs>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否</w:t>
      </w:r>
    </w:p>
    <w:p w14:paraId="0A982E49">
      <w:pPr>
        <w:numPr>
          <w:ilvl w:val="255"/>
          <w:numId w:val="0"/>
        </w:numPr>
        <w:tabs>
          <w:tab w:val="left" w:pos="740"/>
        </w:tabs>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是否涉及环境标志产品：</w:t>
      </w:r>
    </w:p>
    <w:p w14:paraId="733CFFE2">
      <w:pPr>
        <w:numPr>
          <w:ilvl w:val="255"/>
          <w:numId w:val="0"/>
        </w:numPr>
        <w:tabs>
          <w:tab w:val="left" w:pos="740"/>
        </w:tabs>
        <w:adjustRightInd w:val="0"/>
        <w:snapToGrid w:val="0"/>
        <w:spacing w:line="400" w:lineRule="exact"/>
        <w:rPr>
          <w:rFonts w:asciiTheme="minorEastAsia" w:hAnsiTheme="minorEastAsia" w:cstheme="minorEastAsia"/>
          <w:iCs/>
          <w:color w:val="auto"/>
          <w:sz w:val="24"/>
          <w:szCs w:val="24"/>
          <w:highlight w:val="none"/>
        </w:rPr>
      </w:pP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是，《环境标志产品政府采购品目清单》的底级品目名称：</w:t>
      </w:r>
    </w:p>
    <w:p w14:paraId="452C877D">
      <w:pPr>
        <w:numPr>
          <w:ilvl w:val="255"/>
          <w:numId w:val="0"/>
        </w:numPr>
        <w:tabs>
          <w:tab w:val="left" w:pos="740"/>
        </w:tabs>
        <w:adjustRightInd w:val="0"/>
        <w:snapToGrid w:val="0"/>
        <w:spacing w:line="400" w:lineRule="exact"/>
        <w:rPr>
          <w:rFonts w:asciiTheme="minorEastAsia" w:hAnsiTheme="minorEastAsia" w:cstheme="minorEastAsia"/>
          <w:iCs/>
          <w:color w:val="auto"/>
          <w:sz w:val="24"/>
          <w:szCs w:val="24"/>
          <w:highlight w:val="none"/>
        </w:rPr>
      </w:pP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强制采购</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优先采购</w:t>
      </w:r>
    </w:p>
    <w:p w14:paraId="6D34137E">
      <w:pPr>
        <w:numPr>
          <w:ilvl w:val="255"/>
          <w:numId w:val="0"/>
        </w:numPr>
        <w:tabs>
          <w:tab w:val="left" w:pos="740"/>
        </w:tabs>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否</w:t>
      </w:r>
    </w:p>
    <w:p w14:paraId="7155C2F9">
      <w:pPr>
        <w:pStyle w:val="19"/>
        <w:numPr>
          <w:ilvl w:val="255"/>
          <w:numId w:val="0"/>
        </w:numPr>
        <w:snapToGrid w:val="0"/>
        <w:rPr>
          <w:rFonts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kern w:val="2"/>
          <w:sz w:val="24"/>
          <w:szCs w:val="24"/>
          <w:highlight w:val="none"/>
        </w:rPr>
        <w:t>是否涉及绿色产品：</w:t>
      </w:r>
    </w:p>
    <w:p w14:paraId="26ADD314">
      <w:pPr>
        <w:pStyle w:val="19"/>
        <w:ind w:firstLine="0" w:firstLineChars="0"/>
        <w:rPr>
          <w:rFonts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kern w:val="2"/>
          <w:sz w:val="24"/>
          <w:szCs w:val="24"/>
          <w:highlight w:val="none"/>
        </w:rPr>
        <w:sym w:font="Wingdings" w:char="00A8"/>
      </w:r>
      <w:r>
        <w:rPr>
          <w:rFonts w:hint="eastAsia" w:asciiTheme="minorEastAsia" w:hAnsiTheme="minorEastAsia" w:eastAsiaTheme="minorEastAsia" w:cstheme="minorEastAsia"/>
          <w:color w:val="auto"/>
          <w:kern w:val="2"/>
          <w:sz w:val="24"/>
          <w:szCs w:val="24"/>
          <w:highlight w:val="none"/>
        </w:rPr>
        <w:t>是，绿色产品政府采购相关政策确定的底级品目名称：</w:t>
      </w:r>
    </w:p>
    <w:p w14:paraId="7CEF8F6E">
      <w:pPr>
        <w:numPr>
          <w:ilvl w:val="255"/>
          <w:numId w:val="0"/>
        </w:numPr>
        <w:tabs>
          <w:tab w:val="left" w:pos="740"/>
        </w:tabs>
        <w:adjustRightInd w:val="0"/>
        <w:snapToGrid w:val="0"/>
        <w:spacing w:line="400" w:lineRule="exact"/>
        <w:rPr>
          <w:rFonts w:asciiTheme="minorEastAsia" w:hAnsiTheme="minorEastAsia" w:cstheme="minorEastAsia"/>
          <w:iCs/>
          <w:color w:val="auto"/>
          <w:sz w:val="24"/>
          <w:szCs w:val="24"/>
          <w:highlight w:val="none"/>
        </w:rPr>
      </w:pP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强制采购</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优先采购</w:t>
      </w:r>
    </w:p>
    <w:p w14:paraId="3C04F8F7">
      <w:pPr>
        <w:pStyle w:val="19"/>
        <w:ind w:firstLine="0" w:firstLineChars="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2"/>
          <w:sz w:val="24"/>
          <w:szCs w:val="24"/>
          <w:highlight w:val="none"/>
        </w:rPr>
        <w:sym w:font="Wingdings" w:char="00A8"/>
      </w:r>
      <w:r>
        <w:rPr>
          <w:rFonts w:hint="eastAsia" w:asciiTheme="minorEastAsia" w:hAnsiTheme="minorEastAsia" w:eastAsiaTheme="minorEastAsia" w:cstheme="minorEastAsia"/>
          <w:color w:val="auto"/>
          <w:kern w:val="2"/>
          <w:sz w:val="24"/>
          <w:szCs w:val="24"/>
          <w:highlight w:val="none"/>
        </w:rPr>
        <w:t>否</w:t>
      </w:r>
    </w:p>
    <w:p w14:paraId="33974CCC">
      <w:pPr>
        <w:numPr>
          <w:ilvl w:val="255"/>
          <w:numId w:val="0"/>
        </w:num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 xml:space="preserve"> （11）涉及商品包装和快递包装的，是否参考《商品包装政府采购需求标准（试行）》、《快递包装政府采购需求标准（试行）》明确产品及相关快递服务的具体包装要求：</w:t>
      </w:r>
    </w:p>
    <w:p w14:paraId="105B07ED">
      <w:pPr>
        <w:numPr>
          <w:ilvl w:val="255"/>
          <w:numId w:val="0"/>
        </w:num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 xml:space="preserve">是       </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否</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不涉及</w:t>
      </w:r>
    </w:p>
    <w:p w14:paraId="42B331EC">
      <w:pPr>
        <w:numPr>
          <w:ilvl w:val="0"/>
          <w:numId w:val="10"/>
        </w:numPr>
        <w:adjustRightInd w:val="0"/>
        <w:snapToGrid w:val="0"/>
        <w:spacing w:line="400" w:lineRule="exact"/>
        <w:rPr>
          <w:rFonts w:asciiTheme="minorEastAsia" w:hAnsiTheme="minorEastAsia" w:cstheme="minorEastAsia"/>
          <w:b/>
          <w:color w:val="auto"/>
          <w:sz w:val="24"/>
          <w:szCs w:val="24"/>
          <w:highlight w:val="none"/>
        </w:rPr>
      </w:pPr>
      <w:r>
        <w:rPr>
          <w:rFonts w:hint="eastAsia" w:asciiTheme="minorEastAsia" w:hAnsiTheme="minorEastAsia" w:cstheme="minorEastAsia"/>
          <w:b/>
          <w:color w:val="auto"/>
          <w:sz w:val="24"/>
          <w:szCs w:val="24"/>
          <w:highlight w:val="none"/>
        </w:rPr>
        <w:t>合同金额</w:t>
      </w:r>
    </w:p>
    <w:p w14:paraId="5DD3B62D">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（1）合同金额小写：</w:t>
      </w:r>
    </w:p>
    <w:p w14:paraId="6C2733F5">
      <w:pPr>
        <w:adjustRightInd w:val="0"/>
        <w:snapToGrid w:val="0"/>
        <w:spacing w:line="400" w:lineRule="exact"/>
        <w:rPr>
          <w:rFonts w:asciiTheme="minorEastAsia" w:hAnsiTheme="minorEastAsia" w:cstheme="minorEastAsia"/>
          <w:color w:val="auto"/>
          <w:sz w:val="24"/>
          <w:szCs w:val="24"/>
          <w:highlight w:val="none"/>
          <w:u w:val="single"/>
        </w:rPr>
      </w:pPr>
      <w:r>
        <w:rPr>
          <w:rFonts w:hint="eastAsia" w:asciiTheme="minorEastAsia" w:hAnsiTheme="minorEastAsia" w:cstheme="minorEastAsia"/>
          <w:color w:val="auto"/>
          <w:sz w:val="24"/>
          <w:szCs w:val="24"/>
          <w:highlight w:val="none"/>
        </w:rPr>
        <w:t>大写：</w:t>
      </w:r>
    </w:p>
    <w:p w14:paraId="32777647">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分包金额（如有）小写：</w:t>
      </w:r>
    </w:p>
    <w:p w14:paraId="2265CC3A">
      <w:pPr>
        <w:adjustRightInd w:val="0"/>
        <w:snapToGrid w:val="0"/>
        <w:spacing w:line="400" w:lineRule="exact"/>
        <w:rPr>
          <w:rFonts w:asciiTheme="minorEastAsia" w:hAnsiTheme="minorEastAsia" w:cstheme="minorEastAsia"/>
          <w:color w:val="auto"/>
          <w:sz w:val="24"/>
          <w:szCs w:val="24"/>
          <w:highlight w:val="none"/>
          <w:u w:val="single"/>
        </w:rPr>
      </w:pPr>
      <w:r>
        <w:rPr>
          <w:rFonts w:hint="eastAsia" w:asciiTheme="minorEastAsia" w:hAnsiTheme="minorEastAsia" w:cstheme="minorEastAsia"/>
          <w:color w:val="auto"/>
          <w:sz w:val="24"/>
          <w:szCs w:val="24"/>
          <w:highlight w:val="none"/>
        </w:rPr>
        <w:t>大写：</w:t>
      </w:r>
    </w:p>
    <w:p w14:paraId="335C677A">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 xml:space="preserve"> （注：固定单价合同应填写单价和最高限价）</w:t>
      </w:r>
    </w:p>
    <w:p w14:paraId="4D627DD6">
      <w:pPr>
        <w:numPr>
          <w:ilvl w:val="255"/>
          <w:numId w:val="0"/>
        </w:num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（2）合同定价方式（采用组合定价方式的，可以勾选多项）：</w:t>
      </w:r>
    </w:p>
    <w:p w14:paraId="6E17DC26">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 xml:space="preserve">固定总价 </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固定单价</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固定费率</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 xml:space="preserve">成本补偿 </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绩效激励</w:t>
      </w:r>
      <w:r>
        <w:rPr>
          <w:rFonts w:hint="eastAsia" w:asciiTheme="minorEastAsia" w:hAnsiTheme="minorEastAsia" w:cstheme="minorEastAsia"/>
          <w:iCs/>
          <w:color w:val="auto"/>
          <w:sz w:val="24"/>
          <w:szCs w:val="24"/>
          <w:highlight w:val="none"/>
        </w:rPr>
        <w:sym w:font="Wingdings" w:char="00A8"/>
      </w:r>
      <w:r>
        <w:rPr>
          <w:rFonts w:hint="eastAsia" w:asciiTheme="minorEastAsia" w:hAnsiTheme="minorEastAsia" w:cstheme="minorEastAsia"/>
          <w:iCs/>
          <w:color w:val="auto"/>
          <w:sz w:val="24"/>
          <w:szCs w:val="24"/>
          <w:highlight w:val="none"/>
        </w:rPr>
        <w:t>其他</w:t>
      </w:r>
    </w:p>
    <w:p w14:paraId="22CD9AAF">
      <w:pPr>
        <w:pStyle w:val="24"/>
        <w:spacing w:line="400" w:lineRule="exact"/>
        <w:ind w:firstLine="0" w:firstLineChars="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（3）付款方式（按项目实际勾选填写）：</w:t>
      </w:r>
    </w:p>
    <w:p w14:paraId="48689822">
      <w:pPr>
        <w:adjustRightInd w:val="0"/>
        <w:snapToGrid w:val="0"/>
        <w:spacing w:line="400" w:lineRule="exact"/>
        <w:rPr>
          <w:rFonts w:asciiTheme="minorEastAsia" w:hAnsiTheme="minorEastAsia" w:cstheme="minorEastAsia"/>
          <w:color w:val="auto"/>
          <w:sz w:val="24"/>
          <w:szCs w:val="24"/>
          <w:highlight w:val="none"/>
          <w:u w:val="single"/>
        </w:rPr>
      </w:pP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全额付款：</w:t>
      </w:r>
      <w:r>
        <w:rPr>
          <w:rFonts w:hint="eastAsia" w:asciiTheme="minorEastAsia" w:hAnsiTheme="minorEastAsia" w:cstheme="minorEastAsia"/>
          <w:color w:val="auto"/>
          <w:sz w:val="24"/>
          <w:szCs w:val="24"/>
          <w:highlight w:val="none"/>
          <w:u w:val="single"/>
        </w:rPr>
        <w:t xml:space="preserve">     （应明确一次性支付合同款项的条件）                    </w:t>
      </w:r>
    </w:p>
    <w:p w14:paraId="7265C5AD">
      <w:pPr>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分期付款：</w:t>
      </w:r>
      <w:r>
        <w:rPr>
          <w:rFonts w:hint="eastAsia" w:asciiTheme="minorEastAsia" w:hAnsiTheme="minorEastAsia" w:cstheme="minorEastAsia"/>
          <w:color w:val="auto"/>
          <w:sz w:val="24"/>
          <w:szCs w:val="24"/>
          <w:highlight w:val="none"/>
          <w:u w:val="single"/>
        </w:rPr>
        <w:t xml:space="preserve">  （应明确分期支付合同款项的各期比例和支付条件，各期支付条件应与分期履约验收情况挂钩） </w:t>
      </w:r>
      <w:r>
        <w:rPr>
          <w:rFonts w:hint="eastAsia" w:asciiTheme="minorEastAsia" w:hAnsiTheme="minorEastAsia" w:cstheme="minorEastAsia"/>
          <w:color w:val="auto"/>
          <w:sz w:val="24"/>
          <w:szCs w:val="24"/>
          <w:highlight w:val="none"/>
        </w:rPr>
        <w:t>，其中涉及预付款的：</w:t>
      </w:r>
      <w:r>
        <w:rPr>
          <w:rFonts w:hint="eastAsia" w:asciiTheme="minorEastAsia" w:hAnsiTheme="minorEastAsia" w:cstheme="minorEastAsia"/>
          <w:color w:val="auto"/>
          <w:sz w:val="24"/>
          <w:szCs w:val="24"/>
          <w:highlight w:val="none"/>
          <w:u w:val="single"/>
        </w:rPr>
        <w:t xml:space="preserve"> （应明确预付款的支付比例和支付条件） </w:t>
      </w:r>
    </w:p>
    <w:p w14:paraId="5AE95788">
      <w:pPr>
        <w:adjustRightInd w:val="0"/>
        <w:snapToGrid w:val="0"/>
        <w:spacing w:line="400" w:lineRule="exact"/>
        <w:rPr>
          <w:rFonts w:asciiTheme="minorEastAsia" w:hAnsiTheme="minorEastAsia" w:cstheme="minorEastAsia"/>
          <w:color w:val="auto"/>
          <w:sz w:val="24"/>
          <w:szCs w:val="24"/>
          <w:highlight w:val="none"/>
          <w:u w:val="single"/>
        </w:rPr>
      </w:pP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成本补偿：</w:t>
      </w:r>
      <w:r>
        <w:rPr>
          <w:rFonts w:hint="eastAsia" w:asciiTheme="minorEastAsia" w:hAnsiTheme="minorEastAsia" w:cstheme="minorEastAsia"/>
          <w:color w:val="auto"/>
          <w:sz w:val="24"/>
          <w:szCs w:val="24"/>
          <w:highlight w:val="none"/>
          <w:u w:val="single"/>
        </w:rPr>
        <w:t xml:space="preserve">      （应明确按照成本补偿方式的支付方式和支付条件）   </w:t>
      </w:r>
    </w:p>
    <w:p w14:paraId="212BBAF2">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绩效激励：</w:t>
      </w:r>
      <w:r>
        <w:rPr>
          <w:rFonts w:hint="eastAsia" w:asciiTheme="minorEastAsia" w:hAnsiTheme="minorEastAsia" w:cstheme="minorEastAsia"/>
          <w:color w:val="auto"/>
          <w:sz w:val="24"/>
          <w:szCs w:val="24"/>
          <w:highlight w:val="none"/>
          <w:u w:val="single"/>
        </w:rPr>
        <w:t xml:space="preserve">      （应明确按照绩效激励方式的支付方式和支付条件）   </w:t>
      </w:r>
    </w:p>
    <w:p w14:paraId="77DB0C37">
      <w:pPr>
        <w:numPr>
          <w:ilvl w:val="0"/>
          <w:numId w:val="10"/>
        </w:numPr>
        <w:adjustRightInd w:val="0"/>
        <w:snapToGrid w:val="0"/>
        <w:spacing w:line="400" w:lineRule="exact"/>
        <w:rPr>
          <w:rFonts w:asciiTheme="minorEastAsia" w:hAnsiTheme="minorEastAsia" w:cstheme="minorEastAsia"/>
          <w:b/>
          <w:color w:val="auto"/>
          <w:sz w:val="24"/>
          <w:szCs w:val="24"/>
          <w:highlight w:val="none"/>
          <w:u w:val="single"/>
        </w:rPr>
      </w:pPr>
      <w:r>
        <w:rPr>
          <w:rFonts w:hint="eastAsia" w:asciiTheme="minorEastAsia" w:hAnsiTheme="minorEastAsia" w:cstheme="minorEastAsia"/>
          <w:b/>
          <w:color w:val="auto"/>
          <w:sz w:val="24"/>
          <w:szCs w:val="24"/>
          <w:highlight w:val="none"/>
        </w:rPr>
        <w:t>合同履行</w:t>
      </w:r>
    </w:p>
    <w:p w14:paraId="13F5883F">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（1）起始日期：年月日，完成日期：年月日。</w:t>
      </w:r>
    </w:p>
    <w:p w14:paraId="749933D6">
      <w:pPr>
        <w:adjustRightInd w:val="0"/>
        <w:snapToGrid w:val="0"/>
        <w:spacing w:line="400" w:lineRule="exact"/>
        <w:rPr>
          <w:rFonts w:asciiTheme="minorEastAsia" w:hAnsiTheme="minorEastAsia" w:cstheme="minorEastAsia"/>
          <w:color w:val="auto"/>
          <w:sz w:val="24"/>
          <w:szCs w:val="24"/>
          <w:highlight w:val="none"/>
          <w:u w:val="single"/>
        </w:rPr>
      </w:pPr>
      <w:r>
        <w:rPr>
          <w:rFonts w:hint="eastAsia" w:asciiTheme="minorEastAsia" w:hAnsiTheme="minorEastAsia" w:cstheme="minorEastAsia"/>
          <w:color w:val="auto"/>
          <w:sz w:val="24"/>
          <w:szCs w:val="24"/>
          <w:highlight w:val="none"/>
        </w:rPr>
        <w:t>（2）履约地点</w:t>
      </w:r>
      <w:r>
        <w:rPr>
          <w:rFonts w:hint="eastAsia" w:asciiTheme="minorEastAsia" w:hAnsiTheme="minorEastAsia" w:cstheme="minorEastAsia"/>
          <w:bCs/>
          <w:color w:val="auto"/>
          <w:sz w:val="24"/>
          <w:szCs w:val="24"/>
          <w:highlight w:val="none"/>
        </w:rPr>
        <w:t>：</w:t>
      </w:r>
    </w:p>
    <w:p w14:paraId="5312E130">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bCs/>
          <w:color w:val="auto"/>
          <w:sz w:val="24"/>
          <w:szCs w:val="24"/>
          <w:highlight w:val="none"/>
        </w:rPr>
        <w:t>（3）履约担保：</w:t>
      </w:r>
      <w:r>
        <w:rPr>
          <w:rFonts w:hint="eastAsia" w:asciiTheme="minorEastAsia" w:hAnsiTheme="minorEastAsia" w:cstheme="minorEastAsia"/>
          <w:color w:val="auto"/>
          <w:sz w:val="24"/>
          <w:szCs w:val="24"/>
          <w:highlight w:val="none"/>
        </w:rPr>
        <w:t>是否收取履约保证金：</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是</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color w:val="auto"/>
          <w:sz w:val="24"/>
          <w:szCs w:val="24"/>
          <w:highlight w:val="none"/>
        </w:rPr>
        <w:t>否</w:t>
      </w:r>
    </w:p>
    <w:p w14:paraId="4E5DF680">
      <w:pPr>
        <w:pStyle w:val="19"/>
        <w:ind w:firstLine="0" w:firstLineChars="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收取履约保证金形式：</w:t>
      </w:r>
    </w:p>
    <w:p w14:paraId="5BAF2CAE">
      <w:pPr>
        <w:pStyle w:val="19"/>
        <w:ind w:firstLine="0" w:firstLineChars="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 收取履约保证金金额：</w:t>
      </w:r>
    </w:p>
    <w:p w14:paraId="29FA8EAE">
      <w:pPr>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bCs/>
          <w:color w:val="auto"/>
          <w:sz w:val="24"/>
          <w:szCs w:val="24"/>
          <w:highlight w:val="none"/>
        </w:rPr>
        <w:t xml:space="preserve"> 履约担保期限：</w:t>
      </w:r>
    </w:p>
    <w:p w14:paraId="029BC8AA">
      <w:pPr>
        <w:adjustRightInd w:val="0"/>
        <w:snapToGrid w:val="0"/>
        <w:spacing w:line="400" w:lineRule="exact"/>
        <w:rPr>
          <w:rFonts w:asciiTheme="minorEastAsia" w:hAnsiTheme="minorEastAsia" w:cstheme="minorEastAsia"/>
          <w:bCs/>
          <w:color w:val="auto"/>
          <w:sz w:val="24"/>
          <w:szCs w:val="24"/>
          <w:highlight w:val="none"/>
        </w:rPr>
      </w:pPr>
      <w:r>
        <w:rPr>
          <w:rFonts w:hint="eastAsia" w:asciiTheme="minorEastAsia" w:hAnsiTheme="minorEastAsia" w:cstheme="minorEastAsia"/>
          <w:bCs/>
          <w:color w:val="auto"/>
          <w:sz w:val="24"/>
          <w:szCs w:val="24"/>
          <w:highlight w:val="none"/>
        </w:rPr>
        <w:t>（4）分期履行要求：</w:t>
      </w:r>
    </w:p>
    <w:p w14:paraId="19D1E647">
      <w:pPr>
        <w:adjustRightInd w:val="0"/>
        <w:snapToGrid w:val="0"/>
        <w:spacing w:line="400" w:lineRule="exact"/>
        <w:rPr>
          <w:rFonts w:asciiTheme="minorEastAsia" w:hAnsiTheme="minorEastAsia" w:cstheme="minorEastAsia"/>
          <w:color w:val="auto"/>
          <w:sz w:val="24"/>
          <w:szCs w:val="24"/>
          <w:highlight w:val="none"/>
          <w:u w:val="single"/>
        </w:rPr>
      </w:pPr>
      <w:r>
        <w:rPr>
          <w:rFonts w:hint="eastAsia" w:asciiTheme="minorEastAsia" w:hAnsiTheme="minorEastAsia" w:cstheme="minorEastAsia"/>
          <w:bCs/>
          <w:color w:val="auto"/>
          <w:sz w:val="24"/>
          <w:szCs w:val="24"/>
          <w:highlight w:val="none"/>
        </w:rPr>
        <w:t>（5）风险处置措施和替代方案：</w:t>
      </w:r>
    </w:p>
    <w:p w14:paraId="033F5DAC">
      <w:pPr>
        <w:numPr>
          <w:ilvl w:val="0"/>
          <w:numId w:val="10"/>
        </w:numPr>
        <w:adjustRightInd w:val="0"/>
        <w:snapToGrid w:val="0"/>
        <w:spacing w:line="400" w:lineRule="exact"/>
        <w:rPr>
          <w:rFonts w:asciiTheme="minorEastAsia" w:hAnsiTheme="minorEastAsia" w:cstheme="minorEastAsia"/>
          <w:b/>
          <w:color w:val="auto"/>
          <w:sz w:val="24"/>
          <w:szCs w:val="24"/>
          <w:highlight w:val="none"/>
        </w:rPr>
      </w:pPr>
      <w:r>
        <w:rPr>
          <w:rFonts w:hint="eastAsia" w:asciiTheme="minorEastAsia" w:hAnsiTheme="minorEastAsia" w:cstheme="minorEastAsia"/>
          <w:b/>
          <w:color w:val="auto"/>
          <w:sz w:val="24"/>
          <w:szCs w:val="24"/>
          <w:highlight w:val="none"/>
        </w:rPr>
        <w:t>合同验收</w:t>
      </w:r>
    </w:p>
    <w:p w14:paraId="0FD8648A">
      <w:pPr>
        <w:numPr>
          <w:ilvl w:val="0"/>
          <w:numId w:val="12"/>
        </w:numPr>
        <w:adjustRightInd w:val="0"/>
        <w:snapToGrid w:val="0"/>
        <w:spacing w:line="400" w:lineRule="exact"/>
        <w:rPr>
          <w:rFonts w:asciiTheme="minorEastAsia" w:hAnsiTheme="minorEastAsia" w:cstheme="minorEastAsia"/>
          <w:bCs/>
          <w:color w:val="auto"/>
          <w:sz w:val="24"/>
          <w:szCs w:val="24"/>
          <w:highlight w:val="none"/>
        </w:rPr>
      </w:pPr>
      <w:r>
        <w:rPr>
          <w:rFonts w:hint="eastAsia" w:asciiTheme="minorEastAsia" w:hAnsiTheme="minorEastAsia" w:cstheme="minorEastAsia"/>
          <w:bCs/>
          <w:color w:val="auto"/>
          <w:sz w:val="24"/>
          <w:szCs w:val="24"/>
          <w:highlight w:val="none"/>
        </w:rPr>
        <w:t>验收组织方式：</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 xml:space="preserve">自行组织 </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委托第三方组织</w:t>
      </w:r>
    </w:p>
    <w:p w14:paraId="40B4CE6F">
      <w:pPr>
        <w:adjustRightInd w:val="0"/>
        <w:snapToGrid w:val="0"/>
        <w:spacing w:line="400" w:lineRule="exact"/>
        <w:rPr>
          <w:rFonts w:asciiTheme="minorEastAsia" w:hAnsiTheme="minorEastAsia" w:cstheme="minorEastAsia"/>
          <w:bCs/>
          <w:color w:val="auto"/>
          <w:sz w:val="24"/>
          <w:szCs w:val="24"/>
          <w:highlight w:val="none"/>
        </w:rPr>
      </w:pPr>
      <w:r>
        <w:rPr>
          <w:rFonts w:hint="eastAsia" w:asciiTheme="minorEastAsia" w:hAnsiTheme="minorEastAsia" w:cstheme="minorEastAsia"/>
          <w:bCs/>
          <w:color w:val="auto"/>
          <w:sz w:val="24"/>
          <w:szCs w:val="24"/>
          <w:highlight w:val="none"/>
        </w:rPr>
        <w:t>验收主体：</w:t>
      </w:r>
    </w:p>
    <w:p w14:paraId="361A5933">
      <w:pPr>
        <w:adjustRightInd w:val="0"/>
        <w:snapToGrid w:val="0"/>
        <w:spacing w:line="400" w:lineRule="exact"/>
        <w:rPr>
          <w:rFonts w:asciiTheme="minorEastAsia" w:hAnsiTheme="minorEastAsia" w:cstheme="minorEastAsia"/>
          <w:bCs/>
          <w:color w:val="auto"/>
          <w:sz w:val="24"/>
          <w:szCs w:val="24"/>
          <w:highlight w:val="none"/>
        </w:rPr>
      </w:pPr>
      <w:r>
        <w:rPr>
          <w:rFonts w:hint="eastAsia" w:asciiTheme="minorEastAsia" w:hAnsiTheme="minorEastAsia" w:cstheme="minorEastAsia"/>
          <w:bCs/>
          <w:color w:val="auto"/>
          <w:sz w:val="24"/>
          <w:szCs w:val="24"/>
          <w:highlight w:val="none"/>
        </w:rPr>
        <w:t>是否邀请本项目的其他供应商参加验收：</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 xml:space="preserve">是  </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否</w:t>
      </w:r>
    </w:p>
    <w:p w14:paraId="18B5250A">
      <w:pPr>
        <w:adjustRightInd w:val="0"/>
        <w:snapToGrid w:val="0"/>
        <w:spacing w:line="400" w:lineRule="exact"/>
        <w:rPr>
          <w:rFonts w:asciiTheme="minorEastAsia" w:hAnsiTheme="minorEastAsia" w:cstheme="minorEastAsia"/>
          <w:bCs/>
          <w:color w:val="auto"/>
          <w:sz w:val="24"/>
          <w:szCs w:val="24"/>
          <w:highlight w:val="none"/>
        </w:rPr>
      </w:pPr>
      <w:r>
        <w:rPr>
          <w:rFonts w:hint="eastAsia" w:asciiTheme="minorEastAsia" w:hAnsiTheme="minorEastAsia" w:cstheme="minorEastAsia"/>
          <w:bCs/>
          <w:color w:val="auto"/>
          <w:sz w:val="24"/>
          <w:szCs w:val="24"/>
          <w:highlight w:val="none"/>
        </w:rPr>
        <w:t>是否邀请专家参加验收：</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 xml:space="preserve">是  </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否</w:t>
      </w:r>
    </w:p>
    <w:p w14:paraId="5300C60D">
      <w:pPr>
        <w:adjustRightInd w:val="0"/>
        <w:snapToGrid w:val="0"/>
        <w:spacing w:line="400" w:lineRule="exact"/>
        <w:rPr>
          <w:rFonts w:asciiTheme="minorEastAsia" w:hAnsiTheme="minorEastAsia" w:cstheme="minorEastAsia"/>
          <w:bCs/>
          <w:color w:val="auto"/>
          <w:sz w:val="24"/>
          <w:szCs w:val="24"/>
          <w:highlight w:val="none"/>
        </w:rPr>
      </w:pPr>
      <w:r>
        <w:rPr>
          <w:rFonts w:hint="eastAsia" w:asciiTheme="minorEastAsia" w:hAnsiTheme="minorEastAsia" w:cstheme="minorEastAsia"/>
          <w:bCs/>
          <w:color w:val="auto"/>
          <w:sz w:val="24"/>
          <w:szCs w:val="24"/>
          <w:highlight w:val="none"/>
        </w:rPr>
        <w:t>是否邀请服务对象参加验收：</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 xml:space="preserve">是  </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否</w:t>
      </w:r>
    </w:p>
    <w:p w14:paraId="2F5E9DF6">
      <w:pPr>
        <w:adjustRightInd w:val="0"/>
        <w:snapToGrid w:val="0"/>
        <w:spacing w:line="400" w:lineRule="exact"/>
        <w:rPr>
          <w:rFonts w:asciiTheme="minorEastAsia" w:hAnsiTheme="minorEastAsia" w:cstheme="minorEastAsia"/>
          <w:bCs/>
          <w:color w:val="auto"/>
          <w:sz w:val="24"/>
          <w:szCs w:val="24"/>
          <w:highlight w:val="none"/>
        </w:rPr>
      </w:pPr>
      <w:r>
        <w:rPr>
          <w:rFonts w:hint="eastAsia" w:asciiTheme="minorEastAsia" w:hAnsiTheme="minorEastAsia" w:cstheme="minorEastAsia"/>
          <w:bCs/>
          <w:color w:val="auto"/>
          <w:sz w:val="24"/>
          <w:szCs w:val="24"/>
          <w:highlight w:val="none"/>
        </w:rPr>
        <w:t>是否邀请第三方检测机构参加验收：</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 xml:space="preserve">是  </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否</w:t>
      </w:r>
    </w:p>
    <w:p w14:paraId="373C5A35">
      <w:pPr>
        <w:adjustRightInd w:val="0"/>
        <w:snapToGrid w:val="0"/>
        <w:spacing w:line="400" w:lineRule="exact"/>
        <w:rPr>
          <w:rFonts w:asciiTheme="minorEastAsia" w:hAnsiTheme="minorEastAsia" w:cstheme="minorEastAsia"/>
          <w:bCs/>
          <w:color w:val="auto"/>
          <w:sz w:val="24"/>
          <w:szCs w:val="24"/>
          <w:highlight w:val="none"/>
        </w:rPr>
      </w:pPr>
      <w:r>
        <w:rPr>
          <w:rFonts w:hint="eastAsia" w:asciiTheme="minorEastAsia" w:hAnsiTheme="minorEastAsia" w:cstheme="minorEastAsia"/>
          <w:bCs/>
          <w:color w:val="auto"/>
          <w:sz w:val="24"/>
          <w:szCs w:val="24"/>
          <w:highlight w:val="none"/>
        </w:rPr>
        <w:t>是否进行抽查检测：</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是，抽查比例：</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否</w:t>
      </w:r>
    </w:p>
    <w:p w14:paraId="146F91FB">
      <w:pPr>
        <w:adjustRightInd w:val="0"/>
        <w:snapToGrid w:val="0"/>
        <w:spacing w:line="400" w:lineRule="exact"/>
        <w:rPr>
          <w:rFonts w:asciiTheme="minorEastAsia" w:hAnsiTheme="minorEastAsia" w:cstheme="minorEastAsia"/>
          <w:bCs/>
          <w:color w:val="auto"/>
          <w:sz w:val="24"/>
          <w:szCs w:val="24"/>
          <w:highlight w:val="none"/>
          <w:u w:val="single"/>
        </w:rPr>
      </w:pPr>
      <w:r>
        <w:rPr>
          <w:rFonts w:hint="eastAsia" w:asciiTheme="minorEastAsia" w:hAnsiTheme="minorEastAsia" w:cstheme="minorEastAsia"/>
          <w:bCs/>
          <w:color w:val="auto"/>
          <w:sz w:val="24"/>
          <w:szCs w:val="24"/>
          <w:highlight w:val="none"/>
        </w:rPr>
        <w:t>是否存在破坏性检测：</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是，</w:t>
      </w:r>
      <w:r>
        <w:rPr>
          <w:rFonts w:hint="eastAsia" w:asciiTheme="minorEastAsia" w:hAnsiTheme="minorEastAsia" w:cstheme="minorEastAsia"/>
          <w:bCs/>
          <w:color w:val="auto"/>
          <w:sz w:val="24"/>
          <w:szCs w:val="24"/>
          <w:highlight w:val="none"/>
          <w:u w:val="single"/>
        </w:rPr>
        <w:t>（应明确对被破坏的检测产品的处理方式）</w:t>
      </w:r>
    </w:p>
    <w:p w14:paraId="7C51B043">
      <w:pPr>
        <w:adjustRightInd w:val="0"/>
        <w:snapToGrid w:val="0"/>
        <w:spacing w:line="400" w:lineRule="exact"/>
        <w:rPr>
          <w:rFonts w:asciiTheme="minorEastAsia" w:hAnsiTheme="minorEastAsia" w:cstheme="minorEastAsia"/>
          <w:bCs/>
          <w:color w:val="auto"/>
          <w:sz w:val="24"/>
          <w:szCs w:val="24"/>
          <w:highlight w:val="none"/>
        </w:rPr>
      </w:pP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否</w:t>
      </w:r>
    </w:p>
    <w:p w14:paraId="0713BCF7">
      <w:pPr>
        <w:adjustRightInd w:val="0"/>
        <w:snapToGrid w:val="0"/>
        <w:spacing w:line="400" w:lineRule="exact"/>
        <w:rPr>
          <w:rFonts w:asciiTheme="minorEastAsia" w:hAnsiTheme="minorEastAsia" w:cstheme="minorEastAsia"/>
          <w:bCs/>
          <w:color w:val="auto"/>
          <w:sz w:val="24"/>
          <w:szCs w:val="24"/>
          <w:highlight w:val="none"/>
          <w:u w:val="single"/>
        </w:rPr>
      </w:pPr>
      <w:r>
        <w:rPr>
          <w:rFonts w:hint="eastAsia" w:asciiTheme="minorEastAsia" w:hAnsiTheme="minorEastAsia" w:cstheme="minorEastAsia"/>
          <w:bCs/>
          <w:color w:val="auto"/>
          <w:sz w:val="24"/>
          <w:szCs w:val="24"/>
          <w:highlight w:val="none"/>
        </w:rPr>
        <w:t>验收组织的其他事项：</w:t>
      </w:r>
    </w:p>
    <w:p w14:paraId="284F1955">
      <w:pPr>
        <w:adjustRightInd w:val="0"/>
        <w:snapToGrid w:val="0"/>
        <w:spacing w:line="400" w:lineRule="exact"/>
        <w:rPr>
          <w:rFonts w:asciiTheme="minorEastAsia" w:hAnsiTheme="minorEastAsia" w:cstheme="minorEastAsia"/>
          <w:bCs/>
          <w:color w:val="auto"/>
          <w:sz w:val="24"/>
          <w:szCs w:val="24"/>
          <w:highlight w:val="none"/>
          <w:u w:val="single"/>
        </w:rPr>
      </w:pPr>
      <w:r>
        <w:rPr>
          <w:rFonts w:hint="eastAsia" w:asciiTheme="minorEastAsia" w:hAnsiTheme="minorEastAsia" w:cstheme="minorEastAsia"/>
          <w:bCs/>
          <w:color w:val="auto"/>
          <w:sz w:val="24"/>
          <w:szCs w:val="24"/>
          <w:highlight w:val="none"/>
        </w:rPr>
        <w:t>（2）履约验收时间：</w:t>
      </w:r>
      <w:r>
        <w:rPr>
          <w:rFonts w:hint="eastAsia" w:asciiTheme="minorEastAsia" w:hAnsiTheme="minorEastAsia" w:cstheme="minorEastAsia"/>
          <w:bCs/>
          <w:color w:val="auto"/>
          <w:sz w:val="24"/>
          <w:szCs w:val="24"/>
          <w:highlight w:val="none"/>
          <w:u w:val="single"/>
        </w:rPr>
        <w:t>（计划于何时验收/供应商提出验收申请之日起   日内组织验收）</w:t>
      </w:r>
    </w:p>
    <w:p w14:paraId="12DA37EF">
      <w:pPr>
        <w:adjustRightInd w:val="0"/>
        <w:snapToGrid w:val="0"/>
        <w:spacing w:line="400" w:lineRule="exact"/>
        <w:rPr>
          <w:rFonts w:asciiTheme="minorEastAsia" w:hAnsiTheme="minorEastAsia" w:cstheme="minorEastAsia"/>
          <w:bCs/>
          <w:color w:val="auto"/>
          <w:sz w:val="24"/>
          <w:szCs w:val="24"/>
          <w:highlight w:val="none"/>
        </w:rPr>
      </w:pPr>
      <w:r>
        <w:rPr>
          <w:rFonts w:hint="eastAsia" w:asciiTheme="minorEastAsia" w:hAnsiTheme="minorEastAsia" w:cstheme="minorEastAsia"/>
          <w:bCs/>
          <w:color w:val="auto"/>
          <w:sz w:val="24"/>
          <w:szCs w:val="24"/>
          <w:highlight w:val="none"/>
        </w:rPr>
        <w:t>（3）履约验收方式：</w:t>
      </w: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 xml:space="preserve">一次性验收         </w:t>
      </w:r>
    </w:p>
    <w:p w14:paraId="563121FF">
      <w:pPr>
        <w:adjustRightInd w:val="0"/>
        <w:snapToGrid w:val="0"/>
        <w:spacing w:line="400" w:lineRule="exact"/>
        <w:rPr>
          <w:rFonts w:asciiTheme="minorEastAsia" w:hAnsiTheme="minorEastAsia" w:cstheme="minorEastAsia"/>
          <w:bCs/>
          <w:color w:val="auto"/>
          <w:sz w:val="24"/>
          <w:szCs w:val="24"/>
          <w:highlight w:val="none"/>
        </w:rPr>
      </w:pPr>
      <w:r>
        <w:rPr>
          <w:rFonts w:hint="eastAsia" w:asciiTheme="minorEastAsia" w:hAnsiTheme="minorEastAsia" w:cstheme="minorEastAsia"/>
          <w:color w:val="auto"/>
          <w:sz w:val="24"/>
          <w:szCs w:val="24"/>
          <w:highlight w:val="none"/>
        </w:rPr>
        <w:sym w:font="Wingdings" w:char="00A8"/>
      </w:r>
      <w:r>
        <w:rPr>
          <w:rFonts w:hint="eastAsia" w:asciiTheme="minorEastAsia" w:hAnsiTheme="minorEastAsia" w:cstheme="minorEastAsia"/>
          <w:bCs/>
          <w:color w:val="auto"/>
          <w:sz w:val="24"/>
          <w:szCs w:val="24"/>
          <w:highlight w:val="none"/>
        </w:rPr>
        <w:t>分期/分项验收：</w:t>
      </w:r>
      <w:r>
        <w:rPr>
          <w:rFonts w:hint="eastAsia" w:asciiTheme="minorEastAsia" w:hAnsiTheme="minorEastAsia" w:cstheme="minorEastAsia"/>
          <w:bCs/>
          <w:color w:val="auto"/>
          <w:sz w:val="24"/>
          <w:szCs w:val="24"/>
          <w:highlight w:val="none"/>
          <w:u w:val="single"/>
        </w:rPr>
        <w:t>（应明确分期/分项验收的工作安排）</w:t>
      </w:r>
    </w:p>
    <w:p w14:paraId="7CC4AF51">
      <w:pPr>
        <w:adjustRightInd w:val="0"/>
        <w:snapToGrid w:val="0"/>
        <w:spacing w:line="400" w:lineRule="exact"/>
        <w:rPr>
          <w:rFonts w:asciiTheme="minorEastAsia" w:hAnsiTheme="minorEastAsia" w:cstheme="minorEastAsia"/>
          <w:bCs/>
          <w:color w:val="auto"/>
          <w:sz w:val="24"/>
          <w:szCs w:val="24"/>
          <w:highlight w:val="none"/>
        </w:rPr>
      </w:pPr>
      <w:r>
        <w:rPr>
          <w:rFonts w:hint="eastAsia" w:asciiTheme="minorEastAsia" w:hAnsiTheme="minorEastAsia" w:cstheme="minorEastAsia"/>
          <w:bCs/>
          <w:color w:val="auto"/>
          <w:sz w:val="24"/>
          <w:szCs w:val="24"/>
          <w:highlight w:val="none"/>
        </w:rPr>
        <w:t>（4）履约验收程序：</w:t>
      </w:r>
    </w:p>
    <w:p w14:paraId="3BF018F2">
      <w:pPr>
        <w:adjustRightInd w:val="0"/>
        <w:snapToGrid w:val="0"/>
        <w:spacing w:line="400" w:lineRule="exact"/>
        <w:rPr>
          <w:rFonts w:asciiTheme="minorEastAsia" w:hAnsiTheme="minorEastAsia" w:cstheme="minorEastAsia"/>
          <w:bCs/>
          <w:color w:val="auto"/>
          <w:sz w:val="24"/>
          <w:szCs w:val="24"/>
          <w:highlight w:val="none"/>
          <w:u w:val="single"/>
        </w:rPr>
      </w:pPr>
      <w:r>
        <w:rPr>
          <w:rFonts w:hint="eastAsia" w:asciiTheme="minorEastAsia" w:hAnsiTheme="minorEastAsia" w:cstheme="minorEastAsia"/>
          <w:bCs/>
          <w:color w:val="auto"/>
          <w:sz w:val="24"/>
          <w:szCs w:val="24"/>
          <w:highlight w:val="none"/>
        </w:rPr>
        <w:t>（5）履约验收的内容：</w:t>
      </w:r>
      <w:r>
        <w:rPr>
          <w:rFonts w:hint="eastAsia" w:asciiTheme="minorEastAsia" w:hAnsiTheme="minorEastAsia" w:cstheme="minorEastAsia"/>
          <w:bCs/>
          <w:color w:val="auto"/>
          <w:sz w:val="24"/>
          <w:szCs w:val="24"/>
          <w:highlight w:val="none"/>
          <w:u w:val="single"/>
        </w:rPr>
        <w:t>（应当包括每一项技术和商务要求的履约情况，特别是落实政府采购扶持中小企业，支持绿色发展和乡村振兴等政策情况）</w:t>
      </w:r>
    </w:p>
    <w:p w14:paraId="7258634F">
      <w:pPr>
        <w:adjustRightInd w:val="0"/>
        <w:snapToGrid w:val="0"/>
        <w:spacing w:line="400" w:lineRule="exact"/>
        <w:rPr>
          <w:rFonts w:asciiTheme="minorEastAsia" w:hAnsiTheme="minorEastAsia" w:cstheme="minorEastAsia"/>
          <w:bCs/>
          <w:color w:val="auto"/>
          <w:sz w:val="24"/>
          <w:szCs w:val="24"/>
          <w:highlight w:val="none"/>
          <w:u w:val="single"/>
        </w:rPr>
      </w:pPr>
      <w:r>
        <w:rPr>
          <w:rFonts w:hint="eastAsia" w:asciiTheme="minorEastAsia" w:hAnsiTheme="minorEastAsia" w:cstheme="minorEastAsia"/>
          <w:bCs/>
          <w:color w:val="auto"/>
          <w:sz w:val="24"/>
          <w:szCs w:val="24"/>
          <w:highlight w:val="none"/>
        </w:rPr>
        <w:t>（6）履约验收标准：</w:t>
      </w:r>
    </w:p>
    <w:p w14:paraId="2A4B55DD">
      <w:pPr>
        <w:pStyle w:val="19"/>
        <w:ind w:firstLine="0" w:firstLineChars="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Cs/>
          <w:color w:val="auto"/>
          <w:sz w:val="24"/>
          <w:szCs w:val="24"/>
          <w:highlight w:val="none"/>
        </w:rPr>
        <w:t>（7）是否以采购活动中供应商提供的样品作为参考：</w:t>
      </w: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bCs/>
          <w:color w:val="auto"/>
          <w:sz w:val="24"/>
          <w:szCs w:val="24"/>
          <w:highlight w:val="none"/>
        </w:rPr>
        <w:t xml:space="preserve">是  </w:t>
      </w:r>
      <w:r>
        <w:rPr>
          <w:rFonts w:hint="eastAsia" w:asciiTheme="minorEastAsia" w:hAnsiTheme="minorEastAsia" w:eastAsiaTheme="minorEastAsia" w:cstheme="minorEastAsia"/>
          <w:color w:val="auto"/>
          <w:sz w:val="24"/>
          <w:szCs w:val="24"/>
          <w:highlight w:val="none"/>
        </w:rPr>
        <w:sym w:font="Wingdings" w:char="00A8"/>
      </w:r>
      <w:r>
        <w:rPr>
          <w:rFonts w:hint="eastAsia" w:asciiTheme="minorEastAsia" w:hAnsiTheme="minorEastAsia" w:eastAsiaTheme="minorEastAsia" w:cstheme="minorEastAsia"/>
          <w:bCs/>
          <w:color w:val="auto"/>
          <w:sz w:val="24"/>
          <w:szCs w:val="24"/>
          <w:highlight w:val="none"/>
        </w:rPr>
        <w:t>否</w:t>
      </w:r>
    </w:p>
    <w:p w14:paraId="31A07849">
      <w:pPr>
        <w:adjustRightInd w:val="0"/>
        <w:snapToGrid w:val="0"/>
        <w:spacing w:line="400" w:lineRule="exact"/>
        <w:rPr>
          <w:rFonts w:asciiTheme="minorEastAsia" w:hAnsiTheme="minorEastAsia" w:cstheme="minorEastAsia"/>
          <w:bCs/>
          <w:color w:val="auto"/>
          <w:sz w:val="24"/>
          <w:szCs w:val="24"/>
          <w:highlight w:val="none"/>
          <w:u w:val="single"/>
        </w:rPr>
      </w:pPr>
      <w:r>
        <w:rPr>
          <w:rFonts w:hint="eastAsia" w:asciiTheme="minorEastAsia" w:hAnsiTheme="minorEastAsia" w:cstheme="minorEastAsia"/>
          <w:bCs/>
          <w:color w:val="auto"/>
          <w:sz w:val="24"/>
          <w:szCs w:val="24"/>
          <w:highlight w:val="none"/>
        </w:rPr>
        <w:t>（8）履约验收其他事项：</w:t>
      </w:r>
      <w:r>
        <w:rPr>
          <w:rFonts w:hint="eastAsia" w:asciiTheme="minorEastAsia" w:hAnsiTheme="minorEastAsia" w:cstheme="minorEastAsia"/>
          <w:bCs/>
          <w:color w:val="auto"/>
          <w:sz w:val="24"/>
          <w:szCs w:val="24"/>
          <w:highlight w:val="none"/>
          <w:u w:val="single"/>
        </w:rPr>
        <w:t>（产权过户登记等）</w:t>
      </w:r>
    </w:p>
    <w:p w14:paraId="1115CD56">
      <w:pPr>
        <w:numPr>
          <w:ilvl w:val="0"/>
          <w:numId w:val="10"/>
        </w:numPr>
        <w:adjustRightInd w:val="0"/>
        <w:snapToGrid w:val="0"/>
        <w:spacing w:line="400" w:lineRule="exact"/>
        <w:rPr>
          <w:rFonts w:asciiTheme="minorEastAsia" w:hAnsiTheme="minorEastAsia" w:cstheme="minorEastAsia"/>
          <w:b/>
          <w:color w:val="auto"/>
          <w:sz w:val="24"/>
          <w:szCs w:val="24"/>
          <w:highlight w:val="none"/>
        </w:rPr>
      </w:pPr>
      <w:r>
        <w:rPr>
          <w:rFonts w:hint="eastAsia" w:asciiTheme="minorEastAsia" w:hAnsiTheme="minorEastAsia" w:cstheme="minorEastAsia"/>
          <w:b/>
          <w:color w:val="auto"/>
          <w:sz w:val="24"/>
          <w:szCs w:val="24"/>
          <w:highlight w:val="none"/>
        </w:rPr>
        <w:t>组成合同的文件</w:t>
      </w:r>
    </w:p>
    <w:p w14:paraId="01D7D23D">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本协议书与下列文件一起构成合同文件，如下述文件之间有任何抵触、矛盾或歧义，应按以下顺序解释：</w:t>
      </w:r>
    </w:p>
    <w:p w14:paraId="7131B728">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（1）政府采购合同协议书及其变更、补充协议</w:t>
      </w:r>
    </w:p>
    <w:p w14:paraId="3206577A">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（2）政府采购合同专用条款</w:t>
      </w:r>
    </w:p>
    <w:p w14:paraId="1E41D766">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（3）政府采购合同通用条款</w:t>
      </w:r>
    </w:p>
    <w:p w14:paraId="4123E660">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（4）中标（成交）通知书</w:t>
      </w:r>
    </w:p>
    <w:p w14:paraId="45267CD2">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（5）投标（响应）文件</w:t>
      </w:r>
    </w:p>
    <w:p w14:paraId="3433198D">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（6）采购文件</w:t>
      </w:r>
    </w:p>
    <w:p w14:paraId="3A3BB23A">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（7）有关技术文件，图纸</w:t>
      </w:r>
    </w:p>
    <w:p w14:paraId="0FE8A571">
      <w:pPr>
        <w:pStyle w:val="19"/>
        <w:ind w:firstLine="0" w:firstLineChars="0"/>
        <w:rPr>
          <w:rFonts w:asciiTheme="minorEastAsia" w:hAnsiTheme="minorEastAsia" w:eastAsiaTheme="minorEastAsia" w:cstheme="minorEastAsia"/>
          <w:color w:val="auto"/>
          <w:kern w:val="2"/>
          <w:sz w:val="24"/>
          <w:szCs w:val="24"/>
          <w:highlight w:val="none"/>
        </w:rPr>
      </w:pPr>
      <w:r>
        <w:rPr>
          <w:rFonts w:hint="eastAsia" w:asciiTheme="minorEastAsia" w:hAnsiTheme="minorEastAsia" w:eastAsiaTheme="minorEastAsia" w:cstheme="minorEastAsia"/>
          <w:color w:val="auto"/>
          <w:sz w:val="24"/>
          <w:szCs w:val="24"/>
          <w:highlight w:val="none"/>
        </w:rPr>
        <w:t>（8）</w:t>
      </w:r>
      <w:r>
        <w:rPr>
          <w:rFonts w:hint="eastAsia" w:asciiTheme="minorEastAsia" w:hAnsiTheme="minorEastAsia" w:eastAsiaTheme="minorEastAsia" w:cstheme="minorEastAsia"/>
          <w:color w:val="auto"/>
          <w:kern w:val="2"/>
          <w:sz w:val="24"/>
          <w:szCs w:val="24"/>
          <w:highlight w:val="none"/>
        </w:rPr>
        <w:t>国家法律、行政法规和规章制度规定或合同约定的作为合同组成部分的其他文件</w:t>
      </w:r>
    </w:p>
    <w:p w14:paraId="72C45B84">
      <w:pPr>
        <w:numPr>
          <w:ilvl w:val="0"/>
          <w:numId w:val="10"/>
        </w:numPr>
        <w:adjustRightInd w:val="0"/>
        <w:snapToGrid w:val="0"/>
        <w:spacing w:line="400" w:lineRule="exact"/>
        <w:rPr>
          <w:rFonts w:asciiTheme="minorEastAsia" w:hAnsiTheme="minorEastAsia" w:cstheme="minorEastAsia"/>
          <w:b/>
          <w:color w:val="auto"/>
          <w:sz w:val="24"/>
          <w:szCs w:val="24"/>
          <w:highlight w:val="none"/>
        </w:rPr>
      </w:pPr>
      <w:r>
        <w:rPr>
          <w:rFonts w:hint="eastAsia" w:asciiTheme="minorEastAsia" w:hAnsiTheme="minorEastAsia" w:cstheme="minorEastAsia"/>
          <w:b/>
          <w:color w:val="auto"/>
          <w:sz w:val="24"/>
          <w:szCs w:val="24"/>
          <w:highlight w:val="none"/>
        </w:rPr>
        <w:t>合同生效</w:t>
      </w:r>
    </w:p>
    <w:p w14:paraId="0772281D">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本合同自生效。</w:t>
      </w:r>
    </w:p>
    <w:p w14:paraId="4C3E9901">
      <w:pPr>
        <w:numPr>
          <w:ilvl w:val="0"/>
          <w:numId w:val="10"/>
        </w:numPr>
        <w:adjustRightInd w:val="0"/>
        <w:snapToGrid w:val="0"/>
        <w:spacing w:line="400" w:lineRule="exact"/>
        <w:rPr>
          <w:rFonts w:asciiTheme="minorEastAsia" w:hAnsiTheme="minorEastAsia" w:cstheme="minorEastAsia"/>
          <w:b/>
          <w:color w:val="auto"/>
          <w:sz w:val="24"/>
          <w:szCs w:val="24"/>
          <w:highlight w:val="none"/>
        </w:rPr>
      </w:pPr>
      <w:r>
        <w:rPr>
          <w:rFonts w:hint="eastAsia" w:asciiTheme="minorEastAsia" w:hAnsiTheme="minorEastAsia" w:cstheme="minorEastAsia"/>
          <w:b/>
          <w:color w:val="auto"/>
          <w:sz w:val="24"/>
          <w:szCs w:val="24"/>
          <w:highlight w:val="none"/>
        </w:rPr>
        <w:t>合同份数</w:t>
      </w:r>
    </w:p>
    <w:p w14:paraId="7A8283C6">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本合同一式份，甲方执份，乙方执份，均具有同等法律效力。</w:t>
      </w:r>
    </w:p>
    <w:p w14:paraId="3EF4D8B1">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合同订立时间：年月日</w:t>
      </w:r>
    </w:p>
    <w:p w14:paraId="1B8DC5F2">
      <w:pPr>
        <w:adjustRightInd w:val="0"/>
        <w:snapToGrid w:val="0"/>
        <w:spacing w:line="400" w:lineRule="exact"/>
        <w:rPr>
          <w:rFonts w:asciiTheme="minorEastAsia" w:hAnsiTheme="minorEastAsia" w:cstheme="minorEastAsia"/>
          <w:color w:val="auto"/>
          <w:sz w:val="24"/>
          <w:szCs w:val="24"/>
          <w:highlight w:val="none"/>
        </w:rPr>
      </w:pPr>
      <w:r>
        <w:rPr>
          <w:rFonts w:hint="eastAsia" w:asciiTheme="minorEastAsia" w:hAnsiTheme="minorEastAsia" w:cstheme="minorEastAsia"/>
          <w:color w:val="auto"/>
          <w:sz w:val="24"/>
          <w:szCs w:val="24"/>
          <w:highlight w:val="none"/>
        </w:rPr>
        <w:t>合同订立地点：</w:t>
      </w:r>
    </w:p>
    <w:p w14:paraId="5CB20530">
      <w:pPr>
        <w:adjustRightInd w:val="0"/>
        <w:snapToGrid w:val="0"/>
        <w:spacing w:line="400" w:lineRule="exact"/>
        <w:rPr>
          <w:rFonts w:hint="eastAsia" w:ascii="宋体" w:hAnsi="宋体"/>
          <w:color w:val="auto"/>
          <w:sz w:val="24"/>
          <w:szCs w:val="24"/>
          <w:highlight w:val="none"/>
        </w:rPr>
      </w:pPr>
    </w:p>
    <w:p w14:paraId="5AA6BF2D">
      <w:pPr>
        <w:adjustRightInd w:val="0"/>
        <w:snapToGrid w:val="0"/>
        <w:spacing w:line="400" w:lineRule="exact"/>
        <w:rPr>
          <w:rFonts w:hint="eastAsia" w:ascii="宋体" w:hAnsi="宋体"/>
          <w:color w:val="auto"/>
          <w:sz w:val="24"/>
          <w:szCs w:val="24"/>
          <w:highlight w:val="none"/>
        </w:rPr>
      </w:pPr>
    </w:p>
    <w:p w14:paraId="76CF67A6">
      <w:pPr>
        <w:adjustRightInd w:val="0"/>
        <w:snapToGrid w:val="0"/>
        <w:spacing w:line="400" w:lineRule="exact"/>
        <w:rPr>
          <w:rFonts w:hint="eastAsia" w:ascii="宋体" w:hAnsi="宋体"/>
          <w:color w:val="auto"/>
          <w:sz w:val="24"/>
          <w:szCs w:val="24"/>
          <w:highlight w:val="none"/>
        </w:rPr>
      </w:pPr>
    </w:p>
    <w:p w14:paraId="23EED25E">
      <w:pPr>
        <w:adjustRightInd w:val="0"/>
        <w:snapToGrid w:val="0"/>
        <w:spacing w:line="400" w:lineRule="exact"/>
        <w:rPr>
          <w:rFonts w:hint="eastAsia" w:ascii="宋体" w:hAnsi="宋体"/>
          <w:color w:val="auto"/>
          <w:sz w:val="24"/>
          <w:szCs w:val="24"/>
          <w:highlight w:val="none"/>
        </w:rPr>
      </w:pPr>
    </w:p>
    <w:p w14:paraId="0CBDB8F9">
      <w:pPr>
        <w:adjustRightInd w:val="0"/>
        <w:snapToGrid w:val="0"/>
        <w:spacing w:line="400" w:lineRule="exact"/>
        <w:rPr>
          <w:rFonts w:hint="eastAsia" w:ascii="宋体" w:hAnsi="宋体"/>
          <w:color w:val="auto"/>
          <w:sz w:val="24"/>
          <w:szCs w:val="24"/>
          <w:highlight w:val="none"/>
        </w:rPr>
      </w:pPr>
    </w:p>
    <w:p w14:paraId="395B236D">
      <w:pPr>
        <w:adjustRightInd w:val="0"/>
        <w:snapToGrid w:val="0"/>
        <w:spacing w:line="400" w:lineRule="exact"/>
        <w:rPr>
          <w:rFonts w:hint="eastAsia" w:ascii="宋体" w:hAnsi="宋体"/>
          <w:color w:val="auto"/>
          <w:sz w:val="24"/>
          <w:szCs w:val="24"/>
          <w:highlight w:val="none"/>
        </w:rPr>
      </w:pPr>
    </w:p>
    <w:p w14:paraId="77376243">
      <w:pPr>
        <w:adjustRightInd w:val="0"/>
        <w:snapToGrid w:val="0"/>
        <w:spacing w:line="400" w:lineRule="exact"/>
        <w:rPr>
          <w:rFonts w:hint="eastAsia" w:ascii="宋体" w:hAnsi="宋体"/>
          <w:color w:val="auto"/>
          <w:sz w:val="24"/>
          <w:szCs w:val="24"/>
          <w:highlight w:val="none"/>
        </w:rPr>
      </w:pPr>
    </w:p>
    <w:p w14:paraId="179703C8">
      <w:pPr>
        <w:adjustRightInd w:val="0"/>
        <w:snapToGrid w:val="0"/>
        <w:spacing w:line="400" w:lineRule="exact"/>
        <w:rPr>
          <w:rFonts w:hint="eastAsia" w:ascii="宋体" w:hAnsi="宋体"/>
          <w:color w:val="auto"/>
          <w:sz w:val="24"/>
          <w:szCs w:val="24"/>
          <w:highlight w:val="none"/>
        </w:rPr>
      </w:pPr>
    </w:p>
    <w:p w14:paraId="7A5F8643">
      <w:pPr>
        <w:adjustRightInd w:val="0"/>
        <w:snapToGrid w:val="0"/>
        <w:spacing w:line="400" w:lineRule="exact"/>
        <w:rPr>
          <w:color w:val="auto"/>
          <w:sz w:val="24"/>
          <w:szCs w:val="24"/>
          <w:highlight w:val="none"/>
        </w:rPr>
      </w:pPr>
      <w:r>
        <w:rPr>
          <w:rFonts w:hint="eastAsia" w:ascii="宋体" w:hAnsi="宋体"/>
          <w:color w:val="auto"/>
          <w:sz w:val="24"/>
          <w:szCs w:val="24"/>
          <w:highlight w:val="none"/>
        </w:rPr>
        <w:t>附件：具体标的及其技术要求和商务要求、联合协议、分包意向协议等。</w:t>
      </w:r>
    </w:p>
    <w:tbl>
      <w:tblPr>
        <w:tblStyle w:val="14"/>
        <w:tblW w:w="4927" w:type="pct"/>
        <w:tblInd w:w="0" w:type="dxa"/>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autofit"/>
        <w:tblCellMar>
          <w:top w:w="0" w:type="dxa"/>
          <w:left w:w="108" w:type="dxa"/>
          <w:bottom w:w="0" w:type="dxa"/>
          <w:right w:w="108" w:type="dxa"/>
        </w:tblCellMar>
      </w:tblPr>
      <w:tblGrid>
        <w:gridCol w:w="1891"/>
        <w:gridCol w:w="2412"/>
        <w:gridCol w:w="1979"/>
        <w:gridCol w:w="2116"/>
      </w:tblGrid>
      <w:tr w14:paraId="360A2B26">
        <w:trPr>
          <w:trHeight w:val="490" w:hRule="atLeast"/>
        </w:trPr>
        <w:tc>
          <w:tcPr>
            <w:tcW w:w="2562" w:type="pct"/>
            <w:gridSpan w:val="2"/>
            <w:tcBorders>
              <w:bottom w:val="single" w:color="auto" w:sz="2" w:space="0"/>
              <w:right w:val="single" w:color="auto" w:sz="2" w:space="0"/>
            </w:tcBorders>
            <w:vAlign w:val="center"/>
          </w:tcPr>
          <w:p w14:paraId="416DF885">
            <w:pPr>
              <w:adjustRightInd w:val="0"/>
              <w:snapToGrid w:val="0"/>
              <w:spacing w:line="300" w:lineRule="exact"/>
              <w:ind w:firstLine="420" w:firstLineChars="200"/>
              <w:jc w:val="center"/>
              <w:rPr>
                <w:color w:val="auto"/>
                <w:highlight w:val="none"/>
              </w:rPr>
            </w:pPr>
            <w:r>
              <w:rPr>
                <w:color w:val="auto"/>
                <w:szCs w:val="21"/>
                <w:highlight w:val="none"/>
              </w:rPr>
              <w:t>甲方</w:t>
            </w:r>
            <w:r>
              <w:rPr>
                <w:rFonts w:hint="eastAsia"/>
                <w:color w:val="auto"/>
                <w:szCs w:val="21"/>
                <w:highlight w:val="none"/>
              </w:rPr>
              <w:t>（采购人</w:t>
            </w:r>
            <w:r>
              <w:rPr>
                <w:rFonts w:hint="eastAsia" w:ascii="宋体" w:hAnsi="宋体"/>
                <w:color w:val="auto"/>
                <w:szCs w:val="21"/>
                <w:highlight w:val="none"/>
              </w:rPr>
              <w:t>、受采购人委托签订合同的单位或</w:t>
            </w:r>
            <w:r>
              <w:rPr>
                <w:rFonts w:hint="eastAsia"/>
                <w:color w:val="auto"/>
                <w:szCs w:val="21"/>
                <w:highlight w:val="none"/>
              </w:rPr>
              <w:t>采购文件约定的合同甲方）</w:t>
            </w:r>
          </w:p>
        </w:tc>
        <w:tc>
          <w:tcPr>
            <w:tcW w:w="2437" w:type="pct"/>
            <w:gridSpan w:val="2"/>
            <w:tcBorders>
              <w:left w:val="single" w:color="auto" w:sz="2" w:space="0"/>
              <w:bottom w:val="single" w:color="auto" w:sz="2" w:space="0"/>
            </w:tcBorders>
            <w:vAlign w:val="center"/>
          </w:tcPr>
          <w:p w14:paraId="07FEBF0F">
            <w:pPr>
              <w:adjustRightInd w:val="0"/>
              <w:snapToGrid w:val="0"/>
              <w:spacing w:line="300" w:lineRule="exact"/>
              <w:ind w:firstLine="420" w:firstLineChars="200"/>
              <w:jc w:val="center"/>
              <w:rPr>
                <w:color w:val="auto"/>
                <w:highlight w:val="none"/>
              </w:rPr>
            </w:pPr>
            <w:r>
              <w:rPr>
                <w:color w:val="auto"/>
                <w:szCs w:val="21"/>
                <w:highlight w:val="none"/>
              </w:rPr>
              <w:t>乙方</w:t>
            </w:r>
            <w:r>
              <w:rPr>
                <w:rFonts w:hint="eastAsia"/>
                <w:color w:val="auto"/>
                <w:szCs w:val="21"/>
                <w:highlight w:val="none"/>
              </w:rPr>
              <w:t>（供应商）</w:t>
            </w:r>
          </w:p>
        </w:tc>
      </w:tr>
      <w:tr w14:paraId="673A5464">
        <w:trPr>
          <w:trHeight w:val="917" w:hRule="atLeast"/>
        </w:trPr>
        <w:tc>
          <w:tcPr>
            <w:tcW w:w="1126" w:type="pct"/>
            <w:tcBorders>
              <w:top w:val="single" w:color="auto" w:sz="2" w:space="0"/>
              <w:bottom w:val="single" w:color="auto" w:sz="2" w:space="0"/>
              <w:right w:val="single" w:color="auto" w:sz="2" w:space="0"/>
            </w:tcBorders>
            <w:vAlign w:val="center"/>
          </w:tcPr>
          <w:p w14:paraId="2F218630">
            <w:pPr>
              <w:adjustRightInd w:val="0"/>
              <w:snapToGrid w:val="0"/>
              <w:spacing w:line="300" w:lineRule="exact"/>
              <w:ind w:firstLine="420" w:firstLineChars="200"/>
              <w:jc w:val="center"/>
              <w:rPr>
                <w:color w:val="auto"/>
                <w:szCs w:val="21"/>
                <w:highlight w:val="none"/>
              </w:rPr>
            </w:pPr>
            <w:r>
              <w:rPr>
                <w:color w:val="auto"/>
                <w:szCs w:val="21"/>
                <w:highlight w:val="none"/>
              </w:rPr>
              <w:t>单位名称</w:t>
            </w:r>
            <w:r>
              <w:rPr>
                <w:rFonts w:hint="eastAsia"/>
                <w:color w:val="auto"/>
                <w:szCs w:val="21"/>
                <w:highlight w:val="none"/>
              </w:rPr>
              <w:t>（公章或合同章）</w:t>
            </w:r>
          </w:p>
        </w:tc>
        <w:tc>
          <w:tcPr>
            <w:tcW w:w="1436" w:type="pct"/>
            <w:tcBorders>
              <w:top w:val="single" w:color="auto" w:sz="2" w:space="0"/>
              <w:left w:val="single" w:color="auto" w:sz="2" w:space="0"/>
              <w:bottom w:val="single" w:color="auto" w:sz="2" w:space="0"/>
              <w:right w:val="single" w:color="auto" w:sz="2" w:space="0"/>
            </w:tcBorders>
            <w:vAlign w:val="center"/>
          </w:tcPr>
          <w:p w14:paraId="6C870971">
            <w:pPr>
              <w:adjustRightInd w:val="0"/>
              <w:snapToGrid w:val="0"/>
              <w:spacing w:line="300" w:lineRule="exact"/>
              <w:ind w:firstLine="420" w:firstLineChars="200"/>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35DC350">
            <w:pPr>
              <w:adjustRightInd w:val="0"/>
              <w:snapToGrid w:val="0"/>
              <w:spacing w:line="300" w:lineRule="exact"/>
              <w:ind w:firstLine="420" w:firstLineChars="200"/>
              <w:jc w:val="center"/>
              <w:rPr>
                <w:color w:val="auto"/>
                <w:szCs w:val="21"/>
                <w:highlight w:val="none"/>
              </w:rPr>
            </w:pPr>
            <w:r>
              <w:rPr>
                <w:color w:val="auto"/>
                <w:szCs w:val="21"/>
                <w:highlight w:val="none"/>
              </w:rPr>
              <w:t>单位名称</w:t>
            </w:r>
            <w:r>
              <w:rPr>
                <w:rFonts w:hint="eastAsia"/>
                <w:color w:val="auto"/>
                <w:szCs w:val="21"/>
                <w:highlight w:val="none"/>
              </w:rPr>
              <w:t>（公章或合同章）</w:t>
            </w:r>
          </w:p>
        </w:tc>
        <w:tc>
          <w:tcPr>
            <w:tcW w:w="1259" w:type="pct"/>
            <w:tcBorders>
              <w:top w:val="single" w:color="auto" w:sz="2" w:space="0"/>
              <w:left w:val="single" w:color="auto" w:sz="2" w:space="0"/>
              <w:bottom w:val="single" w:color="auto" w:sz="2" w:space="0"/>
            </w:tcBorders>
            <w:vAlign w:val="center"/>
          </w:tcPr>
          <w:p w14:paraId="26FCCC7B">
            <w:pPr>
              <w:adjustRightInd w:val="0"/>
              <w:snapToGrid w:val="0"/>
              <w:spacing w:line="300" w:lineRule="exact"/>
              <w:ind w:firstLine="500" w:firstLineChars="200"/>
              <w:jc w:val="center"/>
              <w:rPr>
                <w:color w:val="auto"/>
                <w:spacing w:val="20"/>
                <w:szCs w:val="21"/>
                <w:highlight w:val="none"/>
              </w:rPr>
            </w:pPr>
          </w:p>
        </w:tc>
      </w:tr>
      <w:tr w14:paraId="376B06C4">
        <w:trPr>
          <w:trHeight w:val="1171" w:hRule="atLeast"/>
        </w:trPr>
        <w:tc>
          <w:tcPr>
            <w:tcW w:w="1126" w:type="pct"/>
            <w:vMerge w:val="restart"/>
            <w:tcBorders>
              <w:top w:val="single" w:color="auto" w:sz="2" w:space="0"/>
              <w:right w:val="single" w:color="auto" w:sz="2" w:space="0"/>
            </w:tcBorders>
            <w:vAlign w:val="center"/>
          </w:tcPr>
          <w:p w14:paraId="65C5DB0A">
            <w:pPr>
              <w:adjustRightInd w:val="0"/>
              <w:snapToGrid w:val="0"/>
              <w:spacing w:line="300" w:lineRule="exact"/>
              <w:ind w:firstLine="420" w:firstLineChars="200"/>
              <w:jc w:val="center"/>
              <w:rPr>
                <w:color w:val="auto"/>
                <w:szCs w:val="21"/>
                <w:highlight w:val="none"/>
              </w:rPr>
            </w:pPr>
            <w:r>
              <w:rPr>
                <w:color w:val="auto"/>
                <w:szCs w:val="21"/>
                <w:highlight w:val="none"/>
              </w:rPr>
              <w:t>法定代表人</w:t>
            </w:r>
          </w:p>
          <w:p w14:paraId="49575015">
            <w:pPr>
              <w:adjustRightInd w:val="0"/>
              <w:snapToGrid w:val="0"/>
              <w:spacing w:line="300" w:lineRule="exact"/>
              <w:ind w:firstLine="420" w:firstLineChars="200"/>
              <w:jc w:val="center"/>
              <w:rPr>
                <w:color w:val="auto"/>
                <w:szCs w:val="21"/>
                <w:highlight w:val="none"/>
              </w:rPr>
            </w:pPr>
            <w:r>
              <w:rPr>
                <w:rFonts w:hint="eastAsia"/>
                <w:color w:val="auto"/>
                <w:szCs w:val="21"/>
                <w:highlight w:val="none"/>
              </w:rPr>
              <w:t>或其</w:t>
            </w:r>
            <w:r>
              <w:rPr>
                <w:color w:val="auto"/>
                <w:szCs w:val="21"/>
                <w:highlight w:val="none"/>
              </w:rPr>
              <w:t>委托代理人</w:t>
            </w:r>
            <w:r>
              <w:rPr>
                <w:rFonts w:hint="eastAsia"/>
                <w:color w:val="auto"/>
                <w:szCs w:val="21"/>
                <w:highlight w:val="none"/>
              </w:rPr>
              <w:t>（签章）</w:t>
            </w:r>
          </w:p>
        </w:tc>
        <w:tc>
          <w:tcPr>
            <w:tcW w:w="1436" w:type="pct"/>
            <w:vMerge w:val="restart"/>
            <w:tcBorders>
              <w:top w:val="single" w:color="auto" w:sz="2" w:space="0"/>
              <w:left w:val="single" w:color="auto" w:sz="2" w:space="0"/>
              <w:right w:val="single" w:color="auto" w:sz="2" w:space="0"/>
            </w:tcBorders>
            <w:vAlign w:val="center"/>
          </w:tcPr>
          <w:p w14:paraId="4EF264F6">
            <w:pPr>
              <w:adjustRightInd w:val="0"/>
              <w:snapToGrid w:val="0"/>
              <w:spacing w:line="300" w:lineRule="exact"/>
              <w:ind w:firstLine="420" w:firstLineChars="200"/>
              <w:jc w:val="center"/>
              <w:rPr>
                <w:color w:val="auto"/>
                <w:szCs w:val="21"/>
                <w:highlight w:val="none"/>
              </w:rPr>
            </w:pPr>
          </w:p>
        </w:tc>
        <w:tc>
          <w:tcPr>
            <w:tcW w:w="1178" w:type="pct"/>
            <w:tcBorders>
              <w:top w:val="single" w:color="auto" w:sz="2" w:space="0"/>
              <w:left w:val="single" w:color="auto" w:sz="2" w:space="0"/>
              <w:right w:val="single" w:color="auto" w:sz="2" w:space="0"/>
            </w:tcBorders>
            <w:vAlign w:val="center"/>
          </w:tcPr>
          <w:p w14:paraId="2CD9A316">
            <w:pPr>
              <w:adjustRightInd w:val="0"/>
              <w:snapToGrid w:val="0"/>
              <w:spacing w:line="300" w:lineRule="exact"/>
              <w:ind w:firstLine="420" w:firstLineChars="200"/>
              <w:jc w:val="center"/>
              <w:rPr>
                <w:color w:val="auto"/>
                <w:szCs w:val="21"/>
                <w:highlight w:val="none"/>
              </w:rPr>
            </w:pPr>
            <w:r>
              <w:rPr>
                <w:color w:val="auto"/>
                <w:szCs w:val="21"/>
                <w:highlight w:val="none"/>
              </w:rPr>
              <w:t>法定代表人</w:t>
            </w:r>
          </w:p>
          <w:p w14:paraId="2E5E56E3">
            <w:pPr>
              <w:adjustRightInd w:val="0"/>
              <w:snapToGrid w:val="0"/>
              <w:spacing w:line="300" w:lineRule="exact"/>
              <w:ind w:firstLine="420" w:firstLineChars="200"/>
              <w:jc w:val="center"/>
              <w:rPr>
                <w:color w:val="auto"/>
                <w:szCs w:val="21"/>
                <w:highlight w:val="none"/>
              </w:rPr>
            </w:pPr>
            <w:r>
              <w:rPr>
                <w:rFonts w:hint="eastAsia"/>
                <w:color w:val="auto"/>
                <w:szCs w:val="21"/>
                <w:highlight w:val="none"/>
              </w:rPr>
              <w:t>或其</w:t>
            </w:r>
            <w:r>
              <w:rPr>
                <w:color w:val="auto"/>
                <w:szCs w:val="21"/>
                <w:highlight w:val="none"/>
              </w:rPr>
              <w:t>委托代理人</w:t>
            </w:r>
            <w:r>
              <w:rPr>
                <w:rFonts w:hint="eastAsia"/>
                <w:color w:val="auto"/>
                <w:szCs w:val="21"/>
                <w:highlight w:val="none"/>
              </w:rPr>
              <w:t>（签章）</w:t>
            </w:r>
          </w:p>
        </w:tc>
        <w:tc>
          <w:tcPr>
            <w:tcW w:w="1259" w:type="pct"/>
            <w:tcBorders>
              <w:top w:val="single" w:color="auto" w:sz="2" w:space="0"/>
              <w:left w:val="single" w:color="auto" w:sz="2" w:space="0"/>
              <w:bottom w:val="single" w:color="auto" w:sz="2" w:space="0"/>
            </w:tcBorders>
            <w:vAlign w:val="center"/>
          </w:tcPr>
          <w:p w14:paraId="4606B135">
            <w:pPr>
              <w:adjustRightInd w:val="0"/>
              <w:snapToGrid w:val="0"/>
              <w:spacing w:line="300" w:lineRule="exact"/>
              <w:ind w:firstLine="420" w:firstLineChars="200"/>
              <w:jc w:val="center"/>
              <w:rPr>
                <w:color w:val="auto"/>
                <w:szCs w:val="21"/>
                <w:highlight w:val="none"/>
              </w:rPr>
            </w:pPr>
          </w:p>
        </w:tc>
      </w:tr>
      <w:tr w14:paraId="766247A2">
        <w:trPr>
          <w:trHeight w:val="483" w:hRule="atLeast"/>
        </w:trPr>
        <w:tc>
          <w:tcPr>
            <w:tcW w:w="1126" w:type="pct"/>
            <w:vMerge w:val="continue"/>
            <w:tcBorders>
              <w:bottom w:val="single" w:color="auto" w:sz="2" w:space="0"/>
              <w:right w:val="single" w:color="auto" w:sz="2" w:space="0"/>
            </w:tcBorders>
            <w:vAlign w:val="center"/>
          </w:tcPr>
          <w:p w14:paraId="242DB801">
            <w:pPr>
              <w:adjustRightInd w:val="0"/>
              <w:snapToGrid w:val="0"/>
              <w:spacing w:line="300" w:lineRule="exact"/>
              <w:ind w:firstLine="420" w:firstLineChars="200"/>
              <w:jc w:val="center"/>
              <w:rPr>
                <w:color w:val="auto"/>
                <w:szCs w:val="21"/>
                <w:highlight w:val="none"/>
              </w:rPr>
            </w:pPr>
          </w:p>
        </w:tc>
        <w:tc>
          <w:tcPr>
            <w:tcW w:w="1436" w:type="pct"/>
            <w:vMerge w:val="continue"/>
            <w:tcBorders>
              <w:left w:val="single" w:color="auto" w:sz="2" w:space="0"/>
              <w:bottom w:val="single" w:color="auto" w:sz="2" w:space="0"/>
              <w:right w:val="single" w:color="auto" w:sz="2" w:space="0"/>
            </w:tcBorders>
            <w:vAlign w:val="center"/>
          </w:tcPr>
          <w:p w14:paraId="6EB381FF">
            <w:pPr>
              <w:adjustRightInd w:val="0"/>
              <w:snapToGrid w:val="0"/>
              <w:spacing w:line="300" w:lineRule="exact"/>
              <w:ind w:firstLine="420" w:firstLineChars="200"/>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167C4195">
            <w:pPr>
              <w:adjustRightInd w:val="0"/>
              <w:snapToGrid w:val="0"/>
              <w:spacing w:line="300" w:lineRule="exact"/>
              <w:ind w:firstLine="420" w:firstLineChars="200"/>
              <w:jc w:val="center"/>
              <w:rPr>
                <w:color w:val="auto"/>
                <w:szCs w:val="21"/>
                <w:highlight w:val="none"/>
              </w:rPr>
            </w:pPr>
            <w:r>
              <w:rPr>
                <w:rFonts w:hint="eastAsia"/>
                <w:color w:val="auto"/>
                <w:szCs w:val="21"/>
                <w:highlight w:val="none"/>
              </w:rPr>
              <w:t>拥有者性别</w:t>
            </w:r>
          </w:p>
        </w:tc>
        <w:tc>
          <w:tcPr>
            <w:tcW w:w="1259" w:type="pct"/>
            <w:tcBorders>
              <w:top w:val="single" w:color="auto" w:sz="2" w:space="0"/>
              <w:left w:val="single" w:color="auto" w:sz="2" w:space="0"/>
              <w:bottom w:val="single" w:color="auto" w:sz="2" w:space="0"/>
            </w:tcBorders>
            <w:vAlign w:val="center"/>
          </w:tcPr>
          <w:p w14:paraId="11D6A618">
            <w:pPr>
              <w:adjustRightInd w:val="0"/>
              <w:snapToGrid w:val="0"/>
              <w:spacing w:line="300" w:lineRule="exact"/>
              <w:ind w:firstLine="500" w:firstLineChars="200"/>
              <w:jc w:val="center"/>
              <w:rPr>
                <w:color w:val="auto"/>
                <w:spacing w:val="20"/>
                <w:szCs w:val="21"/>
                <w:highlight w:val="none"/>
              </w:rPr>
            </w:pPr>
          </w:p>
        </w:tc>
      </w:tr>
      <w:tr w14:paraId="0868E72B">
        <w:trPr>
          <w:trHeight w:val="483" w:hRule="atLeast"/>
        </w:trPr>
        <w:tc>
          <w:tcPr>
            <w:tcW w:w="1126" w:type="pct"/>
            <w:tcBorders>
              <w:top w:val="single" w:color="auto" w:sz="2" w:space="0"/>
              <w:bottom w:val="single" w:color="auto" w:sz="2" w:space="0"/>
              <w:right w:val="single" w:color="auto" w:sz="2" w:space="0"/>
            </w:tcBorders>
            <w:vAlign w:val="center"/>
          </w:tcPr>
          <w:p w14:paraId="534F4726">
            <w:pPr>
              <w:adjustRightInd w:val="0"/>
              <w:snapToGrid w:val="0"/>
              <w:spacing w:line="300" w:lineRule="exact"/>
              <w:ind w:firstLine="420" w:firstLineChars="200"/>
              <w:jc w:val="center"/>
              <w:rPr>
                <w:color w:val="auto"/>
                <w:szCs w:val="21"/>
                <w:highlight w:val="none"/>
              </w:rPr>
            </w:pPr>
            <w:r>
              <w:rPr>
                <w:rFonts w:hint="eastAsia"/>
                <w:color w:val="auto"/>
                <w:szCs w:val="21"/>
                <w:highlight w:val="none"/>
              </w:rPr>
              <w:t>住所</w:t>
            </w:r>
          </w:p>
        </w:tc>
        <w:tc>
          <w:tcPr>
            <w:tcW w:w="1436" w:type="pct"/>
            <w:tcBorders>
              <w:top w:val="single" w:color="auto" w:sz="2" w:space="0"/>
              <w:left w:val="single" w:color="auto" w:sz="2" w:space="0"/>
              <w:bottom w:val="single" w:color="auto" w:sz="2" w:space="0"/>
              <w:right w:val="single" w:color="auto" w:sz="2" w:space="0"/>
            </w:tcBorders>
            <w:vAlign w:val="center"/>
          </w:tcPr>
          <w:p w14:paraId="5F664F83">
            <w:pPr>
              <w:adjustRightInd w:val="0"/>
              <w:snapToGrid w:val="0"/>
              <w:spacing w:line="300" w:lineRule="exact"/>
              <w:ind w:firstLine="420" w:firstLineChars="200"/>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04232541">
            <w:pPr>
              <w:adjustRightInd w:val="0"/>
              <w:snapToGrid w:val="0"/>
              <w:spacing w:line="300" w:lineRule="exact"/>
              <w:ind w:firstLine="420" w:firstLineChars="200"/>
              <w:jc w:val="center"/>
              <w:rPr>
                <w:color w:val="auto"/>
                <w:szCs w:val="21"/>
                <w:highlight w:val="none"/>
              </w:rPr>
            </w:pPr>
            <w:r>
              <w:rPr>
                <w:rFonts w:hint="eastAsia"/>
                <w:color w:val="auto"/>
                <w:szCs w:val="21"/>
                <w:highlight w:val="none"/>
              </w:rPr>
              <w:t>住所</w:t>
            </w:r>
          </w:p>
        </w:tc>
        <w:tc>
          <w:tcPr>
            <w:tcW w:w="1259" w:type="pct"/>
            <w:tcBorders>
              <w:top w:val="single" w:color="auto" w:sz="2" w:space="0"/>
              <w:left w:val="single" w:color="auto" w:sz="2" w:space="0"/>
              <w:bottom w:val="single" w:color="auto" w:sz="2" w:space="0"/>
            </w:tcBorders>
            <w:vAlign w:val="center"/>
          </w:tcPr>
          <w:p w14:paraId="66D0B871">
            <w:pPr>
              <w:adjustRightInd w:val="0"/>
              <w:snapToGrid w:val="0"/>
              <w:spacing w:line="300" w:lineRule="exact"/>
              <w:ind w:firstLine="500" w:firstLineChars="200"/>
              <w:jc w:val="center"/>
              <w:rPr>
                <w:color w:val="auto"/>
                <w:spacing w:val="20"/>
                <w:szCs w:val="21"/>
                <w:highlight w:val="none"/>
              </w:rPr>
            </w:pPr>
          </w:p>
        </w:tc>
      </w:tr>
      <w:tr w14:paraId="61116D99">
        <w:trPr>
          <w:trHeight w:val="483" w:hRule="atLeast"/>
        </w:trPr>
        <w:tc>
          <w:tcPr>
            <w:tcW w:w="1126" w:type="pct"/>
            <w:tcBorders>
              <w:top w:val="single" w:color="auto" w:sz="2" w:space="0"/>
              <w:bottom w:val="single" w:color="auto" w:sz="2" w:space="0"/>
              <w:right w:val="single" w:color="auto" w:sz="2" w:space="0"/>
            </w:tcBorders>
            <w:vAlign w:val="center"/>
          </w:tcPr>
          <w:p w14:paraId="4C10C7A5">
            <w:pPr>
              <w:adjustRightInd w:val="0"/>
              <w:snapToGrid w:val="0"/>
              <w:spacing w:line="300" w:lineRule="exact"/>
              <w:ind w:firstLine="420" w:firstLineChars="200"/>
              <w:jc w:val="center"/>
              <w:rPr>
                <w:color w:val="auto"/>
                <w:szCs w:val="21"/>
                <w:highlight w:val="none"/>
              </w:rPr>
            </w:pPr>
            <w:r>
              <w:rPr>
                <w:color w:val="auto"/>
                <w:szCs w:val="21"/>
                <w:highlight w:val="none"/>
              </w:rPr>
              <w:t>联 系 人</w:t>
            </w:r>
          </w:p>
        </w:tc>
        <w:tc>
          <w:tcPr>
            <w:tcW w:w="1436" w:type="pct"/>
            <w:tcBorders>
              <w:top w:val="single" w:color="auto" w:sz="2" w:space="0"/>
              <w:left w:val="single" w:color="auto" w:sz="2" w:space="0"/>
              <w:bottom w:val="single" w:color="auto" w:sz="2" w:space="0"/>
              <w:right w:val="single" w:color="auto" w:sz="2" w:space="0"/>
            </w:tcBorders>
            <w:vAlign w:val="center"/>
          </w:tcPr>
          <w:p w14:paraId="7A9E5CC3">
            <w:pPr>
              <w:adjustRightInd w:val="0"/>
              <w:snapToGrid w:val="0"/>
              <w:spacing w:line="300" w:lineRule="exact"/>
              <w:ind w:firstLine="420" w:firstLineChars="200"/>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4138C118">
            <w:pPr>
              <w:adjustRightInd w:val="0"/>
              <w:snapToGrid w:val="0"/>
              <w:spacing w:line="300" w:lineRule="exact"/>
              <w:ind w:firstLine="420" w:firstLineChars="200"/>
              <w:jc w:val="center"/>
              <w:rPr>
                <w:color w:val="auto"/>
                <w:szCs w:val="21"/>
                <w:highlight w:val="none"/>
              </w:rPr>
            </w:pPr>
            <w:r>
              <w:rPr>
                <w:color w:val="auto"/>
                <w:szCs w:val="21"/>
                <w:highlight w:val="none"/>
              </w:rPr>
              <w:t>联 系 人</w:t>
            </w:r>
          </w:p>
        </w:tc>
        <w:tc>
          <w:tcPr>
            <w:tcW w:w="1259" w:type="pct"/>
            <w:tcBorders>
              <w:top w:val="single" w:color="auto" w:sz="2" w:space="0"/>
              <w:left w:val="single" w:color="auto" w:sz="2" w:space="0"/>
              <w:bottom w:val="single" w:color="auto" w:sz="2" w:space="0"/>
            </w:tcBorders>
            <w:vAlign w:val="center"/>
          </w:tcPr>
          <w:p w14:paraId="6B1B0EE4">
            <w:pPr>
              <w:adjustRightInd w:val="0"/>
              <w:snapToGrid w:val="0"/>
              <w:spacing w:line="300" w:lineRule="exact"/>
              <w:ind w:firstLine="500" w:firstLineChars="200"/>
              <w:jc w:val="center"/>
              <w:rPr>
                <w:color w:val="auto"/>
                <w:spacing w:val="20"/>
                <w:szCs w:val="21"/>
                <w:highlight w:val="none"/>
              </w:rPr>
            </w:pPr>
          </w:p>
        </w:tc>
      </w:tr>
      <w:tr w14:paraId="63FD9995">
        <w:trPr>
          <w:trHeight w:val="483" w:hRule="atLeast"/>
        </w:trPr>
        <w:tc>
          <w:tcPr>
            <w:tcW w:w="1126" w:type="pct"/>
            <w:tcBorders>
              <w:top w:val="single" w:color="auto" w:sz="2" w:space="0"/>
              <w:bottom w:val="single" w:color="auto" w:sz="2" w:space="0"/>
              <w:right w:val="single" w:color="auto" w:sz="2" w:space="0"/>
            </w:tcBorders>
            <w:vAlign w:val="center"/>
          </w:tcPr>
          <w:p w14:paraId="2CD9D7C6">
            <w:pPr>
              <w:adjustRightInd w:val="0"/>
              <w:snapToGrid w:val="0"/>
              <w:spacing w:line="300" w:lineRule="exact"/>
              <w:ind w:firstLine="420" w:firstLineChars="200"/>
              <w:jc w:val="center"/>
              <w:rPr>
                <w:color w:val="auto"/>
                <w:szCs w:val="21"/>
                <w:highlight w:val="none"/>
              </w:rPr>
            </w:pPr>
            <w:r>
              <w:rPr>
                <w:color w:val="auto"/>
                <w:szCs w:val="21"/>
                <w:highlight w:val="none"/>
              </w:rPr>
              <w:t>联系电话</w:t>
            </w:r>
          </w:p>
        </w:tc>
        <w:tc>
          <w:tcPr>
            <w:tcW w:w="1436" w:type="pct"/>
            <w:tcBorders>
              <w:top w:val="single" w:color="auto" w:sz="2" w:space="0"/>
              <w:left w:val="single" w:color="auto" w:sz="2" w:space="0"/>
              <w:bottom w:val="single" w:color="auto" w:sz="2" w:space="0"/>
              <w:right w:val="single" w:color="auto" w:sz="2" w:space="0"/>
            </w:tcBorders>
            <w:vAlign w:val="center"/>
          </w:tcPr>
          <w:p w14:paraId="57BDE2C4">
            <w:pPr>
              <w:adjustRightInd w:val="0"/>
              <w:snapToGrid w:val="0"/>
              <w:spacing w:line="300" w:lineRule="exact"/>
              <w:ind w:firstLine="420" w:firstLineChars="200"/>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65D02DAE">
            <w:pPr>
              <w:adjustRightInd w:val="0"/>
              <w:snapToGrid w:val="0"/>
              <w:spacing w:line="300" w:lineRule="exact"/>
              <w:ind w:firstLine="420" w:firstLineChars="200"/>
              <w:jc w:val="center"/>
              <w:rPr>
                <w:color w:val="auto"/>
                <w:szCs w:val="21"/>
                <w:highlight w:val="none"/>
              </w:rPr>
            </w:pPr>
            <w:r>
              <w:rPr>
                <w:color w:val="auto"/>
                <w:szCs w:val="21"/>
                <w:highlight w:val="none"/>
              </w:rPr>
              <w:t>联系电话</w:t>
            </w:r>
          </w:p>
        </w:tc>
        <w:tc>
          <w:tcPr>
            <w:tcW w:w="1259" w:type="pct"/>
            <w:tcBorders>
              <w:top w:val="single" w:color="auto" w:sz="2" w:space="0"/>
              <w:left w:val="single" w:color="auto" w:sz="2" w:space="0"/>
              <w:bottom w:val="single" w:color="auto" w:sz="2" w:space="0"/>
            </w:tcBorders>
            <w:vAlign w:val="center"/>
          </w:tcPr>
          <w:p w14:paraId="2054A7E3">
            <w:pPr>
              <w:adjustRightInd w:val="0"/>
              <w:snapToGrid w:val="0"/>
              <w:spacing w:line="300" w:lineRule="exact"/>
              <w:ind w:firstLine="500" w:firstLineChars="200"/>
              <w:jc w:val="center"/>
              <w:rPr>
                <w:color w:val="auto"/>
                <w:spacing w:val="20"/>
                <w:szCs w:val="21"/>
                <w:highlight w:val="none"/>
              </w:rPr>
            </w:pPr>
          </w:p>
        </w:tc>
      </w:tr>
      <w:tr w14:paraId="4134DAC7">
        <w:trPr>
          <w:trHeight w:val="483" w:hRule="atLeast"/>
        </w:trPr>
        <w:tc>
          <w:tcPr>
            <w:tcW w:w="1126" w:type="pct"/>
            <w:tcBorders>
              <w:top w:val="single" w:color="auto" w:sz="2" w:space="0"/>
              <w:bottom w:val="single" w:color="auto" w:sz="2" w:space="0"/>
              <w:right w:val="single" w:color="auto" w:sz="2" w:space="0"/>
            </w:tcBorders>
            <w:vAlign w:val="center"/>
          </w:tcPr>
          <w:p w14:paraId="126F546E">
            <w:pPr>
              <w:adjustRightInd w:val="0"/>
              <w:snapToGrid w:val="0"/>
              <w:spacing w:line="300" w:lineRule="exact"/>
              <w:ind w:firstLine="420" w:firstLineChars="200"/>
              <w:jc w:val="center"/>
              <w:rPr>
                <w:color w:val="auto"/>
                <w:szCs w:val="21"/>
                <w:highlight w:val="none"/>
              </w:rPr>
            </w:pPr>
            <w:r>
              <w:rPr>
                <w:rFonts w:hint="eastAsia"/>
                <w:color w:val="auto"/>
                <w:szCs w:val="21"/>
                <w:highlight w:val="none"/>
              </w:rPr>
              <w:t>通信地址</w:t>
            </w:r>
          </w:p>
        </w:tc>
        <w:tc>
          <w:tcPr>
            <w:tcW w:w="1436" w:type="pct"/>
            <w:tcBorders>
              <w:top w:val="single" w:color="auto" w:sz="2" w:space="0"/>
              <w:left w:val="single" w:color="auto" w:sz="2" w:space="0"/>
              <w:bottom w:val="single" w:color="auto" w:sz="2" w:space="0"/>
              <w:right w:val="single" w:color="auto" w:sz="2" w:space="0"/>
            </w:tcBorders>
            <w:vAlign w:val="center"/>
          </w:tcPr>
          <w:p w14:paraId="1998ED4D">
            <w:pPr>
              <w:adjustRightInd w:val="0"/>
              <w:snapToGrid w:val="0"/>
              <w:spacing w:line="300" w:lineRule="exact"/>
              <w:ind w:firstLine="420" w:firstLineChars="200"/>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5C81EEE6">
            <w:pPr>
              <w:adjustRightInd w:val="0"/>
              <w:snapToGrid w:val="0"/>
              <w:spacing w:line="300" w:lineRule="exact"/>
              <w:ind w:firstLine="420" w:firstLineChars="200"/>
              <w:jc w:val="center"/>
              <w:rPr>
                <w:color w:val="auto"/>
                <w:szCs w:val="21"/>
                <w:highlight w:val="none"/>
              </w:rPr>
            </w:pPr>
            <w:r>
              <w:rPr>
                <w:rFonts w:hint="eastAsia"/>
                <w:color w:val="auto"/>
                <w:szCs w:val="21"/>
                <w:highlight w:val="none"/>
              </w:rPr>
              <w:t>通信地址</w:t>
            </w:r>
          </w:p>
        </w:tc>
        <w:tc>
          <w:tcPr>
            <w:tcW w:w="1259" w:type="pct"/>
            <w:tcBorders>
              <w:top w:val="single" w:color="auto" w:sz="2" w:space="0"/>
              <w:left w:val="single" w:color="auto" w:sz="2" w:space="0"/>
              <w:bottom w:val="single" w:color="auto" w:sz="2" w:space="0"/>
            </w:tcBorders>
            <w:vAlign w:val="center"/>
          </w:tcPr>
          <w:p w14:paraId="72116753">
            <w:pPr>
              <w:adjustRightInd w:val="0"/>
              <w:snapToGrid w:val="0"/>
              <w:spacing w:line="300" w:lineRule="exact"/>
              <w:ind w:firstLine="500" w:firstLineChars="200"/>
              <w:jc w:val="center"/>
              <w:rPr>
                <w:color w:val="auto"/>
                <w:spacing w:val="20"/>
                <w:szCs w:val="21"/>
                <w:highlight w:val="none"/>
              </w:rPr>
            </w:pPr>
          </w:p>
        </w:tc>
      </w:tr>
      <w:tr w14:paraId="1AE6F49F">
        <w:trPr>
          <w:trHeight w:val="483" w:hRule="atLeast"/>
        </w:trPr>
        <w:tc>
          <w:tcPr>
            <w:tcW w:w="1126" w:type="pct"/>
            <w:tcBorders>
              <w:top w:val="single" w:color="auto" w:sz="2" w:space="0"/>
              <w:bottom w:val="single" w:color="auto" w:sz="2" w:space="0"/>
              <w:right w:val="single" w:color="auto" w:sz="2" w:space="0"/>
            </w:tcBorders>
            <w:vAlign w:val="center"/>
          </w:tcPr>
          <w:p w14:paraId="3041B07C">
            <w:pPr>
              <w:adjustRightInd w:val="0"/>
              <w:snapToGrid w:val="0"/>
              <w:spacing w:line="300" w:lineRule="exact"/>
              <w:ind w:firstLine="420" w:firstLineChars="200"/>
              <w:jc w:val="center"/>
              <w:rPr>
                <w:color w:val="auto"/>
                <w:szCs w:val="21"/>
                <w:highlight w:val="none"/>
              </w:rPr>
            </w:pPr>
            <w:r>
              <w:rPr>
                <w:color w:val="auto"/>
                <w:szCs w:val="21"/>
                <w:highlight w:val="none"/>
              </w:rPr>
              <w:t>邮政编码</w:t>
            </w:r>
          </w:p>
        </w:tc>
        <w:tc>
          <w:tcPr>
            <w:tcW w:w="1436" w:type="pct"/>
            <w:tcBorders>
              <w:top w:val="single" w:color="auto" w:sz="2" w:space="0"/>
              <w:left w:val="single" w:color="auto" w:sz="2" w:space="0"/>
              <w:bottom w:val="single" w:color="auto" w:sz="2" w:space="0"/>
              <w:right w:val="single" w:color="auto" w:sz="2" w:space="0"/>
            </w:tcBorders>
            <w:vAlign w:val="center"/>
          </w:tcPr>
          <w:p w14:paraId="224C3A28">
            <w:pPr>
              <w:adjustRightInd w:val="0"/>
              <w:snapToGrid w:val="0"/>
              <w:spacing w:line="300" w:lineRule="exact"/>
              <w:ind w:firstLine="420" w:firstLineChars="200"/>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51339A38">
            <w:pPr>
              <w:adjustRightInd w:val="0"/>
              <w:snapToGrid w:val="0"/>
              <w:spacing w:line="300" w:lineRule="exact"/>
              <w:ind w:firstLine="420" w:firstLineChars="200"/>
              <w:jc w:val="center"/>
              <w:rPr>
                <w:color w:val="auto"/>
                <w:szCs w:val="21"/>
                <w:highlight w:val="none"/>
              </w:rPr>
            </w:pPr>
            <w:r>
              <w:rPr>
                <w:color w:val="auto"/>
                <w:szCs w:val="21"/>
                <w:highlight w:val="none"/>
              </w:rPr>
              <w:t>邮政编码</w:t>
            </w:r>
          </w:p>
        </w:tc>
        <w:tc>
          <w:tcPr>
            <w:tcW w:w="1259" w:type="pct"/>
            <w:tcBorders>
              <w:top w:val="single" w:color="auto" w:sz="2" w:space="0"/>
              <w:left w:val="single" w:color="auto" w:sz="2" w:space="0"/>
              <w:bottom w:val="single" w:color="auto" w:sz="2" w:space="0"/>
            </w:tcBorders>
            <w:vAlign w:val="center"/>
          </w:tcPr>
          <w:p w14:paraId="0054528D">
            <w:pPr>
              <w:adjustRightInd w:val="0"/>
              <w:snapToGrid w:val="0"/>
              <w:spacing w:line="300" w:lineRule="exact"/>
              <w:ind w:firstLine="500" w:firstLineChars="200"/>
              <w:jc w:val="center"/>
              <w:rPr>
                <w:color w:val="auto"/>
                <w:spacing w:val="20"/>
                <w:szCs w:val="21"/>
                <w:highlight w:val="none"/>
              </w:rPr>
            </w:pPr>
          </w:p>
        </w:tc>
      </w:tr>
      <w:tr w14:paraId="0FDC04EB">
        <w:trPr>
          <w:trHeight w:val="483" w:hRule="atLeast"/>
        </w:trPr>
        <w:tc>
          <w:tcPr>
            <w:tcW w:w="1126" w:type="pct"/>
            <w:tcBorders>
              <w:top w:val="single" w:color="auto" w:sz="2" w:space="0"/>
              <w:bottom w:val="single" w:color="auto" w:sz="2" w:space="0"/>
              <w:right w:val="single" w:color="auto" w:sz="2" w:space="0"/>
            </w:tcBorders>
            <w:vAlign w:val="center"/>
          </w:tcPr>
          <w:p w14:paraId="5514CF97">
            <w:pPr>
              <w:adjustRightInd w:val="0"/>
              <w:snapToGrid w:val="0"/>
              <w:spacing w:line="300" w:lineRule="exact"/>
              <w:ind w:firstLine="420" w:firstLineChars="200"/>
              <w:jc w:val="center"/>
              <w:rPr>
                <w:color w:val="auto"/>
                <w:szCs w:val="21"/>
                <w:highlight w:val="none"/>
              </w:rPr>
            </w:pPr>
            <w:r>
              <w:rPr>
                <w:rFonts w:hint="eastAsia"/>
                <w:color w:val="auto"/>
                <w:szCs w:val="21"/>
                <w:highlight w:val="none"/>
              </w:rPr>
              <w:t>电子邮箱</w:t>
            </w:r>
          </w:p>
        </w:tc>
        <w:tc>
          <w:tcPr>
            <w:tcW w:w="1436" w:type="pct"/>
            <w:tcBorders>
              <w:top w:val="single" w:color="auto" w:sz="2" w:space="0"/>
              <w:left w:val="single" w:color="auto" w:sz="2" w:space="0"/>
              <w:bottom w:val="single" w:color="auto" w:sz="2" w:space="0"/>
              <w:right w:val="single" w:color="auto" w:sz="2" w:space="0"/>
            </w:tcBorders>
            <w:vAlign w:val="center"/>
          </w:tcPr>
          <w:p w14:paraId="6A5FE49C">
            <w:pPr>
              <w:adjustRightInd w:val="0"/>
              <w:snapToGrid w:val="0"/>
              <w:spacing w:line="300" w:lineRule="exact"/>
              <w:ind w:firstLine="420" w:firstLineChars="200"/>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2E70574E">
            <w:pPr>
              <w:adjustRightInd w:val="0"/>
              <w:snapToGrid w:val="0"/>
              <w:spacing w:line="300" w:lineRule="exact"/>
              <w:ind w:firstLine="420" w:firstLineChars="200"/>
              <w:jc w:val="center"/>
              <w:rPr>
                <w:color w:val="auto"/>
                <w:szCs w:val="21"/>
                <w:highlight w:val="none"/>
              </w:rPr>
            </w:pPr>
            <w:r>
              <w:rPr>
                <w:rFonts w:hint="eastAsia"/>
                <w:color w:val="auto"/>
                <w:szCs w:val="21"/>
                <w:highlight w:val="none"/>
              </w:rPr>
              <w:t>电子邮箱</w:t>
            </w:r>
          </w:p>
        </w:tc>
        <w:tc>
          <w:tcPr>
            <w:tcW w:w="1259" w:type="pct"/>
            <w:tcBorders>
              <w:top w:val="single" w:color="auto" w:sz="2" w:space="0"/>
              <w:left w:val="single" w:color="auto" w:sz="2" w:space="0"/>
              <w:bottom w:val="single" w:color="auto" w:sz="2" w:space="0"/>
            </w:tcBorders>
            <w:vAlign w:val="center"/>
          </w:tcPr>
          <w:p w14:paraId="7444AB95">
            <w:pPr>
              <w:adjustRightInd w:val="0"/>
              <w:snapToGrid w:val="0"/>
              <w:spacing w:line="300" w:lineRule="exact"/>
              <w:ind w:firstLine="500" w:firstLineChars="200"/>
              <w:jc w:val="center"/>
              <w:rPr>
                <w:color w:val="auto"/>
                <w:spacing w:val="20"/>
                <w:szCs w:val="21"/>
                <w:highlight w:val="none"/>
              </w:rPr>
            </w:pPr>
          </w:p>
        </w:tc>
      </w:tr>
      <w:tr w14:paraId="28B06917">
        <w:trPr>
          <w:trHeight w:val="483" w:hRule="atLeast"/>
        </w:trPr>
        <w:tc>
          <w:tcPr>
            <w:tcW w:w="1126" w:type="pct"/>
            <w:tcBorders>
              <w:top w:val="single" w:color="auto" w:sz="2" w:space="0"/>
              <w:bottom w:val="single" w:color="auto" w:sz="2" w:space="0"/>
              <w:right w:val="single" w:color="auto" w:sz="2" w:space="0"/>
            </w:tcBorders>
            <w:vAlign w:val="center"/>
          </w:tcPr>
          <w:p w14:paraId="2BD69ECE">
            <w:pPr>
              <w:adjustRightInd w:val="0"/>
              <w:snapToGrid w:val="0"/>
              <w:spacing w:line="300" w:lineRule="exact"/>
              <w:ind w:firstLine="420" w:firstLineChars="200"/>
              <w:jc w:val="center"/>
              <w:rPr>
                <w:color w:val="auto"/>
                <w:szCs w:val="21"/>
                <w:highlight w:val="none"/>
              </w:rPr>
            </w:pPr>
            <w:r>
              <w:rPr>
                <w:rFonts w:hint="eastAsia"/>
                <w:color w:val="auto"/>
                <w:szCs w:val="21"/>
                <w:highlight w:val="none"/>
              </w:rPr>
              <w:t>统一社会信用代码</w:t>
            </w:r>
          </w:p>
        </w:tc>
        <w:tc>
          <w:tcPr>
            <w:tcW w:w="1436" w:type="pct"/>
            <w:tcBorders>
              <w:top w:val="single" w:color="auto" w:sz="2" w:space="0"/>
              <w:left w:val="single" w:color="auto" w:sz="2" w:space="0"/>
              <w:bottom w:val="single" w:color="auto" w:sz="2" w:space="0"/>
              <w:right w:val="single" w:color="auto" w:sz="2" w:space="0"/>
            </w:tcBorders>
            <w:vAlign w:val="center"/>
          </w:tcPr>
          <w:p w14:paraId="193E91AC">
            <w:pPr>
              <w:adjustRightInd w:val="0"/>
              <w:snapToGrid w:val="0"/>
              <w:spacing w:line="300" w:lineRule="exact"/>
              <w:ind w:firstLine="420" w:firstLineChars="200"/>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10F06635">
            <w:pPr>
              <w:adjustRightInd w:val="0"/>
              <w:snapToGrid w:val="0"/>
              <w:spacing w:line="300" w:lineRule="exact"/>
              <w:ind w:firstLine="420" w:firstLineChars="200"/>
              <w:jc w:val="center"/>
              <w:rPr>
                <w:color w:val="auto"/>
                <w:szCs w:val="21"/>
                <w:highlight w:val="none"/>
              </w:rPr>
            </w:pPr>
            <w:r>
              <w:rPr>
                <w:rFonts w:hint="eastAsia"/>
                <w:color w:val="auto"/>
                <w:szCs w:val="21"/>
                <w:highlight w:val="none"/>
              </w:rPr>
              <w:t>统一社会信用代码</w:t>
            </w:r>
          </w:p>
        </w:tc>
        <w:tc>
          <w:tcPr>
            <w:tcW w:w="1259" w:type="pct"/>
            <w:tcBorders>
              <w:top w:val="single" w:color="auto" w:sz="2" w:space="0"/>
              <w:left w:val="single" w:color="auto" w:sz="2" w:space="0"/>
              <w:bottom w:val="single" w:color="auto" w:sz="2" w:space="0"/>
            </w:tcBorders>
            <w:vAlign w:val="center"/>
          </w:tcPr>
          <w:p w14:paraId="1F81DAD0">
            <w:pPr>
              <w:adjustRightInd w:val="0"/>
              <w:snapToGrid w:val="0"/>
              <w:spacing w:line="300" w:lineRule="exact"/>
              <w:ind w:firstLine="500" w:firstLineChars="200"/>
              <w:jc w:val="center"/>
              <w:rPr>
                <w:color w:val="auto"/>
                <w:spacing w:val="20"/>
                <w:szCs w:val="21"/>
                <w:highlight w:val="none"/>
              </w:rPr>
            </w:pPr>
          </w:p>
        </w:tc>
      </w:tr>
      <w:tr w14:paraId="3C8B830E">
        <w:trPr>
          <w:trHeight w:val="483" w:hRule="atLeast"/>
        </w:trPr>
        <w:tc>
          <w:tcPr>
            <w:tcW w:w="1126" w:type="pct"/>
            <w:tcBorders>
              <w:top w:val="single" w:color="auto" w:sz="2" w:space="0"/>
              <w:bottom w:val="single" w:color="auto" w:sz="2" w:space="0"/>
              <w:right w:val="single" w:color="auto" w:sz="2" w:space="0"/>
            </w:tcBorders>
            <w:vAlign w:val="center"/>
          </w:tcPr>
          <w:p w14:paraId="0726295F">
            <w:pPr>
              <w:adjustRightInd w:val="0"/>
              <w:snapToGrid w:val="0"/>
              <w:spacing w:line="300" w:lineRule="exact"/>
              <w:ind w:firstLine="420" w:firstLineChars="200"/>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50F90D53">
            <w:pPr>
              <w:adjustRightInd w:val="0"/>
              <w:snapToGrid w:val="0"/>
              <w:spacing w:line="300" w:lineRule="exact"/>
              <w:ind w:firstLine="420" w:firstLineChars="200"/>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5C171E08">
            <w:pPr>
              <w:adjustRightInd w:val="0"/>
              <w:snapToGrid w:val="0"/>
              <w:spacing w:line="300" w:lineRule="exact"/>
              <w:ind w:firstLine="420" w:firstLineChars="200"/>
              <w:jc w:val="center"/>
              <w:rPr>
                <w:color w:val="auto"/>
                <w:szCs w:val="21"/>
                <w:highlight w:val="none"/>
              </w:rPr>
            </w:pPr>
            <w:r>
              <w:rPr>
                <w:color w:val="auto"/>
                <w:szCs w:val="21"/>
                <w:highlight w:val="none"/>
              </w:rPr>
              <w:t>开户名称</w:t>
            </w:r>
          </w:p>
        </w:tc>
        <w:tc>
          <w:tcPr>
            <w:tcW w:w="1259" w:type="pct"/>
            <w:tcBorders>
              <w:top w:val="single" w:color="auto" w:sz="2" w:space="0"/>
              <w:left w:val="single" w:color="auto" w:sz="2" w:space="0"/>
              <w:bottom w:val="single" w:color="auto" w:sz="2" w:space="0"/>
            </w:tcBorders>
            <w:vAlign w:val="center"/>
          </w:tcPr>
          <w:p w14:paraId="38E990EE">
            <w:pPr>
              <w:adjustRightInd w:val="0"/>
              <w:snapToGrid w:val="0"/>
              <w:spacing w:line="300" w:lineRule="exact"/>
              <w:ind w:firstLine="500" w:firstLineChars="200"/>
              <w:jc w:val="center"/>
              <w:rPr>
                <w:color w:val="auto"/>
                <w:spacing w:val="20"/>
                <w:szCs w:val="21"/>
                <w:highlight w:val="none"/>
              </w:rPr>
            </w:pPr>
          </w:p>
        </w:tc>
      </w:tr>
      <w:tr w14:paraId="7685F45D">
        <w:trPr>
          <w:trHeight w:val="483" w:hRule="atLeast"/>
        </w:trPr>
        <w:tc>
          <w:tcPr>
            <w:tcW w:w="1126" w:type="pct"/>
            <w:tcBorders>
              <w:top w:val="single" w:color="auto" w:sz="2" w:space="0"/>
              <w:bottom w:val="single" w:color="auto" w:sz="2" w:space="0"/>
              <w:right w:val="single" w:color="auto" w:sz="2" w:space="0"/>
            </w:tcBorders>
            <w:vAlign w:val="center"/>
          </w:tcPr>
          <w:p w14:paraId="3B6BC8D7">
            <w:pPr>
              <w:adjustRightInd w:val="0"/>
              <w:snapToGrid w:val="0"/>
              <w:spacing w:line="300" w:lineRule="exact"/>
              <w:ind w:firstLine="420" w:firstLineChars="200"/>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653BBB3D">
            <w:pPr>
              <w:adjustRightInd w:val="0"/>
              <w:snapToGrid w:val="0"/>
              <w:spacing w:line="300" w:lineRule="exact"/>
              <w:ind w:firstLine="420" w:firstLineChars="200"/>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2CDFF225">
            <w:pPr>
              <w:adjustRightInd w:val="0"/>
              <w:snapToGrid w:val="0"/>
              <w:spacing w:line="300" w:lineRule="exact"/>
              <w:ind w:firstLine="420" w:firstLineChars="200"/>
              <w:jc w:val="center"/>
              <w:rPr>
                <w:color w:val="auto"/>
                <w:szCs w:val="21"/>
                <w:highlight w:val="none"/>
              </w:rPr>
            </w:pPr>
            <w:r>
              <w:rPr>
                <w:color w:val="auto"/>
                <w:szCs w:val="21"/>
                <w:highlight w:val="none"/>
              </w:rPr>
              <w:t>开户银行</w:t>
            </w:r>
          </w:p>
        </w:tc>
        <w:tc>
          <w:tcPr>
            <w:tcW w:w="1259" w:type="pct"/>
            <w:tcBorders>
              <w:top w:val="single" w:color="auto" w:sz="2" w:space="0"/>
              <w:left w:val="single" w:color="auto" w:sz="2" w:space="0"/>
              <w:bottom w:val="single" w:color="auto" w:sz="2" w:space="0"/>
            </w:tcBorders>
            <w:vAlign w:val="center"/>
          </w:tcPr>
          <w:p w14:paraId="7EEF9F73">
            <w:pPr>
              <w:adjustRightInd w:val="0"/>
              <w:snapToGrid w:val="0"/>
              <w:spacing w:line="300" w:lineRule="exact"/>
              <w:ind w:firstLine="500" w:firstLineChars="200"/>
              <w:jc w:val="center"/>
              <w:rPr>
                <w:color w:val="auto"/>
                <w:spacing w:val="20"/>
                <w:szCs w:val="21"/>
                <w:highlight w:val="none"/>
              </w:rPr>
            </w:pPr>
          </w:p>
        </w:tc>
      </w:tr>
      <w:tr w14:paraId="2D2F4FAA">
        <w:trPr>
          <w:trHeight w:val="483" w:hRule="atLeast"/>
        </w:trPr>
        <w:tc>
          <w:tcPr>
            <w:tcW w:w="1126" w:type="pct"/>
            <w:tcBorders>
              <w:top w:val="single" w:color="auto" w:sz="2" w:space="0"/>
              <w:bottom w:val="single" w:color="auto" w:sz="2" w:space="0"/>
              <w:right w:val="single" w:color="auto" w:sz="2" w:space="0"/>
            </w:tcBorders>
            <w:vAlign w:val="center"/>
          </w:tcPr>
          <w:p w14:paraId="61F79607">
            <w:pPr>
              <w:adjustRightInd w:val="0"/>
              <w:snapToGrid w:val="0"/>
              <w:spacing w:line="300" w:lineRule="exact"/>
              <w:ind w:firstLine="420" w:firstLineChars="200"/>
              <w:jc w:val="center"/>
              <w:rPr>
                <w:color w:val="auto"/>
                <w:szCs w:val="21"/>
                <w:highlight w:val="none"/>
              </w:rPr>
            </w:pPr>
          </w:p>
        </w:tc>
        <w:tc>
          <w:tcPr>
            <w:tcW w:w="1436" w:type="pct"/>
            <w:tcBorders>
              <w:top w:val="single" w:color="auto" w:sz="2" w:space="0"/>
              <w:left w:val="single" w:color="auto" w:sz="2" w:space="0"/>
              <w:bottom w:val="single" w:color="auto" w:sz="2" w:space="0"/>
              <w:right w:val="single" w:color="auto" w:sz="2" w:space="0"/>
            </w:tcBorders>
            <w:vAlign w:val="center"/>
          </w:tcPr>
          <w:p w14:paraId="53D5A2FA">
            <w:pPr>
              <w:adjustRightInd w:val="0"/>
              <w:snapToGrid w:val="0"/>
              <w:spacing w:line="300" w:lineRule="exact"/>
              <w:ind w:firstLine="420" w:firstLineChars="200"/>
              <w:jc w:val="center"/>
              <w:rPr>
                <w:color w:val="auto"/>
                <w:szCs w:val="21"/>
                <w:highlight w:val="none"/>
              </w:rPr>
            </w:pPr>
          </w:p>
        </w:tc>
        <w:tc>
          <w:tcPr>
            <w:tcW w:w="1178" w:type="pct"/>
            <w:tcBorders>
              <w:top w:val="single" w:color="auto" w:sz="2" w:space="0"/>
              <w:left w:val="single" w:color="auto" w:sz="2" w:space="0"/>
              <w:bottom w:val="single" w:color="auto" w:sz="2" w:space="0"/>
              <w:right w:val="single" w:color="auto" w:sz="2" w:space="0"/>
            </w:tcBorders>
            <w:vAlign w:val="center"/>
          </w:tcPr>
          <w:p w14:paraId="24C0A594">
            <w:pPr>
              <w:adjustRightInd w:val="0"/>
              <w:snapToGrid w:val="0"/>
              <w:spacing w:line="300" w:lineRule="exact"/>
              <w:ind w:firstLine="420" w:firstLineChars="200"/>
              <w:jc w:val="center"/>
              <w:rPr>
                <w:color w:val="auto"/>
                <w:szCs w:val="21"/>
                <w:highlight w:val="none"/>
              </w:rPr>
            </w:pPr>
            <w:r>
              <w:rPr>
                <w:color w:val="auto"/>
                <w:szCs w:val="21"/>
                <w:highlight w:val="none"/>
              </w:rPr>
              <w:t>银行账号</w:t>
            </w:r>
          </w:p>
        </w:tc>
        <w:tc>
          <w:tcPr>
            <w:tcW w:w="1259" w:type="pct"/>
            <w:tcBorders>
              <w:top w:val="single" w:color="auto" w:sz="2" w:space="0"/>
              <w:left w:val="single" w:color="auto" w:sz="2" w:space="0"/>
              <w:bottom w:val="single" w:color="auto" w:sz="2" w:space="0"/>
            </w:tcBorders>
            <w:vAlign w:val="center"/>
          </w:tcPr>
          <w:p w14:paraId="1AD46EA1">
            <w:pPr>
              <w:adjustRightInd w:val="0"/>
              <w:snapToGrid w:val="0"/>
              <w:spacing w:line="300" w:lineRule="exact"/>
              <w:ind w:firstLine="500" w:firstLineChars="200"/>
              <w:jc w:val="center"/>
              <w:rPr>
                <w:color w:val="auto"/>
                <w:spacing w:val="20"/>
                <w:szCs w:val="21"/>
                <w:highlight w:val="none"/>
              </w:rPr>
            </w:pPr>
          </w:p>
        </w:tc>
      </w:tr>
      <w:tr w14:paraId="3B6A7B25">
        <w:trPr>
          <w:trHeight w:val="586" w:hRule="atLeast"/>
        </w:trPr>
        <w:tc>
          <w:tcPr>
            <w:tcW w:w="5000" w:type="pct"/>
            <w:gridSpan w:val="4"/>
            <w:tcBorders>
              <w:top w:val="single" w:color="auto" w:sz="2" w:space="0"/>
            </w:tcBorders>
            <w:vAlign w:val="center"/>
          </w:tcPr>
          <w:p w14:paraId="31802D1D">
            <w:pPr>
              <w:pStyle w:val="8"/>
              <w:snapToGrid w:val="0"/>
              <w:spacing w:beforeLines="50" w:line="360" w:lineRule="auto"/>
              <w:ind w:firstLine="480" w:firstLineChars="200"/>
              <w:jc w:val="left"/>
              <w:rPr>
                <w:color w:val="auto"/>
                <w:spacing w:val="20"/>
                <w:szCs w:val="21"/>
                <w:highlight w:val="none"/>
              </w:rPr>
            </w:pPr>
            <w:r>
              <w:rPr>
                <w:rFonts w:hint="eastAsia" w:ascii="宋体" w:hAnsi="宋体"/>
                <w:color w:val="auto"/>
                <w:szCs w:val="21"/>
                <w:highlight w:val="none"/>
              </w:rPr>
              <w:t>注：涉及联合体或其他合同主体的信息应按上表格式加列。</w:t>
            </w:r>
          </w:p>
        </w:tc>
      </w:tr>
    </w:tbl>
    <w:p w14:paraId="1D4EC5C6">
      <w:pPr>
        <w:pStyle w:val="4"/>
        <w:adjustRightInd w:val="0"/>
        <w:snapToGrid w:val="0"/>
        <w:spacing w:beforeLines="50"/>
        <w:ind w:firstLine="420" w:firstLineChars="200"/>
        <w:jc w:val="both"/>
        <w:rPr>
          <w:rFonts w:ascii="黑体" w:hAnsi="黑体"/>
          <w:color w:val="auto"/>
          <w:szCs w:val="28"/>
          <w:highlight w:val="none"/>
        </w:rPr>
      </w:pPr>
      <w:r>
        <w:rPr>
          <w:rFonts w:ascii="宋体" w:hAnsi="宋体"/>
          <w:color w:val="auto"/>
          <w:sz w:val="21"/>
          <w:szCs w:val="21"/>
          <w:highlight w:val="none"/>
          <w:u w:val="single"/>
        </w:rPr>
        <w:br w:type="page"/>
      </w:r>
      <w:bookmarkStart w:id="7" w:name="_Toc27624"/>
      <w:r>
        <w:rPr>
          <w:rFonts w:hint="eastAsia" w:ascii="黑体" w:hAnsi="黑体"/>
          <w:b w:val="0"/>
          <w:color w:val="auto"/>
          <w:szCs w:val="28"/>
          <w:highlight w:val="none"/>
        </w:rPr>
        <w:t>第二节 政府采购合同通用条款</w:t>
      </w:r>
      <w:bookmarkEnd w:id="7"/>
    </w:p>
    <w:p w14:paraId="5DB22EC0">
      <w:pPr>
        <w:tabs>
          <w:tab w:val="left" w:pos="8820"/>
          <w:tab w:val="left" w:pos="9345"/>
          <w:tab w:val="left" w:pos="9765"/>
        </w:tabs>
        <w:adjustRightInd w:val="0"/>
        <w:snapToGrid w:val="0"/>
        <w:spacing w:line="400" w:lineRule="exact"/>
        <w:ind w:firstLine="480" w:firstLineChars="200"/>
        <w:jc w:val="left"/>
        <w:rPr>
          <w:rFonts w:ascii="宋体" w:hAnsi="宋体"/>
          <w:b/>
          <w:bCs/>
          <w:color w:val="auto"/>
          <w:sz w:val="24"/>
          <w:highlight w:val="none"/>
        </w:rPr>
      </w:pPr>
      <w:r>
        <w:rPr>
          <w:rFonts w:hint="eastAsia" w:ascii="宋体" w:hAnsi="宋体"/>
          <w:b/>
          <w:color w:val="auto"/>
          <w:sz w:val="24"/>
          <w:highlight w:val="none"/>
        </w:rPr>
        <w:t>1.</w:t>
      </w:r>
      <w:r>
        <w:rPr>
          <w:rFonts w:hint="eastAsia" w:ascii="宋体" w:hAnsi="宋体"/>
          <w:b/>
          <w:bCs/>
          <w:color w:val="auto"/>
          <w:sz w:val="24"/>
          <w:highlight w:val="none"/>
        </w:rPr>
        <w:t>定义</w:t>
      </w:r>
    </w:p>
    <w:p w14:paraId="4FBF5CA0">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1.1合同当事人</w:t>
      </w:r>
    </w:p>
    <w:p w14:paraId="1549E21A">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（1）采购人（以下称甲方）是指使用财政性资金，通过政府采购方式向供应商购买货物及其相关服务的国家机关、事业单位、团体组织。</w:t>
      </w:r>
    </w:p>
    <w:p w14:paraId="2D878BEA">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（2）供应商（以下称乙方）是指参加政府采购活动并且中标（成交），向采购人提供合同约定的货物及其相关服务的法人、非法人组织或者自然人。</w:t>
      </w:r>
    </w:p>
    <w:p w14:paraId="4E8D3D6A">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（3）其他合同主体是指除采购人和供应商以外，</w:t>
      </w:r>
      <w:r>
        <w:rPr>
          <w:rFonts w:hint="eastAsia" w:ascii="宋体" w:hAnsi="宋体" w:cs="宋体"/>
          <w:bCs/>
          <w:color w:val="auto"/>
          <w:szCs w:val="21"/>
          <w:highlight w:val="none"/>
        </w:rPr>
        <w:t>依法参与合同缔结或履行，享有权利、承担义务的合同当事人</w:t>
      </w:r>
      <w:r>
        <w:rPr>
          <w:rFonts w:hint="eastAsia" w:ascii="宋体" w:hAnsi="宋体"/>
          <w:color w:val="auto"/>
          <w:szCs w:val="21"/>
          <w:highlight w:val="none"/>
        </w:rPr>
        <w:t>。</w:t>
      </w:r>
    </w:p>
    <w:p w14:paraId="05F3B43A">
      <w:pPr>
        <w:tabs>
          <w:tab w:val="left" w:pos="570"/>
          <w:tab w:val="left" w:pos="9240"/>
          <w:tab w:val="left" w:pos="9555"/>
        </w:tabs>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1.2本合同下列术语应解释为：</w:t>
      </w:r>
    </w:p>
    <w:p w14:paraId="67330761">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（1）“合同”系指</w:t>
      </w:r>
      <w:r>
        <w:rPr>
          <w:rFonts w:hint="eastAsia" w:ascii="宋体" w:hAnsi="宋体" w:cs="宋体"/>
          <w:bCs/>
          <w:color w:val="auto"/>
          <w:szCs w:val="21"/>
          <w:highlight w:val="none"/>
        </w:rPr>
        <w:t>合同当事人意思表示达成一致的任何协议，包括签署的</w:t>
      </w:r>
      <w:r>
        <w:rPr>
          <w:rFonts w:hint="eastAsia" w:ascii="宋体" w:hAnsi="宋体"/>
          <w:color w:val="auto"/>
          <w:szCs w:val="21"/>
          <w:highlight w:val="none"/>
        </w:rPr>
        <w:t>政府采购合同协议书及其变更、补充协议，政府采购合同专用条款，政府采购合同通用条款，中标（成交）通知书，投标（响应）文件，采购文件，有关技术文件和图纸，以及</w:t>
      </w:r>
      <w:r>
        <w:rPr>
          <w:rFonts w:hint="eastAsia" w:ascii="宋体" w:hAnsi="宋体" w:cs="宋体"/>
          <w:color w:val="auto"/>
          <w:szCs w:val="21"/>
          <w:highlight w:val="none"/>
        </w:rPr>
        <w:t>国家法律、行政法规和规章制度规定或合同约定的作为合同组成部分的其他文件</w:t>
      </w:r>
      <w:r>
        <w:rPr>
          <w:rFonts w:hint="eastAsia" w:ascii="宋体" w:hAnsi="宋体"/>
          <w:color w:val="auto"/>
          <w:szCs w:val="21"/>
          <w:highlight w:val="none"/>
        </w:rPr>
        <w:t>。</w:t>
      </w:r>
    </w:p>
    <w:p w14:paraId="750067FF">
      <w:pPr>
        <w:tabs>
          <w:tab w:val="left" w:pos="570"/>
          <w:tab w:val="left" w:pos="9240"/>
          <w:tab w:val="left" w:pos="9555"/>
        </w:tabs>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（2）“合同价款”系指根据本合同规定乙方在全面履行合同义务后甲方应支付给乙方的价款。</w:t>
      </w:r>
    </w:p>
    <w:p w14:paraId="3EF47F6D">
      <w:pPr>
        <w:tabs>
          <w:tab w:val="left" w:pos="570"/>
          <w:tab w:val="left" w:pos="9240"/>
          <w:tab w:val="left" w:pos="9555"/>
        </w:tabs>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（3）“货物”系指乙方根据本合同规定须向甲方提供的各种形态和种类的物品，包括原材料、设备、产品（包括软件）及相关的其备品备件、工具、手册及</w:t>
      </w:r>
      <w:r>
        <w:rPr>
          <w:rFonts w:ascii="宋体" w:hAnsi="宋体"/>
          <w:color w:val="auto"/>
          <w:szCs w:val="21"/>
          <w:highlight w:val="none"/>
        </w:rPr>
        <w:t>其他</w:t>
      </w:r>
      <w:r>
        <w:rPr>
          <w:rFonts w:hint="eastAsia" w:ascii="宋体" w:hAnsi="宋体"/>
          <w:color w:val="auto"/>
          <w:szCs w:val="21"/>
          <w:highlight w:val="none"/>
        </w:rPr>
        <w:t>技术资料和材料等。</w:t>
      </w:r>
    </w:p>
    <w:p w14:paraId="244C0FAE">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（4）“相关服务”系指根据合同规定，乙方应提供的与货物有关的技术、管理和</w:t>
      </w:r>
      <w:r>
        <w:rPr>
          <w:rFonts w:ascii="宋体" w:hAnsi="宋体"/>
          <w:color w:val="auto"/>
          <w:szCs w:val="21"/>
          <w:highlight w:val="none"/>
        </w:rPr>
        <w:t>其他</w:t>
      </w:r>
      <w:r>
        <w:rPr>
          <w:rFonts w:hint="eastAsia" w:ascii="宋体" w:hAnsi="宋体"/>
          <w:color w:val="auto"/>
          <w:szCs w:val="21"/>
          <w:highlight w:val="none"/>
        </w:rPr>
        <w:t>服务，包括但不限于：管理和质量保证、运输、保险、检验、现场准备、安装、集成、调试、培训、维修、废弃处置、技术支持等以及合同中规定乙方应承担的</w:t>
      </w:r>
      <w:r>
        <w:rPr>
          <w:rFonts w:ascii="宋体" w:hAnsi="宋体"/>
          <w:color w:val="auto"/>
          <w:szCs w:val="21"/>
          <w:highlight w:val="none"/>
        </w:rPr>
        <w:t>其他</w:t>
      </w:r>
      <w:r>
        <w:rPr>
          <w:rFonts w:hint="eastAsia" w:ascii="宋体" w:hAnsi="宋体"/>
          <w:color w:val="auto"/>
          <w:szCs w:val="21"/>
          <w:highlight w:val="none"/>
        </w:rPr>
        <w:t>义务。</w:t>
      </w:r>
    </w:p>
    <w:p w14:paraId="5E93A08C">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（5）“分包”系指中标（成交）供应商按采购文件、投标（响应）文件的规定，根据分包意向协议，将中标（成交）项目中的部分履约内容，分给具有相应资质条件的供应商履行合同的行为。</w:t>
      </w:r>
    </w:p>
    <w:p w14:paraId="0927D3E5">
      <w:pPr>
        <w:tabs>
          <w:tab w:val="left" w:pos="570"/>
          <w:tab w:val="left" w:pos="9240"/>
          <w:tab w:val="left" w:pos="9555"/>
        </w:tabs>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6）“联合体”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color w:val="auto"/>
          <w:szCs w:val="21"/>
          <w:highlight w:val="none"/>
        </w:rPr>
        <w:t>政府采购合同专用条款</w:t>
      </w:r>
      <w:r>
        <w:rPr>
          <w:rFonts w:hint="eastAsia" w:ascii="宋体" w:hAnsi="宋体"/>
          <w:color w:val="auto"/>
          <w:szCs w:val="21"/>
          <w:highlight w:val="none"/>
        </w:rPr>
        <w:t>】。</w:t>
      </w:r>
    </w:p>
    <w:p w14:paraId="6E977132">
      <w:pPr>
        <w:tabs>
          <w:tab w:val="left" w:pos="570"/>
          <w:tab w:val="left" w:pos="9240"/>
          <w:tab w:val="left" w:pos="9555"/>
        </w:tabs>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（7）其他术语解释，见【</w:t>
      </w:r>
      <w:r>
        <w:rPr>
          <w:rFonts w:hint="eastAsia" w:ascii="宋体" w:hAnsi="宋体"/>
          <w:b/>
          <w:bCs/>
          <w:color w:val="auto"/>
          <w:szCs w:val="21"/>
          <w:highlight w:val="none"/>
        </w:rPr>
        <w:t>政府采购合同专用条款</w:t>
      </w:r>
      <w:r>
        <w:rPr>
          <w:rFonts w:hint="eastAsia" w:ascii="宋体" w:hAnsi="宋体"/>
          <w:color w:val="auto"/>
          <w:szCs w:val="21"/>
          <w:highlight w:val="none"/>
        </w:rPr>
        <w:t>】。</w:t>
      </w:r>
    </w:p>
    <w:p w14:paraId="470D3C67">
      <w:pPr>
        <w:numPr>
          <w:ilvl w:val="0"/>
          <w:numId w:val="13"/>
        </w:numPr>
        <w:autoSpaceDE w:val="0"/>
        <w:autoSpaceDN w:val="0"/>
        <w:adjustRightInd w:val="0"/>
        <w:snapToGrid w:val="0"/>
        <w:spacing w:line="400" w:lineRule="exact"/>
        <w:ind w:firstLine="480" w:firstLineChars="200"/>
        <w:jc w:val="left"/>
        <w:rPr>
          <w:rFonts w:ascii="宋体" w:hAnsi="宋体"/>
          <w:b/>
          <w:bCs/>
          <w:color w:val="auto"/>
          <w:sz w:val="24"/>
          <w:highlight w:val="none"/>
        </w:rPr>
      </w:pPr>
      <w:r>
        <w:rPr>
          <w:rFonts w:hint="eastAsia" w:ascii="宋体" w:hAnsi="宋体"/>
          <w:b/>
          <w:color w:val="auto"/>
          <w:sz w:val="24"/>
          <w:highlight w:val="none"/>
        </w:rPr>
        <w:t>合同标的及金额</w:t>
      </w:r>
    </w:p>
    <w:p w14:paraId="209C5565">
      <w:pPr>
        <w:autoSpaceDE w:val="0"/>
        <w:autoSpaceDN w:val="0"/>
        <w:adjustRightInd w:val="0"/>
        <w:snapToGrid w:val="0"/>
        <w:spacing w:line="400" w:lineRule="exact"/>
        <w:ind w:firstLine="420" w:firstLineChars="200"/>
        <w:jc w:val="left"/>
        <w:rPr>
          <w:rFonts w:ascii="宋体" w:hAnsi="宋体"/>
          <w:b/>
          <w:bCs/>
          <w:i/>
          <w:iCs/>
          <w:color w:val="auto"/>
          <w:szCs w:val="21"/>
          <w:highlight w:val="none"/>
        </w:rPr>
      </w:pPr>
      <w:r>
        <w:rPr>
          <w:rFonts w:hint="eastAsia" w:ascii="宋体" w:hAnsi="宋体"/>
          <w:color w:val="auto"/>
          <w:szCs w:val="21"/>
          <w:highlight w:val="none"/>
        </w:rPr>
        <w:t>2.1 合同标的及金额应与中标（成交）结果一致。乙方为履行本合同而发生的所有费用均应包含在合同价款中，甲方不再另行支付</w:t>
      </w:r>
      <w:r>
        <w:rPr>
          <w:rFonts w:ascii="宋体" w:hAnsi="宋体"/>
          <w:color w:val="auto"/>
          <w:szCs w:val="21"/>
          <w:highlight w:val="none"/>
        </w:rPr>
        <w:t>其他</w:t>
      </w:r>
      <w:r>
        <w:rPr>
          <w:rFonts w:hint="eastAsia" w:ascii="宋体" w:hAnsi="宋体"/>
          <w:color w:val="auto"/>
          <w:szCs w:val="21"/>
          <w:highlight w:val="none"/>
        </w:rPr>
        <w:t>任何费用。</w:t>
      </w:r>
    </w:p>
    <w:p w14:paraId="2B9F9796">
      <w:pPr>
        <w:adjustRightInd w:val="0"/>
        <w:snapToGrid w:val="0"/>
        <w:spacing w:line="400" w:lineRule="exact"/>
        <w:ind w:firstLine="480" w:firstLineChars="200"/>
        <w:jc w:val="left"/>
        <w:rPr>
          <w:rFonts w:ascii="宋体" w:hAnsi="宋体"/>
          <w:b/>
          <w:color w:val="auto"/>
          <w:sz w:val="24"/>
          <w:highlight w:val="none"/>
        </w:rPr>
      </w:pPr>
      <w:r>
        <w:rPr>
          <w:rFonts w:hint="eastAsia" w:ascii="宋体" w:hAnsi="宋体"/>
          <w:b/>
          <w:color w:val="auto"/>
          <w:sz w:val="24"/>
          <w:highlight w:val="none"/>
        </w:rPr>
        <w:t>3. 履行合同的时间、地点和方式</w:t>
      </w:r>
    </w:p>
    <w:p w14:paraId="08AC6EA3">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3.1 </w:t>
      </w:r>
      <w:r>
        <w:rPr>
          <w:rFonts w:hint="eastAsia" w:ascii="宋体" w:hAnsi="宋体" w:cs="宋体"/>
          <w:color w:val="auto"/>
          <w:szCs w:val="21"/>
          <w:highlight w:val="none"/>
        </w:rPr>
        <w:t>乙方应当在约定的时间、地点，按照约定方式履行合同。</w:t>
      </w:r>
    </w:p>
    <w:p w14:paraId="0F66E79D">
      <w:pPr>
        <w:autoSpaceDE w:val="0"/>
        <w:autoSpaceDN w:val="0"/>
        <w:adjustRightInd w:val="0"/>
        <w:snapToGrid w:val="0"/>
        <w:spacing w:line="400" w:lineRule="exact"/>
        <w:ind w:firstLine="480" w:firstLineChars="200"/>
        <w:jc w:val="left"/>
        <w:rPr>
          <w:rFonts w:ascii="宋体" w:hAnsi="宋体"/>
          <w:b/>
          <w:bCs/>
          <w:color w:val="auto"/>
          <w:sz w:val="24"/>
          <w:highlight w:val="none"/>
        </w:rPr>
      </w:pPr>
      <w:r>
        <w:rPr>
          <w:rFonts w:hint="eastAsia" w:ascii="宋体" w:hAnsi="宋体"/>
          <w:b/>
          <w:bCs/>
          <w:color w:val="auto"/>
          <w:sz w:val="24"/>
          <w:highlight w:val="none"/>
        </w:rPr>
        <w:t>4. 甲方的权利和义务</w:t>
      </w:r>
    </w:p>
    <w:p w14:paraId="0EDE3414">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4.1</w:t>
      </w:r>
      <w:r>
        <w:rPr>
          <w:rFonts w:ascii="宋体" w:hAnsi="宋体"/>
          <w:color w:val="auto"/>
          <w:szCs w:val="21"/>
          <w:highlight w:val="none"/>
        </w:rPr>
        <w:t xml:space="preserve"> 签署合同后，甲方</w:t>
      </w:r>
      <w:r>
        <w:rPr>
          <w:rFonts w:hint="eastAsia" w:ascii="宋体" w:hAnsi="宋体"/>
          <w:color w:val="auto"/>
          <w:szCs w:val="21"/>
          <w:highlight w:val="none"/>
        </w:rPr>
        <w:t>应</w:t>
      </w:r>
      <w:r>
        <w:rPr>
          <w:rFonts w:ascii="宋体" w:hAnsi="宋体"/>
          <w:color w:val="auto"/>
          <w:szCs w:val="21"/>
          <w:highlight w:val="none"/>
        </w:rPr>
        <w:t>确定</w:t>
      </w:r>
      <w:r>
        <w:rPr>
          <w:rFonts w:hint="eastAsia" w:ascii="宋体" w:hAnsi="宋体"/>
          <w:color w:val="auto"/>
          <w:szCs w:val="21"/>
          <w:highlight w:val="none"/>
        </w:rPr>
        <w:t>项目负责人（或项目联系人）</w:t>
      </w:r>
      <w:r>
        <w:rPr>
          <w:rFonts w:ascii="宋体" w:hAnsi="宋体"/>
          <w:color w:val="auto"/>
          <w:szCs w:val="21"/>
          <w:highlight w:val="none"/>
        </w:rPr>
        <w:t>，负责与本合同有关的事务。</w:t>
      </w:r>
      <w:r>
        <w:rPr>
          <w:rFonts w:hint="eastAsia" w:ascii="宋体" w:hAnsi="宋体"/>
          <w:color w:val="auto"/>
          <w:szCs w:val="21"/>
          <w:highlight w:val="none"/>
        </w:rPr>
        <w:t>甲方有权对乙方的履约行为进行检查，并</w:t>
      </w:r>
      <w:r>
        <w:rPr>
          <w:rFonts w:ascii="宋体" w:hAnsi="宋体"/>
          <w:color w:val="auto"/>
          <w:szCs w:val="21"/>
          <w:highlight w:val="none"/>
        </w:rPr>
        <w:t>及时确认乙方提交的事项</w:t>
      </w:r>
      <w:r>
        <w:rPr>
          <w:rFonts w:hint="eastAsia" w:ascii="宋体" w:hAnsi="宋体"/>
          <w:color w:val="auto"/>
          <w:szCs w:val="21"/>
          <w:highlight w:val="none"/>
        </w:rPr>
        <w:t>。甲方应当</w:t>
      </w:r>
      <w:r>
        <w:rPr>
          <w:rFonts w:ascii="宋体" w:hAnsi="宋体"/>
          <w:color w:val="auto"/>
          <w:szCs w:val="21"/>
          <w:highlight w:val="none"/>
        </w:rPr>
        <w:t>配合乙方完成</w:t>
      </w:r>
      <w:r>
        <w:rPr>
          <w:rFonts w:hint="eastAsia" w:ascii="宋体" w:hAnsi="宋体"/>
          <w:color w:val="auto"/>
          <w:szCs w:val="21"/>
          <w:highlight w:val="none"/>
        </w:rPr>
        <w:t>相关项目</w:t>
      </w:r>
      <w:r>
        <w:rPr>
          <w:rFonts w:ascii="宋体" w:hAnsi="宋体"/>
          <w:color w:val="auto"/>
          <w:szCs w:val="21"/>
          <w:highlight w:val="none"/>
        </w:rPr>
        <w:t>实施工作。</w:t>
      </w:r>
    </w:p>
    <w:p w14:paraId="7DDFD13C">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4.2 </w:t>
      </w:r>
      <w:r>
        <w:rPr>
          <w:rFonts w:ascii="宋体" w:hAnsi="宋体"/>
          <w:color w:val="auto"/>
          <w:szCs w:val="21"/>
          <w:highlight w:val="none"/>
        </w:rPr>
        <w:t>甲方有权要求乙方按时提交各阶段有关</w:t>
      </w:r>
      <w:r>
        <w:rPr>
          <w:rFonts w:hint="eastAsia" w:ascii="宋体" w:hAnsi="宋体"/>
          <w:color w:val="auto"/>
          <w:szCs w:val="21"/>
          <w:highlight w:val="none"/>
        </w:rPr>
        <w:t>安排计划</w:t>
      </w:r>
      <w:r>
        <w:rPr>
          <w:rFonts w:ascii="宋体" w:hAnsi="宋体"/>
          <w:color w:val="auto"/>
          <w:szCs w:val="21"/>
          <w:highlight w:val="none"/>
        </w:rPr>
        <w:t>，并有权</w:t>
      </w:r>
      <w:r>
        <w:rPr>
          <w:rFonts w:hint="eastAsia" w:ascii="宋体" w:hAnsi="宋体"/>
          <w:color w:val="auto"/>
          <w:szCs w:val="21"/>
          <w:highlight w:val="none"/>
        </w:rPr>
        <w:t>定期核对乙方提供货物数量、规格、质量等内容。甲方</w:t>
      </w:r>
      <w:r>
        <w:rPr>
          <w:rFonts w:ascii="宋体" w:hAnsi="宋体"/>
          <w:color w:val="auto"/>
          <w:szCs w:val="21"/>
          <w:highlight w:val="none"/>
        </w:rPr>
        <w:t>有权督促乙方工作并要求乙方</w:t>
      </w:r>
      <w:r>
        <w:rPr>
          <w:rFonts w:hint="eastAsia" w:ascii="宋体" w:hAnsi="宋体"/>
          <w:color w:val="auto"/>
          <w:szCs w:val="21"/>
          <w:highlight w:val="none"/>
        </w:rPr>
        <w:t>更</w:t>
      </w:r>
      <w:r>
        <w:rPr>
          <w:rFonts w:ascii="宋体" w:hAnsi="宋体"/>
          <w:color w:val="auto"/>
          <w:szCs w:val="21"/>
          <w:highlight w:val="none"/>
        </w:rPr>
        <w:t>换不符合要求的</w:t>
      </w:r>
      <w:r>
        <w:rPr>
          <w:rFonts w:hint="eastAsia" w:ascii="宋体" w:hAnsi="宋体"/>
          <w:color w:val="auto"/>
          <w:szCs w:val="21"/>
          <w:highlight w:val="none"/>
        </w:rPr>
        <w:t>货物</w:t>
      </w:r>
      <w:r>
        <w:rPr>
          <w:rFonts w:ascii="宋体" w:hAnsi="宋体"/>
          <w:color w:val="auto"/>
          <w:szCs w:val="21"/>
          <w:highlight w:val="none"/>
        </w:rPr>
        <w:t>。</w:t>
      </w:r>
    </w:p>
    <w:p w14:paraId="4CA13127">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w:t>
      </w:r>
      <w:r>
        <w:rPr>
          <w:rFonts w:ascii="宋体" w:hAnsi="宋体"/>
          <w:color w:val="auto"/>
          <w:szCs w:val="21"/>
          <w:highlight w:val="none"/>
        </w:rPr>
        <w:t>3甲方</w:t>
      </w:r>
      <w:r>
        <w:rPr>
          <w:rFonts w:hint="eastAsia" w:ascii="宋体" w:hAnsi="宋体"/>
          <w:color w:val="auto"/>
          <w:szCs w:val="21"/>
          <w:highlight w:val="none"/>
        </w:rPr>
        <w:t>有权要求乙方对缺陷部分予以修复，并按合同约定享有货物保修及其他合同约定的权利。</w:t>
      </w:r>
    </w:p>
    <w:p w14:paraId="4077ACA1">
      <w:pPr>
        <w:snapToGrid w:val="0"/>
        <w:spacing w:line="400" w:lineRule="exact"/>
        <w:ind w:firstLine="420" w:firstLineChars="200"/>
        <w:rPr>
          <w:rFonts w:eastAsia="华文楷体"/>
          <w:color w:val="auto"/>
          <w:highlight w:val="none"/>
        </w:rPr>
      </w:pPr>
      <w:r>
        <w:rPr>
          <w:rFonts w:ascii="宋体" w:hAnsi="宋体"/>
          <w:color w:val="auto"/>
          <w:szCs w:val="21"/>
          <w:highlight w:val="none"/>
        </w:rPr>
        <w:t>4.4 甲方应当按照合同约定及时对交付的货物进行验收</w:t>
      </w:r>
      <w:r>
        <w:rPr>
          <w:rFonts w:hint="eastAsia" w:ascii="宋体" w:hAnsi="宋体"/>
          <w:color w:val="auto"/>
          <w:szCs w:val="21"/>
          <w:highlight w:val="none"/>
        </w:rPr>
        <w:t>，</w:t>
      </w:r>
      <w:r>
        <w:rPr>
          <w:rFonts w:hint="eastAsia" w:ascii="宋体" w:hAnsi="宋体" w:cs="宋体"/>
          <w:color w:val="auto"/>
          <w:szCs w:val="21"/>
          <w:highlight w:val="none"/>
        </w:rPr>
        <w:t>未</w:t>
      </w:r>
      <w:r>
        <w:rPr>
          <w:rFonts w:hint="eastAsia" w:ascii="宋体" w:hAnsi="宋体"/>
          <w:color w:val="auto"/>
          <w:szCs w:val="21"/>
          <w:highlight w:val="none"/>
        </w:rPr>
        <w:t>在</w:t>
      </w:r>
      <w:r>
        <w:rPr>
          <w:rFonts w:hint="eastAsia" w:ascii="宋体" w:hAnsi="宋体" w:cs="宋体"/>
          <w:b/>
          <w:bCs/>
          <w:color w:val="auto"/>
          <w:szCs w:val="21"/>
          <w:highlight w:val="none"/>
        </w:rPr>
        <w:t>【政府采购合同专用条款】</w:t>
      </w:r>
      <w:r>
        <w:rPr>
          <w:rFonts w:hint="eastAsia" w:ascii="宋体" w:hAnsi="宋体" w:cs="宋体"/>
          <w:color w:val="auto"/>
          <w:szCs w:val="21"/>
          <w:highlight w:val="none"/>
        </w:rPr>
        <w:t>约定的期限内对乙方履约提出任何异议或者向乙方作出任何说明的，</w:t>
      </w:r>
      <w:r>
        <w:rPr>
          <w:rFonts w:hint="eastAsia" w:ascii="宋体" w:hAnsi="宋体"/>
          <w:color w:val="auto"/>
          <w:szCs w:val="21"/>
          <w:highlight w:val="none"/>
        </w:rPr>
        <w:t>视为验收通过。</w:t>
      </w:r>
    </w:p>
    <w:p w14:paraId="473D4896">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ascii="宋体" w:hAnsi="宋体"/>
          <w:color w:val="auto"/>
          <w:szCs w:val="21"/>
          <w:highlight w:val="none"/>
        </w:rPr>
        <w:t>4</w:t>
      </w:r>
      <w:r>
        <w:rPr>
          <w:rFonts w:hint="eastAsia" w:ascii="宋体" w:hAnsi="宋体"/>
          <w:color w:val="auto"/>
          <w:szCs w:val="21"/>
          <w:highlight w:val="none"/>
        </w:rPr>
        <w:t>.</w:t>
      </w:r>
      <w:r>
        <w:rPr>
          <w:rFonts w:ascii="宋体" w:hAnsi="宋体"/>
          <w:color w:val="auto"/>
          <w:szCs w:val="21"/>
          <w:highlight w:val="none"/>
        </w:rPr>
        <w:t>5</w:t>
      </w:r>
      <w:r>
        <w:rPr>
          <w:rFonts w:hint="eastAsia" w:ascii="宋体" w:hAnsi="宋体"/>
          <w:color w:val="auto"/>
          <w:szCs w:val="21"/>
          <w:highlight w:val="none"/>
        </w:rPr>
        <w:t>甲方应当根据合同约定及时向乙方支付合同价款</w:t>
      </w:r>
      <w:r>
        <w:rPr>
          <w:rFonts w:ascii="宋体" w:hAnsi="宋体"/>
          <w:color w:val="auto"/>
          <w:szCs w:val="21"/>
          <w:highlight w:val="none"/>
        </w:rPr>
        <w:t>，不得以内部人员变更、履行内部付款流程等为由，拒绝或迟延支付。</w:t>
      </w:r>
    </w:p>
    <w:p w14:paraId="36328AAE">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4.6国家法律法规规定及</w:t>
      </w:r>
      <w:r>
        <w:rPr>
          <w:rFonts w:hint="eastAsia" w:ascii="宋体" w:hAnsi="宋体" w:cs="宋体"/>
          <w:b/>
          <w:bCs/>
          <w:color w:val="auto"/>
          <w:szCs w:val="21"/>
          <w:highlight w:val="none"/>
        </w:rPr>
        <w:t>【政府采购合同专用条款】</w:t>
      </w:r>
      <w:r>
        <w:rPr>
          <w:rFonts w:hint="eastAsia" w:ascii="宋体" w:hAnsi="宋体"/>
          <w:color w:val="auto"/>
          <w:szCs w:val="21"/>
          <w:highlight w:val="none"/>
        </w:rPr>
        <w:t>约定应由甲方承担的其他义务和责任。</w:t>
      </w:r>
    </w:p>
    <w:p w14:paraId="6994CAF4">
      <w:pPr>
        <w:autoSpaceDE w:val="0"/>
        <w:autoSpaceDN w:val="0"/>
        <w:adjustRightInd w:val="0"/>
        <w:snapToGrid w:val="0"/>
        <w:spacing w:line="400" w:lineRule="exact"/>
        <w:ind w:firstLine="480" w:firstLineChars="200"/>
        <w:jc w:val="left"/>
        <w:rPr>
          <w:rFonts w:ascii="宋体" w:hAnsi="宋体"/>
          <w:b/>
          <w:bCs/>
          <w:color w:val="auto"/>
          <w:sz w:val="24"/>
          <w:highlight w:val="none"/>
        </w:rPr>
      </w:pPr>
      <w:r>
        <w:rPr>
          <w:rFonts w:hint="eastAsia" w:ascii="宋体" w:hAnsi="宋体"/>
          <w:b/>
          <w:bCs/>
          <w:color w:val="auto"/>
          <w:sz w:val="24"/>
          <w:highlight w:val="none"/>
        </w:rPr>
        <w:t>5. 乙方的权利和义务</w:t>
      </w:r>
    </w:p>
    <w:p w14:paraId="4E10947C">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5.1 </w:t>
      </w:r>
      <w:r>
        <w:rPr>
          <w:rFonts w:ascii="宋体" w:hAnsi="宋体"/>
          <w:color w:val="auto"/>
          <w:szCs w:val="21"/>
          <w:highlight w:val="none"/>
        </w:rPr>
        <w:t>签署合同后，乙方</w:t>
      </w:r>
      <w:r>
        <w:rPr>
          <w:rFonts w:hint="eastAsia" w:ascii="宋体" w:hAnsi="宋体"/>
          <w:color w:val="auto"/>
          <w:szCs w:val="21"/>
          <w:highlight w:val="none"/>
        </w:rPr>
        <w:t>应</w:t>
      </w:r>
      <w:r>
        <w:rPr>
          <w:rFonts w:ascii="宋体" w:hAnsi="宋体"/>
          <w:color w:val="auto"/>
          <w:szCs w:val="21"/>
          <w:highlight w:val="none"/>
        </w:rPr>
        <w:t>确定</w:t>
      </w:r>
      <w:r>
        <w:rPr>
          <w:rFonts w:hint="eastAsia" w:ascii="宋体" w:hAnsi="宋体"/>
          <w:color w:val="auto"/>
          <w:szCs w:val="21"/>
          <w:highlight w:val="none"/>
        </w:rPr>
        <w:t>项目负责人（或项目联系人）</w:t>
      </w:r>
      <w:r>
        <w:rPr>
          <w:rFonts w:ascii="宋体" w:hAnsi="宋体"/>
          <w:color w:val="auto"/>
          <w:szCs w:val="21"/>
          <w:highlight w:val="none"/>
        </w:rPr>
        <w:t>，负责与本合同有关的事务。</w:t>
      </w:r>
    </w:p>
    <w:p w14:paraId="7BB7496B">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5.</w:t>
      </w:r>
      <w:r>
        <w:rPr>
          <w:rFonts w:ascii="宋体" w:hAnsi="宋体"/>
          <w:color w:val="auto"/>
          <w:szCs w:val="21"/>
          <w:highlight w:val="none"/>
        </w:rPr>
        <w:t>2 乙方应按照合同要求</w:t>
      </w:r>
      <w:r>
        <w:rPr>
          <w:rFonts w:hint="eastAsia" w:ascii="宋体" w:hAnsi="宋体"/>
          <w:color w:val="auto"/>
          <w:szCs w:val="21"/>
          <w:highlight w:val="none"/>
        </w:rPr>
        <w:t>履约</w:t>
      </w:r>
      <w:r>
        <w:rPr>
          <w:rFonts w:ascii="宋体" w:hAnsi="宋体"/>
          <w:color w:val="auto"/>
          <w:szCs w:val="21"/>
          <w:highlight w:val="none"/>
        </w:rPr>
        <w:t>，充分合理安排，确保</w:t>
      </w:r>
      <w:r>
        <w:rPr>
          <w:rFonts w:hint="eastAsia" w:ascii="宋体" w:hAnsi="宋体"/>
          <w:color w:val="auto"/>
          <w:szCs w:val="21"/>
          <w:highlight w:val="none"/>
        </w:rPr>
        <w:t>提供的货物及相关服务符合合同有关</w:t>
      </w:r>
      <w:r>
        <w:rPr>
          <w:rFonts w:ascii="宋体" w:hAnsi="宋体"/>
          <w:color w:val="auto"/>
          <w:szCs w:val="21"/>
          <w:highlight w:val="none"/>
        </w:rPr>
        <w:t>要求</w:t>
      </w:r>
      <w:r>
        <w:rPr>
          <w:rFonts w:hint="eastAsia" w:ascii="宋体" w:hAnsi="宋体"/>
          <w:color w:val="auto"/>
          <w:szCs w:val="21"/>
          <w:highlight w:val="none"/>
        </w:rPr>
        <w:t>。接受项目行业管理部门及政府有关部门的指导，配合甲方的履约检查及验收，并</w:t>
      </w:r>
      <w:r>
        <w:rPr>
          <w:rFonts w:ascii="宋体" w:hAnsi="宋体"/>
          <w:color w:val="auto"/>
          <w:szCs w:val="21"/>
          <w:highlight w:val="none"/>
        </w:rPr>
        <w:t>负责项目实施过程中的所有协调工作。</w:t>
      </w:r>
    </w:p>
    <w:p w14:paraId="330C4E1A">
      <w:pPr>
        <w:pStyle w:val="6"/>
        <w:spacing w:line="400" w:lineRule="exact"/>
        <w:ind w:firstLine="400" w:firstLineChars="200"/>
        <w:rPr>
          <w:rFonts w:ascii="宋体" w:cs="宋体"/>
          <w:color w:val="auto"/>
          <w:szCs w:val="21"/>
          <w:highlight w:val="none"/>
        </w:rPr>
      </w:pPr>
      <w:r>
        <w:rPr>
          <w:rFonts w:hint="eastAsia" w:ascii="宋体"/>
          <w:color w:val="auto"/>
          <w:szCs w:val="21"/>
          <w:highlight w:val="none"/>
        </w:rPr>
        <w:t>5.</w:t>
      </w:r>
      <w:r>
        <w:rPr>
          <w:rFonts w:ascii="宋体"/>
          <w:color w:val="auto"/>
          <w:szCs w:val="21"/>
          <w:highlight w:val="none"/>
        </w:rPr>
        <w:t>3</w:t>
      </w:r>
      <w:r>
        <w:rPr>
          <w:rFonts w:hint="eastAsia" w:ascii="宋体"/>
          <w:color w:val="auto"/>
          <w:szCs w:val="21"/>
          <w:highlight w:val="none"/>
        </w:rPr>
        <w:t>乙方有权</w:t>
      </w:r>
      <w:r>
        <w:rPr>
          <w:rFonts w:hint="eastAsia" w:ascii="宋体" w:cs="宋体"/>
          <w:color w:val="auto"/>
          <w:szCs w:val="21"/>
          <w:highlight w:val="none"/>
        </w:rPr>
        <w:t>根据合同约定向甲方收取合同价款。</w:t>
      </w:r>
    </w:p>
    <w:p w14:paraId="2FB176B1">
      <w:pPr>
        <w:pStyle w:val="6"/>
        <w:spacing w:line="400" w:lineRule="exact"/>
        <w:ind w:firstLine="400" w:firstLineChars="200"/>
        <w:rPr>
          <w:rFonts w:ascii="宋体" w:cs="宋体"/>
          <w:color w:val="auto"/>
          <w:szCs w:val="21"/>
          <w:highlight w:val="none"/>
        </w:rPr>
      </w:pPr>
      <w:r>
        <w:rPr>
          <w:rFonts w:hint="eastAsia" w:ascii="宋体"/>
          <w:color w:val="auto"/>
          <w:szCs w:val="21"/>
          <w:highlight w:val="none"/>
        </w:rPr>
        <w:t>5.</w:t>
      </w:r>
      <w:r>
        <w:rPr>
          <w:rFonts w:ascii="宋体"/>
          <w:color w:val="auto"/>
          <w:szCs w:val="21"/>
          <w:highlight w:val="none"/>
        </w:rPr>
        <w:t>4</w:t>
      </w:r>
      <w:r>
        <w:rPr>
          <w:rFonts w:hint="eastAsia" w:ascii="宋体" w:cs="宋体"/>
          <w:color w:val="auto"/>
          <w:szCs w:val="21"/>
          <w:highlight w:val="none"/>
        </w:rPr>
        <w:t>国家法律法规规定</w:t>
      </w:r>
      <w:r>
        <w:rPr>
          <w:rFonts w:hint="eastAsia" w:ascii="宋体"/>
          <w:color w:val="auto"/>
          <w:szCs w:val="21"/>
          <w:highlight w:val="none"/>
        </w:rPr>
        <w:t>及</w:t>
      </w:r>
      <w:r>
        <w:rPr>
          <w:rFonts w:hint="eastAsia" w:ascii="宋体" w:eastAsia="宋体" w:cs="宋体"/>
          <w:b/>
          <w:bCs/>
          <w:color w:val="auto"/>
          <w:szCs w:val="21"/>
          <w:highlight w:val="none"/>
        </w:rPr>
        <w:t>【政府采购合同专用条款】</w:t>
      </w:r>
      <w:r>
        <w:rPr>
          <w:rFonts w:hint="eastAsia" w:ascii="宋体" w:cs="宋体"/>
          <w:color w:val="auto"/>
          <w:szCs w:val="21"/>
          <w:highlight w:val="none"/>
        </w:rPr>
        <w:t>约定应由乙方承担的其他义务和责任。</w:t>
      </w:r>
    </w:p>
    <w:p w14:paraId="4734A4B4">
      <w:pPr>
        <w:numPr>
          <w:ilvl w:val="0"/>
          <w:numId w:val="14"/>
        </w:numPr>
        <w:autoSpaceDE w:val="0"/>
        <w:autoSpaceDN w:val="0"/>
        <w:adjustRightInd w:val="0"/>
        <w:snapToGrid w:val="0"/>
        <w:spacing w:line="400" w:lineRule="exact"/>
        <w:ind w:firstLine="480" w:firstLineChars="200"/>
        <w:jc w:val="left"/>
        <w:rPr>
          <w:rFonts w:ascii="宋体" w:hAnsi="宋体"/>
          <w:b/>
          <w:bCs/>
          <w:color w:val="auto"/>
          <w:sz w:val="24"/>
          <w:highlight w:val="none"/>
        </w:rPr>
      </w:pPr>
      <w:r>
        <w:rPr>
          <w:rFonts w:hint="eastAsia" w:ascii="宋体" w:hAnsi="宋体"/>
          <w:b/>
          <w:bCs/>
          <w:color w:val="auto"/>
          <w:sz w:val="24"/>
          <w:highlight w:val="none"/>
        </w:rPr>
        <w:t>合同履行</w:t>
      </w:r>
    </w:p>
    <w:p w14:paraId="2434FCFA">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6.1 甲乙双方应当按照</w:t>
      </w:r>
      <w:r>
        <w:rPr>
          <w:rFonts w:hint="eastAsia" w:ascii="宋体" w:hAnsi="宋体" w:cs="宋体"/>
          <w:b/>
          <w:bCs/>
          <w:color w:val="auto"/>
          <w:szCs w:val="21"/>
          <w:highlight w:val="none"/>
        </w:rPr>
        <w:t>【政府采购合同专用条款】</w:t>
      </w:r>
      <w:r>
        <w:rPr>
          <w:rFonts w:hint="eastAsia" w:ascii="宋体" w:hAnsi="宋体"/>
          <w:color w:val="auto"/>
          <w:szCs w:val="21"/>
          <w:highlight w:val="none"/>
        </w:rPr>
        <w:t>约定顺序履行合同义务；如果没有先后顺序的，应当同时履行。</w:t>
      </w:r>
    </w:p>
    <w:p w14:paraId="1A678524">
      <w:pPr>
        <w:autoSpaceDE w:val="0"/>
        <w:autoSpaceDN w:val="0"/>
        <w:adjustRightInd w:val="0"/>
        <w:snapToGrid w:val="0"/>
        <w:spacing w:line="400" w:lineRule="exact"/>
        <w:ind w:firstLine="420" w:firstLineChars="200"/>
        <w:jc w:val="left"/>
        <w:rPr>
          <w:color w:val="auto"/>
          <w:highlight w:val="none"/>
        </w:rPr>
      </w:pPr>
      <w:r>
        <w:rPr>
          <w:rFonts w:hint="eastAsia" w:ascii="宋体" w:hAnsi="宋体"/>
          <w:color w:val="auto"/>
          <w:szCs w:val="21"/>
          <w:highlight w:val="none"/>
        </w:rPr>
        <w:t>6.2 甲乙双方按照合同约定顺序履行合同义务时，应当先履行一方未履行的，后履行一方有权拒绝其履行请求。先履行一方履行不符合约定的，后履行一方有权拒绝其相应的履行请求。</w:t>
      </w:r>
    </w:p>
    <w:p w14:paraId="20B20792">
      <w:pPr>
        <w:adjustRightInd w:val="0"/>
        <w:snapToGrid w:val="0"/>
        <w:spacing w:line="400" w:lineRule="exact"/>
        <w:ind w:firstLine="480" w:firstLineChars="200"/>
        <w:jc w:val="left"/>
        <w:rPr>
          <w:rFonts w:ascii="宋体" w:hAnsi="宋体"/>
          <w:b/>
          <w:bCs/>
          <w:color w:val="auto"/>
          <w:sz w:val="24"/>
          <w:highlight w:val="none"/>
        </w:rPr>
      </w:pPr>
      <w:r>
        <w:rPr>
          <w:rFonts w:hint="eastAsia" w:ascii="宋体" w:hAnsi="宋体"/>
          <w:b/>
          <w:bCs/>
          <w:color w:val="auto"/>
          <w:sz w:val="24"/>
          <w:highlight w:val="none"/>
        </w:rPr>
        <w:t>7. 货物包装、运输、保险和交付要求</w:t>
      </w:r>
    </w:p>
    <w:p w14:paraId="18295624">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7.1 本合同</w:t>
      </w:r>
      <w:r>
        <w:rPr>
          <w:rFonts w:hint="eastAsia" w:ascii="宋体" w:hAnsi="宋体"/>
          <w:bCs/>
          <w:color w:val="auto"/>
          <w:szCs w:val="21"/>
          <w:highlight w:val="none"/>
        </w:rPr>
        <w:t>涉及商品包装、快递包装的，</w:t>
      </w:r>
      <w:r>
        <w:rPr>
          <w:rFonts w:hint="eastAsia" w:ascii="宋体" w:hAnsi="宋体"/>
          <w:color w:val="auto"/>
          <w:szCs w:val="21"/>
          <w:highlight w:val="none"/>
        </w:rPr>
        <w:t>除</w:t>
      </w:r>
      <w:r>
        <w:rPr>
          <w:rFonts w:hint="eastAsia" w:ascii="宋体" w:hAnsi="宋体"/>
          <w:b/>
          <w:color w:val="auto"/>
          <w:szCs w:val="21"/>
          <w:highlight w:val="none"/>
        </w:rPr>
        <w:t>【政府采购合同专用条款】</w:t>
      </w:r>
      <w:r>
        <w:rPr>
          <w:rFonts w:hint="eastAsia" w:ascii="宋体" w:hAnsi="宋体"/>
          <w:bCs/>
          <w:color w:val="auto"/>
          <w:szCs w:val="21"/>
          <w:highlight w:val="none"/>
        </w:rPr>
        <w:t>另有约定外，</w:t>
      </w:r>
      <w:r>
        <w:rPr>
          <w:rFonts w:hint="eastAsia" w:ascii="宋体" w:hAnsi="宋体"/>
          <w:color w:val="auto"/>
          <w:szCs w:val="21"/>
          <w:highlight w:val="none"/>
        </w:rPr>
        <w:t>包装应适应远距离运输、防潮、防震、防锈和防野蛮装卸等要求，确保货物安全无损地运抵</w:t>
      </w:r>
      <w:r>
        <w:rPr>
          <w:rFonts w:hint="eastAsia" w:ascii="宋体" w:hAnsi="宋体"/>
          <w:b/>
          <w:color w:val="auto"/>
          <w:szCs w:val="21"/>
          <w:highlight w:val="none"/>
        </w:rPr>
        <w:t>【政府采购合同专用条款】</w:t>
      </w:r>
      <w:r>
        <w:rPr>
          <w:rFonts w:hint="eastAsia" w:ascii="宋体" w:hAnsi="宋体"/>
          <w:bCs/>
          <w:color w:val="auto"/>
          <w:szCs w:val="21"/>
          <w:highlight w:val="none"/>
        </w:rPr>
        <w:t>约定的</w:t>
      </w:r>
      <w:r>
        <w:rPr>
          <w:rFonts w:hint="eastAsia" w:ascii="宋体" w:hAnsi="宋体"/>
          <w:color w:val="auto"/>
          <w:szCs w:val="21"/>
          <w:highlight w:val="none"/>
        </w:rPr>
        <w:t>指定现场。</w:t>
      </w:r>
    </w:p>
    <w:p w14:paraId="002F83C9">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7.2 除</w:t>
      </w:r>
      <w:r>
        <w:rPr>
          <w:rFonts w:hint="eastAsia" w:ascii="宋体" w:hAnsi="宋体"/>
          <w:b/>
          <w:color w:val="auto"/>
          <w:szCs w:val="21"/>
          <w:highlight w:val="none"/>
        </w:rPr>
        <w:t>【政府采购合同专用条款】</w:t>
      </w:r>
      <w:r>
        <w:rPr>
          <w:rFonts w:hint="eastAsia" w:ascii="宋体" w:hAnsi="宋体"/>
          <w:bCs/>
          <w:color w:val="auto"/>
          <w:szCs w:val="21"/>
          <w:highlight w:val="none"/>
        </w:rPr>
        <w:t>另有约定外，</w:t>
      </w:r>
      <w:r>
        <w:rPr>
          <w:rFonts w:hint="eastAsia" w:ascii="宋体" w:hAnsi="宋体"/>
          <w:color w:val="auto"/>
          <w:szCs w:val="21"/>
          <w:highlight w:val="none"/>
        </w:rPr>
        <w:t>乙方负责办理将货物运抵本合同规定的交货地点，并装卸、交付至甲方的一切运输事项，相关费用应包含在合同价款中。</w:t>
      </w:r>
    </w:p>
    <w:p w14:paraId="7B6B39D2">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7.3 货物保险要求按</w:t>
      </w:r>
      <w:r>
        <w:rPr>
          <w:rFonts w:hint="eastAsia" w:ascii="宋体" w:hAnsi="宋体"/>
          <w:b/>
          <w:color w:val="auto"/>
          <w:szCs w:val="21"/>
          <w:highlight w:val="none"/>
        </w:rPr>
        <w:t>【政府采购合同专用条款】</w:t>
      </w:r>
      <w:r>
        <w:rPr>
          <w:rFonts w:hint="eastAsia" w:ascii="宋体" w:hAnsi="宋体"/>
          <w:bCs/>
          <w:color w:val="auto"/>
          <w:szCs w:val="21"/>
          <w:highlight w:val="none"/>
        </w:rPr>
        <w:t>规定执行</w:t>
      </w:r>
      <w:r>
        <w:rPr>
          <w:rFonts w:hint="eastAsia" w:ascii="宋体" w:hAnsi="宋体"/>
          <w:color w:val="auto"/>
          <w:szCs w:val="21"/>
          <w:highlight w:val="none"/>
        </w:rPr>
        <w:t>。</w:t>
      </w:r>
    </w:p>
    <w:p w14:paraId="227BE28C">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181A145F">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7.5 </w:t>
      </w:r>
      <w:r>
        <w:rPr>
          <w:rFonts w:hint="eastAsia" w:ascii="宋体" w:hAnsi="宋体" w:cs="宋体"/>
          <w:color w:val="auto"/>
          <w:szCs w:val="21"/>
          <w:highlight w:val="none"/>
        </w:rPr>
        <w:t>乙方在运输到达之前应提前通知甲方，并提示货物运输装卸的注意事项，甲方配合乙方做好货物的接收工作。</w:t>
      </w:r>
    </w:p>
    <w:p w14:paraId="1B622ED9">
      <w:pPr>
        <w:pStyle w:val="19"/>
        <w:ind w:firstLine="420"/>
        <w:rPr>
          <w:color w:val="auto"/>
          <w:sz w:val="21"/>
          <w:highlight w:val="none"/>
        </w:rPr>
      </w:pPr>
      <w:r>
        <w:rPr>
          <w:rFonts w:hint="eastAsia" w:ascii="宋体" w:hAnsi="宋体" w:eastAsia="宋体" w:cs="Times New Roman"/>
          <w:color w:val="auto"/>
          <w:kern w:val="2"/>
          <w:sz w:val="21"/>
          <w:highlight w:val="none"/>
        </w:rPr>
        <w:t>7.6 如因包装、运输问题导致货物损毁、丢失或者品质下降，甲方有权要求降价、换货、拒收部分或整批货物，由此产生的费用和损失，均由乙方承担。</w:t>
      </w:r>
    </w:p>
    <w:p w14:paraId="06D70218">
      <w:pPr>
        <w:adjustRightInd w:val="0"/>
        <w:snapToGrid w:val="0"/>
        <w:spacing w:line="400" w:lineRule="exact"/>
        <w:ind w:firstLine="480" w:firstLineChars="200"/>
        <w:jc w:val="left"/>
        <w:rPr>
          <w:rFonts w:ascii="宋体" w:hAnsi="宋体"/>
          <w:b/>
          <w:color w:val="auto"/>
          <w:sz w:val="24"/>
          <w:highlight w:val="none"/>
        </w:rPr>
      </w:pPr>
      <w:r>
        <w:rPr>
          <w:rFonts w:hint="eastAsia" w:ascii="宋体" w:hAnsi="宋体"/>
          <w:b/>
          <w:color w:val="auto"/>
          <w:sz w:val="24"/>
          <w:highlight w:val="none"/>
        </w:rPr>
        <w:t>8. 质量标准和保证</w:t>
      </w:r>
    </w:p>
    <w:p w14:paraId="5E0724D3">
      <w:pPr>
        <w:pStyle w:val="9"/>
        <w:adjustRightInd w:val="0"/>
        <w:snapToGrid w:val="0"/>
        <w:spacing w:line="400" w:lineRule="exact"/>
        <w:ind w:firstLine="400" w:firstLineChars="200"/>
        <w:jc w:val="left"/>
        <w:rPr>
          <w:rFonts w:hAnsi="宋体"/>
          <w:b/>
          <w:color w:val="auto"/>
          <w:highlight w:val="none"/>
        </w:rPr>
      </w:pPr>
      <w:r>
        <w:rPr>
          <w:rFonts w:hint="eastAsia" w:hAnsi="宋体"/>
          <w:color w:val="auto"/>
          <w:highlight w:val="none"/>
        </w:rPr>
        <w:t>8.1 质量标准</w:t>
      </w:r>
    </w:p>
    <w:p w14:paraId="1749AFBB">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（1）本合同下提供的货物应符合合同</w:t>
      </w:r>
      <w:r>
        <w:rPr>
          <w:rFonts w:hint="eastAsia" w:ascii="宋体" w:hAnsi="宋体" w:cs="宋体"/>
          <w:color w:val="auto"/>
          <w:szCs w:val="21"/>
          <w:highlight w:val="none"/>
        </w:rPr>
        <w:t>约定的品牌、规格型号、技术性能、配置、质量、数量等要求。</w:t>
      </w:r>
      <w:r>
        <w:rPr>
          <w:rFonts w:hint="eastAsia" w:ascii="宋体" w:hAnsi="宋体"/>
          <w:color w:val="auto"/>
          <w:szCs w:val="21"/>
          <w:highlight w:val="none"/>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2BDFC7D4">
      <w:pPr>
        <w:pStyle w:val="9"/>
        <w:adjustRightInd w:val="0"/>
        <w:snapToGrid w:val="0"/>
        <w:spacing w:line="400" w:lineRule="exact"/>
        <w:ind w:firstLine="400" w:firstLineChars="200"/>
        <w:jc w:val="left"/>
        <w:rPr>
          <w:rFonts w:hAnsi="宋体"/>
          <w:color w:val="auto"/>
          <w:highlight w:val="none"/>
        </w:rPr>
      </w:pPr>
      <w:r>
        <w:rPr>
          <w:rFonts w:hint="eastAsia" w:hAnsi="宋体"/>
          <w:color w:val="auto"/>
          <w:highlight w:val="none"/>
        </w:rPr>
        <w:t>（2）采用中华人民共和国法定计量单位。</w:t>
      </w:r>
    </w:p>
    <w:p w14:paraId="1FAF9196">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（3）乙方所提供的货物应符合国家有关安全、环保、卫生的规定。</w:t>
      </w:r>
    </w:p>
    <w:p w14:paraId="0DD69528">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（4）乙方应向甲方提交所提供货物的技术文件，包括相应的中文技术文件，如：产品目录、图纸、操作手册、使用说明、维护手册或服务指南等。上述文件应包装好随货物一同发运。</w:t>
      </w:r>
    </w:p>
    <w:p w14:paraId="67388326">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8.2 保证</w:t>
      </w:r>
    </w:p>
    <w:p w14:paraId="3AB6A04F">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（1）乙方应保证提供的货物完全符合合同规定的质量、规格和性能要求。乙方应保证货物在正确安装、正常使用和保养条件下，</w:t>
      </w:r>
      <w:r>
        <w:rPr>
          <w:rFonts w:hint="eastAsia" w:ascii="宋体" w:hAnsi="宋体" w:cs="宋体"/>
          <w:color w:val="auto"/>
          <w:szCs w:val="21"/>
          <w:highlight w:val="none"/>
        </w:rPr>
        <w:t>在其使用寿命期内具备合同约定的性能</w:t>
      </w:r>
      <w:r>
        <w:rPr>
          <w:rFonts w:hint="eastAsia" w:ascii="宋体" w:hAnsi="宋体"/>
          <w:color w:val="auto"/>
          <w:szCs w:val="21"/>
          <w:highlight w:val="none"/>
        </w:rPr>
        <w:t>。存在质量保证期的，货物最终交付验收符合国家及行业相关合格标准要求，且满足采购人要求后在</w:t>
      </w:r>
      <w:r>
        <w:rPr>
          <w:rFonts w:hint="eastAsia" w:ascii="宋体" w:hAnsi="宋体"/>
          <w:b/>
          <w:color w:val="auto"/>
          <w:szCs w:val="21"/>
          <w:highlight w:val="none"/>
        </w:rPr>
        <w:t>【政府采购合同专用条款】</w:t>
      </w:r>
      <w:r>
        <w:rPr>
          <w:rFonts w:hint="eastAsia" w:ascii="宋体" w:hAnsi="宋体"/>
          <w:color w:val="auto"/>
          <w:szCs w:val="21"/>
          <w:highlight w:val="none"/>
        </w:rPr>
        <w:t>规定或乙方书面承诺（两者以较长的为准）的质量保证期内，本保证保持有效。</w:t>
      </w:r>
    </w:p>
    <w:p w14:paraId="5F275AFC">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（2）在质量保证期内所发现的缺陷，甲方应尽快以书面形式通知乙方。</w:t>
      </w:r>
    </w:p>
    <w:p w14:paraId="69F1FF3B">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（3）乙方收到通知后，应在</w:t>
      </w:r>
      <w:r>
        <w:rPr>
          <w:rFonts w:hint="eastAsia" w:ascii="宋体" w:hAnsi="宋体"/>
          <w:b/>
          <w:color w:val="auto"/>
          <w:szCs w:val="21"/>
          <w:highlight w:val="none"/>
        </w:rPr>
        <w:t>【政府采购合同专用条款】</w:t>
      </w:r>
      <w:r>
        <w:rPr>
          <w:rFonts w:hint="eastAsia" w:ascii="宋体" w:hAnsi="宋体"/>
          <w:color w:val="auto"/>
          <w:szCs w:val="21"/>
          <w:highlight w:val="none"/>
        </w:rPr>
        <w:t>规定的响应时间内以合理的速度免费维修或更换有缺陷的货物或部件。</w:t>
      </w:r>
    </w:p>
    <w:p w14:paraId="46D34373">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（4）在质量保证期内，如果货物的质量或规格与合同不符，或证实货物是有缺陷的，包括潜在的缺陷或使用不符合要求的材料等，甲方可以根据本合同第15.1条规定以书面形式追究乙方的违约责任。</w:t>
      </w:r>
    </w:p>
    <w:p w14:paraId="57C30D9F">
      <w:pPr>
        <w:adjustRightInd w:val="0"/>
        <w:snapToGrid w:val="0"/>
        <w:spacing w:line="400" w:lineRule="exact"/>
        <w:ind w:firstLine="420" w:firstLineChars="200"/>
        <w:jc w:val="left"/>
        <w:rPr>
          <w:color w:val="auto"/>
          <w:highlight w:val="none"/>
        </w:rPr>
      </w:pPr>
      <w:r>
        <w:rPr>
          <w:rFonts w:hint="eastAsia" w:ascii="宋体" w:hAnsi="宋体"/>
          <w:color w:val="auto"/>
          <w:szCs w:val="21"/>
          <w:highlight w:val="none"/>
        </w:rPr>
        <w:t>（5）乙方在约定的时间内未能弥补缺陷，甲方可采取必要的补救措施，但其风险和费用将由乙方承担，甲方根据合同约定对乙方行使的其他权利不受影响。</w:t>
      </w:r>
    </w:p>
    <w:p w14:paraId="4A9C00CA">
      <w:pPr>
        <w:adjustRightInd w:val="0"/>
        <w:snapToGrid w:val="0"/>
        <w:spacing w:line="400" w:lineRule="exact"/>
        <w:ind w:firstLine="480" w:firstLineChars="200"/>
        <w:jc w:val="left"/>
        <w:rPr>
          <w:rFonts w:ascii="宋体" w:hAnsi="宋体"/>
          <w:b/>
          <w:bCs/>
          <w:color w:val="auto"/>
          <w:sz w:val="24"/>
          <w:highlight w:val="none"/>
        </w:rPr>
      </w:pPr>
      <w:r>
        <w:rPr>
          <w:rFonts w:hint="eastAsia" w:ascii="宋体" w:hAnsi="宋体"/>
          <w:b/>
          <w:bCs/>
          <w:color w:val="auto"/>
          <w:sz w:val="24"/>
          <w:highlight w:val="none"/>
        </w:rPr>
        <w:t>9.权利瑕疵担保</w:t>
      </w:r>
    </w:p>
    <w:p w14:paraId="5FFC5CB3">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9.1 乙方保证对其出售的货物享有合法的权利。</w:t>
      </w:r>
    </w:p>
    <w:p w14:paraId="6710B0EE">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9.2 </w:t>
      </w:r>
      <w:r>
        <w:rPr>
          <w:rFonts w:hint="eastAsia" w:ascii="宋体" w:hAnsi="宋体" w:cs="宋体"/>
          <w:color w:val="auto"/>
          <w:szCs w:val="15"/>
          <w:highlight w:val="none"/>
        </w:rPr>
        <w:t>乙方保证在交付的货物上不存在抵押权等担保物权。</w:t>
      </w:r>
    </w:p>
    <w:p w14:paraId="17B66CD5">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9.3 如甲方使用上述货物构成对第三人侵权的，则由乙方承担全部责任。</w:t>
      </w:r>
    </w:p>
    <w:p w14:paraId="70F89F75">
      <w:pPr>
        <w:autoSpaceDE w:val="0"/>
        <w:autoSpaceDN w:val="0"/>
        <w:adjustRightInd w:val="0"/>
        <w:snapToGrid w:val="0"/>
        <w:spacing w:line="400" w:lineRule="exact"/>
        <w:ind w:firstLine="480" w:firstLineChars="200"/>
        <w:jc w:val="left"/>
        <w:rPr>
          <w:rFonts w:ascii="宋体" w:hAnsi="宋体"/>
          <w:b/>
          <w:bCs/>
          <w:color w:val="auto"/>
          <w:sz w:val="24"/>
          <w:highlight w:val="none"/>
        </w:rPr>
      </w:pPr>
      <w:r>
        <w:rPr>
          <w:rFonts w:hint="eastAsia" w:ascii="宋体" w:hAnsi="宋体"/>
          <w:b/>
          <w:bCs/>
          <w:color w:val="auto"/>
          <w:sz w:val="24"/>
          <w:highlight w:val="none"/>
        </w:rPr>
        <w:t>10.知识产权保护</w:t>
      </w:r>
    </w:p>
    <w:p w14:paraId="03FA89F4">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10.1 乙方对其所销售的货物应当享有知识产权或经权利人合法授权，保证没有侵犯任何第三人的知识产权等权利。</w:t>
      </w:r>
      <w:bookmarkStart w:id="8" w:name="_Hlk163047038"/>
      <w:r>
        <w:rPr>
          <w:rFonts w:hint="eastAsia" w:ascii="宋体" w:hAnsi="宋体" w:cs="宋体"/>
          <w:color w:val="auto"/>
          <w:szCs w:val="15"/>
          <w:highlight w:val="none"/>
        </w:rPr>
        <w:t>因违反前述约定对第三人构成侵权的，应当由乙方向第三人承担法律责任；甲方依法向第三人赔偿后，有权向乙方追偿。甲方有其他损失的，乙方应当赔偿</w:t>
      </w:r>
      <w:bookmarkEnd w:id="8"/>
      <w:r>
        <w:rPr>
          <w:rFonts w:hint="eastAsia" w:ascii="宋体" w:hAnsi="宋体"/>
          <w:color w:val="auto"/>
          <w:szCs w:val="21"/>
          <w:highlight w:val="none"/>
        </w:rPr>
        <w:t>。</w:t>
      </w:r>
    </w:p>
    <w:p w14:paraId="5B9E253D">
      <w:pPr>
        <w:autoSpaceDE w:val="0"/>
        <w:autoSpaceDN w:val="0"/>
        <w:adjustRightInd w:val="0"/>
        <w:snapToGrid w:val="0"/>
        <w:spacing w:line="400" w:lineRule="exact"/>
        <w:ind w:firstLine="480" w:firstLineChars="200"/>
        <w:jc w:val="left"/>
        <w:rPr>
          <w:rFonts w:ascii="宋体" w:hAnsi="宋体"/>
          <w:b/>
          <w:bCs/>
          <w:color w:val="auto"/>
          <w:sz w:val="24"/>
          <w:highlight w:val="none"/>
        </w:rPr>
      </w:pPr>
      <w:r>
        <w:rPr>
          <w:rFonts w:hint="eastAsia" w:ascii="宋体" w:hAnsi="宋体"/>
          <w:b/>
          <w:bCs/>
          <w:color w:val="auto"/>
          <w:sz w:val="24"/>
          <w:highlight w:val="none"/>
        </w:rPr>
        <w:t>11.保密义务</w:t>
      </w:r>
    </w:p>
    <w:p w14:paraId="447E82D2">
      <w:pPr>
        <w:autoSpaceDE w:val="0"/>
        <w:autoSpaceDN w:val="0"/>
        <w:adjustRightInd w:val="0"/>
        <w:snapToGrid w:val="0"/>
        <w:spacing w:line="400" w:lineRule="exact"/>
        <w:ind w:firstLine="420" w:firstLineChars="200"/>
        <w:jc w:val="left"/>
        <w:rPr>
          <w:rFonts w:ascii="宋体" w:hAnsi="宋体" w:cs="宋体"/>
          <w:color w:val="auto"/>
          <w:szCs w:val="15"/>
          <w:highlight w:val="none"/>
        </w:rPr>
      </w:pPr>
      <w:r>
        <w:rPr>
          <w:rFonts w:hint="eastAsia" w:ascii="宋体" w:hAnsi="宋体" w:cs="宋体"/>
          <w:color w:val="auto"/>
          <w:szCs w:val="15"/>
          <w:highlight w:val="none"/>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color w:val="auto"/>
          <w:szCs w:val="15"/>
          <w:highlight w:val="none"/>
        </w:rPr>
        <w:t>【政府采购合同专用条款】</w:t>
      </w:r>
      <w:r>
        <w:rPr>
          <w:rFonts w:hint="eastAsia" w:ascii="宋体" w:hAnsi="宋体" w:cs="宋体"/>
          <w:color w:val="auto"/>
          <w:szCs w:val="15"/>
          <w:highlight w:val="none"/>
        </w:rPr>
        <w:t>中约定。</w:t>
      </w:r>
    </w:p>
    <w:p w14:paraId="7A083C7B">
      <w:pPr>
        <w:autoSpaceDE w:val="0"/>
        <w:autoSpaceDN w:val="0"/>
        <w:adjustRightInd w:val="0"/>
        <w:snapToGrid w:val="0"/>
        <w:spacing w:line="400" w:lineRule="exact"/>
        <w:ind w:firstLine="480" w:firstLineChars="200"/>
        <w:jc w:val="left"/>
        <w:rPr>
          <w:rFonts w:ascii="宋体" w:hAnsi="宋体"/>
          <w:b/>
          <w:bCs/>
          <w:color w:val="auto"/>
          <w:sz w:val="24"/>
          <w:highlight w:val="none"/>
        </w:rPr>
      </w:pPr>
      <w:r>
        <w:rPr>
          <w:rFonts w:hint="eastAsia" w:ascii="宋体" w:hAnsi="宋体"/>
          <w:b/>
          <w:bCs/>
          <w:color w:val="auto"/>
          <w:sz w:val="24"/>
          <w:highlight w:val="none"/>
        </w:rPr>
        <w:t>12.合同价款支付</w:t>
      </w:r>
    </w:p>
    <w:p w14:paraId="22583C1E">
      <w:pPr>
        <w:adjustRightInd w:val="0"/>
        <w:snapToGrid w:val="0"/>
        <w:spacing w:line="400" w:lineRule="exact"/>
        <w:ind w:firstLine="420" w:firstLineChars="200"/>
        <w:jc w:val="left"/>
        <w:rPr>
          <w:rFonts w:hint="eastAsia" w:ascii="宋体" w:hAnsi="宋体"/>
          <w:color w:val="auto"/>
          <w:szCs w:val="21"/>
          <w:highlight w:val="none"/>
        </w:rPr>
      </w:pPr>
      <w:r>
        <w:rPr>
          <w:rFonts w:hint="eastAsia" w:ascii="宋体" w:hAnsi="宋体"/>
          <w:color w:val="auto"/>
          <w:szCs w:val="21"/>
          <w:highlight w:val="none"/>
        </w:rPr>
        <w:t>12.1 合同价款支付按照国库集中支付制度及财政管理相关规定执行。</w:t>
      </w:r>
    </w:p>
    <w:p w14:paraId="5474899E">
      <w:pPr>
        <w:adjustRightInd w:val="0"/>
        <w:snapToGrid w:val="0"/>
        <w:spacing w:line="400" w:lineRule="exact"/>
        <w:ind w:firstLine="420" w:firstLineChars="200"/>
        <w:jc w:val="left"/>
        <w:rPr>
          <w:color w:val="auto"/>
          <w:highlight w:val="none"/>
        </w:rPr>
      </w:pPr>
      <w:r>
        <w:rPr>
          <w:rFonts w:hint="eastAsia" w:ascii="宋体" w:hAnsi="宋体"/>
          <w:b w:val="0"/>
          <w:color w:val="auto"/>
          <w:sz w:val="21"/>
          <w:szCs w:val="21"/>
          <w:highlight w:val="none"/>
        </w:rPr>
        <w:t xml:space="preserve">12.2 </w:t>
      </w:r>
      <w:r>
        <w:rPr>
          <w:rFonts w:hint="eastAsia" w:ascii="宋体" w:hAnsi="宋体"/>
          <w:b w:val="0"/>
          <w:color w:val="auto"/>
          <w:kern w:val="2"/>
          <w:sz w:val="21"/>
          <w:szCs w:val="21"/>
          <w:highlight w:val="none"/>
        </w:rPr>
        <w:t>对于满足合同约定支付条件的，甲方</w:t>
      </w:r>
      <w:r>
        <w:rPr>
          <w:rFonts w:hint="eastAsia" w:ascii="宋体" w:hAnsi="宋体"/>
          <w:b w:val="0"/>
          <w:color w:val="auto"/>
          <w:sz w:val="21"/>
          <w:szCs w:val="21"/>
          <w:highlight w:val="none"/>
        </w:rPr>
        <w:t>原则上应当自收到发票后10个工作日内</w:t>
      </w:r>
      <w:r>
        <w:rPr>
          <w:rFonts w:hint="eastAsia" w:ascii="宋体" w:hAnsi="宋体"/>
          <w:b w:val="0"/>
          <w:color w:val="auto"/>
          <w:kern w:val="2"/>
          <w:sz w:val="21"/>
          <w:szCs w:val="21"/>
          <w:highlight w:val="none"/>
        </w:rPr>
        <w:t>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bCs/>
          <w:color w:val="auto"/>
          <w:kern w:val="2"/>
          <w:sz w:val="21"/>
          <w:szCs w:val="21"/>
          <w:highlight w:val="none"/>
        </w:rPr>
        <w:t>政府采购合同专用条款</w:t>
      </w:r>
      <w:r>
        <w:rPr>
          <w:rFonts w:hint="eastAsia" w:ascii="宋体" w:hAnsi="宋体"/>
          <w:b w:val="0"/>
          <w:color w:val="auto"/>
          <w:kern w:val="2"/>
          <w:sz w:val="21"/>
          <w:szCs w:val="21"/>
          <w:highlight w:val="none"/>
        </w:rPr>
        <w:t>】中约定。</w:t>
      </w:r>
    </w:p>
    <w:p w14:paraId="66623FE9">
      <w:pPr>
        <w:pStyle w:val="6"/>
        <w:spacing w:line="400" w:lineRule="exact"/>
        <w:ind w:firstLine="400" w:firstLineChars="200"/>
        <w:rPr>
          <w:rFonts w:ascii="宋体"/>
          <w:b/>
          <w:bCs/>
          <w:color w:val="auto"/>
          <w:highlight w:val="none"/>
        </w:rPr>
      </w:pPr>
      <w:r>
        <w:rPr>
          <w:rFonts w:hint="eastAsia" w:ascii="宋体"/>
          <w:b/>
          <w:bCs/>
          <w:color w:val="auto"/>
          <w:highlight w:val="none"/>
        </w:rPr>
        <w:t>13.履约保证金</w:t>
      </w:r>
    </w:p>
    <w:p w14:paraId="6F43CAAA">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13.1 </w:t>
      </w:r>
      <w:r>
        <w:rPr>
          <w:rFonts w:hint="eastAsia" w:ascii="宋体" w:hAnsi="宋体" w:cs="宋体"/>
          <w:color w:val="auto"/>
          <w:szCs w:val="15"/>
          <w:highlight w:val="none"/>
        </w:rPr>
        <w:t>乙方应当以支票、汇票、本票或者金融机构、担保机构出具的保函等非现金形式提交。</w:t>
      </w:r>
    </w:p>
    <w:p w14:paraId="6F4FA2D8">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13.2 如果乙方出现</w:t>
      </w:r>
      <w:r>
        <w:rPr>
          <w:rFonts w:hint="eastAsia" w:ascii="宋体" w:hAnsi="宋体" w:cs="宋体"/>
          <w:b/>
          <w:bCs/>
          <w:color w:val="auto"/>
          <w:szCs w:val="15"/>
          <w:highlight w:val="none"/>
        </w:rPr>
        <w:t>【政府采购合同专用条款】</w:t>
      </w:r>
      <w:r>
        <w:rPr>
          <w:rFonts w:hint="eastAsia" w:ascii="宋体" w:hAnsi="宋体" w:cs="宋体"/>
          <w:color w:val="auto"/>
          <w:szCs w:val="15"/>
          <w:highlight w:val="none"/>
        </w:rPr>
        <w:t>约定情形的</w:t>
      </w:r>
      <w:r>
        <w:rPr>
          <w:rFonts w:hint="eastAsia" w:ascii="宋体" w:hAnsi="宋体"/>
          <w:color w:val="auto"/>
          <w:szCs w:val="21"/>
          <w:highlight w:val="none"/>
        </w:rPr>
        <w:t>，履约保证金不予退还；如果乙方未能按合同约定全面履行义务，甲方有权从履约保证金中取得补偿或赔偿，且不影响甲方要求乙方承担合同约定的超过履约保证金的违约责任的权利。</w:t>
      </w:r>
    </w:p>
    <w:p w14:paraId="5E50A97E">
      <w:pPr>
        <w:spacing w:line="400" w:lineRule="exact"/>
        <w:ind w:firstLine="420" w:firstLineChars="200"/>
        <w:rPr>
          <w:color w:val="auto"/>
          <w:highlight w:val="none"/>
        </w:rPr>
      </w:pPr>
      <w:r>
        <w:rPr>
          <w:rFonts w:hint="eastAsia" w:ascii="宋体" w:hAnsi="宋体"/>
          <w:color w:val="auto"/>
          <w:szCs w:val="21"/>
          <w:highlight w:val="none"/>
        </w:rPr>
        <w:t>13.3 甲方在项目通过验收后按照</w:t>
      </w:r>
      <w:r>
        <w:rPr>
          <w:rFonts w:hint="eastAsia" w:ascii="宋体" w:hAnsi="宋体"/>
          <w:b/>
          <w:color w:val="auto"/>
          <w:szCs w:val="21"/>
          <w:highlight w:val="none"/>
        </w:rPr>
        <w:t>【政府采购合同专用条款】</w:t>
      </w:r>
      <w:r>
        <w:rPr>
          <w:rFonts w:hint="eastAsia" w:ascii="宋体" w:hAnsi="宋体"/>
          <w:color w:val="auto"/>
          <w:szCs w:val="21"/>
          <w:highlight w:val="none"/>
        </w:rPr>
        <w:t>规定的时间内将履约保证金退还乙方；逾期退还的，乙方可要求甲方支付违约金，违约金按照</w:t>
      </w:r>
      <w:r>
        <w:rPr>
          <w:rFonts w:hint="eastAsia" w:ascii="宋体" w:hAnsi="宋体"/>
          <w:b/>
          <w:color w:val="auto"/>
          <w:szCs w:val="21"/>
          <w:highlight w:val="none"/>
        </w:rPr>
        <w:t>【政府采购合同专用条款】</w:t>
      </w:r>
      <w:r>
        <w:rPr>
          <w:rFonts w:hint="eastAsia" w:ascii="宋体" w:hAnsi="宋体"/>
          <w:color w:val="auto"/>
          <w:szCs w:val="21"/>
          <w:highlight w:val="none"/>
        </w:rPr>
        <w:t>规定支付。</w:t>
      </w:r>
    </w:p>
    <w:p w14:paraId="7439875A">
      <w:pPr>
        <w:autoSpaceDE w:val="0"/>
        <w:autoSpaceDN w:val="0"/>
        <w:adjustRightInd w:val="0"/>
        <w:snapToGrid w:val="0"/>
        <w:spacing w:line="400" w:lineRule="exact"/>
        <w:ind w:firstLine="480" w:firstLineChars="200"/>
        <w:jc w:val="left"/>
        <w:rPr>
          <w:rFonts w:ascii="宋体" w:hAnsi="宋体"/>
          <w:b/>
          <w:color w:val="auto"/>
          <w:sz w:val="24"/>
          <w:highlight w:val="none"/>
        </w:rPr>
      </w:pPr>
      <w:r>
        <w:rPr>
          <w:rFonts w:hint="eastAsia" w:ascii="宋体" w:hAnsi="宋体"/>
          <w:b/>
          <w:bCs/>
          <w:color w:val="auto"/>
          <w:sz w:val="24"/>
          <w:highlight w:val="none"/>
        </w:rPr>
        <w:t>14.</w:t>
      </w:r>
      <w:r>
        <w:rPr>
          <w:rFonts w:hint="eastAsia"/>
          <w:b/>
          <w:color w:val="auto"/>
          <w:sz w:val="24"/>
          <w:highlight w:val="none"/>
        </w:rPr>
        <w:t>售后</w:t>
      </w:r>
      <w:r>
        <w:rPr>
          <w:rFonts w:hint="eastAsia" w:ascii="宋体" w:hAnsi="宋体"/>
          <w:b/>
          <w:color w:val="auto"/>
          <w:sz w:val="24"/>
          <w:highlight w:val="none"/>
        </w:rPr>
        <w:t>服务</w:t>
      </w:r>
    </w:p>
    <w:p w14:paraId="2B679D8A">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14.1 除项目不涉及或采购活动中明确约定无须承担外，乙方还应提供下列服务：</w:t>
      </w:r>
    </w:p>
    <w:p w14:paraId="36715660">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（1）货物的现场移动、安装、调试、启动监督及技术支持；</w:t>
      </w:r>
    </w:p>
    <w:p w14:paraId="690C1115">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（2）提供货物组装和维修所需的专用工具和辅助材料；</w:t>
      </w:r>
    </w:p>
    <w:p w14:paraId="0824A033">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（3）在</w:t>
      </w:r>
      <w:r>
        <w:rPr>
          <w:rFonts w:hint="eastAsia" w:ascii="宋体" w:hAnsi="宋体" w:cs="宋体"/>
          <w:b/>
          <w:bCs/>
          <w:color w:val="auto"/>
          <w:szCs w:val="15"/>
          <w:highlight w:val="none"/>
        </w:rPr>
        <w:t>【政府采购合同专用条款】</w:t>
      </w:r>
      <w:r>
        <w:rPr>
          <w:rFonts w:hint="eastAsia" w:ascii="宋体" w:hAnsi="宋体"/>
          <w:color w:val="auto"/>
          <w:szCs w:val="21"/>
          <w:highlight w:val="none"/>
        </w:rPr>
        <w:t>约定的期限内对所有的货物实施运行监督、维修，但前提条件是该服务并不能免除乙方在质量保证期内所承担的义务；</w:t>
      </w:r>
    </w:p>
    <w:p w14:paraId="501F8948">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（4）在制造商所在地或指定现场就货物的安装、启动、运营、维护、废弃处置等对甲方操作人员进行培训</w:t>
      </w:r>
      <w:r>
        <w:rPr>
          <w:rFonts w:hint="eastAsia" w:ascii="宋体" w:hAnsi="宋体" w:cs="宋体"/>
          <w:color w:val="auto"/>
          <w:szCs w:val="15"/>
          <w:highlight w:val="none"/>
        </w:rPr>
        <w:t>；</w:t>
      </w:r>
    </w:p>
    <w:p w14:paraId="788E3F45">
      <w:pPr>
        <w:pStyle w:val="19"/>
        <w:ind w:firstLine="420"/>
        <w:rPr>
          <w:rFonts w:ascii="宋体" w:hAnsi="宋体" w:eastAsia="宋体" w:cs="宋体"/>
          <w:color w:val="auto"/>
          <w:sz w:val="21"/>
          <w:highlight w:val="none"/>
        </w:rPr>
      </w:pPr>
      <w:r>
        <w:rPr>
          <w:rFonts w:hint="eastAsia" w:ascii="宋体" w:hAnsi="宋体" w:eastAsia="宋体" w:cs="宋体"/>
          <w:color w:val="auto"/>
          <w:sz w:val="21"/>
          <w:highlight w:val="none"/>
        </w:rPr>
        <w:t>（5）依照法律、行政法规的规定或者按照</w:t>
      </w:r>
      <w:r>
        <w:rPr>
          <w:rFonts w:hint="eastAsia" w:ascii="宋体" w:hAnsi="宋体" w:eastAsia="宋体" w:cs="宋体"/>
          <w:b/>
          <w:bCs/>
          <w:color w:val="auto"/>
          <w:sz w:val="21"/>
          <w:highlight w:val="none"/>
        </w:rPr>
        <w:t>【政府采购合同专用条款】</w:t>
      </w:r>
      <w:r>
        <w:rPr>
          <w:rFonts w:hint="eastAsia" w:ascii="宋体" w:hAnsi="宋体" w:eastAsia="宋体" w:cs="宋体"/>
          <w:color w:val="auto"/>
          <w:sz w:val="21"/>
          <w:highlight w:val="none"/>
        </w:rPr>
        <w:t>约定，货物在有效使用年限届满后应予回收的，乙方负有自行或者委托第三人对货物予以回收的义务；</w:t>
      </w:r>
    </w:p>
    <w:p w14:paraId="45C5BC4B">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（6）</w:t>
      </w:r>
      <w:r>
        <w:rPr>
          <w:rFonts w:hint="eastAsia" w:ascii="宋体" w:hAnsi="宋体"/>
          <w:b/>
          <w:color w:val="auto"/>
          <w:szCs w:val="21"/>
          <w:highlight w:val="none"/>
        </w:rPr>
        <w:t>【政府采购合同专用条款】</w:t>
      </w:r>
      <w:r>
        <w:rPr>
          <w:rFonts w:hint="eastAsia" w:ascii="宋体" w:hAnsi="宋体"/>
          <w:color w:val="auto"/>
          <w:szCs w:val="21"/>
          <w:highlight w:val="none"/>
        </w:rPr>
        <w:t>规定由乙方提供的其他服务。</w:t>
      </w:r>
    </w:p>
    <w:p w14:paraId="2B38E0DD">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14.2 乙方提供的售后服务的费用已包含在合同价款中，甲方不再另行支付。</w:t>
      </w:r>
    </w:p>
    <w:p w14:paraId="07698519">
      <w:pPr>
        <w:adjustRightInd w:val="0"/>
        <w:snapToGrid w:val="0"/>
        <w:spacing w:line="400" w:lineRule="exact"/>
        <w:ind w:firstLine="480" w:firstLineChars="200"/>
        <w:jc w:val="left"/>
        <w:rPr>
          <w:rFonts w:ascii="宋体" w:hAnsi="宋体"/>
          <w:b/>
          <w:bCs/>
          <w:color w:val="auto"/>
          <w:sz w:val="24"/>
          <w:highlight w:val="none"/>
        </w:rPr>
      </w:pPr>
      <w:r>
        <w:rPr>
          <w:rFonts w:hint="eastAsia" w:ascii="宋体" w:hAnsi="宋体"/>
          <w:b/>
          <w:bCs/>
          <w:color w:val="auto"/>
          <w:sz w:val="24"/>
          <w:highlight w:val="none"/>
        </w:rPr>
        <w:t>15.违约责任</w:t>
      </w:r>
    </w:p>
    <w:p w14:paraId="31F2F046">
      <w:pPr>
        <w:adjustRightInd w:val="0"/>
        <w:snapToGrid w:val="0"/>
        <w:spacing w:line="4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15.1质量瑕疵的违约责任</w:t>
      </w:r>
    </w:p>
    <w:p w14:paraId="1F6F3290">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乙方提供的产品不符合合同约定的质量标准或存在产品质量缺陷，甲方有权要求乙方根据</w:t>
      </w:r>
      <w:r>
        <w:rPr>
          <w:rFonts w:hint="eastAsia" w:ascii="宋体" w:hAnsi="宋体"/>
          <w:b/>
          <w:color w:val="auto"/>
          <w:szCs w:val="21"/>
          <w:highlight w:val="none"/>
        </w:rPr>
        <w:t>【政府采购合同专用条款】</w:t>
      </w:r>
      <w:r>
        <w:rPr>
          <w:rFonts w:hint="eastAsia" w:ascii="宋体" w:hAnsi="宋体"/>
          <w:bCs/>
          <w:color w:val="auto"/>
          <w:szCs w:val="21"/>
          <w:highlight w:val="none"/>
        </w:rPr>
        <w:t>要求</w:t>
      </w:r>
      <w:r>
        <w:rPr>
          <w:rFonts w:hint="eastAsia" w:ascii="宋体" w:hAnsi="宋体"/>
          <w:color w:val="auto"/>
          <w:szCs w:val="21"/>
          <w:highlight w:val="none"/>
        </w:rPr>
        <w:t>及时修理、重作、更换，并承担由此给甲方造成的损失。</w:t>
      </w:r>
    </w:p>
    <w:p w14:paraId="6D38F248">
      <w:pPr>
        <w:autoSpaceDE w:val="0"/>
        <w:autoSpaceDN w:val="0"/>
        <w:adjustRightInd w:val="0"/>
        <w:snapToGrid w:val="0"/>
        <w:spacing w:line="4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15.2 迟延交货的违约责任</w:t>
      </w:r>
    </w:p>
    <w:p w14:paraId="3F99D57C">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24E16474">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（2）如果乙方没有按照合同规定的时间交货和提供相关服务，甲方有权从货款中扣除误期赔偿费而不影响合同项下的其他补救方法，赔偿费按</w:t>
      </w:r>
      <w:r>
        <w:rPr>
          <w:rFonts w:hint="eastAsia" w:ascii="宋体" w:hAnsi="宋体"/>
          <w:b/>
          <w:color w:val="auto"/>
          <w:szCs w:val="21"/>
          <w:highlight w:val="none"/>
        </w:rPr>
        <w:t>【政府采购合同专用条款】</w:t>
      </w:r>
      <w:r>
        <w:rPr>
          <w:rFonts w:hint="eastAsia" w:ascii="宋体" w:hAnsi="宋体"/>
          <w:color w:val="auto"/>
          <w:szCs w:val="21"/>
          <w:highlight w:val="none"/>
        </w:rPr>
        <w:t>规定执行。如果涉及公共利益，且赔偿金额无法弥补公共利益损失，甲方可要求继续履行或者采取其他补救措施。</w:t>
      </w:r>
    </w:p>
    <w:p w14:paraId="45686D20">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15.3 迟延支付的违约责任</w:t>
      </w:r>
    </w:p>
    <w:p w14:paraId="259C18C6">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甲方存在迟延支付乙方合同款项的，应当承担</w:t>
      </w:r>
      <w:r>
        <w:rPr>
          <w:rFonts w:hint="eastAsia" w:ascii="宋体" w:hAnsi="宋体"/>
          <w:b/>
          <w:bCs/>
          <w:color w:val="auto"/>
          <w:szCs w:val="21"/>
          <w:highlight w:val="none"/>
        </w:rPr>
        <w:t>【政府采购合同专用条款】</w:t>
      </w:r>
      <w:r>
        <w:rPr>
          <w:rFonts w:hint="eastAsia" w:ascii="宋体" w:hAnsi="宋体"/>
          <w:color w:val="auto"/>
          <w:szCs w:val="21"/>
          <w:highlight w:val="none"/>
        </w:rPr>
        <w:t>规定的逾期付款利息。</w:t>
      </w:r>
    </w:p>
    <w:p w14:paraId="70C941EA">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bCs/>
          <w:color w:val="auto"/>
          <w:szCs w:val="21"/>
          <w:highlight w:val="none"/>
        </w:rPr>
        <w:t>15.4其他违约责任根据项目实际需要按</w:t>
      </w:r>
      <w:r>
        <w:rPr>
          <w:rFonts w:hint="eastAsia" w:ascii="宋体" w:hAnsi="宋体"/>
          <w:b/>
          <w:bCs/>
          <w:color w:val="auto"/>
          <w:szCs w:val="21"/>
          <w:highlight w:val="none"/>
        </w:rPr>
        <w:t>【政府采购合同专用条款】</w:t>
      </w:r>
      <w:r>
        <w:rPr>
          <w:rFonts w:hint="eastAsia" w:ascii="宋体" w:hAnsi="宋体"/>
          <w:color w:val="auto"/>
          <w:szCs w:val="21"/>
          <w:highlight w:val="none"/>
        </w:rPr>
        <w:t>规定执行。</w:t>
      </w:r>
    </w:p>
    <w:p w14:paraId="4F14C177">
      <w:pPr>
        <w:numPr>
          <w:ilvl w:val="0"/>
          <w:numId w:val="15"/>
        </w:numPr>
        <w:autoSpaceDE w:val="0"/>
        <w:autoSpaceDN w:val="0"/>
        <w:adjustRightInd w:val="0"/>
        <w:snapToGrid w:val="0"/>
        <w:spacing w:line="400" w:lineRule="exact"/>
        <w:ind w:firstLine="480" w:firstLineChars="200"/>
        <w:jc w:val="left"/>
        <w:rPr>
          <w:rFonts w:ascii="宋体" w:hAnsi="宋体"/>
          <w:b/>
          <w:color w:val="auto"/>
          <w:sz w:val="24"/>
          <w:highlight w:val="none"/>
        </w:rPr>
      </w:pPr>
      <w:r>
        <w:rPr>
          <w:rFonts w:hint="eastAsia" w:ascii="宋体" w:hAnsi="宋体"/>
          <w:b/>
          <w:color w:val="auto"/>
          <w:sz w:val="24"/>
          <w:highlight w:val="none"/>
        </w:rPr>
        <w:t>合同变更、中止与终止</w:t>
      </w:r>
    </w:p>
    <w:p w14:paraId="6DC1247A">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16.1合同的变更</w:t>
      </w:r>
    </w:p>
    <w:p w14:paraId="2EA9E541">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政府采购合同履行中，在不改变合同其他条款的前提下，甲方可以在合同价款10%的范围内追加与合同标的相同的货物，并就此与乙方协商一致后签订补充协议。</w:t>
      </w:r>
    </w:p>
    <w:p w14:paraId="18972ECF">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16.2合同的中止</w:t>
      </w:r>
    </w:p>
    <w:p w14:paraId="1E27EEBA">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（1）合同履行过程中因供应商就采购文件、采购过程或结果提起投诉的，甲方认为有必要的，可以中止合同的履行。</w:t>
      </w:r>
    </w:p>
    <w:p w14:paraId="5E8881A7">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62FCB8D7">
      <w:pPr>
        <w:pStyle w:val="19"/>
        <w:ind w:firstLine="420"/>
        <w:jc w:val="both"/>
        <w:rPr>
          <w:color w:val="auto"/>
          <w:sz w:val="21"/>
          <w:highlight w:val="none"/>
        </w:rPr>
      </w:pPr>
      <w:r>
        <w:rPr>
          <w:rFonts w:hint="eastAsia" w:ascii="宋体" w:hAnsi="宋体" w:eastAsia="宋体" w:cs="宋体"/>
          <w:color w:val="auto"/>
          <w:sz w:val="21"/>
          <w:highlight w:val="none"/>
        </w:rPr>
        <w:t>（3）乙方分立、合并或者变更住所的，应当及时以书面形式告知甲方。乙方没有及时告知甲方，致使合同履行发生困难的，甲方可以中止合同履行并要求乙方承担由此给甲方造成的损失。</w:t>
      </w:r>
    </w:p>
    <w:p w14:paraId="0E450742">
      <w:pPr>
        <w:snapToGrid w:val="0"/>
        <w:spacing w:line="400" w:lineRule="exact"/>
        <w:ind w:firstLine="420" w:firstLineChars="200"/>
        <w:jc w:val="left"/>
        <w:rPr>
          <w:color w:val="auto"/>
          <w:highlight w:val="none"/>
        </w:rPr>
      </w:pPr>
      <w:r>
        <w:rPr>
          <w:rFonts w:hint="eastAsia" w:ascii="宋体" w:hAnsi="宋体"/>
          <w:color w:val="auto"/>
          <w:szCs w:val="21"/>
          <w:highlight w:val="none"/>
        </w:rPr>
        <w:t>（4）甲方不得以行政区划调整、政府换届、机构或者职能调整以及相关责任人更替为由中止合同。</w:t>
      </w:r>
    </w:p>
    <w:p w14:paraId="4FDDBD5C">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16.3合同的终止</w:t>
      </w:r>
    </w:p>
    <w:p w14:paraId="11AF8F8E">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（1）合同因有效期限届满而终止；</w:t>
      </w:r>
    </w:p>
    <w:p w14:paraId="1402EBA1">
      <w:pPr>
        <w:snapToGrid w:val="0"/>
        <w:spacing w:line="400" w:lineRule="exact"/>
        <w:ind w:firstLine="420" w:firstLineChars="200"/>
        <w:rPr>
          <w:rFonts w:ascii="宋体" w:hAnsi="宋体" w:cs="宋体"/>
          <w:color w:val="auto"/>
          <w:szCs w:val="21"/>
          <w:highlight w:val="none"/>
        </w:rPr>
      </w:pPr>
      <w:r>
        <w:rPr>
          <w:rFonts w:hint="eastAsia" w:ascii="宋体" w:hAnsi="宋体"/>
          <w:color w:val="auto"/>
          <w:szCs w:val="21"/>
          <w:highlight w:val="none"/>
        </w:rPr>
        <w:t>（2）乙方未按合同约定履行，构成根本性违约的，甲方有权终止合同，</w:t>
      </w:r>
      <w:r>
        <w:rPr>
          <w:rFonts w:hint="eastAsia" w:ascii="宋体" w:hAnsi="宋体" w:cs="宋体"/>
          <w:color w:val="auto"/>
          <w:szCs w:val="21"/>
          <w:highlight w:val="none"/>
        </w:rPr>
        <w:t>并追究乙方的违约责任</w:t>
      </w:r>
      <w:r>
        <w:rPr>
          <w:rFonts w:hint="eastAsia" w:ascii="宋体" w:hAnsi="宋体"/>
          <w:color w:val="auto"/>
          <w:szCs w:val="21"/>
          <w:highlight w:val="none"/>
        </w:rPr>
        <w:t>。</w:t>
      </w:r>
    </w:p>
    <w:p w14:paraId="3FB09BF1">
      <w:pPr>
        <w:pStyle w:val="19"/>
        <w:rPr>
          <w:rFonts w:ascii="宋体" w:hAnsi="宋体"/>
          <w:color w:val="auto"/>
          <w:highlight w:val="none"/>
        </w:rPr>
      </w:pPr>
      <w:r>
        <w:rPr>
          <w:rFonts w:hint="eastAsia" w:ascii="宋体" w:hAnsi="宋体"/>
          <w:color w:val="auto"/>
          <w:highlight w:val="none"/>
        </w:rPr>
        <w:t xml:space="preserve">16.4 </w:t>
      </w:r>
      <w:r>
        <w:rPr>
          <w:rFonts w:hint="eastAsia" w:ascii="宋体" w:hAnsi="宋体" w:eastAsia="宋体" w:cs="Times New Roman"/>
          <w:color w:val="auto"/>
          <w:kern w:val="2"/>
          <w:sz w:val="21"/>
          <w:highlight w:val="none"/>
        </w:rPr>
        <w:t>涉及国家利益、社会公共利益的情形</w:t>
      </w:r>
    </w:p>
    <w:p w14:paraId="125A31B2">
      <w:pPr>
        <w:pStyle w:val="19"/>
        <w:ind w:firstLine="420"/>
        <w:jc w:val="both"/>
        <w:rPr>
          <w:color w:val="auto"/>
          <w:sz w:val="21"/>
          <w:highlight w:val="none"/>
        </w:rPr>
      </w:pPr>
      <w:r>
        <w:rPr>
          <w:rFonts w:hint="eastAsia" w:ascii="宋体" w:hAnsi="宋体" w:eastAsia="宋体" w:cs="宋体"/>
          <w:color w:val="auto"/>
          <w:sz w:val="21"/>
          <w:highlight w:val="none"/>
        </w:rPr>
        <w:t>政府采购合同继续履行将损害国家利益和社会公共利益的，双方当事人应当变更、中止或者终止合同。有过错的一方应当承担赔偿责任，双方都有过错的，各自承担相应的责任。</w:t>
      </w:r>
    </w:p>
    <w:p w14:paraId="730ADD62">
      <w:pPr>
        <w:autoSpaceDE w:val="0"/>
        <w:autoSpaceDN w:val="0"/>
        <w:adjustRightInd w:val="0"/>
        <w:snapToGrid w:val="0"/>
        <w:spacing w:line="400" w:lineRule="exact"/>
        <w:ind w:firstLine="480" w:firstLineChars="200"/>
        <w:jc w:val="left"/>
        <w:rPr>
          <w:rFonts w:ascii="宋体" w:hAnsi="宋体"/>
          <w:b/>
          <w:bCs/>
          <w:color w:val="auto"/>
          <w:sz w:val="24"/>
          <w:highlight w:val="none"/>
        </w:rPr>
      </w:pPr>
      <w:r>
        <w:rPr>
          <w:rFonts w:hint="eastAsia" w:ascii="宋体" w:hAnsi="宋体"/>
          <w:b/>
          <w:bCs/>
          <w:color w:val="auto"/>
          <w:sz w:val="24"/>
          <w:highlight w:val="none"/>
        </w:rPr>
        <w:t>17.合同分包</w:t>
      </w:r>
    </w:p>
    <w:p w14:paraId="264C5D8B">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17.1 乙方不得将合同转包给其他供应商。涉及合同分包的，乙方应根据采购文件和投标（响应）文件规定进行合同分包。</w:t>
      </w:r>
    </w:p>
    <w:p w14:paraId="6D580D8F">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17.2 乙方执行政府采购政策向中小企业依法分包的，乙方应当按采购文件和投标（响应）文件签订分包意向协议，分包意向协议属于本合同组成部分。</w:t>
      </w:r>
    </w:p>
    <w:p w14:paraId="13FDE0F2">
      <w:pPr>
        <w:autoSpaceDE w:val="0"/>
        <w:autoSpaceDN w:val="0"/>
        <w:adjustRightInd w:val="0"/>
        <w:snapToGrid w:val="0"/>
        <w:spacing w:line="400" w:lineRule="exact"/>
        <w:ind w:firstLine="480" w:firstLineChars="200"/>
        <w:jc w:val="left"/>
        <w:rPr>
          <w:rFonts w:ascii="宋体" w:hAnsi="宋体"/>
          <w:b/>
          <w:bCs/>
          <w:color w:val="auto"/>
          <w:sz w:val="24"/>
          <w:highlight w:val="none"/>
        </w:rPr>
      </w:pPr>
      <w:r>
        <w:rPr>
          <w:rFonts w:hint="eastAsia" w:ascii="宋体" w:hAnsi="宋体"/>
          <w:b/>
          <w:bCs/>
          <w:color w:val="auto"/>
          <w:sz w:val="24"/>
          <w:highlight w:val="none"/>
        </w:rPr>
        <w:t>18.不可抗力</w:t>
      </w:r>
    </w:p>
    <w:p w14:paraId="60ED411D">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18.1 不可抗力是指合同双方不能预见、不能避免且不能克服的客观情况。</w:t>
      </w:r>
    </w:p>
    <w:p w14:paraId="3ED788E6">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18.2 任何一方对由于不可抗力造成的部分或全部不能履行合同不承担违约责任。但迟延履行后发生不可抗力的，不能免除责任。</w:t>
      </w:r>
    </w:p>
    <w:p w14:paraId="6962C17D">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47661597">
      <w:pPr>
        <w:autoSpaceDE w:val="0"/>
        <w:autoSpaceDN w:val="0"/>
        <w:adjustRightInd w:val="0"/>
        <w:snapToGrid w:val="0"/>
        <w:spacing w:line="400" w:lineRule="exact"/>
        <w:ind w:firstLine="480" w:firstLineChars="200"/>
        <w:jc w:val="left"/>
        <w:rPr>
          <w:rFonts w:ascii="宋体" w:hAnsi="宋体"/>
          <w:b/>
          <w:bCs/>
          <w:color w:val="auto"/>
          <w:sz w:val="24"/>
          <w:highlight w:val="none"/>
        </w:rPr>
      </w:pPr>
      <w:r>
        <w:rPr>
          <w:rFonts w:hint="eastAsia" w:ascii="宋体" w:hAnsi="宋体"/>
          <w:b/>
          <w:bCs/>
          <w:color w:val="auto"/>
          <w:sz w:val="24"/>
          <w:highlight w:val="none"/>
        </w:rPr>
        <w:t>19.解决争议的方法</w:t>
      </w:r>
    </w:p>
    <w:p w14:paraId="5D40ADEF">
      <w:pPr>
        <w:pStyle w:val="19"/>
        <w:ind w:firstLine="420"/>
        <w:jc w:val="both"/>
        <w:rPr>
          <w:rFonts w:ascii="宋体" w:hAnsi="宋体" w:eastAsia="宋体" w:cs="宋体"/>
          <w:color w:val="auto"/>
          <w:sz w:val="21"/>
          <w:highlight w:val="none"/>
        </w:rPr>
      </w:pPr>
      <w:r>
        <w:rPr>
          <w:rFonts w:hint="eastAsia" w:ascii="宋体" w:hAnsi="宋体" w:eastAsia="宋体" w:cs="宋体"/>
          <w:color w:val="auto"/>
          <w:sz w:val="21"/>
          <w:highlight w:val="none"/>
        </w:rPr>
        <w:t>19.1 因本合同及合同有关事项发生的争议，由甲乙双方友好协商解决。协商不成时，可以向有关组织申请调解。合同一方或双方不愿调解或调解不成的，可以通过仲裁或诉讼的方式解决争议。</w:t>
      </w:r>
    </w:p>
    <w:p w14:paraId="3E9902CC">
      <w:pPr>
        <w:pStyle w:val="19"/>
        <w:ind w:firstLine="420"/>
        <w:jc w:val="both"/>
        <w:rPr>
          <w:rFonts w:ascii="宋体" w:hAnsi="宋体" w:eastAsia="宋体" w:cs="宋体"/>
          <w:color w:val="auto"/>
          <w:sz w:val="21"/>
          <w:highlight w:val="none"/>
        </w:rPr>
      </w:pPr>
      <w:r>
        <w:rPr>
          <w:rFonts w:hint="eastAsia" w:ascii="宋体" w:hAnsi="宋体" w:eastAsia="宋体" w:cs="宋体"/>
          <w:color w:val="auto"/>
          <w:sz w:val="21"/>
          <w:highlight w:val="none"/>
        </w:rPr>
        <w:t>19.2 选择仲裁的，应在</w:t>
      </w:r>
      <w:r>
        <w:rPr>
          <w:rFonts w:hint="eastAsia" w:ascii="宋体" w:hAnsi="宋体" w:eastAsia="宋体" w:cs="宋体"/>
          <w:b/>
          <w:bCs/>
          <w:color w:val="auto"/>
          <w:sz w:val="21"/>
          <w:highlight w:val="none"/>
        </w:rPr>
        <w:t>【政府采购合同专用条款】</w:t>
      </w:r>
      <w:r>
        <w:rPr>
          <w:rFonts w:hint="eastAsia" w:ascii="宋体" w:hAnsi="宋体" w:eastAsia="宋体" w:cs="宋体"/>
          <w:color w:val="auto"/>
          <w:sz w:val="21"/>
          <w:highlight w:val="none"/>
        </w:rPr>
        <w:t>中明确仲裁机构及仲裁地；通过诉讼方式解决的，可以在</w:t>
      </w:r>
      <w:r>
        <w:rPr>
          <w:rFonts w:hint="eastAsia" w:ascii="宋体" w:hAnsi="宋体" w:eastAsia="宋体" w:cs="宋体"/>
          <w:b/>
          <w:bCs/>
          <w:color w:val="auto"/>
          <w:sz w:val="21"/>
          <w:highlight w:val="none"/>
        </w:rPr>
        <w:t>【政府采购合同专用条款】</w:t>
      </w:r>
      <w:r>
        <w:rPr>
          <w:rFonts w:hint="eastAsia" w:ascii="宋体" w:hAnsi="宋体" w:eastAsia="宋体" w:cs="宋体"/>
          <w:color w:val="auto"/>
          <w:sz w:val="21"/>
          <w:highlight w:val="none"/>
        </w:rPr>
        <w:t>中进一步约定选择与争议有实际联系的地点的人民法院管辖，但管辖法院的约定不得违反级别管辖和专属管辖的规定。</w:t>
      </w:r>
    </w:p>
    <w:p w14:paraId="2865BEE9">
      <w:pPr>
        <w:pStyle w:val="19"/>
        <w:ind w:firstLine="420"/>
        <w:jc w:val="both"/>
        <w:rPr>
          <w:rFonts w:ascii="宋体" w:hAnsi="宋体" w:eastAsia="宋体" w:cs="宋体"/>
          <w:color w:val="auto"/>
          <w:sz w:val="21"/>
          <w:highlight w:val="none"/>
        </w:rPr>
      </w:pPr>
      <w:r>
        <w:rPr>
          <w:rFonts w:hint="eastAsia" w:ascii="宋体" w:hAnsi="宋体" w:eastAsia="宋体" w:cs="宋体"/>
          <w:color w:val="auto"/>
          <w:sz w:val="21"/>
          <w:highlight w:val="none"/>
        </w:rPr>
        <w:t>19.3 如甲乙双方有争议的事项不影响合同其他部分的履行，在争议解决期间，合同其他部分应当继续履行。</w:t>
      </w:r>
    </w:p>
    <w:p w14:paraId="66594368">
      <w:pPr>
        <w:autoSpaceDE w:val="0"/>
        <w:autoSpaceDN w:val="0"/>
        <w:adjustRightInd w:val="0"/>
        <w:snapToGrid w:val="0"/>
        <w:spacing w:line="400" w:lineRule="exact"/>
        <w:ind w:firstLine="480" w:firstLineChars="200"/>
        <w:jc w:val="left"/>
        <w:rPr>
          <w:rFonts w:ascii="宋体" w:hAnsi="宋体"/>
          <w:color w:val="auto"/>
          <w:sz w:val="24"/>
          <w:highlight w:val="none"/>
        </w:rPr>
      </w:pPr>
      <w:r>
        <w:rPr>
          <w:rFonts w:hint="eastAsia" w:ascii="宋体" w:hAnsi="宋体"/>
          <w:b/>
          <w:color w:val="auto"/>
          <w:sz w:val="24"/>
          <w:highlight w:val="none"/>
        </w:rPr>
        <w:t>20.政府采购政策</w:t>
      </w:r>
    </w:p>
    <w:p w14:paraId="65735937">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 xml:space="preserve">20.1 </w:t>
      </w:r>
      <w:r>
        <w:rPr>
          <w:rFonts w:hint="eastAsia" w:ascii="宋体" w:hAnsi="宋体" w:cs="宋体"/>
          <w:color w:val="auto"/>
          <w:highlight w:val="none"/>
          <w:lang w:val="en-GB"/>
        </w:rPr>
        <w:t>本合同应当按照规定执行政府采购政策。</w:t>
      </w:r>
    </w:p>
    <w:p w14:paraId="5CB0D580">
      <w:pPr>
        <w:autoSpaceDE w:val="0"/>
        <w:autoSpaceDN w:val="0"/>
        <w:adjustRightInd w:val="0"/>
        <w:snapToGrid w:val="0"/>
        <w:spacing w:line="400" w:lineRule="exact"/>
        <w:ind w:firstLine="420" w:firstLineChars="200"/>
        <w:jc w:val="left"/>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rPr>
        <w:t>0.2 本合同依法执行政府采购政策的方式和内容，属于合同履约验收的范围。</w:t>
      </w:r>
      <w:r>
        <w:rPr>
          <w:rFonts w:hint="eastAsia" w:ascii="宋体" w:hAnsi="宋体" w:cs="宋体"/>
          <w:color w:val="auto"/>
          <w:highlight w:val="none"/>
        </w:rPr>
        <w:t>甲乙双方</w:t>
      </w:r>
      <w:r>
        <w:rPr>
          <w:rFonts w:hint="eastAsia" w:ascii="宋体" w:hAnsi="宋体" w:cs="宋体"/>
          <w:color w:val="auto"/>
          <w:highlight w:val="none"/>
          <w:lang w:val="en-GB"/>
        </w:rPr>
        <w:t>未按规定要求执行政府采购政策造成损失的</w:t>
      </w:r>
      <w:r>
        <w:rPr>
          <w:rFonts w:hint="eastAsia" w:ascii="宋体" w:hAnsi="宋体"/>
          <w:color w:val="auto"/>
          <w:szCs w:val="21"/>
          <w:highlight w:val="none"/>
        </w:rPr>
        <w:t>，有过错的一方应当承担赔偿责任，双方都有过错的，各自承担相应的责任。</w:t>
      </w:r>
    </w:p>
    <w:p w14:paraId="7E8FD977">
      <w:pPr>
        <w:pStyle w:val="6"/>
        <w:spacing w:line="400" w:lineRule="exact"/>
        <w:ind w:firstLine="400" w:firstLineChars="200"/>
        <w:rPr>
          <w:color w:val="auto"/>
          <w:highlight w:val="none"/>
        </w:rPr>
      </w:pPr>
      <w:r>
        <w:rPr>
          <w:rFonts w:ascii="宋体"/>
          <w:color w:val="auto"/>
          <w:szCs w:val="21"/>
          <w:highlight w:val="none"/>
        </w:rPr>
        <w:t>2</w:t>
      </w:r>
      <w:r>
        <w:rPr>
          <w:rFonts w:hint="eastAsia" w:ascii="宋体"/>
          <w:color w:val="auto"/>
          <w:szCs w:val="21"/>
          <w:highlight w:val="none"/>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42936E17">
      <w:pPr>
        <w:autoSpaceDE w:val="0"/>
        <w:autoSpaceDN w:val="0"/>
        <w:adjustRightInd w:val="0"/>
        <w:snapToGrid w:val="0"/>
        <w:spacing w:line="400" w:lineRule="exact"/>
        <w:ind w:firstLine="480" w:firstLineChars="200"/>
        <w:jc w:val="left"/>
        <w:rPr>
          <w:rFonts w:ascii="宋体" w:hAnsi="宋体"/>
          <w:b/>
          <w:color w:val="auto"/>
          <w:sz w:val="24"/>
          <w:highlight w:val="none"/>
        </w:rPr>
      </w:pPr>
      <w:r>
        <w:rPr>
          <w:rFonts w:hint="eastAsia" w:ascii="宋体" w:hAnsi="宋体"/>
          <w:b/>
          <w:color w:val="auto"/>
          <w:sz w:val="24"/>
          <w:highlight w:val="none"/>
        </w:rPr>
        <w:t>21.法律适用</w:t>
      </w:r>
    </w:p>
    <w:p w14:paraId="66116823">
      <w:pPr>
        <w:pStyle w:val="19"/>
        <w:ind w:firstLine="420"/>
        <w:jc w:val="both"/>
        <w:rPr>
          <w:rFonts w:ascii="宋体" w:hAnsi="宋体" w:eastAsia="宋体" w:cs="宋体"/>
          <w:color w:val="auto"/>
          <w:sz w:val="21"/>
          <w:highlight w:val="none"/>
        </w:rPr>
      </w:pPr>
      <w:r>
        <w:rPr>
          <w:rFonts w:hint="eastAsia" w:ascii="宋体" w:hAnsi="宋体" w:eastAsia="宋体" w:cs="宋体"/>
          <w:color w:val="auto"/>
          <w:sz w:val="21"/>
          <w:highlight w:val="none"/>
        </w:rPr>
        <w:t>21.1 本合同的订立、生效、解释、履行及与本合同有关的争议解决，均适用法律、行政法规。</w:t>
      </w:r>
    </w:p>
    <w:p w14:paraId="11AA7710">
      <w:pPr>
        <w:pStyle w:val="19"/>
        <w:ind w:firstLine="420"/>
        <w:jc w:val="both"/>
        <w:rPr>
          <w:rFonts w:ascii="宋体" w:hAnsi="宋体" w:eastAsia="宋体" w:cs="宋体"/>
          <w:color w:val="auto"/>
          <w:sz w:val="21"/>
          <w:highlight w:val="none"/>
        </w:rPr>
      </w:pPr>
      <w:r>
        <w:rPr>
          <w:rFonts w:hint="eastAsia" w:ascii="宋体" w:hAnsi="宋体" w:eastAsia="宋体" w:cs="宋体"/>
          <w:color w:val="auto"/>
          <w:sz w:val="21"/>
          <w:highlight w:val="none"/>
        </w:rPr>
        <w:t>21.2 本合同条款与法律、行政法规的强制性规定不一致的，双方当事人应按照法律、行政法规的强制性规定修改本合同的相关条款。</w:t>
      </w:r>
    </w:p>
    <w:p w14:paraId="0B5528DC">
      <w:pPr>
        <w:numPr>
          <w:ilvl w:val="255"/>
          <w:numId w:val="0"/>
        </w:numPr>
        <w:autoSpaceDE w:val="0"/>
        <w:autoSpaceDN w:val="0"/>
        <w:adjustRightInd w:val="0"/>
        <w:snapToGrid w:val="0"/>
        <w:spacing w:line="400" w:lineRule="exact"/>
        <w:ind w:firstLine="480" w:firstLineChars="200"/>
        <w:jc w:val="left"/>
        <w:rPr>
          <w:rFonts w:ascii="宋体" w:hAnsi="宋体"/>
          <w:b/>
          <w:color w:val="auto"/>
          <w:sz w:val="24"/>
          <w:highlight w:val="none"/>
        </w:rPr>
      </w:pPr>
      <w:r>
        <w:rPr>
          <w:rFonts w:hint="eastAsia" w:ascii="宋体" w:hAnsi="宋体"/>
          <w:b/>
          <w:color w:val="auto"/>
          <w:sz w:val="24"/>
          <w:highlight w:val="none"/>
        </w:rPr>
        <w:t>22. 通知</w:t>
      </w:r>
    </w:p>
    <w:p w14:paraId="308FCC8A">
      <w:pPr>
        <w:pStyle w:val="19"/>
        <w:ind w:firstLine="420"/>
        <w:jc w:val="both"/>
        <w:rPr>
          <w:rFonts w:ascii="宋体" w:hAnsi="宋体" w:eastAsia="宋体" w:cs="宋体"/>
          <w:color w:val="auto"/>
          <w:sz w:val="21"/>
          <w:highlight w:val="none"/>
        </w:rPr>
      </w:pPr>
      <w:r>
        <w:rPr>
          <w:rFonts w:hint="eastAsia" w:ascii="宋体" w:hAnsi="宋体" w:eastAsia="宋体" w:cs="宋体"/>
          <w:color w:val="auto"/>
          <w:sz w:val="21"/>
          <w:highlight w:val="none"/>
        </w:rPr>
        <w:t>22.1本合同任何一方向对方发出的通知、信件、数据电文等，应当发送至本合同第一部分《政府采购合同协议书》所约定的通讯地址、联系人、联系电话或电子邮箱。</w:t>
      </w:r>
    </w:p>
    <w:p w14:paraId="6F5754C8">
      <w:pPr>
        <w:pStyle w:val="19"/>
        <w:ind w:firstLine="420"/>
        <w:jc w:val="both"/>
        <w:rPr>
          <w:color w:val="auto"/>
          <w:sz w:val="21"/>
          <w:highlight w:val="none"/>
        </w:rPr>
      </w:pPr>
      <w:r>
        <w:rPr>
          <w:rFonts w:hint="eastAsia" w:ascii="宋体" w:hAnsi="宋体" w:eastAsia="宋体" w:cs="宋体"/>
          <w:color w:val="auto"/>
          <w:sz w:val="21"/>
          <w:highlight w:val="none"/>
        </w:rPr>
        <w:t>22.2一方当事人变更名称、住所、联系人、联系电话或电子邮箱等信息的，应当在变更后3日内及时书面通知对方，对方实际收到变更通知前的送达仍为有效送达。</w:t>
      </w:r>
    </w:p>
    <w:p w14:paraId="1C4E491E">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22.3本合同一方给另一方的通知均应采用书面形式，传真或快递送到本合同中规定的对方的地址和办理签收手续。</w:t>
      </w:r>
    </w:p>
    <w:p w14:paraId="2F2310F1">
      <w:pPr>
        <w:adjustRightInd w:val="0"/>
        <w:snapToGrid w:val="0"/>
        <w:spacing w:line="400" w:lineRule="exact"/>
        <w:ind w:firstLine="420" w:firstLineChars="200"/>
        <w:jc w:val="left"/>
        <w:rPr>
          <w:rFonts w:ascii="宋体" w:hAnsi="宋体"/>
          <w:color w:val="auto"/>
          <w:szCs w:val="21"/>
          <w:highlight w:val="none"/>
        </w:rPr>
      </w:pPr>
      <w:r>
        <w:rPr>
          <w:rFonts w:hint="eastAsia" w:ascii="宋体" w:hAnsi="宋体"/>
          <w:color w:val="auto"/>
          <w:szCs w:val="21"/>
          <w:highlight w:val="none"/>
        </w:rPr>
        <w:t>22.4通知以送达之日或通知书中规定的生效之日起生效，两者中以较迟之日为准。</w:t>
      </w:r>
    </w:p>
    <w:p w14:paraId="6713E85F">
      <w:pPr>
        <w:numPr>
          <w:ilvl w:val="0"/>
          <w:numId w:val="16"/>
        </w:numPr>
        <w:adjustRightInd w:val="0"/>
        <w:snapToGrid w:val="0"/>
        <w:spacing w:line="400" w:lineRule="exact"/>
        <w:ind w:firstLine="480" w:firstLineChars="200"/>
        <w:jc w:val="left"/>
        <w:rPr>
          <w:rFonts w:ascii="宋体" w:hAnsi="宋体"/>
          <w:b/>
          <w:bCs/>
          <w:color w:val="auto"/>
          <w:sz w:val="24"/>
          <w:highlight w:val="none"/>
        </w:rPr>
      </w:pPr>
      <w:r>
        <w:rPr>
          <w:rFonts w:hint="eastAsia" w:ascii="宋体" w:hAnsi="宋体"/>
          <w:b/>
          <w:bCs/>
          <w:color w:val="auto"/>
          <w:sz w:val="24"/>
          <w:highlight w:val="none"/>
        </w:rPr>
        <w:t>合同未尽事项</w:t>
      </w:r>
    </w:p>
    <w:p w14:paraId="5EC17CA9">
      <w:pPr>
        <w:adjustRightInd w:val="0"/>
        <w:snapToGrid w:val="0"/>
        <w:spacing w:line="400" w:lineRule="exact"/>
        <w:ind w:firstLine="420" w:firstLineChars="200"/>
        <w:jc w:val="left"/>
        <w:rPr>
          <w:rFonts w:ascii="宋体" w:hAnsi="宋体"/>
          <w:bCs/>
          <w:color w:val="auto"/>
          <w:szCs w:val="21"/>
          <w:highlight w:val="none"/>
        </w:rPr>
      </w:pPr>
      <w:r>
        <w:rPr>
          <w:rFonts w:hint="eastAsia" w:ascii="宋体" w:hAnsi="宋体"/>
          <w:bCs/>
          <w:color w:val="auto"/>
          <w:szCs w:val="21"/>
          <w:highlight w:val="none"/>
        </w:rPr>
        <w:t>23.1合同未尽事项见</w:t>
      </w:r>
      <w:r>
        <w:rPr>
          <w:rFonts w:hint="eastAsia" w:ascii="宋体" w:hAnsi="宋体"/>
          <w:b/>
          <w:color w:val="auto"/>
          <w:szCs w:val="21"/>
          <w:highlight w:val="none"/>
        </w:rPr>
        <w:t>【政府采购合同专用条款】</w:t>
      </w:r>
      <w:r>
        <w:rPr>
          <w:rFonts w:hint="eastAsia" w:ascii="宋体" w:hAnsi="宋体"/>
          <w:bCs/>
          <w:color w:val="auto"/>
          <w:szCs w:val="21"/>
          <w:highlight w:val="none"/>
        </w:rPr>
        <w:t>。</w:t>
      </w:r>
    </w:p>
    <w:p w14:paraId="3CF649EB">
      <w:pPr>
        <w:adjustRightInd w:val="0"/>
        <w:snapToGrid w:val="0"/>
        <w:spacing w:line="400" w:lineRule="exact"/>
        <w:ind w:firstLine="420" w:firstLineChars="200"/>
        <w:jc w:val="left"/>
        <w:rPr>
          <w:rFonts w:ascii="黑体" w:hAnsi="华文中宋" w:eastAsia="黑体"/>
          <w:color w:val="auto"/>
          <w:sz w:val="28"/>
          <w:szCs w:val="28"/>
          <w:highlight w:val="none"/>
        </w:rPr>
      </w:pPr>
      <w:r>
        <w:rPr>
          <w:rFonts w:hint="eastAsia" w:ascii="宋体" w:hAnsi="宋体"/>
          <w:bCs/>
          <w:color w:val="auto"/>
          <w:szCs w:val="21"/>
          <w:highlight w:val="none"/>
        </w:rPr>
        <w:t xml:space="preserve">    23.2 合同附件与合同正文具有同等的法律效力。</w:t>
      </w:r>
      <w:bookmarkStart w:id="9" w:name="_Toc20313"/>
    </w:p>
    <w:p w14:paraId="6B6A71C3">
      <w:pPr>
        <w:adjustRightInd w:val="0"/>
        <w:snapToGrid w:val="0"/>
        <w:jc w:val="center"/>
        <w:rPr>
          <w:rFonts w:ascii="黑体" w:hAnsi="华文中宋" w:eastAsia="黑体"/>
          <w:color w:val="auto"/>
          <w:sz w:val="28"/>
          <w:szCs w:val="28"/>
          <w:highlight w:val="none"/>
        </w:rPr>
      </w:pPr>
      <w:r>
        <w:rPr>
          <w:rFonts w:hint="eastAsia" w:ascii="黑体" w:hAnsi="华文中宋" w:eastAsia="黑体"/>
          <w:color w:val="auto"/>
          <w:sz w:val="28"/>
          <w:szCs w:val="28"/>
          <w:highlight w:val="none"/>
        </w:rPr>
        <w:br w:type="page"/>
      </w:r>
    </w:p>
    <w:p w14:paraId="1FF951D3">
      <w:pPr>
        <w:pStyle w:val="4"/>
        <w:adjustRightInd w:val="0"/>
        <w:snapToGrid w:val="0"/>
        <w:ind w:left="0" w:leftChars="0" w:firstLine="0" w:firstLineChars="0"/>
        <w:jc w:val="center"/>
        <w:rPr>
          <w:rFonts w:ascii="黑体" w:hAnsi="华文中宋"/>
          <w:b w:val="0"/>
          <w:color w:val="auto"/>
          <w:szCs w:val="28"/>
          <w:highlight w:val="none"/>
        </w:rPr>
      </w:pPr>
      <w:r>
        <w:rPr>
          <w:rFonts w:hint="eastAsia" w:ascii="黑体" w:hAnsi="华文中宋"/>
          <w:b w:val="0"/>
          <w:color w:val="auto"/>
          <w:szCs w:val="28"/>
          <w:highlight w:val="none"/>
        </w:rPr>
        <w:t>第三节 政府采购合同专用条款</w:t>
      </w:r>
      <w:bookmarkEnd w:id="9"/>
    </w:p>
    <w:tbl>
      <w:tblPr>
        <w:tblStyle w:val="14"/>
        <w:tblW w:w="8519"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0"/>
      </w:tblGrid>
      <w:tr w14:paraId="4FE61F8C">
        <w:trPr>
          <w:trHeight w:val="736" w:hRule="atLeast"/>
        </w:trPr>
        <w:tc>
          <w:tcPr>
            <w:tcW w:w="1607" w:type="dxa"/>
            <w:vAlign w:val="center"/>
          </w:tcPr>
          <w:p w14:paraId="2837BDFC">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2D85BB67">
            <w:pPr>
              <w:adjustRightInd w:val="0"/>
              <w:snapToGrid w:val="0"/>
              <w:jc w:val="center"/>
              <w:rPr>
                <w:rFonts w:ascii="宋体" w:hAnsi="宋体"/>
                <w:color w:val="auto"/>
                <w:szCs w:val="21"/>
                <w:highlight w:val="none"/>
              </w:rPr>
            </w:pPr>
            <w:r>
              <w:rPr>
                <w:rFonts w:hint="eastAsia" w:ascii="宋体" w:hAnsi="宋体"/>
                <w:color w:val="auto"/>
                <w:szCs w:val="21"/>
                <w:highlight w:val="none"/>
              </w:rPr>
              <w:t>第1.2（6）项</w:t>
            </w:r>
          </w:p>
        </w:tc>
        <w:tc>
          <w:tcPr>
            <w:tcW w:w="1742" w:type="dxa"/>
            <w:vAlign w:val="center"/>
          </w:tcPr>
          <w:p w14:paraId="34A47FD6">
            <w:pPr>
              <w:adjustRightInd w:val="0"/>
              <w:snapToGrid w:val="0"/>
              <w:jc w:val="left"/>
              <w:rPr>
                <w:rFonts w:ascii="宋体" w:hAnsi="宋体"/>
                <w:color w:val="auto"/>
                <w:szCs w:val="21"/>
                <w:highlight w:val="none"/>
              </w:rPr>
            </w:pPr>
            <w:r>
              <w:rPr>
                <w:rFonts w:hint="eastAsia" w:ascii="宋体" w:hAnsi="宋体"/>
                <w:color w:val="auto"/>
                <w:szCs w:val="21"/>
                <w:highlight w:val="none"/>
              </w:rPr>
              <w:t>联合体具体要求</w:t>
            </w:r>
          </w:p>
        </w:tc>
        <w:tc>
          <w:tcPr>
            <w:tcW w:w="5170" w:type="dxa"/>
            <w:vAlign w:val="center"/>
          </w:tcPr>
          <w:p w14:paraId="7E72D3E8">
            <w:pPr>
              <w:adjustRightInd w:val="0"/>
              <w:snapToGrid w:val="0"/>
              <w:jc w:val="left"/>
              <w:rPr>
                <w:rFonts w:hint="eastAsia" w:ascii="宋体" w:hAnsi="宋体" w:eastAsiaTheme="minorEastAsia"/>
                <w:color w:val="auto"/>
                <w:szCs w:val="21"/>
                <w:highlight w:val="none"/>
                <w:lang w:val="en-US" w:eastAsia="zh-CN"/>
              </w:rPr>
            </w:pPr>
            <w:r>
              <w:rPr>
                <w:rFonts w:hint="eastAsia" w:ascii="宋体" w:hAnsi="宋体"/>
                <w:color w:val="auto"/>
                <w:szCs w:val="21"/>
                <w:highlight w:val="none"/>
                <w:lang w:val="en-US" w:eastAsia="zh-CN"/>
              </w:rPr>
              <w:t>无</w:t>
            </w:r>
          </w:p>
        </w:tc>
      </w:tr>
      <w:tr w14:paraId="18033AF3">
        <w:trPr>
          <w:trHeight w:val="604" w:hRule="atLeast"/>
        </w:trPr>
        <w:tc>
          <w:tcPr>
            <w:tcW w:w="1607" w:type="dxa"/>
            <w:vAlign w:val="center"/>
          </w:tcPr>
          <w:p w14:paraId="0C300E5E">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49ECDE51">
            <w:pPr>
              <w:adjustRightInd w:val="0"/>
              <w:snapToGrid w:val="0"/>
              <w:jc w:val="center"/>
              <w:rPr>
                <w:rFonts w:ascii="宋体" w:hAnsi="宋体"/>
                <w:color w:val="auto"/>
                <w:szCs w:val="21"/>
                <w:highlight w:val="none"/>
              </w:rPr>
            </w:pPr>
            <w:r>
              <w:rPr>
                <w:rFonts w:hint="eastAsia" w:ascii="宋体" w:hAnsi="宋体"/>
                <w:color w:val="auto"/>
                <w:szCs w:val="21"/>
                <w:highlight w:val="none"/>
              </w:rPr>
              <w:t>第1.2（7）项</w:t>
            </w:r>
          </w:p>
        </w:tc>
        <w:tc>
          <w:tcPr>
            <w:tcW w:w="1742" w:type="dxa"/>
            <w:vAlign w:val="center"/>
          </w:tcPr>
          <w:p w14:paraId="590EAEFD">
            <w:pPr>
              <w:adjustRightInd w:val="0"/>
              <w:snapToGrid w:val="0"/>
              <w:jc w:val="left"/>
              <w:rPr>
                <w:rFonts w:ascii="宋体" w:hAnsi="宋体"/>
                <w:color w:val="auto"/>
                <w:szCs w:val="21"/>
                <w:highlight w:val="none"/>
              </w:rPr>
            </w:pPr>
            <w:r>
              <w:rPr>
                <w:rFonts w:hint="eastAsia" w:ascii="宋体" w:hAnsi="宋体"/>
                <w:color w:val="auto"/>
                <w:szCs w:val="21"/>
                <w:highlight w:val="none"/>
              </w:rPr>
              <w:t>其他术语解释</w:t>
            </w:r>
          </w:p>
        </w:tc>
        <w:tc>
          <w:tcPr>
            <w:tcW w:w="5170" w:type="dxa"/>
            <w:vAlign w:val="center"/>
          </w:tcPr>
          <w:p w14:paraId="2B92B538">
            <w:pPr>
              <w:adjustRightInd w:val="0"/>
              <w:snapToGrid w:val="0"/>
              <w:jc w:val="left"/>
              <w:rPr>
                <w:rFonts w:ascii="宋体" w:hAnsi="宋体"/>
                <w:color w:val="auto"/>
                <w:szCs w:val="21"/>
                <w:highlight w:val="none"/>
              </w:rPr>
            </w:pPr>
          </w:p>
        </w:tc>
      </w:tr>
      <w:tr w14:paraId="7D388CFD">
        <w:trPr>
          <w:trHeight w:val="736" w:hRule="atLeast"/>
        </w:trPr>
        <w:tc>
          <w:tcPr>
            <w:tcW w:w="1607" w:type="dxa"/>
            <w:vAlign w:val="center"/>
          </w:tcPr>
          <w:p w14:paraId="2FA74DC2">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54663BEB">
            <w:pPr>
              <w:adjustRightInd w:val="0"/>
              <w:snapToGrid w:val="0"/>
              <w:jc w:val="center"/>
              <w:rPr>
                <w:rFonts w:ascii="宋体" w:hAnsi="宋体"/>
                <w:color w:val="auto"/>
                <w:szCs w:val="21"/>
                <w:highlight w:val="none"/>
              </w:rPr>
            </w:pPr>
            <w:r>
              <w:rPr>
                <w:rFonts w:hint="eastAsia" w:ascii="宋体" w:hAnsi="宋体"/>
                <w:color w:val="auto"/>
                <w:szCs w:val="21"/>
                <w:highlight w:val="none"/>
              </w:rPr>
              <w:t>第4.4款</w:t>
            </w:r>
          </w:p>
        </w:tc>
        <w:tc>
          <w:tcPr>
            <w:tcW w:w="1742" w:type="dxa"/>
            <w:vAlign w:val="center"/>
          </w:tcPr>
          <w:p w14:paraId="7631065F">
            <w:pPr>
              <w:adjustRightInd w:val="0"/>
              <w:snapToGrid w:val="0"/>
              <w:jc w:val="left"/>
              <w:rPr>
                <w:rFonts w:ascii="宋体" w:hAnsi="宋体"/>
                <w:color w:val="auto"/>
                <w:szCs w:val="21"/>
                <w:highlight w:val="none"/>
              </w:rPr>
            </w:pPr>
            <w:r>
              <w:rPr>
                <w:rFonts w:hint="eastAsia" w:ascii="宋体" w:hAnsi="宋体"/>
                <w:color w:val="auto"/>
                <w:szCs w:val="21"/>
                <w:highlight w:val="none"/>
              </w:rPr>
              <w:t>履约验收中甲方提出异议或作出说明的期限</w:t>
            </w:r>
          </w:p>
        </w:tc>
        <w:tc>
          <w:tcPr>
            <w:tcW w:w="5170" w:type="dxa"/>
            <w:vAlign w:val="center"/>
          </w:tcPr>
          <w:p w14:paraId="2A35436A">
            <w:pPr>
              <w:adjustRightInd w:val="0"/>
              <w:snapToGrid w:val="0"/>
              <w:jc w:val="left"/>
              <w:rPr>
                <w:rFonts w:ascii="宋体" w:hAnsi="宋体"/>
                <w:color w:val="auto"/>
                <w:szCs w:val="21"/>
                <w:highlight w:val="none"/>
              </w:rPr>
            </w:pPr>
          </w:p>
        </w:tc>
      </w:tr>
      <w:tr w14:paraId="7CFF086B">
        <w:trPr>
          <w:trHeight w:val="736" w:hRule="atLeast"/>
        </w:trPr>
        <w:tc>
          <w:tcPr>
            <w:tcW w:w="1607" w:type="dxa"/>
            <w:vAlign w:val="center"/>
          </w:tcPr>
          <w:p w14:paraId="29470596">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0A3A2257">
            <w:pPr>
              <w:adjustRightInd w:val="0"/>
              <w:snapToGrid w:val="0"/>
              <w:jc w:val="center"/>
              <w:rPr>
                <w:rFonts w:ascii="宋体" w:hAnsi="宋体"/>
                <w:color w:val="auto"/>
                <w:szCs w:val="21"/>
                <w:highlight w:val="none"/>
              </w:rPr>
            </w:pPr>
            <w:r>
              <w:rPr>
                <w:rFonts w:hint="eastAsia" w:ascii="宋体" w:hAnsi="宋体"/>
                <w:color w:val="auto"/>
                <w:szCs w:val="21"/>
                <w:highlight w:val="none"/>
              </w:rPr>
              <w:t>第4.6款</w:t>
            </w:r>
          </w:p>
        </w:tc>
        <w:tc>
          <w:tcPr>
            <w:tcW w:w="1742" w:type="dxa"/>
            <w:vAlign w:val="center"/>
          </w:tcPr>
          <w:p w14:paraId="316E99F9">
            <w:pPr>
              <w:adjustRightInd w:val="0"/>
              <w:snapToGrid w:val="0"/>
              <w:jc w:val="left"/>
              <w:rPr>
                <w:rFonts w:ascii="宋体" w:hAnsi="宋体"/>
                <w:color w:val="auto"/>
                <w:szCs w:val="21"/>
                <w:highlight w:val="none"/>
              </w:rPr>
            </w:pPr>
            <w:r>
              <w:rPr>
                <w:rFonts w:hint="eastAsia" w:ascii="宋体" w:hAnsi="宋体"/>
                <w:color w:val="auto"/>
                <w:szCs w:val="21"/>
                <w:highlight w:val="none"/>
              </w:rPr>
              <w:t>约定甲方承担的其他义务和责任</w:t>
            </w:r>
          </w:p>
        </w:tc>
        <w:tc>
          <w:tcPr>
            <w:tcW w:w="5170" w:type="dxa"/>
            <w:vAlign w:val="center"/>
          </w:tcPr>
          <w:p w14:paraId="3674BB26">
            <w:pPr>
              <w:adjustRightInd w:val="0"/>
              <w:snapToGrid w:val="0"/>
              <w:jc w:val="left"/>
              <w:rPr>
                <w:rFonts w:ascii="宋体" w:hAnsi="宋体"/>
                <w:color w:val="auto"/>
                <w:szCs w:val="21"/>
                <w:highlight w:val="none"/>
              </w:rPr>
            </w:pPr>
          </w:p>
        </w:tc>
      </w:tr>
      <w:tr w14:paraId="1257B543">
        <w:trPr>
          <w:trHeight w:val="736" w:hRule="atLeast"/>
        </w:trPr>
        <w:tc>
          <w:tcPr>
            <w:tcW w:w="1607" w:type="dxa"/>
            <w:vAlign w:val="center"/>
          </w:tcPr>
          <w:p w14:paraId="40B85315">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2C80C6C6">
            <w:pPr>
              <w:snapToGrid w:val="0"/>
              <w:jc w:val="center"/>
              <w:rPr>
                <w:color w:val="auto"/>
                <w:highlight w:val="none"/>
              </w:rPr>
            </w:pPr>
            <w:r>
              <w:rPr>
                <w:rFonts w:hint="eastAsia" w:ascii="宋体" w:hAnsi="宋体"/>
                <w:color w:val="auto"/>
                <w:szCs w:val="21"/>
                <w:highlight w:val="none"/>
              </w:rPr>
              <w:t>第5.4款</w:t>
            </w:r>
          </w:p>
        </w:tc>
        <w:tc>
          <w:tcPr>
            <w:tcW w:w="1742" w:type="dxa"/>
            <w:vAlign w:val="center"/>
          </w:tcPr>
          <w:p w14:paraId="055DD98C">
            <w:pPr>
              <w:adjustRightInd w:val="0"/>
              <w:snapToGrid w:val="0"/>
              <w:jc w:val="left"/>
              <w:rPr>
                <w:rFonts w:ascii="宋体" w:hAnsi="宋体"/>
                <w:color w:val="auto"/>
                <w:szCs w:val="21"/>
                <w:highlight w:val="none"/>
              </w:rPr>
            </w:pPr>
            <w:r>
              <w:rPr>
                <w:rFonts w:hint="eastAsia" w:ascii="宋体" w:hAnsi="宋体"/>
                <w:color w:val="auto"/>
                <w:szCs w:val="21"/>
                <w:highlight w:val="none"/>
              </w:rPr>
              <w:t>约定乙方承担的其他义务和责任</w:t>
            </w:r>
          </w:p>
        </w:tc>
        <w:tc>
          <w:tcPr>
            <w:tcW w:w="5170" w:type="dxa"/>
            <w:vAlign w:val="center"/>
          </w:tcPr>
          <w:p w14:paraId="202DDE6F">
            <w:pPr>
              <w:adjustRightInd w:val="0"/>
              <w:snapToGrid w:val="0"/>
              <w:jc w:val="left"/>
              <w:rPr>
                <w:rFonts w:ascii="宋体" w:hAnsi="宋体"/>
                <w:color w:val="auto"/>
                <w:szCs w:val="21"/>
                <w:highlight w:val="none"/>
              </w:rPr>
            </w:pPr>
          </w:p>
        </w:tc>
      </w:tr>
      <w:tr w14:paraId="0D35EEA4">
        <w:trPr>
          <w:trHeight w:val="736" w:hRule="atLeast"/>
        </w:trPr>
        <w:tc>
          <w:tcPr>
            <w:tcW w:w="1607" w:type="dxa"/>
            <w:vAlign w:val="center"/>
          </w:tcPr>
          <w:p w14:paraId="27F4CFE6">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44B1691C">
            <w:pPr>
              <w:snapToGrid w:val="0"/>
              <w:jc w:val="center"/>
              <w:rPr>
                <w:rFonts w:ascii="宋体" w:hAnsi="宋体"/>
                <w:color w:val="auto"/>
                <w:szCs w:val="21"/>
                <w:highlight w:val="none"/>
              </w:rPr>
            </w:pPr>
            <w:r>
              <w:rPr>
                <w:rFonts w:hint="eastAsia" w:ascii="宋体" w:hAnsi="宋体"/>
                <w:color w:val="auto"/>
                <w:szCs w:val="21"/>
                <w:highlight w:val="none"/>
              </w:rPr>
              <w:t>第6.1款</w:t>
            </w:r>
          </w:p>
        </w:tc>
        <w:tc>
          <w:tcPr>
            <w:tcW w:w="1742" w:type="dxa"/>
            <w:vAlign w:val="center"/>
          </w:tcPr>
          <w:p w14:paraId="2E80064A">
            <w:pPr>
              <w:adjustRightInd w:val="0"/>
              <w:snapToGrid w:val="0"/>
              <w:jc w:val="left"/>
              <w:rPr>
                <w:rFonts w:ascii="宋体" w:hAnsi="宋体"/>
                <w:color w:val="auto"/>
                <w:szCs w:val="21"/>
                <w:highlight w:val="none"/>
              </w:rPr>
            </w:pPr>
            <w:r>
              <w:rPr>
                <w:rFonts w:hint="eastAsia" w:ascii="宋体" w:hAnsi="宋体"/>
                <w:color w:val="auto"/>
                <w:szCs w:val="21"/>
                <w:highlight w:val="none"/>
              </w:rPr>
              <w:t>履行合同义务的顺序</w:t>
            </w:r>
          </w:p>
        </w:tc>
        <w:tc>
          <w:tcPr>
            <w:tcW w:w="5170" w:type="dxa"/>
            <w:vAlign w:val="center"/>
          </w:tcPr>
          <w:p w14:paraId="5ABF5005">
            <w:pPr>
              <w:adjustRightInd w:val="0"/>
              <w:snapToGrid w:val="0"/>
              <w:jc w:val="left"/>
              <w:rPr>
                <w:rFonts w:ascii="宋体" w:hAnsi="宋体"/>
                <w:color w:val="auto"/>
                <w:szCs w:val="21"/>
                <w:highlight w:val="none"/>
              </w:rPr>
            </w:pPr>
          </w:p>
        </w:tc>
      </w:tr>
      <w:tr w14:paraId="2481FB8C">
        <w:trPr>
          <w:trHeight w:val="667" w:hRule="atLeast"/>
        </w:trPr>
        <w:tc>
          <w:tcPr>
            <w:tcW w:w="1607" w:type="dxa"/>
            <w:vMerge w:val="restart"/>
            <w:vAlign w:val="center"/>
          </w:tcPr>
          <w:p w14:paraId="6A2946E7">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161F168B">
            <w:pPr>
              <w:adjustRightInd w:val="0"/>
              <w:snapToGrid w:val="0"/>
              <w:jc w:val="center"/>
              <w:rPr>
                <w:rFonts w:ascii="宋体" w:hAnsi="宋体"/>
                <w:color w:val="auto"/>
                <w:szCs w:val="21"/>
                <w:highlight w:val="none"/>
              </w:rPr>
            </w:pPr>
            <w:r>
              <w:rPr>
                <w:rFonts w:hint="eastAsia" w:ascii="宋体" w:hAnsi="宋体"/>
                <w:color w:val="auto"/>
                <w:szCs w:val="21"/>
                <w:highlight w:val="none"/>
              </w:rPr>
              <w:t>第7.1款</w:t>
            </w:r>
          </w:p>
        </w:tc>
        <w:tc>
          <w:tcPr>
            <w:tcW w:w="1742" w:type="dxa"/>
            <w:vAlign w:val="center"/>
          </w:tcPr>
          <w:p w14:paraId="739EB4CB">
            <w:pPr>
              <w:adjustRightInd w:val="0"/>
              <w:snapToGrid w:val="0"/>
              <w:jc w:val="left"/>
              <w:rPr>
                <w:rFonts w:ascii="宋体" w:hAnsi="宋体"/>
                <w:color w:val="auto"/>
                <w:szCs w:val="21"/>
                <w:highlight w:val="none"/>
              </w:rPr>
            </w:pPr>
            <w:r>
              <w:rPr>
                <w:rFonts w:hint="eastAsia" w:ascii="宋体" w:hAnsi="宋体"/>
                <w:color w:val="auto"/>
                <w:szCs w:val="21"/>
                <w:highlight w:val="none"/>
              </w:rPr>
              <w:t>包装特殊要求</w:t>
            </w:r>
          </w:p>
        </w:tc>
        <w:tc>
          <w:tcPr>
            <w:tcW w:w="5170" w:type="dxa"/>
            <w:vAlign w:val="center"/>
          </w:tcPr>
          <w:p w14:paraId="4BB5F350">
            <w:pPr>
              <w:rPr>
                <w:color w:val="auto"/>
                <w:highlight w:val="none"/>
              </w:rPr>
            </w:pPr>
          </w:p>
        </w:tc>
      </w:tr>
      <w:tr w14:paraId="5577C544">
        <w:trPr>
          <w:trHeight w:val="667" w:hRule="atLeast"/>
        </w:trPr>
        <w:tc>
          <w:tcPr>
            <w:tcW w:w="1607" w:type="dxa"/>
            <w:vMerge w:val="continue"/>
            <w:vAlign w:val="center"/>
          </w:tcPr>
          <w:p w14:paraId="6BB3B0B0">
            <w:pPr>
              <w:adjustRightInd w:val="0"/>
              <w:snapToGrid w:val="0"/>
              <w:jc w:val="center"/>
              <w:rPr>
                <w:rFonts w:ascii="宋体" w:hAnsi="宋体"/>
                <w:color w:val="auto"/>
                <w:szCs w:val="21"/>
                <w:highlight w:val="none"/>
              </w:rPr>
            </w:pPr>
          </w:p>
        </w:tc>
        <w:tc>
          <w:tcPr>
            <w:tcW w:w="1742" w:type="dxa"/>
            <w:vAlign w:val="center"/>
          </w:tcPr>
          <w:p w14:paraId="4ABFED3D">
            <w:pPr>
              <w:adjustRightInd w:val="0"/>
              <w:snapToGrid w:val="0"/>
              <w:jc w:val="left"/>
              <w:rPr>
                <w:rFonts w:ascii="宋体" w:hAnsi="宋体"/>
                <w:color w:val="auto"/>
                <w:szCs w:val="21"/>
                <w:highlight w:val="none"/>
              </w:rPr>
            </w:pPr>
            <w:r>
              <w:rPr>
                <w:rFonts w:hint="eastAsia" w:ascii="宋体" w:hAnsi="宋体"/>
                <w:color w:val="auto"/>
                <w:szCs w:val="21"/>
                <w:highlight w:val="none"/>
              </w:rPr>
              <w:t>指定现场</w:t>
            </w:r>
          </w:p>
        </w:tc>
        <w:tc>
          <w:tcPr>
            <w:tcW w:w="5170" w:type="dxa"/>
            <w:vAlign w:val="center"/>
          </w:tcPr>
          <w:p w14:paraId="32EB9452">
            <w:pPr>
              <w:rPr>
                <w:color w:val="auto"/>
                <w:highlight w:val="none"/>
              </w:rPr>
            </w:pPr>
          </w:p>
        </w:tc>
      </w:tr>
      <w:tr w14:paraId="6AB1D508">
        <w:trPr>
          <w:trHeight w:val="772" w:hRule="atLeast"/>
        </w:trPr>
        <w:tc>
          <w:tcPr>
            <w:tcW w:w="1607" w:type="dxa"/>
            <w:vAlign w:val="center"/>
          </w:tcPr>
          <w:p w14:paraId="1230C12B">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21184863">
            <w:pPr>
              <w:adjustRightInd w:val="0"/>
              <w:snapToGrid w:val="0"/>
              <w:jc w:val="center"/>
              <w:rPr>
                <w:rFonts w:ascii="宋体" w:hAnsi="宋体"/>
                <w:color w:val="auto"/>
                <w:szCs w:val="21"/>
                <w:highlight w:val="none"/>
              </w:rPr>
            </w:pPr>
            <w:r>
              <w:rPr>
                <w:rFonts w:hint="eastAsia" w:ascii="宋体" w:hAnsi="宋体"/>
                <w:color w:val="auto"/>
                <w:szCs w:val="21"/>
                <w:highlight w:val="none"/>
              </w:rPr>
              <w:t>第7.2款</w:t>
            </w:r>
          </w:p>
        </w:tc>
        <w:tc>
          <w:tcPr>
            <w:tcW w:w="1742" w:type="dxa"/>
            <w:vAlign w:val="center"/>
          </w:tcPr>
          <w:p w14:paraId="3EEDDC1A">
            <w:pPr>
              <w:adjustRightInd w:val="0"/>
              <w:snapToGrid w:val="0"/>
              <w:jc w:val="left"/>
              <w:rPr>
                <w:rFonts w:ascii="宋体" w:hAnsi="宋体"/>
                <w:color w:val="auto"/>
                <w:szCs w:val="21"/>
                <w:highlight w:val="none"/>
              </w:rPr>
            </w:pPr>
            <w:r>
              <w:rPr>
                <w:rFonts w:hint="eastAsia" w:ascii="宋体" w:hAnsi="宋体"/>
                <w:color w:val="auto"/>
                <w:szCs w:val="21"/>
                <w:highlight w:val="none"/>
              </w:rPr>
              <w:t>运输特殊要求</w:t>
            </w:r>
          </w:p>
        </w:tc>
        <w:tc>
          <w:tcPr>
            <w:tcW w:w="5170" w:type="dxa"/>
            <w:vAlign w:val="center"/>
          </w:tcPr>
          <w:p w14:paraId="0066B0B2">
            <w:pPr>
              <w:rPr>
                <w:color w:val="auto"/>
                <w:highlight w:val="none"/>
              </w:rPr>
            </w:pPr>
          </w:p>
        </w:tc>
      </w:tr>
      <w:tr w14:paraId="0EB01D4A">
        <w:trPr>
          <w:trHeight w:val="667" w:hRule="atLeast"/>
        </w:trPr>
        <w:tc>
          <w:tcPr>
            <w:tcW w:w="1607" w:type="dxa"/>
            <w:vAlign w:val="center"/>
          </w:tcPr>
          <w:p w14:paraId="3D10B9FD">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463526FB">
            <w:pPr>
              <w:adjustRightInd w:val="0"/>
              <w:snapToGrid w:val="0"/>
              <w:jc w:val="center"/>
              <w:rPr>
                <w:rFonts w:ascii="宋体" w:hAnsi="宋体"/>
                <w:color w:val="auto"/>
                <w:szCs w:val="21"/>
                <w:highlight w:val="none"/>
              </w:rPr>
            </w:pPr>
            <w:r>
              <w:rPr>
                <w:rFonts w:hint="eastAsia" w:ascii="宋体" w:hAnsi="宋体"/>
                <w:color w:val="auto"/>
                <w:szCs w:val="21"/>
                <w:highlight w:val="none"/>
              </w:rPr>
              <w:t>第7.3款</w:t>
            </w:r>
          </w:p>
        </w:tc>
        <w:tc>
          <w:tcPr>
            <w:tcW w:w="1742" w:type="dxa"/>
            <w:vAlign w:val="center"/>
          </w:tcPr>
          <w:p w14:paraId="6C2A4056">
            <w:pPr>
              <w:adjustRightInd w:val="0"/>
              <w:snapToGrid w:val="0"/>
              <w:jc w:val="left"/>
              <w:rPr>
                <w:rFonts w:ascii="宋体" w:hAnsi="宋体"/>
                <w:color w:val="auto"/>
                <w:szCs w:val="21"/>
                <w:highlight w:val="none"/>
              </w:rPr>
            </w:pPr>
            <w:r>
              <w:rPr>
                <w:rFonts w:hint="eastAsia" w:ascii="宋体" w:hAnsi="宋体"/>
                <w:color w:val="auto"/>
                <w:szCs w:val="21"/>
                <w:highlight w:val="none"/>
              </w:rPr>
              <w:t>保险要求</w:t>
            </w:r>
          </w:p>
        </w:tc>
        <w:tc>
          <w:tcPr>
            <w:tcW w:w="5170" w:type="dxa"/>
            <w:vAlign w:val="center"/>
          </w:tcPr>
          <w:p w14:paraId="1CB91CDA">
            <w:pPr>
              <w:rPr>
                <w:color w:val="auto"/>
                <w:highlight w:val="none"/>
              </w:rPr>
            </w:pPr>
          </w:p>
        </w:tc>
      </w:tr>
      <w:tr w14:paraId="2821D44E">
        <w:trPr>
          <w:trHeight w:val="736" w:hRule="atLeast"/>
        </w:trPr>
        <w:tc>
          <w:tcPr>
            <w:tcW w:w="1607" w:type="dxa"/>
            <w:vAlign w:val="center"/>
          </w:tcPr>
          <w:p w14:paraId="3F94E274">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1F91D080">
            <w:pPr>
              <w:adjustRightInd w:val="0"/>
              <w:snapToGrid w:val="0"/>
              <w:jc w:val="center"/>
              <w:rPr>
                <w:rFonts w:ascii="宋体" w:hAnsi="宋体"/>
                <w:color w:val="auto"/>
                <w:szCs w:val="21"/>
                <w:highlight w:val="none"/>
              </w:rPr>
            </w:pPr>
            <w:r>
              <w:rPr>
                <w:rFonts w:hint="eastAsia" w:ascii="宋体" w:hAnsi="宋体"/>
                <w:color w:val="auto"/>
                <w:szCs w:val="21"/>
                <w:highlight w:val="none"/>
              </w:rPr>
              <w:t>第8.2（1）项</w:t>
            </w:r>
          </w:p>
        </w:tc>
        <w:tc>
          <w:tcPr>
            <w:tcW w:w="1742" w:type="dxa"/>
            <w:vAlign w:val="center"/>
          </w:tcPr>
          <w:p w14:paraId="3F0369BA">
            <w:pPr>
              <w:adjustRightInd w:val="0"/>
              <w:snapToGrid w:val="0"/>
              <w:jc w:val="left"/>
              <w:rPr>
                <w:rFonts w:ascii="宋体" w:hAnsi="宋体"/>
                <w:color w:val="auto"/>
                <w:szCs w:val="21"/>
                <w:highlight w:val="none"/>
              </w:rPr>
            </w:pPr>
            <w:r>
              <w:rPr>
                <w:rFonts w:hint="eastAsia" w:ascii="宋体" w:hAnsi="宋体"/>
                <w:color w:val="auto"/>
                <w:szCs w:val="21"/>
                <w:highlight w:val="none"/>
              </w:rPr>
              <w:t>质量保证期</w:t>
            </w:r>
          </w:p>
        </w:tc>
        <w:tc>
          <w:tcPr>
            <w:tcW w:w="5170" w:type="dxa"/>
            <w:vAlign w:val="center"/>
          </w:tcPr>
          <w:p w14:paraId="709724F3">
            <w:pPr>
              <w:autoSpaceDE w:val="0"/>
              <w:autoSpaceDN w:val="0"/>
              <w:adjustRightInd w:val="0"/>
              <w:snapToGrid w:val="0"/>
              <w:ind w:firstLine="420" w:firstLineChars="200"/>
              <w:jc w:val="left"/>
              <w:rPr>
                <w:rFonts w:ascii="宋体" w:hAnsi="宋体"/>
                <w:color w:val="auto"/>
                <w:szCs w:val="21"/>
                <w:highlight w:val="none"/>
              </w:rPr>
            </w:pPr>
          </w:p>
        </w:tc>
      </w:tr>
      <w:tr w14:paraId="343241DB">
        <w:trPr>
          <w:trHeight w:val="736" w:hRule="atLeast"/>
        </w:trPr>
        <w:tc>
          <w:tcPr>
            <w:tcW w:w="1607" w:type="dxa"/>
            <w:vAlign w:val="center"/>
          </w:tcPr>
          <w:p w14:paraId="78EB9EC0">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22CEE441">
            <w:pPr>
              <w:adjustRightInd w:val="0"/>
              <w:snapToGrid w:val="0"/>
              <w:jc w:val="center"/>
              <w:rPr>
                <w:rFonts w:ascii="宋体" w:hAnsi="宋体"/>
                <w:color w:val="auto"/>
                <w:szCs w:val="21"/>
                <w:highlight w:val="none"/>
              </w:rPr>
            </w:pPr>
            <w:r>
              <w:rPr>
                <w:rFonts w:hint="eastAsia" w:ascii="宋体" w:hAnsi="宋体"/>
                <w:color w:val="auto"/>
                <w:szCs w:val="21"/>
                <w:highlight w:val="none"/>
              </w:rPr>
              <w:t>第8.2（3）项</w:t>
            </w:r>
          </w:p>
        </w:tc>
        <w:tc>
          <w:tcPr>
            <w:tcW w:w="1742" w:type="dxa"/>
            <w:vAlign w:val="center"/>
          </w:tcPr>
          <w:p w14:paraId="68FF83F7">
            <w:pPr>
              <w:adjustRightInd w:val="0"/>
              <w:snapToGrid w:val="0"/>
              <w:jc w:val="left"/>
              <w:rPr>
                <w:rFonts w:ascii="宋体" w:hAnsi="宋体"/>
                <w:color w:val="auto"/>
                <w:szCs w:val="21"/>
                <w:highlight w:val="none"/>
              </w:rPr>
            </w:pPr>
            <w:r>
              <w:rPr>
                <w:rFonts w:hint="eastAsia" w:ascii="宋体" w:hAnsi="宋体"/>
                <w:color w:val="auto"/>
                <w:szCs w:val="21"/>
                <w:highlight w:val="none"/>
              </w:rPr>
              <w:t>货物质量缺陷</w:t>
            </w:r>
          </w:p>
          <w:p w14:paraId="06B4261B">
            <w:pPr>
              <w:adjustRightInd w:val="0"/>
              <w:snapToGrid w:val="0"/>
              <w:jc w:val="left"/>
              <w:rPr>
                <w:rFonts w:ascii="宋体" w:hAnsi="宋体"/>
                <w:color w:val="auto"/>
                <w:szCs w:val="21"/>
                <w:highlight w:val="none"/>
              </w:rPr>
            </w:pPr>
            <w:r>
              <w:rPr>
                <w:rFonts w:hint="eastAsia" w:ascii="宋体" w:hAnsi="宋体"/>
                <w:color w:val="auto"/>
                <w:szCs w:val="21"/>
                <w:highlight w:val="none"/>
              </w:rPr>
              <w:t>响应时间</w:t>
            </w:r>
          </w:p>
        </w:tc>
        <w:tc>
          <w:tcPr>
            <w:tcW w:w="5170" w:type="dxa"/>
            <w:vAlign w:val="center"/>
          </w:tcPr>
          <w:p w14:paraId="35D172FC">
            <w:pPr>
              <w:adjustRightInd w:val="0"/>
              <w:snapToGrid w:val="0"/>
              <w:jc w:val="left"/>
              <w:rPr>
                <w:rFonts w:ascii="宋体" w:hAnsi="宋体"/>
                <w:color w:val="auto"/>
                <w:szCs w:val="21"/>
                <w:highlight w:val="none"/>
              </w:rPr>
            </w:pPr>
          </w:p>
        </w:tc>
      </w:tr>
      <w:tr w14:paraId="0D9734A6">
        <w:trPr>
          <w:trHeight w:val="736" w:hRule="atLeast"/>
        </w:trPr>
        <w:tc>
          <w:tcPr>
            <w:tcW w:w="1607" w:type="dxa"/>
            <w:vAlign w:val="center"/>
          </w:tcPr>
          <w:p w14:paraId="290ABE20">
            <w:pPr>
              <w:snapToGrid w:val="0"/>
              <w:jc w:val="center"/>
              <w:rPr>
                <w:rFonts w:ascii="宋体" w:hAnsi="宋体" w:cs="宋体"/>
                <w:color w:val="auto"/>
                <w:szCs w:val="21"/>
                <w:highlight w:val="none"/>
              </w:rPr>
            </w:pPr>
            <w:r>
              <w:rPr>
                <w:rFonts w:hint="eastAsia" w:ascii="宋体" w:hAnsi="宋体" w:cs="宋体"/>
                <w:color w:val="auto"/>
                <w:szCs w:val="21"/>
                <w:highlight w:val="none"/>
              </w:rPr>
              <w:t>第二节</w:t>
            </w:r>
          </w:p>
          <w:p w14:paraId="236FDEAF">
            <w:pPr>
              <w:pStyle w:val="19"/>
              <w:ind w:firstLine="0" w:firstLineChars="0"/>
              <w:jc w:val="center"/>
              <w:rPr>
                <w:color w:val="auto"/>
                <w:highlight w:val="none"/>
              </w:rPr>
            </w:pPr>
            <w:r>
              <w:rPr>
                <w:rFonts w:hint="eastAsia" w:ascii="宋体" w:hAnsi="宋体" w:eastAsia="宋体" w:cs="宋体"/>
                <w:color w:val="auto"/>
                <w:highlight w:val="none"/>
              </w:rPr>
              <w:t>第11.1款</w:t>
            </w:r>
          </w:p>
        </w:tc>
        <w:tc>
          <w:tcPr>
            <w:tcW w:w="1742" w:type="dxa"/>
            <w:vAlign w:val="center"/>
          </w:tcPr>
          <w:p w14:paraId="0B66668D">
            <w:pPr>
              <w:adjustRightInd w:val="0"/>
              <w:snapToGrid w:val="0"/>
              <w:rPr>
                <w:rFonts w:ascii="宋体" w:hAnsi="宋体"/>
                <w:color w:val="auto"/>
                <w:szCs w:val="21"/>
                <w:highlight w:val="none"/>
              </w:rPr>
            </w:pPr>
            <w:r>
              <w:rPr>
                <w:rFonts w:hint="eastAsia" w:ascii="宋体" w:hAnsi="宋体"/>
                <w:color w:val="auto"/>
                <w:szCs w:val="21"/>
                <w:highlight w:val="none"/>
              </w:rPr>
              <w:t>其他应当保密的信息</w:t>
            </w:r>
          </w:p>
        </w:tc>
        <w:tc>
          <w:tcPr>
            <w:tcW w:w="5170" w:type="dxa"/>
            <w:vAlign w:val="center"/>
          </w:tcPr>
          <w:p w14:paraId="6565773A">
            <w:pPr>
              <w:adjustRightInd w:val="0"/>
              <w:snapToGrid w:val="0"/>
              <w:jc w:val="left"/>
              <w:rPr>
                <w:rFonts w:ascii="宋体" w:hAnsi="宋体"/>
                <w:color w:val="auto"/>
                <w:szCs w:val="21"/>
                <w:highlight w:val="none"/>
              </w:rPr>
            </w:pPr>
          </w:p>
        </w:tc>
      </w:tr>
      <w:tr w14:paraId="1DB235CF">
        <w:trPr>
          <w:trHeight w:val="697" w:hRule="atLeast"/>
        </w:trPr>
        <w:tc>
          <w:tcPr>
            <w:tcW w:w="1607" w:type="dxa"/>
            <w:vAlign w:val="center"/>
          </w:tcPr>
          <w:p w14:paraId="6DFF17D0">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03DB620C">
            <w:pPr>
              <w:adjustRightInd w:val="0"/>
              <w:snapToGrid w:val="0"/>
              <w:jc w:val="center"/>
              <w:rPr>
                <w:rFonts w:ascii="宋体" w:hAnsi="宋体"/>
                <w:color w:val="auto"/>
                <w:szCs w:val="21"/>
                <w:highlight w:val="none"/>
              </w:rPr>
            </w:pPr>
            <w:r>
              <w:rPr>
                <w:rFonts w:hint="eastAsia" w:ascii="宋体" w:hAnsi="宋体"/>
                <w:color w:val="auto"/>
                <w:szCs w:val="21"/>
                <w:highlight w:val="none"/>
              </w:rPr>
              <w:t>第12.2款</w:t>
            </w:r>
          </w:p>
        </w:tc>
        <w:tc>
          <w:tcPr>
            <w:tcW w:w="1742" w:type="dxa"/>
            <w:vAlign w:val="center"/>
          </w:tcPr>
          <w:p w14:paraId="2DE6217F">
            <w:pPr>
              <w:adjustRightInd w:val="0"/>
              <w:snapToGrid w:val="0"/>
              <w:jc w:val="left"/>
              <w:rPr>
                <w:rFonts w:ascii="宋体" w:hAnsi="宋体"/>
                <w:color w:val="auto"/>
                <w:szCs w:val="21"/>
                <w:highlight w:val="none"/>
              </w:rPr>
            </w:pPr>
            <w:r>
              <w:rPr>
                <w:rFonts w:hint="eastAsia" w:ascii="宋体" w:hAnsi="宋体"/>
                <w:color w:val="auto"/>
                <w:szCs w:val="21"/>
                <w:highlight w:val="none"/>
              </w:rPr>
              <w:t>合同价款支付时间</w:t>
            </w:r>
          </w:p>
        </w:tc>
        <w:tc>
          <w:tcPr>
            <w:tcW w:w="5170" w:type="dxa"/>
            <w:vAlign w:val="center"/>
          </w:tcPr>
          <w:p w14:paraId="2EDFE7B6">
            <w:pPr>
              <w:adjustRightInd w:val="0"/>
              <w:snapToGrid w:val="0"/>
              <w:jc w:val="left"/>
              <w:rPr>
                <w:rFonts w:ascii="宋体" w:hAnsi="宋体"/>
                <w:color w:val="auto"/>
                <w:szCs w:val="21"/>
                <w:highlight w:val="none"/>
              </w:rPr>
            </w:pPr>
          </w:p>
        </w:tc>
      </w:tr>
      <w:tr w14:paraId="626D4827">
        <w:trPr>
          <w:trHeight w:val="697" w:hRule="atLeast"/>
        </w:trPr>
        <w:tc>
          <w:tcPr>
            <w:tcW w:w="1607" w:type="dxa"/>
            <w:vAlign w:val="center"/>
          </w:tcPr>
          <w:p w14:paraId="7A8B3FAB">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606F8F14">
            <w:pPr>
              <w:adjustRightInd w:val="0"/>
              <w:snapToGrid w:val="0"/>
              <w:jc w:val="center"/>
              <w:rPr>
                <w:rFonts w:ascii="宋体" w:hAnsi="宋体"/>
                <w:color w:val="auto"/>
                <w:szCs w:val="21"/>
                <w:highlight w:val="none"/>
              </w:rPr>
            </w:pPr>
            <w:r>
              <w:rPr>
                <w:rFonts w:hint="eastAsia" w:ascii="宋体" w:hAnsi="宋体"/>
                <w:color w:val="auto"/>
                <w:szCs w:val="21"/>
                <w:highlight w:val="none"/>
              </w:rPr>
              <w:t>第13.2款</w:t>
            </w:r>
          </w:p>
        </w:tc>
        <w:tc>
          <w:tcPr>
            <w:tcW w:w="1742" w:type="dxa"/>
            <w:vAlign w:val="center"/>
          </w:tcPr>
          <w:p w14:paraId="0A29BCBC">
            <w:pPr>
              <w:adjustRightInd w:val="0"/>
              <w:snapToGrid w:val="0"/>
              <w:jc w:val="left"/>
              <w:rPr>
                <w:rFonts w:ascii="宋体" w:hAnsi="宋体"/>
                <w:color w:val="auto"/>
                <w:szCs w:val="21"/>
                <w:highlight w:val="none"/>
              </w:rPr>
            </w:pPr>
            <w:r>
              <w:rPr>
                <w:rFonts w:hint="eastAsia" w:ascii="宋体" w:hAnsi="宋体"/>
                <w:color w:val="auto"/>
                <w:szCs w:val="21"/>
                <w:highlight w:val="none"/>
              </w:rPr>
              <w:t>履约保证金不予退还的情形</w:t>
            </w:r>
          </w:p>
        </w:tc>
        <w:tc>
          <w:tcPr>
            <w:tcW w:w="5170" w:type="dxa"/>
            <w:vAlign w:val="center"/>
          </w:tcPr>
          <w:p w14:paraId="32232AC9">
            <w:pPr>
              <w:adjustRightInd w:val="0"/>
              <w:snapToGrid w:val="0"/>
              <w:jc w:val="left"/>
              <w:rPr>
                <w:rFonts w:ascii="宋体" w:hAnsi="宋体"/>
                <w:color w:val="auto"/>
                <w:szCs w:val="21"/>
                <w:highlight w:val="none"/>
              </w:rPr>
            </w:pPr>
          </w:p>
        </w:tc>
      </w:tr>
      <w:tr w14:paraId="30490835">
        <w:trPr>
          <w:trHeight w:val="736" w:hRule="atLeast"/>
        </w:trPr>
        <w:tc>
          <w:tcPr>
            <w:tcW w:w="1607" w:type="dxa"/>
            <w:vAlign w:val="center"/>
          </w:tcPr>
          <w:p w14:paraId="1BF85EA3">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4460EB24">
            <w:pPr>
              <w:adjustRightInd w:val="0"/>
              <w:snapToGrid w:val="0"/>
              <w:jc w:val="center"/>
              <w:rPr>
                <w:rFonts w:ascii="宋体" w:hAnsi="宋体"/>
                <w:color w:val="auto"/>
                <w:szCs w:val="21"/>
                <w:highlight w:val="none"/>
              </w:rPr>
            </w:pPr>
            <w:r>
              <w:rPr>
                <w:rFonts w:hint="eastAsia" w:ascii="宋体" w:hAnsi="宋体"/>
                <w:color w:val="auto"/>
                <w:szCs w:val="21"/>
                <w:highlight w:val="none"/>
              </w:rPr>
              <w:t>第13.3款</w:t>
            </w:r>
          </w:p>
        </w:tc>
        <w:tc>
          <w:tcPr>
            <w:tcW w:w="1742" w:type="dxa"/>
            <w:vAlign w:val="center"/>
          </w:tcPr>
          <w:p w14:paraId="2A0F293E">
            <w:pPr>
              <w:adjustRightInd w:val="0"/>
              <w:snapToGrid w:val="0"/>
              <w:jc w:val="left"/>
              <w:rPr>
                <w:rFonts w:ascii="宋体" w:hAnsi="宋体"/>
                <w:color w:val="auto"/>
                <w:szCs w:val="21"/>
                <w:highlight w:val="none"/>
              </w:rPr>
            </w:pPr>
            <w:r>
              <w:rPr>
                <w:rFonts w:hint="eastAsia" w:ascii="宋体" w:hAnsi="宋体"/>
                <w:color w:val="auto"/>
                <w:szCs w:val="21"/>
                <w:highlight w:val="none"/>
              </w:rPr>
              <w:t>履约保证金退还时间及逾期退还的违约金</w:t>
            </w:r>
          </w:p>
        </w:tc>
        <w:tc>
          <w:tcPr>
            <w:tcW w:w="5170" w:type="dxa"/>
            <w:vAlign w:val="center"/>
          </w:tcPr>
          <w:p w14:paraId="23800CFB">
            <w:pPr>
              <w:adjustRightInd w:val="0"/>
              <w:snapToGrid w:val="0"/>
              <w:jc w:val="left"/>
              <w:rPr>
                <w:rFonts w:ascii="宋体" w:hAnsi="宋体"/>
                <w:color w:val="auto"/>
                <w:szCs w:val="21"/>
                <w:highlight w:val="none"/>
              </w:rPr>
            </w:pPr>
          </w:p>
        </w:tc>
      </w:tr>
      <w:tr w14:paraId="2966AFAC">
        <w:trPr>
          <w:trHeight w:val="784" w:hRule="atLeast"/>
        </w:trPr>
        <w:tc>
          <w:tcPr>
            <w:tcW w:w="1607" w:type="dxa"/>
            <w:vAlign w:val="center"/>
          </w:tcPr>
          <w:p w14:paraId="2534F760">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298F9A41">
            <w:pPr>
              <w:adjustRightInd w:val="0"/>
              <w:snapToGrid w:val="0"/>
              <w:jc w:val="center"/>
              <w:rPr>
                <w:rFonts w:ascii="宋体" w:hAnsi="宋体"/>
                <w:color w:val="auto"/>
                <w:szCs w:val="21"/>
                <w:highlight w:val="none"/>
              </w:rPr>
            </w:pPr>
            <w:r>
              <w:rPr>
                <w:rFonts w:hint="eastAsia" w:ascii="宋体" w:hAnsi="宋体"/>
                <w:color w:val="auto"/>
                <w:szCs w:val="21"/>
                <w:highlight w:val="none"/>
              </w:rPr>
              <w:t>第14.1（3）项</w:t>
            </w:r>
          </w:p>
        </w:tc>
        <w:tc>
          <w:tcPr>
            <w:tcW w:w="1742" w:type="dxa"/>
            <w:vAlign w:val="center"/>
          </w:tcPr>
          <w:p w14:paraId="2118E038">
            <w:pPr>
              <w:adjustRightInd w:val="0"/>
              <w:snapToGrid w:val="0"/>
              <w:jc w:val="left"/>
              <w:rPr>
                <w:rFonts w:ascii="宋体" w:hAnsi="宋体"/>
                <w:color w:val="auto"/>
                <w:szCs w:val="21"/>
                <w:highlight w:val="none"/>
              </w:rPr>
            </w:pPr>
            <w:r>
              <w:rPr>
                <w:rFonts w:hint="eastAsia" w:ascii="宋体" w:hAnsi="宋体"/>
                <w:color w:val="auto"/>
                <w:szCs w:val="21"/>
                <w:highlight w:val="none"/>
              </w:rPr>
              <w:t>运行监督、维修期限</w:t>
            </w:r>
          </w:p>
        </w:tc>
        <w:tc>
          <w:tcPr>
            <w:tcW w:w="5170" w:type="dxa"/>
            <w:vAlign w:val="center"/>
          </w:tcPr>
          <w:p w14:paraId="6C4EEE58">
            <w:pPr>
              <w:adjustRightInd w:val="0"/>
              <w:snapToGrid w:val="0"/>
              <w:jc w:val="left"/>
              <w:rPr>
                <w:rFonts w:ascii="宋体" w:hAnsi="宋体"/>
                <w:color w:val="auto"/>
                <w:szCs w:val="21"/>
                <w:highlight w:val="none"/>
              </w:rPr>
            </w:pPr>
          </w:p>
        </w:tc>
      </w:tr>
      <w:tr w14:paraId="345A8C81">
        <w:trPr>
          <w:trHeight w:val="784" w:hRule="atLeast"/>
        </w:trPr>
        <w:tc>
          <w:tcPr>
            <w:tcW w:w="1607" w:type="dxa"/>
            <w:vAlign w:val="center"/>
          </w:tcPr>
          <w:p w14:paraId="642F3528">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40E1D3C3">
            <w:pPr>
              <w:adjustRightInd w:val="0"/>
              <w:snapToGrid w:val="0"/>
              <w:jc w:val="center"/>
              <w:rPr>
                <w:rFonts w:ascii="宋体" w:hAnsi="宋体"/>
                <w:color w:val="auto"/>
                <w:szCs w:val="21"/>
                <w:highlight w:val="none"/>
              </w:rPr>
            </w:pPr>
            <w:r>
              <w:rPr>
                <w:rFonts w:hint="eastAsia" w:ascii="宋体" w:hAnsi="宋体"/>
                <w:color w:val="auto"/>
                <w:szCs w:val="21"/>
                <w:highlight w:val="none"/>
              </w:rPr>
              <w:t>第14.1（5）项</w:t>
            </w:r>
          </w:p>
        </w:tc>
        <w:tc>
          <w:tcPr>
            <w:tcW w:w="1742" w:type="dxa"/>
            <w:vAlign w:val="center"/>
          </w:tcPr>
          <w:p w14:paraId="4887D394">
            <w:pPr>
              <w:adjustRightInd w:val="0"/>
              <w:snapToGrid w:val="0"/>
              <w:jc w:val="left"/>
              <w:rPr>
                <w:rFonts w:ascii="宋体" w:hAnsi="宋体"/>
                <w:color w:val="auto"/>
                <w:szCs w:val="21"/>
                <w:highlight w:val="none"/>
              </w:rPr>
            </w:pPr>
            <w:r>
              <w:rPr>
                <w:rFonts w:hint="eastAsia" w:ascii="宋体" w:hAnsi="宋体"/>
                <w:color w:val="auto"/>
                <w:szCs w:val="21"/>
                <w:highlight w:val="none"/>
              </w:rPr>
              <w:t>货物回收的约定</w:t>
            </w:r>
          </w:p>
        </w:tc>
        <w:tc>
          <w:tcPr>
            <w:tcW w:w="5170" w:type="dxa"/>
            <w:vAlign w:val="center"/>
          </w:tcPr>
          <w:p w14:paraId="543EF19A">
            <w:pPr>
              <w:adjustRightInd w:val="0"/>
              <w:snapToGrid w:val="0"/>
              <w:jc w:val="left"/>
              <w:rPr>
                <w:rFonts w:ascii="宋体" w:hAnsi="宋体"/>
                <w:color w:val="auto"/>
                <w:szCs w:val="21"/>
                <w:highlight w:val="none"/>
              </w:rPr>
            </w:pPr>
          </w:p>
        </w:tc>
      </w:tr>
      <w:tr w14:paraId="07B5923C">
        <w:trPr>
          <w:trHeight w:val="736" w:hRule="atLeast"/>
        </w:trPr>
        <w:tc>
          <w:tcPr>
            <w:tcW w:w="1607" w:type="dxa"/>
            <w:vAlign w:val="center"/>
          </w:tcPr>
          <w:p w14:paraId="649C2BE9">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37CA2DBC">
            <w:pPr>
              <w:adjustRightInd w:val="0"/>
              <w:snapToGrid w:val="0"/>
              <w:jc w:val="center"/>
              <w:rPr>
                <w:rFonts w:ascii="宋体" w:hAnsi="宋体"/>
                <w:color w:val="auto"/>
                <w:szCs w:val="21"/>
                <w:highlight w:val="none"/>
              </w:rPr>
            </w:pPr>
            <w:r>
              <w:rPr>
                <w:rFonts w:hint="eastAsia" w:ascii="宋体" w:hAnsi="宋体"/>
                <w:color w:val="auto"/>
                <w:szCs w:val="21"/>
                <w:highlight w:val="none"/>
              </w:rPr>
              <w:t>第14.1（6）项</w:t>
            </w:r>
          </w:p>
        </w:tc>
        <w:tc>
          <w:tcPr>
            <w:tcW w:w="1742" w:type="dxa"/>
            <w:vAlign w:val="center"/>
          </w:tcPr>
          <w:p w14:paraId="72C60A86">
            <w:pPr>
              <w:adjustRightInd w:val="0"/>
              <w:snapToGrid w:val="0"/>
              <w:jc w:val="left"/>
              <w:rPr>
                <w:rFonts w:ascii="宋体" w:hAnsi="宋体"/>
                <w:color w:val="auto"/>
                <w:szCs w:val="21"/>
                <w:highlight w:val="none"/>
              </w:rPr>
            </w:pPr>
            <w:r>
              <w:rPr>
                <w:rFonts w:hint="eastAsia" w:ascii="宋体" w:hAnsi="宋体"/>
                <w:color w:val="auto"/>
                <w:szCs w:val="21"/>
                <w:highlight w:val="none"/>
              </w:rPr>
              <w:t>乙方提供的其他服务</w:t>
            </w:r>
          </w:p>
        </w:tc>
        <w:tc>
          <w:tcPr>
            <w:tcW w:w="5170" w:type="dxa"/>
            <w:vAlign w:val="center"/>
          </w:tcPr>
          <w:p w14:paraId="23A53F52">
            <w:pPr>
              <w:adjustRightInd w:val="0"/>
              <w:snapToGrid w:val="0"/>
              <w:jc w:val="left"/>
              <w:rPr>
                <w:rFonts w:ascii="宋体" w:hAnsi="宋体"/>
                <w:color w:val="auto"/>
                <w:szCs w:val="21"/>
                <w:highlight w:val="none"/>
              </w:rPr>
            </w:pPr>
          </w:p>
        </w:tc>
      </w:tr>
      <w:tr w14:paraId="3C972841">
        <w:trPr>
          <w:trHeight w:val="736" w:hRule="atLeast"/>
        </w:trPr>
        <w:tc>
          <w:tcPr>
            <w:tcW w:w="1607" w:type="dxa"/>
            <w:vAlign w:val="center"/>
          </w:tcPr>
          <w:p w14:paraId="612C97F8">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535E6D67">
            <w:pPr>
              <w:adjustRightInd w:val="0"/>
              <w:snapToGrid w:val="0"/>
              <w:jc w:val="center"/>
              <w:rPr>
                <w:rFonts w:ascii="宋体" w:hAnsi="宋体"/>
                <w:color w:val="auto"/>
                <w:szCs w:val="21"/>
                <w:highlight w:val="none"/>
              </w:rPr>
            </w:pPr>
            <w:r>
              <w:rPr>
                <w:rFonts w:hint="eastAsia" w:ascii="宋体" w:hAnsi="宋体"/>
                <w:color w:val="auto"/>
                <w:szCs w:val="21"/>
                <w:highlight w:val="none"/>
              </w:rPr>
              <w:t>第15.1款</w:t>
            </w:r>
          </w:p>
        </w:tc>
        <w:tc>
          <w:tcPr>
            <w:tcW w:w="1742" w:type="dxa"/>
            <w:vAlign w:val="center"/>
          </w:tcPr>
          <w:p w14:paraId="7BF78560">
            <w:pPr>
              <w:adjustRightInd w:val="0"/>
              <w:snapToGrid w:val="0"/>
              <w:jc w:val="left"/>
              <w:rPr>
                <w:rFonts w:ascii="宋体" w:hAnsi="宋体"/>
                <w:color w:val="auto"/>
                <w:szCs w:val="21"/>
                <w:highlight w:val="none"/>
              </w:rPr>
            </w:pPr>
            <w:r>
              <w:rPr>
                <w:rFonts w:hint="eastAsia" w:ascii="宋体" w:hAnsi="宋体"/>
                <w:color w:val="auto"/>
                <w:szCs w:val="21"/>
                <w:highlight w:val="none"/>
              </w:rPr>
              <w:t>修理、重作、更换相关具体规定</w:t>
            </w:r>
          </w:p>
        </w:tc>
        <w:tc>
          <w:tcPr>
            <w:tcW w:w="5170" w:type="dxa"/>
            <w:vAlign w:val="center"/>
          </w:tcPr>
          <w:p w14:paraId="118F8C2A">
            <w:pPr>
              <w:adjustRightInd w:val="0"/>
              <w:snapToGrid w:val="0"/>
              <w:jc w:val="left"/>
              <w:rPr>
                <w:rFonts w:ascii="宋体" w:hAnsi="宋体"/>
                <w:color w:val="auto"/>
                <w:szCs w:val="21"/>
                <w:highlight w:val="none"/>
              </w:rPr>
            </w:pPr>
          </w:p>
        </w:tc>
      </w:tr>
      <w:tr w14:paraId="325B6E52">
        <w:trPr>
          <w:trHeight w:val="736" w:hRule="atLeast"/>
        </w:trPr>
        <w:tc>
          <w:tcPr>
            <w:tcW w:w="1607" w:type="dxa"/>
            <w:vAlign w:val="center"/>
          </w:tcPr>
          <w:p w14:paraId="4D0BA358">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46566AA9">
            <w:pPr>
              <w:adjustRightInd w:val="0"/>
              <w:snapToGrid w:val="0"/>
              <w:jc w:val="center"/>
              <w:rPr>
                <w:rFonts w:ascii="宋体" w:hAnsi="宋体"/>
                <w:color w:val="auto"/>
                <w:szCs w:val="21"/>
                <w:highlight w:val="none"/>
              </w:rPr>
            </w:pPr>
            <w:r>
              <w:rPr>
                <w:rFonts w:hint="eastAsia" w:ascii="宋体" w:hAnsi="宋体"/>
                <w:color w:val="auto"/>
                <w:szCs w:val="21"/>
                <w:highlight w:val="none"/>
              </w:rPr>
              <w:t>第15.2（2）项</w:t>
            </w:r>
          </w:p>
        </w:tc>
        <w:tc>
          <w:tcPr>
            <w:tcW w:w="1742" w:type="dxa"/>
            <w:vAlign w:val="center"/>
          </w:tcPr>
          <w:p w14:paraId="4CB81E27">
            <w:pPr>
              <w:adjustRightInd w:val="0"/>
              <w:snapToGrid w:val="0"/>
              <w:jc w:val="left"/>
              <w:rPr>
                <w:rFonts w:ascii="宋体" w:hAnsi="宋体"/>
                <w:color w:val="auto"/>
                <w:szCs w:val="21"/>
                <w:highlight w:val="none"/>
              </w:rPr>
            </w:pPr>
            <w:r>
              <w:rPr>
                <w:rFonts w:hint="eastAsia" w:ascii="宋体" w:hAnsi="宋体"/>
                <w:color w:val="auto"/>
                <w:szCs w:val="21"/>
                <w:highlight w:val="none"/>
              </w:rPr>
              <w:t>迟延交货赔偿费</w:t>
            </w:r>
          </w:p>
        </w:tc>
        <w:tc>
          <w:tcPr>
            <w:tcW w:w="5170" w:type="dxa"/>
            <w:vAlign w:val="center"/>
          </w:tcPr>
          <w:p w14:paraId="13222D4F">
            <w:pPr>
              <w:adjustRightInd w:val="0"/>
              <w:snapToGrid w:val="0"/>
              <w:jc w:val="left"/>
              <w:rPr>
                <w:rFonts w:ascii="宋体" w:hAnsi="宋体"/>
                <w:color w:val="auto"/>
                <w:szCs w:val="21"/>
                <w:highlight w:val="none"/>
                <w:u w:val="single"/>
              </w:rPr>
            </w:pPr>
          </w:p>
        </w:tc>
      </w:tr>
      <w:tr w14:paraId="1B84BEF4">
        <w:trPr>
          <w:trHeight w:val="736" w:hRule="atLeast"/>
        </w:trPr>
        <w:tc>
          <w:tcPr>
            <w:tcW w:w="1607" w:type="dxa"/>
            <w:vAlign w:val="center"/>
          </w:tcPr>
          <w:p w14:paraId="5FF8426B">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6215DE40">
            <w:pPr>
              <w:adjustRightInd w:val="0"/>
              <w:snapToGrid w:val="0"/>
              <w:jc w:val="center"/>
              <w:rPr>
                <w:rFonts w:ascii="宋体" w:hAnsi="宋体"/>
                <w:color w:val="auto"/>
                <w:szCs w:val="21"/>
                <w:highlight w:val="none"/>
              </w:rPr>
            </w:pPr>
            <w:r>
              <w:rPr>
                <w:rFonts w:hint="eastAsia" w:ascii="宋体" w:hAnsi="宋体"/>
                <w:color w:val="auto"/>
                <w:szCs w:val="21"/>
                <w:highlight w:val="none"/>
              </w:rPr>
              <w:t>第15.3款</w:t>
            </w:r>
          </w:p>
        </w:tc>
        <w:tc>
          <w:tcPr>
            <w:tcW w:w="1742" w:type="dxa"/>
            <w:vAlign w:val="center"/>
          </w:tcPr>
          <w:p w14:paraId="64736EB5">
            <w:pPr>
              <w:adjustRightInd w:val="0"/>
              <w:snapToGrid w:val="0"/>
              <w:jc w:val="left"/>
              <w:rPr>
                <w:rFonts w:ascii="宋体" w:hAnsi="宋体"/>
                <w:color w:val="auto"/>
                <w:szCs w:val="21"/>
                <w:highlight w:val="none"/>
              </w:rPr>
            </w:pPr>
            <w:r>
              <w:rPr>
                <w:rFonts w:hint="eastAsia" w:ascii="宋体" w:hAnsi="宋体"/>
                <w:color w:val="auto"/>
                <w:szCs w:val="21"/>
                <w:highlight w:val="none"/>
              </w:rPr>
              <w:t>逾期付款利息</w:t>
            </w:r>
          </w:p>
        </w:tc>
        <w:tc>
          <w:tcPr>
            <w:tcW w:w="5170" w:type="dxa"/>
            <w:vAlign w:val="center"/>
          </w:tcPr>
          <w:p w14:paraId="5D13EA66">
            <w:pPr>
              <w:adjustRightInd w:val="0"/>
              <w:snapToGrid w:val="0"/>
              <w:jc w:val="left"/>
              <w:rPr>
                <w:rFonts w:ascii="宋体" w:hAnsi="宋体"/>
                <w:color w:val="auto"/>
                <w:szCs w:val="21"/>
                <w:highlight w:val="none"/>
                <w:u w:val="single"/>
              </w:rPr>
            </w:pPr>
          </w:p>
        </w:tc>
      </w:tr>
      <w:tr w14:paraId="520B7909">
        <w:trPr>
          <w:trHeight w:val="876" w:hRule="atLeast"/>
        </w:trPr>
        <w:tc>
          <w:tcPr>
            <w:tcW w:w="1607" w:type="dxa"/>
            <w:tcBorders>
              <w:bottom w:val="single" w:color="auto" w:sz="2" w:space="0"/>
              <w:right w:val="single" w:color="auto" w:sz="2" w:space="0"/>
            </w:tcBorders>
            <w:vAlign w:val="center"/>
          </w:tcPr>
          <w:p w14:paraId="32006051">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4E6E41D0">
            <w:pPr>
              <w:adjustRightInd w:val="0"/>
              <w:snapToGrid w:val="0"/>
              <w:jc w:val="center"/>
              <w:rPr>
                <w:rFonts w:ascii="宋体" w:hAnsi="宋体"/>
                <w:color w:val="auto"/>
                <w:szCs w:val="21"/>
                <w:highlight w:val="none"/>
              </w:rPr>
            </w:pPr>
            <w:r>
              <w:rPr>
                <w:rFonts w:hint="eastAsia" w:ascii="宋体" w:hAnsi="宋体"/>
                <w:color w:val="auto"/>
                <w:szCs w:val="21"/>
                <w:highlight w:val="none"/>
              </w:rPr>
              <w:t>第15.4款</w:t>
            </w:r>
          </w:p>
        </w:tc>
        <w:tc>
          <w:tcPr>
            <w:tcW w:w="1742" w:type="dxa"/>
            <w:tcBorders>
              <w:left w:val="single" w:color="auto" w:sz="2" w:space="0"/>
              <w:bottom w:val="single" w:color="auto" w:sz="2" w:space="0"/>
              <w:right w:val="single" w:color="auto" w:sz="2" w:space="0"/>
            </w:tcBorders>
            <w:vAlign w:val="center"/>
          </w:tcPr>
          <w:p w14:paraId="189D8014">
            <w:pPr>
              <w:adjustRightInd w:val="0"/>
              <w:snapToGrid w:val="0"/>
              <w:jc w:val="left"/>
              <w:rPr>
                <w:rFonts w:ascii="宋体" w:hAnsi="宋体"/>
                <w:color w:val="auto"/>
                <w:szCs w:val="21"/>
                <w:highlight w:val="none"/>
              </w:rPr>
            </w:pPr>
            <w:r>
              <w:rPr>
                <w:rFonts w:hint="eastAsia" w:ascii="宋体" w:hAnsi="宋体"/>
                <w:color w:val="auto"/>
                <w:szCs w:val="21"/>
                <w:highlight w:val="none"/>
              </w:rPr>
              <w:t>其他违约责任</w:t>
            </w:r>
          </w:p>
        </w:tc>
        <w:tc>
          <w:tcPr>
            <w:tcW w:w="5170" w:type="dxa"/>
            <w:tcBorders>
              <w:left w:val="single" w:color="auto" w:sz="2" w:space="0"/>
              <w:bottom w:val="single" w:color="auto" w:sz="2" w:space="0"/>
            </w:tcBorders>
            <w:vAlign w:val="center"/>
          </w:tcPr>
          <w:p w14:paraId="3B7453BF">
            <w:pPr>
              <w:adjustRightInd w:val="0"/>
              <w:snapToGrid w:val="0"/>
              <w:jc w:val="left"/>
              <w:rPr>
                <w:rFonts w:ascii="宋体" w:hAnsi="宋体"/>
                <w:color w:val="auto"/>
                <w:szCs w:val="21"/>
                <w:highlight w:val="none"/>
                <w:u w:val="single"/>
              </w:rPr>
            </w:pPr>
          </w:p>
        </w:tc>
      </w:tr>
      <w:tr w14:paraId="2313B89B">
        <w:trPr>
          <w:trHeight w:val="90" w:hRule="atLeast"/>
        </w:trPr>
        <w:tc>
          <w:tcPr>
            <w:tcW w:w="1607" w:type="dxa"/>
            <w:tcBorders>
              <w:top w:val="single" w:color="auto" w:sz="2" w:space="0"/>
              <w:right w:val="single" w:color="auto" w:sz="2" w:space="0"/>
            </w:tcBorders>
            <w:vAlign w:val="center"/>
          </w:tcPr>
          <w:p w14:paraId="0F2B2A8C">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718E4869">
            <w:pPr>
              <w:adjustRightInd w:val="0"/>
              <w:snapToGrid w:val="0"/>
              <w:jc w:val="center"/>
              <w:rPr>
                <w:rFonts w:ascii="宋体" w:hAnsi="宋体"/>
                <w:color w:val="auto"/>
                <w:szCs w:val="21"/>
                <w:highlight w:val="none"/>
              </w:rPr>
            </w:pPr>
            <w:r>
              <w:rPr>
                <w:rFonts w:hint="eastAsia" w:ascii="宋体" w:hAnsi="宋体"/>
                <w:color w:val="auto"/>
                <w:szCs w:val="21"/>
                <w:highlight w:val="none"/>
              </w:rPr>
              <w:t>第19.2款</w:t>
            </w:r>
          </w:p>
        </w:tc>
        <w:tc>
          <w:tcPr>
            <w:tcW w:w="1742" w:type="dxa"/>
            <w:tcBorders>
              <w:top w:val="single" w:color="auto" w:sz="2" w:space="0"/>
              <w:left w:val="single" w:color="auto" w:sz="2" w:space="0"/>
              <w:right w:val="single" w:color="auto" w:sz="2" w:space="0"/>
            </w:tcBorders>
            <w:vAlign w:val="center"/>
          </w:tcPr>
          <w:p w14:paraId="019084A1">
            <w:pPr>
              <w:adjustRightInd w:val="0"/>
              <w:snapToGrid w:val="0"/>
              <w:jc w:val="left"/>
              <w:rPr>
                <w:rFonts w:ascii="宋体" w:hAnsi="宋体"/>
                <w:color w:val="auto"/>
                <w:szCs w:val="21"/>
                <w:highlight w:val="none"/>
              </w:rPr>
            </w:pPr>
            <w:r>
              <w:rPr>
                <w:rFonts w:hint="eastAsia" w:ascii="宋体" w:hAnsi="宋体"/>
                <w:color w:val="auto"/>
                <w:szCs w:val="21"/>
                <w:highlight w:val="none"/>
              </w:rPr>
              <w:t>解决争议的方法</w:t>
            </w:r>
          </w:p>
        </w:tc>
        <w:tc>
          <w:tcPr>
            <w:tcW w:w="5170" w:type="dxa"/>
            <w:tcBorders>
              <w:top w:val="single" w:color="auto" w:sz="2" w:space="0"/>
              <w:left w:val="single" w:color="auto" w:sz="2" w:space="0"/>
            </w:tcBorders>
            <w:vAlign w:val="center"/>
          </w:tcPr>
          <w:p w14:paraId="1C0F32C5">
            <w:pPr>
              <w:autoSpaceDE w:val="0"/>
              <w:autoSpaceDN w:val="0"/>
              <w:adjustRightInd w:val="0"/>
              <w:snapToGrid w:val="0"/>
              <w:spacing w:line="400" w:lineRule="exact"/>
              <w:jc w:val="left"/>
              <w:rPr>
                <w:rFonts w:ascii="宋体" w:hAnsi="宋体" w:cs="宋体"/>
                <w:iCs/>
                <w:color w:val="auto"/>
                <w:szCs w:val="21"/>
                <w:highlight w:val="none"/>
              </w:rPr>
            </w:pPr>
            <w:r>
              <w:rPr>
                <w:rFonts w:hint="eastAsia" w:ascii="宋体" w:hAnsi="宋体" w:cs="宋体"/>
                <w:iCs/>
                <w:color w:val="auto"/>
                <w:szCs w:val="21"/>
                <w:highlight w:val="none"/>
              </w:rPr>
              <w:t>因本合同及合同有关事项发生的争议，按下列第种方式解决：</w:t>
            </w:r>
          </w:p>
          <w:p w14:paraId="5E8F5F47">
            <w:pPr>
              <w:autoSpaceDE w:val="0"/>
              <w:autoSpaceDN w:val="0"/>
              <w:adjustRightInd w:val="0"/>
              <w:snapToGrid w:val="0"/>
              <w:spacing w:line="400" w:lineRule="exact"/>
              <w:jc w:val="left"/>
              <w:rPr>
                <w:rFonts w:ascii="宋体" w:hAnsi="宋体" w:cs="宋体"/>
                <w:iCs/>
                <w:color w:val="auto"/>
                <w:szCs w:val="21"/>
                <w:highlight w:val="none"/>
              </w:rPr>
            </w:pPr>
            <w:r>
              <w:rPr>
                <w:rFonts w:hint="eastAsia" w:ascii="宋体" w:hAnsi="宋体" w:cs="宋体"/>
                <w:iCs/>
                <w:color w:val="auto"/>
                <w:szCs w:val="21"/>
                <w:highlight w:val="none"/>
              </w:rPr>
              <w:t>（1）向仲裁委员会申请仲裁，仲裁地点为；</w:t>
            </w:r>
          </w:p>
          <w:p w14:paraId="0AF9D265">
            <w:pPr>
              <w:adjustRightInd w:val="0"/>
              <w:snapToGrid w:val="0"/>
              <w:jc w:val="left"/>
              <w:rPr>
                <w:rFonts w:ascii="宋体" w:hAnsi="宋体"/>
                <w:color w:val="auto"/>
                <w:szCs w:val="21"/>
                <w:highlight w:val="none"/>
                <w:u w:val="single"/>
              </w:rPr>
            </w:pPr>
            <w:r>
              <w:rPr>
                <w:rFonts w:hint="eastAsia" w:ascii="宋体" w:hAnsi="宋体" w:cs="宋体"/>
                <w:iCs/>
                <w:color w:val="auto"/>
                <w:szCs w:val="21"/>
                <w:highlight w:val="none"/>
              </w:rPr>
              <w:t>（2）向人民法院起诉。</w:t>
            </w:r>
          </w:p>
        </w:tc>
      </w:tr>
      <w:tr w14:paraId="68A39851">
        <w:trPr>
          <w:trHeight w:val="770" w:hRule="atLeast"/>
        </w:trPr>
        <w:tc>
          <w:tcPr>
            <w:tcW w:w="1607" w:type="dxa"/>
            <w:vAlign w:val="center"/>
          </w:tcPr>
          <w:p w14:paraId="16B09A5C">
            <w:pPr>
              <w:adjustRightInd w:val="0"/>
              <w:snapToGrid w:val="0"/>
              <w:jc w:val="center"/>
              <w:rPr>
                <w:rFonts w:ascii="宋体" w:hAnsi="宋体"/>
                <w:color w:val="auto"/>
                <w:szCs w:val="21"/>
                <w:highlight w:val="none"/>
              </w:rPr>
            </w:pPr>
            <w:r>
              <w:rPr>
                <w:rFonts w:hint="eastAsia" w:ascii="宋体" w:hAnsi="宋体"/>
                <w:color w:val="auto"/>
                <w:szCs w:val="21"/>
                <w:highlight w:val="none"/>
              </w:rPr>
              <w:t>第二节</w:t>
            </w:r>
          </w:p>
          <w:p w14:paraId="222EB709">
            <w:pPr>
              <w:adjustRightInd w:val="0"/>
              <w:snapToGrid w:val="0"/>
              <w:jc w:val="center"/>
              <w:rPr>
                <w:rFonts w:ascii="宋体" w:hAnsi="宋体"/>
                <w:color w:val="auto"/>
                <w:szCs w:val="21"/>
                <w:highlight w:val="none"/>
              </w:rPr>
            </w:pPr>
            <w:r>
              <w:rPr>
                <w:rFonts w:hint="eastAsia" w:ascii="宋体" w:hAnsi="宋体"/>
                <w:color w:val="auto"/>
                <w:szCs w:val="21"/>
                <w:highlight w:val="none"/>
              </w:rPr>
              <w:t>第23.1款</w:t>
            </w:r>
          </w:p>
        </w:tc>
        <w:tc>
          <w:tcPr>
            <w:tcW w:w="1742" w:type="dxa"/>
            <w:vAlign w:val="center"/>
          </w:tcPr>
          <w:p w14:paraId="6D55B018">
            <w:pPr>
              <w:adjustRightInd w:val="0"/>
              <w:snapToGrid w:val="0"/>
              <w:jc w:val="left"/>
              <w:rPr>
                <w:rFonts w:ascii="宋体" w:hAnsi="宋体"/>
                <w:color w:val="auto"/>
                <w:szCs w:val="21"/>
                <w:highlight w:val="none"/>
              </w:rPr>
            </w:pPr>
            <w:r>
              <w:rPr>
                <w:rFonts w:hint="eastAsia" w:ascii="宋体" w:hAnsi="宋体"/>
                <w:bCs/>
                <w:color w:val="auto"/>
                <w:szCs w:val="21"/>
                <w:highlight w:val="none"/>
              </w:rPr>
              <w:t>其他专用条款</w:t>
            </w:r>
          </w:p>
        </w:tc>
        <w:tc>
          <w:tcPr>
            <w:tcW w:w="5170" w:type="dxa"/>
            <w:vAlign w:val="center"/>
          </w:tcPr>
          <w:p w14:paraId="2083E198">
            <w:pPr>
              <w:adjustRightInd w:val="0"/>
              <w:snapToGrid w:val="0"/>
              <w:jc w:val="left"/>
              <w:rPr>
                <w:rFonts w:ascii="宋体" w:hAnsi="宋体"/>
                <w:color w:val="auto"/>
                <w:szCs w:val="21"/>
                <w:highlight w:val="none"/>
              </w:rPr>
            </w:pPr>
          </w:p>
        </w:tc>
      </w:tr>
    </w:tbl>
    <w:p w14:paraId="1865A535">
      <w:pPr>
        <w:rPr>
          <w:color w:val="auto"/>
          <w:highlight w:val="none"/>
        </w:rPr>
      </w:pPr>
    </w:p>
    <w:p w14:paraId="6E5D518E">
      <w:pPr>
        <w:pStyle w:val="19"/>
        <w:rPr>
          <w:rFonts w:ascii="宋体" w:hAnsi="宋体" w:eastAsia="宋体" w:cs="Times New Roman"/>
          <w:b/>
          <w:bCs/>
          <w:color w:val="auto"/>
          <w:kern w:val="0"/>
          <w:sz w:val="44"/>
          <w:szCs w:val="44"/>
          <w:highlight w:val="none"/>
        </w:rPr>
      </w:pPr>
    </w:p>
    <w:p w14:paraId="291116FB">
      <w:pPr>
        <w:pStyle w:val="19"/>
        <w:rPr>
          <w:rFonts w:ascii="宋体" w:hAnsi="宋体" w:eastAsia="宋体" w:cs="Times New Roman"/>
          <w:b/>
          <w:bCs/>
          <w:color w:val="auto"/>
          <w:kern w:val="0"/>
          <w:sz w:val="44"/>
          <w:szCs w:val="44"/>
          <w:highlight w:val="none"/>
        </w:rPr>
      </w:pPr>
    </w:p>
    <w:p w14:paraId="4ABB05E0">
      <w:pPr>
        <w:pStyle w:val="19"/>
        <w:rPr>
          <w:rFonts w:ascii="宋体" w:hAnsi="宋体" w:eastAsia="宋体" w:cs="Times New Roman"/>
          <w:b/>
          <w:bCs/>
          <w:color w:val="auto"/>
          <w:kern w:val="0"/>
          <w:sz w:val="44"/>
          <w:szCs w:val="44"/>
          <w:highlight w:val="none"/>
        </w:rPr>
      </w:pPr>
    </w:p>
    <w:p w14:paraId="5A28C2A9">
      <w:pPr>
        <w:pStyle w:val="19"/>
        <w:rPr>
          <w:rFonts w:ascii="宋体" w:hAnsi="宋体" w:eastAsia="宋体" w:cs="Times New Roman"/>
          <w:b/>
          <w:bCs/>
          <w:color w:val="auto"/>
          <w:kern w:val="0"/>
          <w:sz w:val="44"/>
          <w:szCs w:val="44"/>
          <w:highlight w:val="none"/>
        </w:rPr>
      </w:pPr>
    </w:p>
    <w:p w14:paraId="0E8C2B02">
      <w:pPr>
        <w:pStyle w:val="19"/>
        <w:rPr>
          <w:rFonts w:ascii="宋体" w:hAnsi="宋体" w:eastAsia="宋体" w:cs="Times New Roman"/>
          <w:b/>
          <w:bCs/>
          <w:color w:val="auto"/>
          <w:kern w:val="0"/>
          <w:sz w:val="44"/>
          <w:szCs w:val="44"/>
          <w:highlight w:val="none"/>
        </w:rPr>
      </w:pPr>
    </w:p>
    <w:p w14:paraId="475C529A">
      <w:pPr>
        <w:pStyle w:val="19"/>
        <w:rPr>
          <w:rFonts w:ascii="宋体" w:hAnsi="宋体" w:eastAsia="宋体" w:cs="Times New Roman"/>
          <w:b/>
          <w:bCs/>
          <w:color w:val="auto"/>
          <w:kern w:val="0"/>
          <w:sz w:val="44"/>
          <w:szCs w:val="44"/>
          <w:highlight w:val="none"/>
        </w:rPr>
      </w:pPr>
    </w:p>
    <w:p w14:paraId="4D2C5859">
      <w:pPr>
        <w:pStyle w:val="19"/>
        <w:rPr>
          <w:rFonts w:ascii="宋体" w:hAnsi="宋体" w:eastAsia="宋体" w:cs="Times New Roman"/>
          <w:b/>
          <w:bCs/>
          <w:color w:val="auto"/>
          <w:kern w:val="0"/>
          <w:sz w:val="44"/>
          <w:szCs w:val="44"/>
          <w:highlight w:val="none"/>
        </w:rPr>
      </w:pPr>
    </w:p>
    <w:p w14:paraId="4E56C800">
      <w:pPr>
        <w:pStyle w:val="19"/>
        <w:rPr>
          <w:rFonts w:ascii="宋体" w:hAnsi="宋体" w:eastAsia="宋体" w:cs="Times New Roman"/>
          <w:b/>
          <w:bCs/>
          <w:color w:val="auto"/>
          <w:kern w:val="0"/>
          <w:sz w:val="44"/>
          <w:szCs w:val="44"/>
          <w:highlight w:val="none"/>
        </w:rPr>
      </w:pPr>
    </w:p>
    <w:p w14:paraId="37CCB2B2">
      <w:pPr>
        <w:pStyle w:val="19"/>
        <w:rPr>
          <w:rFonts w:ascii="宋体" w:hAnsi="宋体" w:eastAsia="宋体" w:cs="Times New Roman"/>
          <w:b/>
          <w:bCs/>
          <w:color w:val="auto"/>
          <w:kern w:val="0"/>
          <w:sz w:val="44"/>
          <w:szCs w:val="44"/>
          <w:highlight w:val="none"/>
        </w:rPr>
      </w:pPr>
    </w:p>
    <w:p w14:paraId="451287D4">
      <w:pPr>
        <w:pStyle w:val="9"/>
        <w:rPr>
          <w:rFonts w:ascii="宋体" w:hAnsi="宋体" w:eastAsia="宋体" w:cs="Times New Roman"/>
          <w:b/>
          <w:bCs/>
          <w:color w:val="auto"/>
          <w:kern w:val="0"/>
          <w:sz w:val="44"/>
          <w:szCs w:val="44"/>
          <w:highlight w:val="none"/>
        </w:rPr>
      </w:pPr>
    </w:p>
    <w:p w14:paraId="71B6873D">
      <w:pPr>
        <w:pStyle w:val="9"/>
        <w:rPr>
          <w:rFonts w:ascii="宋体" w:hAnsi="宋体" w:eastAsia="宋体" w:cs="Times New Roman"/>
          <w:b/>
          <w:bCs/>
          <w:color w:val="auto"/>
          <w:kern w:val="0"/>
          <w:sz w:val="44"/>
          <w:szCs w:val="44"/>
          <w:highlight w:val="none"/>
        </w:rPr>
      </w:pPr>
    </w:p>
    <w:p w14:paraId="18881FA0">
      <w:pPr>
        <w:pStyle w:val="9"/>
        <w:rPr>
          <w:rFonts w:ascii="宋体" w:hAnsi="宋体" w:eastAsia="宋体" w:cs="Times New Roman"/>
          <w:b/>
          <w:bCs/>
          <w:color w:val="auto"/>
          <w:kern w:val="0"/>
          <w:sz w:val="44"/>
          <w:szCs w:val="44"/>
          <w:highlight w:val="none"/>
        </w:rPr>
      </w:pPr>
    </w:p>
    <w:p w14:paraId="151B8CB6">
      <w:pPr>
        <w:pStyle w:val="9"/>
        <w:rPr>
          <w:rFonts w:ascii="宋体" w:hAnsi="宋体" w:eastAsia="宋体" w:cs="Times New Roman"/>
          <w:b/>
          <w:bCs/>
          <w:color w:val="auto"/>
          <w:kern w:val="0"/>
          <w:sz w:val="44"/>
          <w:szCs w:val="44"/>
          <w:highlight w:val="none"/>
        </w:rPr>
      </w:pPr>
    </w:p>
    <w:p w14:paraId="236AD642">
      <w:pPr>
        <w:widowControl/>
        <w:jc w:val="center"/>
        <w:rPr>
          <w:rFonts w:ascii="Times New Roman" w:hAnsi="Times New Roman" w:eastAsia="宋体" w:cs="Times New Roman"/>
          <w:color w:val="auto"/>
          <w:kern w:val="0"/>
          <w:sz w:val="20"/>
          <w:szCs w:val="24"/>
          <w:highlight w:val="none"/>
        </w:rPr>
      </w:pPr>
      <w:r>
        <w:rPr>
          <w:rFonts w:hint="eastAsia" w:ascii="宋体" w:hAnsi="宋体" w:eastAsia="宋体" w:cs="Times New Roman"/>
          <w:b/>
          <w:bCs/>
          <w:color w:val="auto"/>
          <w:kern w:val="0"/>
          <w:sz w:val="44"/>
          <w:szCs w:val="44"/>
          <w:highlight w:val="none"/>
        </w:rPr>
        <w:t>第六章 投标文件格式</w:t>
      </w:r>
    </w:p>
    <w:p w14:paraId="410AF28D">
      <w:pPr>
        <w:widowControl/>
        <w:rPr>
          <w:rFonts w:ascii="宋体" w:hAnsi="宋体" w:eastAsia="宋体" w:cs="Times New Roman"/>
          <w:b/>
          <w:bCs/>
          <w:color w:val="auto"/>
          <w:kern w:val="0"/>
          <w:sz w:val="24"/>
          <w:szCs w:val="24"/>
          <w:highlight w:val="none"/>
        </w:rPr>
      </w:pPr>
    </w:p>
    <w:p w14:paraId="5A4EF420">
      <w:pPr>
        <w:widowControl/>
        <w:jc w:val="center"/>
        <w:rPr>
          <w:rFonts w:hint="default" w:ascii="Times New Roman" w:hAnsi="Times New Roman" w:eastAsia="宋体" w:cs="Times New Roman"/>
          <w:color w:val="auto"/>
          <w:kern w:val="0"/>
          <w:sz w:val="32"/>
          <w:szCs w:val="32"/>
          <w:highlight w:val="none"/>
          <w:u w:val="none"/>
          <w:lang w:val="en-US"/>
        </w:rPr>
      </w:pPr>
      <w:r>
        <w:rPr>
          <w:rFonts w:hint="eastAsia" w:ascii="Times New Roman" w:hAnsi="Times New Roman" w:eastAsia="宋体" w:cs="Times New Roman"/>
          <w:color w:val="auto"/>
          <w:kern w:val="0"/>
          <w:sz w:val="48"/>
          <w:szCs w:val="48"/>
          <w:highlight w:val="none"/>
          <w:u w:val="single"/>
          <w:lang w:val="en-US" w:eastAsia="zh-CN"/>
        </w:rPr>
        <w:t xml:space="preserve">             </w:t>
      </w:r>
      <w:r>
        <w:rPr>
          <w:rFonts w:hint="eastAsia" w:ascii="Times New Roman" w:hAnsi="Times New Roman" w:eastAsia="宋体" w:cs="Times New Roman"/>
          <w:color w:val="auto"/>
          <w:kern w:val="0"/>
          <w:sz w:val="48"/>
          <w:szCs w:val="48"/>
          <w:highlight w:val="none"/>
          <w:lang w:val="en-US" w:eastAsia="zh-CN"/>
        </w:rPr>
        <w:t>（项目名称）</w:t>
      </w:r>
      <w:r>
        <w:rPr>
          <w:rFonts w:hint="eastAsia" w:ascii="Times New Roman" w:hAnsi="Times New Roman" w:eastAsia="宋体" w:cs="Times New Roman"/>
          <w:color w:val="auto"/>
          <w:kern w:val="0"/>
          <w:sz w:val="48"/>
          <w:szCs w:val="48"/>
          <w:highlight w:val="none"/>
          <w:u w:val="single"/>
          <w:lang w:val="en-US" w:eastAsia="zh-CN"/>
        </w:rPr>
        <w:t xml:space="preserve">   </w:t>
      </w:r>
      <w:r>
        <w:rPr>
          <w:rFonts w:hint="eastAsia" w:ascii="Times New Roman" w:hAnsi="Times New Roman" w:eastAsia="宋体" w:cs="Times New Roman"/>
          <w:color w:val="auto"/>
          <w:kern w:val="0"/>
          <w:sz w:val="48"/>
          <w:szCs w:val="48"/>
          <w:highlight w:val="none"/>
          <w:u w:val="none"/>
          <w:lang w:val="en-US" w:eastAsia="zh-CN"/>
        </w:rPr>
        <w:t>标段</w:t>
      </w:r>
    </w:p>
    <w:p w14:paraId="53F78032">
      <w:pPr>
        <w:widowControl/>
        <w:jc w:val="center"/>
        <w:rPr>
          <w:rFonts w:ascii="Times New Roman" w:hAnsi="Times New Roman" w:eastAsia="宋体" w:cs="Times New Roman"/>
          <w:color w:val="auto"/>
          <w:kern w:val="0"/>
          <w:sz w:val="20"/>
          <w:szCs w:val="24"/>
          <w:highlight w:val="none"/>
        </w:rPr>
      </w:pPr>
      <w:r>
        <w:rPr>
          <w:rFonts w:hint="eastAsia" w:ascii="宋体" w:hAnsi="宋体" w:eastAsia="宋体" w:cs="Times New Roman"/>
          <w:b/>
          <w:bCs/>
          <w:color w:val="auto"/>
          <w:kern w:val="0"/>
          <w:sz w:val="44"/>
          <w:szCs w:val="44"/>
          <w:highlight w:val="none"/>
        </w:rPr>
        <w:t> </w:t>
      </w:r>
    </w:p>
    <w:p w14:paraId="09942B11">
      <w:pPr>
        <w:widowControl/>
        <w:jc w:val="center"/>
        <w:rPr>
          <w:rFonts w:ascii="Times New Roman" w:hAnsi="Times New Roman" w:eastAsia="宋体" w:cs="Times New Roman"/>
          <w:color w:val="auto"/>
          <w:kern w:val="0"/>
          <w:sz w:val="20"/>
          <w:szCs w:val="24"/>
          <w:highlight w:val="none"/>
        </w:rPr>
      </w:pPr>
      <w:r>
        <w:rPr>
          <w:rFonts w:hint="eastAsia" w:ascii="宋体" w:hAnsi="宋体" w:eastAsia="宋体" w:cs="Times New Roman"/>
          <w:b/>
          <w:bCs/>
          <w:color w:val="auto"/>
          <w:kern w:val="0"/>
          <w:sz w:val="44"/>
          <w:szCs w:val="44"/>
          <w:highlight w:val="none"/>
        </w:rPr>
        <w:t> </w:t>
      </w:r>
      <w:r>
        <w:rPr>
          <w:rFonts w:hint="eastAsia" w:ascii="宋体" w:hAnsi="宋体" w:eastAsia="宋体" w:cs="Times New Roman"/>
          <w:b/>
          <w:bCs/>
          <w:color w:val="auto"/>
          <w:kern w:val="0"/>
          <w:sz w:val="72"/>
          <w:szCs w:val="72"/>
          <w:highlight w:val="none"/>
        </w:rPr>
        <w:t>投 标 文 件</w:t>
      </w:r>
      <w:bookmarkStart w:id="10" w:name="_Toc169921407"/>
      <w:bookmarkEnd w:id="10"/>
      <w:bookmarkStart w:id="11" w:name="_Toc171073042"/>
      <w:bookmarkEnd w:id="11"/>
      <w:bookmarkStart w:id="12" w:name="_Toc171073207"/>
      <w:bookmarkEnd w:id="12"/>
      <w:bookmarkStart w:id="13" w:name="_Toc223432387"/>
      <w:bookmarkEnd w:id="13"/>
    </w:p>
    <w:p w14:paraId="60BA0EBE">
      <w:pPr>
        <w:widowControl/>
        <w:jc w:val="center"/>
        <w:rPr>
          <w:rFonts w:ascii="Times New Roman" w:hAnsi="Times New Roman" w:eastAsia="宋体" w:cs="Times New Roman"/>
          <w:color w:val="auto"/>
          <w:kern w:val="0"/>
          <w:sz w:val="20"/>
          <w:szCs w:val="24"/>
          <w:highlight w:val="none"/>
        </w:rPr>
      </w:pPr>
      <w:r>
        <w:rPr>
          <w:rFonts w:hint="eastAsia" w:ascii="宋体" w:hAnsi="宋体" w:eastAsia="宋体" w:cs="Times New Roman"/>
          <w:color w:val="auto"/>
          <w:kern w:val="0"/>
          <w:sz w:val="72"/>
          <w:szCs w:val="72"/>
          <w:highlight w:val="none"/>
        </w:rPr>
        <w:t> </w:t>
      </w:r>
    </w:p>
    <w:p w14:paraId="20E40F56">
      <w:pPr>
        <w:widowControl/>
        <w:jc w:val="center"/>
        <w:rPr>
          <w:rFonts w:ascii="宋体" w:hAnsi="宋体" w:eastAsia="宋体" w:cs="Times New Roman"/>
          <w:color w:val="auto"/>
          <w:kern w:val="0"/>
          <w:sz w:val="72"/>
          <w:szCs w:val="72"/>
          <w:highlight w:val="none"/>
        </w:rPr>
      </w:pPr>
    </w:p>
    <w:p w14:paraId="6A606547">
      <w:pPr>
        <w:widowControl/>
        <w:jc w:val="center"/>
        <w:rPr>
          <w:rFonts w:ascii="Times New Roman" w:hAnsi="Times New Roman" w:eastAsia="宋体" w:cs="Times New Roman"/>
          <w:color w:val="auto"/>
          <w:kern w:val="0"/>
          <w:sz w:val="20"/>
          <w:szCs w:val="24"/>
          <w:highlight w:val="none"/>
        </w:rPr>
      </w:pPr>
      <w:r>
        <w:rPr>
          <w:rFonts w:hint="eastAsia" w:ascii="宋体" w:hAnsi="宋体" w:eastAsia="宋体" w:cs="Times New Roman"/>
          <w:color w:val="auto"/>
          <w:kern w:val="0"/>
          <w:sz w:val="72"/>
          <w:szCs w:val="72"/>
          <w:highlight w:val="none"/>
        </w:rPr>
        <w:t> </w:t>
      </w:r>
    </w:p>
    <w:p w14:paraId="25FB72F9">
      <w:pPr>
        <w:widowControl/>
        <w:ind w:left="2398" w:leftChars="560" w:hanging="1222" w:hangingChars="407"/>
        <w:jc w:val="left"/>
        <w:rPr>
          <w:rFonts w:ascii="Times New Roman" w:hAnsi="Times New Roman" w:eastAsia="宋体" w:cs="Times New Roman"/>
          <w:color w:val="auto"/>
          <w:kern w:val="0"/>
          <w:sz w:val="27"/>
          <w:szCs w:val="27"/>
          <w:highlight w:val="none"/>
        </w:rPr>
      </w:pPr>
      <w:r>
        <w:rPr>
          <w:rFonts w:hint="eastAsia" w:ascii="宋体" w:hAnsi="宋体" w:eastAsia="宋体" w:cs="Times New Roman"/>
          <w:b/>
          <w:bCs/>
          <w:color w:val="auto"/>
          <w:kern w:val="0"/>
          <w:sz w:val="30"/>
          <w:szCs w:val="30"/>
          <w:highlight w:val="none"/>
        </w:rPr>
        <w:t>项目编号：</w:t>
      </w:r>
    </w:p>
    <w:p w14:paraId="0C5F138A">
      <w:pPr>
        <w:widowControl/>
        <w:spacing w:line="480" w:lineRule="auto"/>
        <w:ind w:firstLine="1090"/>
        <w:rPr>
          <w:rFonts w:ascii="宋体" w:hAnsi="宋体" w:eastAsia="宋体" w:cs="Times New Roman"/>
          <w:color w:val="auto"/>
          <w:kern w:val="0"/>
          <w:sz w:val="28"/>
          <w:szCs w:val="28"/>
          <w:highlight w:val="none"/>
        </w:rPr>
      </w:pPr>
      <w:r>
        <w:rPr>
          <w:rFonts w:hint="eastAsia" w:ascii="宋体" w:hAnsi="宋体" w:eastAsia="宋体" w:cs="Times New Roman"/>
          <w:color w:val="auto"/>
          <w:kern w:val="0"/>
          <w:sz w:val="28"/>
          <w:szCs w:val="28"/>
          <w:highlight w:val="none"/>
        </w:rPr>
        <w:t> </w:t>
      </w:r>
    </w:p>
    <w:p w14:paraId="3C5978EF">
      <w:pPr>
        <w:widowControl/>
        <w:spacing w:line="480" w:lineRule="auto"/>
        <w:ind w:firstLine="1090"/>
        <w:rPr>
          <w:rFonts w:ascii="宋体" w:hAnsi="宋体" w:eastAsia="宋体" w:cs="Times New Roman"/>
          <w:color w:val="auto"/>
          <w:kern w:val="0"/>
          <w:sz w:val="28"/>
          <w:szCs w:val="28"/>
          <w:highlight w:val="none"/>
        </w:rPr>
      </w:pPr>
    </w:p>
    <w:p w14:paraId="7223530A">
      <w:pPr>
        <w:widowControl/>
        <w:spacing w:line="480" w:lineRule="auto"/>
        <w:ind w:firstLine="1090"/>
        <w:rPr>
          <w:rFonts w:ascii="宋体" w:hAnsi="宋体" w:eastAsia="宋体" w:cs="Times New Roman"/>
          <w:color w:val="auto"/>
          <w:kern w:val="0"/>
          <w:sz w:val="28"/>
          <w:szCs w:val="28"/>
          <w:highlight w:val="none"/>
        </w:rPr>
      </w:pPr>
    </w:p>
    <w:p w14:paraId="73E7BC49">
      <w:pPr>
        <w:widowControl/>
        <w:spacing w:line="480" w:lineRule="auto"/>
        <w:ind w:firstLine="1090"/>
        <w:rPr>
          <w:rFonts w:ascii="Times New Roman" w:hAnsi="Times New Roman" w:eastAsia="宋体" w:cs="Times New Roman"/>
          <w:color w:val="auto"/>
          <w:kern w:val="0"/>
          <w:sz w:val="20"/>
          <w:szCs w:val="24"/>
          <w:highlight w:val="none"/>
        </w:rPr>
      </w:pPr>
    </w:p>
    <w:p w14:paraId="3084965C">
      <w:pPr>
        <w:widowControl/>
        <w:spacing w:line="480" w:lineRule="auto"/>
        <w:ind w:firstLine="1090"/>
        <w:rPr>
          <w:rFonts w:ascii="Times New Roman" w:hAnsi="Times New Roman" w:eastAsia="宋体" w:cs="Times New Roman"/>
          <w:color w:val="auto"/>
          <w:kern w:val="0"/>
          <w:sz w:val="20"/>
          <w:szCs w:val="24"/>
          <w:highlight w:val="none"/>
        </w:rPr>
      </w:pPr>
    </w:p>
    <w:p w14:paraId="05D747B8">
      <w:pPr>
        <w:widowControl/>
        <w:spacing w:line="480" w:lineRule="auto"/>
        <w:rPr>
          <w:rFonts w:ascii="宋体" w:hAnsi="宋体" w:eastAsia="宋体" w:cs="Times New Roman"/>
          <w:color w:val="auto"/>
          <w:kern w:val="0"/>
          <w:sz w:val="28"/>
          <w:szCs w:val="28"/>
          <w:highlight w:val="none"/>
        </w:rPr>
      </w:pPr>
    </w:p>
    <w:p w14:paraId="4C6B69B4">
      <w:pPr>
        <w:widowControl/>
        <w:spacing w:line="480" w:lineRule="auto"/>
        <w:ind w:firstLine="980" w:firstLineChars="350"/>
        <w:rPr>
          <w:rFonts w:ascii="Times New Roman" w:hAnsi="Times New Roman" w:eastAsia="宋体" w:cs="Times New Roman"/>
          <w:color w:val="auto"/>
          <w:kern w:val="0"/>
          <w:sz w:val="20"/>
          <w:szCs w:val="24"/>
          <w:highlight w:val="none"/>
        </w:rPr>
      </w:pPr>
      <w:r>
        <w:rPr>
          <w:rFonts w:hint="eastAsia" w:ascii="宋体" w:hAnsi="宋体" w:eastAsia="宋体" w:cs="Times New Roman"/>
          <w:color w:val="auto"/>
          <w:kern w:val="0"/>
          <w:sz w:val="28"/>
          <w:szCs w:val="28"/>
          <w:highlight w:val="none"/>
          <w:lang w:eastAsia="zh-CN"/>
        </w:rPr>
        <w:t>投标供应商</w:t>
      </w:r>
      <w:r>
        <w:rPr>
          <w:rFonts w:hint="eastAsia" w:ascii="宋体" w:hAnsi="宋体" w:eastAsia="宋体" w:cs="Times New Roman"/>
          <w:color w:val="auto"/>
          <w:kern w:val="0"/>
          <w:sz w:val="28"/>
          <w:szCs w:val="28"/>
          <w:highlight w:val="none"/>
        </w:rPr>
        <w:t>：（盖单位公章）</w:t>
      </w:r>
    </w:p>
    <w:p w14:paraId="7E02AB9F">
      <w:pPr>
        <w:widowControl/>
        <w:spacing w:line="480" w:lineRule="auto"/>
        <w:ind w:firstLine="980" w:firstLineChars="350"/>
        <w:rPr>
          <w:rFonts w:ascii="Times New Roman" w:hAnsi="Times New Roman" w:eastAsia="宋体" w:cs="Times New Roman"/>
          <w:color w:val="auto"/>
          <w:kern w:val="0"/>
          <w:sz w:val="20"/>
          <w:szCs w:val="24"/>
          <w:highlight w:val="none"/>
        </w:rPr>
      </w:pPr>
      <w:r>
        <w:rPr>
          <w:rFonts w:hint="eastAsia" w:ascii="宋体" w:hAnsi="宋体" w:eastAsia="宋体" w:cs="Times New Roman"/>
          <w:color w:val="auto"/>
          <w:kern w:val="0"/>
          <w:sz w:val="28"/>
          <w:szCs w:val="28"/>
          <w:highlight w:val="none"/>
        </w:rPr>
        <w:t>法定代表人： （</w:t>
      </w:r>
      <w:r>
        <w:rPr>
          <w:rFonts w:hint="eastAsia" w:ascii="宋体" w:hAnsi="宋体" w:eastAsia="宋体" w:cs="Times New Roman"/>
          <w:color w:val="auto"/>
          <w:kern w:val="0"/>
          <w:sz w:val="28"/>
          <w:szCs w:val="28"/>
          <w:highlight w:val="none"/>
          <w:lang w:eastAsia="zh-CN"/>
        </w:rPr>
        <w:t>电子签章</w:t>
      </w:r>
      <w:r>
        <w:rPr>
          <w:rFonts w:hint="eastAsia" w:ascii="宋体" w:hAnsi="宋体" w:eastAsia="宋体" w:cs="Times New Roman"/>
          <w:color w:val="auto"/>
          <w:kern w:val="0"/>
          <w:sz w:val="28"/>
          <w:szCs w:val="28"/>
          <w:highlight w:val="none"/>
        </w:rPr>
        <w:t>）</w:t>
      </w:r>
    </w:p>
    <w:p w14:paraId="2BE42B49">
      <w:pPr>
        <w:widowControl/>
        <w:ind w:firstLine="980" w:firstLineChars="350"/>
        <w:rPr>
          <w:rFonts w:ascii="Times New Roman" w:hAnsi="Times New Roman" w:eastAsia="宋体" w:cs="Times New Roman"/>
          <w:color w:val="auto"/>
          <w:kern w:val="0"/>
          <w:sz w:val="20"/>
          <w:szCs w:val="24"/>
          <w:highlight w:val="none"/>
        </w:rPr>
      </w:pPr>
      <w:r>
        <w:rPr>
          <w:rFonts w:hint="eastAsia" w:ascii="宋体" w:hAnsi="宋体" w:eastAsia="宋体" w:cs="Times New Roman"/>
          <w:color w:val="auto"/>
          <w:kern w:val="0"/>
          <w:sz w:val="28"/>
          <w:szCs w:val="28"/>
          <w:highlight w:val="none"/>
        </w:rPr>
        <w:t>日 期： 年 月 日</w:t>
      </w:r>
      <w:bookmarkStart w:id="14" w:name="_Toc171073043"/>
      <w:bookmarkEnd w:id="14"/>
      <w:bookmarkStart w:id="15" w:name="_Toc171073208"/>
      <w:bookmarkEnd w:id="15"/>
      <w:bookmarkStart w:id="16" w:name="_Toc223432388"/>
      <w:bookmarkEnd w:id="16"/>
    </w:p>
    <w:p w14:paraId="7E18934D">
      <w:pPr>
        <w:widowControl/>
        <w:jc w:val="left"/>
        <w:rPr>
          <w:rFonts w:ascii="宋体" w:hAnsi="宋体" w:eastAsia="宋体" w:cs="Times New Roman"/>
          <w:b/>
          <w:bCs/>
          <w:color w:val="auto"/>
          <w:kern w:val="0"/>
          <w:sz w:val="24"/>
          <w:szCs w:val="24"/>
          <w:highlight w:val="none"/>
        </w:rPr>
      </w:pPr>
      <w:r>
        <w:rPr>
          <w:rFonts w:ascii="宋体" w:hAnsi="宋体" w:eastAsia="宋体" w:cs="Times New Roman"/>
          <w:b/>
          <w:bCs/>
          <w:color w:val="auto"/>
          <w:kern w:val="0"/>
          <w:sz w:val="24"/>
          <w:szCs w:val="24"/>
          <w:highlight w:val="none"/>
        </w:rPr>
        <w:br w:type="page"/>
      </w:r>
    </w:p>
    <w:p w14:paraId="0FA49010">
      <w:pPr>
        <w:widowControl/>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lang w:val="en-US" w:eastAsia="zh-CN"/>
        </w:rPr>
        <w:t>一、</w:t>
      </w:r>
      <w:r>
        <w:rPr>
          <w:rFonts w:hint="eastAsia" w:ascii="宋体" w:hAnsi="宋体" w:eastAsia="宋体" w:cs="Times New Roman"/>
          <w:b/>
          <w:bCs/>
          <w:color w:val="auto"/>
          <w:kern w:val="0"/>
          <w:sz w:val="24"/>
          <w:szCs w:val="24"/>
          <w:highlight w:val="none"/>
        </w:rPr>
        <w:t>法定代表人身份证明书</w:t>
      </w:r>
    </w:p>
    <w:p w14:paraId="4880BB83">
      <w:pPr>
        <w:widowControl/>
        <w:spacing w:line="44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 xml:space="preserve">   </w:t>
      </w:r>
      <w:r>
        <w:rPr>
          <w:rFonts w:hint="eastAsia" w:ascii="宋体" w:hAnsi="宋体" w:eastAsia="宋体" w:cs="Times New Roman"/>
          <w:b/>
          <w:bCs/>
          <w:color w:val="auto"/>
          <w:kern w:val="0"/>
          <w:sz w:val="24"/>
          <w:szCs w:val="24"/>
          <w:highlight w:val="none"/>
          <w:lang w:val="en-US" w:eastAsia="zh-CN"/>
        </w:rPr>
        <w:t xml:space="preserve"> </w:t>
      </w:r>
      <w:r>
        <w:rPr>
          <w:rFonts w:hint="eastAsia" w:ascii="宋体" w:hAnsi="宋体" w:eastAsia="宋体" w:cs="Times New Roman"/>
          <w:color w:val="auto"/>
          <w:kern w:val="0"/>
          <w:sz w:val="24"/>
          <w:szCs w:val="24"/>
          <w:highlight w:val="none"/>
        </w:rPr>
        <w:t>单位名称：</w:t>
      </w:r>
      <w:r>
        <w:rPr>
          <w:rFonts w:hint="eastAsia" w:ascii="宋体" w:hAnsi="宋体" w:eastAsia="宋体" w:cs="Times New Roman"/>
          <w:color w:val="auto"/>
          <w:kern w:val="0"/>
          <w:sz w:val="24"/>
          <w:szCs w:val="24"/>
          <w:highlight w:val="none"/>
          <w:u w:val="single"/>
        </w:rPr>
        <w:t>                     </w:t>
      </w:r>
    </w:p>
    <w:p w14:paraId="602BD38A">
      <w:pPr>
        <w:widowControl/>
        <w:spacing w:line="480" w:lineRule="auto"/>
        <w:ind w:firstLine="61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单位性质：</w:t>
      </w:r>
      <w:r>
        <w:rPr>
          <w:rFonts w:hint="eastAsia" w:ascii="宋体" w:hAnsi="宋体" w:eastAsia="宋体" w:cs="Times New Roman"/>
          <w:color w:val="auto"/>
          <w:kern w:val="0"/>
          <w:sz w:val="24"/>
          <w:szCs w:val="24"/>
          <w:highlight w:val="none"/>
          <w:u w:val="single"/>
        </w:rPr>
        <w:t xml:space="preserve">                       </w:t>
      </w:r>
    </w:p>
    <w:p w14:paraId="770871FE">
      <w:pPr>
        <w:widowControl/>
        <w:spacing w:line="480" w:lineRule="auto"/>
        <w:ind w:firstLine="61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地 址：</w:t>
      </w:r>
      <w:r>
        <w:rPr>
          <w:rFonts w:hint="eastAsia" w:ascii="宋体" w:hAnsi="宋体" w:eastAsia="宋体" w:cs="Times New Roman"/>
          <w:color w:val="auto"/>
          <w:kern w:val="0"/>
          <w:sz w:val="24"/>
          <w:szCs w:val="24"/>
          <w:highlight w:val="none"/>
          <w:u w:val="single"/>
        </w:rPr>
        <w:t xml:space="preserve">                         </w:t>
      </w:r>
    </w:p>
    <w:p w14:paraId="4ED31313">
      <w:pPr>
        <w:widowControl/>
        <w:spacing w:line="480" w:lineRule="auto"/>
        <w:ind w:firstLine="61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成立时间：年</w:t>
      </w:r>
      <w:r>
        <w:rPr>
          <w:rFonts w:hint="eastAsia" w:ascii="宋体" w:hAnsi="宋体" w:eastAsia="宋体" w:cs="Times New Roman"/>
          <w:color w:val="auto"/>
          <w:kern w:val="0"/>
          <w:sz w:val="24"/>
          <w:szCs w:val="24"/>
          <w:highlight w:val="none"/>
          <w:lang w:val="en-US" w:eastAsia="zh-CN"/>
        </w:rPr>
        <w:t xml:space="preserve"> </w:t>
      </w:r>
      <w:r>
        <w:rPr>
          <w:rFonts w:hint="eastAsia" w:ascii="宋体" w:hAnsi="宋体" w:eastAsia="宋体" w:cs="Times New Roman"/>
          <w:color w:val="auto"/>
          <w:kern w:val="0"/>
          <w:sz w:val="24"/>
          <w:szCs w:val="24"/>
          <w:highlight w:val="none"/>
        </w:rPr>
        <w:t>月</w:t>
      </w:r>
      <w:r>
        <w:rPr>
          <w:rFonts w:hint="eastAsia" w:ascii="宋体" w:hAnsi="宋体" w:eastAsia="宋体" w:cs="Times New Roman"/>
          <w:color w:val="auto"/>
          <w:kern w:val="0"/>
          <w:sz w:val="24"/>
          <w:szCs w:val="24"/>
          <w:highlight w:val="none"/>
          <w:lang w:val="en-US" w:eastAsia="zh-CN"/>
        </w:rPr>
        <w:t xml:space="preserve"> </w:t>
      </w:r>
      <w:r>
        <w:rPr>
          <w:rFonts w:hint="eastAsia" w:ascii="宋体" w:hAnsi="宋体" w:eastAsia="宋体" w:cs="Times New Roman"/>
          <w:color w:val="auto"/>
          <w:kern w:val="0"/>
          <w:sz w:val="24"/>
          <w:szCs w:val="24"/>
          <w:highlight w:val="none"/>
        </w:rPr>
        <w:t>日</w:t>
      </w:r>
    </w:p>
    <w:p w14:paraId="54BA7BD5">
      <w:pPr>
        <w:widowControl/>
        <w:spacing w:line="480" w:lineRule="auto"/>
        <w:ind w:firstLine="61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经营期限：</w:t>
      </w:r>
      <w:r>
        <w:rPr>
          <w:rFonts w:hint="eastAsia" w:ascii="宋体" w:hAnsi="宋体" w:eastAsia="宋体" w:cs="Times New Roman"/>
          <w:color w:val="auto"/>
          <w:kern w:val="0"/>
          <w:sz w:val="24"/>
          <w:szCs w:val="24"/>
          <w:highlight w:val="none"/>
          <w:u w:val="single"/>
        </w:rPr>
        <w:t>       </w:t>
      </w:r>
    </w:p>
    <w:p w14:paraId="689457EB">
      <w:pPr>
        <w:widowControl/>
        <w:spacing w:line="480" w:lineRule="auto"/>
        <w:ind w:firstLine="61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姓 名：性别：年龄：职务：</w:t>
      </w:r>
      <w:r>
        <w:rPr>
          <w:rFonts w:hint="eastAsia" w:ascii="宋体" w:hAnsi="宋体" w:eastAsia="宋体" w:cs="Times New Roman"/>
          <w:color w:val="auto"/>
          <w:kern w:val="0"/>
          <w:sz w:val="24"/>
          <w:szCs w:val="24"/>
          <w:highlight w:val="none"/>
          <w:u w:val="single"/>
        </w:rPr>
        <w:t xml:space="preserve">       </w:t>
      </w:r>
    </w:p>
    <w:p w14:paraId="5E50E109">
      <w:pPr>
        <w:widowControl/>
        <w:spacing w:line="480" w:lineRule="auto"/>
        <w:ind w:firstLine="61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系</w:t>
      </w:r>
      <w:r>
        <w:rPr>
          <w:rFonts w:hint="eastAsia" w:ascii="宋体" w:hAnsi="宋体" w:eastAsia="宋体" w:cs="Times New Roman"/>
          <w:color w:val="auto"/>
          <w:kern w:val="0"/>
          <w:sz w:val="24"/>
          <w:szCs w:val="24"/>
          <w:highlight w:val="none"/>
          <w:u w:val="single"/>
        </w:rPr>
        <w:t xml:space="preserve"> （</w:t>
      </w:r>
      <w:r>
        <w:rPr>
          <w:rFonts w:hint="eastAsia" w:ascii="宋体" w:hAnsi="宋体" w:eastAsia="宋体" w:cs="Times New Roman"/>
          <w:color w:val="auto"/>
          <w:kern w:val="0"/>
          <w:sz w:val="24"/>
          <w:szCs w:val="24"/>
          <w:highlight w:val="none"/>
          <w:u w:val="single"/>
          <w:lang w:eastAsia="zh-CN"/>
        </w:rPr>
        <w:t>投标供应商</w:t>
      </w:r>
      <w:r>
        <w:rPr>
          <w:rFonts w:hint="eastAsia" w:ascii="宋体" w:hAnsi="宋体" w:eastAsia="宋体" w:cs="Times New Roman"/>
          <w:color w:val="auto"/>
          <w:kern w:val="0"/>
          <w:sz w:val="24"/>
          <w:szCs w:val="24"/>
          <w:highlight w:val="none"/>
          <w:u w:val="single"/>
        </w:rPr>
        <w:t xml:space="preserve">单位名称） </w:t>
      </w:r>
      <w:r>
        <w:rPr>
          <w:rFonts w:hint="eastAsia" w:ascii="宋体" w:hAnsi="宋体" w:eastAsia="宋体" w:cs="Times New Roman"/>
          <w:color w:val="auto"/>
          <w:kern w:val="0"/>
          <w:sz w:val="24"/>
          <w:szCs w:val="24"/>
          <w:highlight w:val="none"/>
        </w:rPr>
        <w:t>的法定代表人。</w:t>
      </w:r>
    </w:p>
    <w:p w14:paraId="6403ADCA">
      <w:pPr>
        <w:widowControl/>
        <w:spacing w:line="480" w:lineRule="auto"/>
        <w:ind w:firstLine="61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p w14:paraId="48C059EF">
      <w:pPr>
        <w:widowControl/>
        <w:spacing w:line="480" w:lineRule="auto"/>
        <w:ind w:firstLine="109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特此证明。</w:t>
      </w:r>
    </w:p>
    <w:p w14:paraId="7AAA01D1">
      <w:pPr>
        <w:widowControl/>
        <w:spacing w:line="480" w:lineRule="auto"/>
        <w:ind w:firstLine="504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p w14:paraId="6B719BEC">
      <w:pPr>
        <w:widowControl/>
        <w:spacing w:line="480" w:lineRule="auto"/>
        <w:ind w:firstLine="504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p w14:paraId="50686F76">
      <w:pPr>
        <w:widowControl/>
        <w:spacing w:line="480" w:lineRule="auto"/>
        <w:ind w:firstLine="504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p w14:paraId="5D6B2F01">
      <w:pPr>
        <w:widowControl/>
        <w:spacing w:line="480" w:lineRule="auto"/>
        <w:ind w:firstLine="504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w:t>
      </w:r>
      <w:r>
        <w:rPr>
          <w:rFonts w:hint="eastAsia" w:ascii="宋体" w:hAnsi="宋体" w:eastAsia="宋体" w:cs="Times New Roman"/>
          <w:color w:val="auto"/>
          <w:kern w:val="0"/>
          <w:sz w:val="24"/>
          <w:szCs w:val="24"/>
          <w:highlight w:val="none"/>
          <w:u w:val="single"/>
        </w:rPr>
        <w:t xml:space="preserve"> （盖单位公章）</w:t>
      </w:r>
    </w:p>
    <w:p w14:paraId="6ACF1216">
      <w:pPr>
        <w:widowControl/>
        <w:spacing w:line="480" w:lineRule="auto"/>
        <w:ind w:firstLine="504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p w14:paraId="3DFD030D">
      <w:pPr>
        <w:widowControl/>
        <w:spacing w:line="480" w:lineRule="auto"/>
        <w:jc w:val="center"/>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r>
        <w:rPr>
          <w:rFonts w:hint="eastAsia" w:ascii="宋体" w:hAnsi="宋体" w:eastAsia="宋体" w:cs="Times New Roman"/>
          <w:color w:val="auto"/>
          <w:kern w:val="0"/>
          <w:sz w:val="24"/>
          <w:szCs w:val="24"/>
          <w:highlight w:val="none"/>
          <w:lang w:val="en-US" w:eastAsia="zh-CN"/>
        </w:rPr>
        <w:t xml:space="preserve">                             </w:t>
      </w:r>
      <w:r>
        <w:rPr>
          <w:rFonts w:hint="eastAsia" w:ascii="宋体" w:hAnsi="宋体" w:eastAsia="宋体" w:cs="Times New Roman"/>
          <w:color w:val="auto"/>
          <w:kern w:val="0"/>
          <w:sz w:val="24"/>
          <w:szCs w:val="24"/>
          <w:highlight w:val="none"/>
        </w:rPr>
        <w:t xml:space="preserve"> 日 期：年 月 日</w:t>
      </w:r>
    </w:p>
    <w:p w14:paraId="589041C6">
      <w:pPr>
        <w:widowControl/>
        <w:spacing w:line="480" w:lineRule="auto"/>
        <w:jc w:val="center"/>
        <w:rPr>
          <w:rFonts w:ascii="宋体" w:hAnsi="宋体" w:eastAsia="宋体" w:cs="Times New Roman"/>
          <w:color w:val="auto"/>
          <w:kern w:val="0"/>
          <w:sz w:val="24"/>
          <w:szCs w:val="24"/>
          <w:highlight w:val="none"/>
        </w:rPr>
      </w:pPr>
    </w:p>
    <w:p w14:paraId="4710F886">
      <w:pPr>
        <w:widowControl/>
        <w:spacing w:line="480" w:lineRule="auto"/>
        <w:jc w:val="center"/>
        <w:rPr>
          <w:rFonts w:ascii="宋体" w:hAnsi="宋体" w:eastAsia="宋体" w:cs="Times New Roman"/>
          <w:color w:val="auto"/>
          <w:kern w:val="0"/>
          <w:sz w:val="24"/>
          <w:szCs w:val="24"/>
          <w:highlight w:val="none"/>
        </w:rPr>
      </w:pPr>
    </w:p>
    <w:p w14:paraId="02DA02E4">
      <w:pPr>
        <w:widowControl/>
        <w:spacing w:line="480" w:lineRule="auto"/>
        <w:jc w:val="center"/>
        <w:rPr>
          <w:rFonts w:ascii="宋体" w:hAnsi="宋体" w:eastAsia="宋体" w:cs="Times New Roman"/>
          <w:color w:val="auto"/>
          <w:kern w:val="0"/>
          <w:sz w:val="24"/>
          <w:szCs w:val="24"/>
          <w:highlight w:val="none"/>
        </w:rPr>
      </w:pPr>
    </w:p>
    <w:p w14:paraId="5509C7FE">
      <w:pPr>
        <w:widowControl/>
        <w:rPr>
          <w:rFonts w:ascii="宋体" w:hAnsi="宋体" w:eastAsia="宋体" w:cs="Times New Roman"/>
          <w:b/>
          <w:bCs/>
          <w:color w:val="auto"/>
          <w:kern w:val="0"/>
          <w:sz w:val="24"/>
          <w:szCs w:val="24"/>
          <w:highlight w:val="none"/>
        </w:rPr>
      </w:pPr>
      <w:bookmarkStart w:id="17" w:name="_Toc223432390"/>
      <w:bookmarkEnd w:id="17"/>
      <w:bookmarkStart w:id="18" w:name="_Toc171073045"/>
      <w:bookmarkEnd w:id="18"/>
      <w:bookmarkStart w:id="19" w:name="_Toc169921410"/>
      <w:bookmarkEnd w:id="19"/>
      <w:bookmarkStart w:id="20" w:name="_Toc171073210"/>
      <w:bookmarkEnd w:id="20"/>
    </w:p>
    <w:p w14:paraId="26D960A5">
      <w:pPr>
        <w:widowControl/>
        <w:jc w:val="left"/>
        <w:rPr>
          <w:rFonts w:hint="eastAsia" w:ascii="宋体" w:hAnsi="宋体" w:eastAsia="宋体" w:cs="Times New Roman"/>
          <w:b/>
          <w:bCs/>
          <w:color w:val="auto"/>
          <w:kern w:val="0"/>
          <w:sz w:val="24"/>
          <w:szCs w:val="24"/>
          <w:highlight w:val="none"/>
        </w:rPr>
      </w:pPr>
      <w:r>
        <w:rPr>
          <w:rFonts w:hint="eastAsia" w:ascii="宋体" w:hAnsi="宋体" w:eastAsia="宋体" w:cs="Times New Roman"/>
          <w:b/>
          <w:bCs/>
          <w:color w:val="auto"/>
          <w:kern w:val="0"/>
          <w:sz w:val="24"/>
          <w:szCs w:val="24"/>
          <w:highlight w:val="none"/>
        </w:rPr>
        <w:br w:type="page"/>
      </w:r>
    </w:p>
    <w:p w14:paraId="2262D575">
      <w:pPr>
        <w:widowControl/>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lang w:val="en-US" w:eastAsia="zh-CN"/>
        </w:rPr>
        <w:t>二、</w:t>
      </w:r>
      <w:r>
        <w:rPr>
          <w:rFonts w:hint="eastAsia" w:ascii="宋体" w:hAnsi="宋体" w:eastAsia="宋体" w:cs="Times New Roman"/>
          <w:b/>
          <w:bCs/>
          <w:color w:val="auto"/>
          <w:kern w:val="0"/>
          <w:sz w:val="24"/>
          <w:szCs w:val="24"/>
          <w:highlight w:val="none"/>
        </w:rPr>
        <w:t>授权委托书</w:t>
      </w:r>
    </w:p>
    <w:p w14:paraId="3682904B">
      <w:pPr>
        <w:widowControl/>
        <w:spacing w:line="480" w:lineRule="auto"/>
        <w:ind w:firstLine="61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本授权委托书声明：我</w:t>
      </w:r>
      <w:r>
        <w:rPr>
          <w:rFonts w:hint="eastAsia" w:ascii="宋体" w:hAnsi="宋体" w:eastAsia="宋体" w:cs="Times New Roman"/>
          <w:color w:val="auto"/>
          <w:kern w:val="0"/>
          <w:sz w:val="24"/>
          <w:szCs w:val="24"/>
          <w:highlight w:val="none"/>
          <w:u w:val="single"/>
        </w:rPr>
        <w:t>（法定代表人）</w:t>
      </w:r>
      <w:r>
        <w:rPr>
          <w:rFonts w:hint="eastAsia" w:ascii="宋体" w:hAnsi="宋体" w:eastAsia="宋体" w:cs="Times New Roman"/>
          <w:color w:val="auto"/>
          <w:kern w:val="0"/>
          <w:sz w:val="24"/>
          <w:szCs w:val="24"/>
          <w:highlight w:val="none"/>
        </w:rPr>
        <w:t>（姓名）系</w:t>
      </w:r>
      <w:r>
        <w:rPr>
          <w:rFonts w:hint="eastAsia" w:ascii="宋体" w:hAnsi="宋体" w:eastAsia="宋体" w:cs="Times New Roman"/>
          <w:color w:val="auto"/>
          <w:kern w:val="0"/>
          <w:sz w:val="24"/>
          <w:szCs w:val="24"/>
          <w:highlight w:val="none"/>
          <w:u w:val="single"/>
        </w:rPr>
        <w:t>（投 标 人 名 称）</w:t>
      </w:r>
      <w:r>
        <w:rPr>
          <w:rFonts w:hint="eastAsia" w:ascii="宋体" w:hAnsi="宋体" w:eastAsia="宋体" w:cs="Times New Roman"/>
          <w:color w:val="auto"/>
          <w:kern w:val="0"/>
          <w:sz w:val="24"/>
          <w:szCs w:val="24"/>
          <w:highlight w:val="none"/>
        </w:rPr>
        <w:t>的法定代表人，现授权委托</w:t>
      </w:r>
      <w:r>
        <w:rPr>
          <w:rFonts w:hint="eastAsia" w:ascii="宋体" w:hAnsi="宋体" w:eastAsia="宋体" w:cs="Times New Roman"/>
          <w:color w:val="auto"/>
          <w:kern w:val="0"/>
          <w:sz w:val="24"/>
          <w:szCs w:val="24"/>
          <w:highlight w:val="none"/>
          <w:u w:val="single"/>
        </w:rPr>
        <w:t xml:space="preserve"> （单 位 名 称） </w:t>
      </w:r>
      <w:r>
        <w:rPr>
          <w:rFonts w:hint="eastAsia" w:ascii="宋体" w:hAnsi="宋体" w:eastAsia="宋体" w:cs="Times New Roman"/>
          <w:color w:val="auto"/>
          <w:kern w:val="0"/>
          <w:sz w:val="24"/>
          <w:szCs w:val="24"/>
          <w:highlight w:val="none"/>
        </w:rPr>
        <w:t>的</w:t>
      </w:r>
      <w:r>
        <w:rPr>
          <w:rFonts w:hint="eastAsia" w:ascii="宋体" w:hAnsi="宋体" w:eastAsia="宋体" w:cs="Times New Roman"/>
          <w:color w:val="auto"/>
          <w:kern w:val="0"/>
          <w:sz w:val="24"/>
          <w:szCs w:val="24"/>
          <w:highlight w:val="none"/>
          <w:u w:val="single"/>
        </w:rPr>
        <w:t xml:space="preserve"> （姓名） </w:t>
      </w:r>
      <w:r>
        <w:rPr>
          <w:rFonts w:hint="eastAsia" w:ascii="宋体" w:hAnsi="宋体" w:eastAsia="宋体" w:cs="Times New Roman"/>
          <w:color w:val="auto"/>
          <w:kern w:val="0"/>
          <w:sz w:val="24"/>
          <w:szCs w:val="24"/>
          <w:highlight w:val="none"/>
        </w:rPr>
        <w:t>为我公司签署本项目的电子投标文件的法定代表人授权委托代理人，我承认代理人全权代表我所签署的项目的电子投标文件的内容。同时授权委托该同志代表我公司参加本项目的投标、开标、合同谈判、处理有关事务等并有权签署有关文件。</w:t>
      </w:r>
    </w:p>
    <w:p w14:paraId="3A059246">
      <w:pPr>
        <w:widowControl/>
        <w:spacing w:line="480" w:lineRule="auto"/>
        <w:ind w:firstLine="610"/>
        <w:rPr>
          <w:rFonts w:ascii="Times New Roman" w:hAnsi="Times New Roman" w:eastAsia="宋体" w:cs="Times New Roman"/>
          <w:color w:val="auto"/>
          <w:kern w:val="0"/>
          <w:sz w:val="24"/>
          <w:szCs w:val="24"/>
          <w:highlight w:val="none"/>
        </w:rPr>
      </w:pPr>
    </w:p>
    <w:p w14:paraId="3DFCA4C1">
      <w:pPr>
        <w:widowControl/>
        <w:spacing w:line="480" w:lineRule="auto"/>
        <w:ind w:firstLine="70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代理人无转委托权，特此委托。</w:t>
      </w:r>
    </w:p>
    <w:p w14:paraId="2EC164D0">
      <w:pPr>
        <w:widowControl/>
        <w:spacing w:line="480" w:lineRule="auto"/>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附：法人身份证扫描件</w:t>
      </w:r>
    </w:p>
    <w:p w14:paraId="17B85007">
      <w:pPr>
        <w:widowControl/>
        <w:spacing w:line="480" w:lineRule="auto"/>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委托代理人身份证扫描件</w:t>
      </w:r>
    </w:p>
    <w:p w14:paraId="553046E9">
      <w:pPr>
        <w:widowControl/>
        <w:spacing w:line="480" w:lineRule="auto"/>
        <w:ind w:firstLine="3240" w:firstLineChars="1350"/>
        <w:rPr>
          <w:rFonts w:hint="eastAsia" w:ascii="宋体" w:hAnsi="宋体" w:eastAsia="宋体" w:cs="Times New Roman"/>
          <w:color w:val="auto"/>
          <w:kern w:val="0"/>
          <w:sz w:val="24"/>
          <w:szCs w:val="24"/>
          <w:highlight w:val="none"/>
        </w:rPr>
      </w:pPr>
      <w:bookmarkStart w:id="21" w:name="_Toc169921411"/>
      <w:bookmarkEnd w:id="21"/>
      <w:bookmarkStart w:id="22" w:name="_Toc223432391"/>
      <w:bookmarkEnd w:id="22"/>
      <w:bookmarkStart w:id="23" w:name="_Toc171073046"/>
      <w:bookmarkEnd w:id="23"/>
      <w:bookmarkStart w:id="24" w:name="_Toc171073211"/>
      <w:bookmarkEnd w:id="24"/>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：（盖单位公章）</w:t>
      </w:r>
    </w:p>
    <w:p w14:paraId="68B66D68">
      <w:pPr>
        <w:widowControl/>
        <w:spacing w:line="480" w:lineRule="auto"/>
        <w:ind w:firstLine="3240" w:firstLineChars="1350"/>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法定代表人： （</w:t>
      </w:r>
      <w:r>
        <w:rPr>
          <w:rFonts w:hint="eastAsia" w:ascii="宋体" w:hAnsi="宋体" w:eastAsia="宋体" w:cs="Times New Roman"/>
          <w:color w:val="auto"/>
          <w:kern w:val="0"/>
          <w:sz w:val="24"/>
          <w:szCs w:val="24"/>
          <w:highlight w:val="none"/>
          <w:lang w:eastAsia="zh-CN"/>
        </w:rPr>
        <w:t>电子签章</w:t>
      </w:r>
      <w:r>
        <w:rPr>
          <w:rFonts w:hint="eastAsia" w:ascii="宋体" w:hAnsi="宋体" w:eastAsia="宋体" w:cs="Times New Roman"/>
          <w:color w:val="auto"/>
          <w:kern w:val="0"/>
          <w:sz w:val="24"/>
          <w:szCs w:val="24"/>
          <w:highlight w:val="none"/>
        </w:rPr>
        <w:t>）</w:t>
      </w:r>
    </w:p>
    <w:p w14:paraId="3AFE14BF">
      <w:pPr>
        <w:widowControl/>
        <w:ind w:firstLine="3240" w:firstLineChars="135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日 期： 年 月 日</w:t>
      </w:r>
    </w:p>
    <w:p w14:paraId="3A3FB50B">
      <w:pPr>
        <w:widowControl/>
        <w:rPr>
          <w:rFonts w:ascii="宋体" w:hAnsi="宋体" w:eastAsia="宋体" w:cs="Times New Roman"/>
          <w:b/>
          <w:bCs/>
          <w:color w:val="auto"/>
          <w:kern w:val="0"/>
          <w:sz w:val="24"/>
          <w:szCs w:val="24"/>
          <w:highlight w:val="none"/>
        </w:rPr>
      </w:pPr>
    </w:p>
    <w:p w14:paraId="266A3CDF">
      <w:pPr>
        <w:widowControl/>
        <w:rPr>
          <w:rFonts w:ascii="宋体" w:hAnsi="宋体" w:eastAsia="宋体" w:cs="Times New Roman"/>
          <w:b/>
          <w:bCs/>
          <w:color w:val="auto"/>
          <w:kern w:val="0"/>
          <w:sz w:val="24"/>
          <w:szCs w:val="24"/>
          <w:highlight w:val="none"/>
        </w:rPr>
      </w:pPr>
    </w:p>
    <w:p w14:paraId="2A23086D">
      <w:pPr>
        <w:widowControl/>
        <w:rPr>
          <w:rFonts w:ascii="宋体" w:hAnsi="宋体" w:eastAsia="宋体" w:cs="Times New Roman"/>
          <w:b/>
          <w:bCs/>
          <w:color w:val="auto"/>
          <w:kern w:val="0"/>
          <w:sz w:val="24"/>
          <w:szCs w:val="24"/>
          <w:highlight w:val="none"/>
        </w:rPr>
      </w:pPr>
    </w:p>
    <w:p w14:paraId="6D33A8B7">
      <w:pPr>
        <w:widowControl/>
        <w:rPr>
          <w:rFonts w:ascii="宋体" w:hAnsi="宋体" w:eastAsia="宋体" w:cs="Times New Roman"/>
          <w:b/>
          <w:bCs/>
          <w:color w:val="auto"/>
          <w:kern w:val="0"/>
          <w:sz w:val="24"/>
          <w:szCs w:val="24"/>
          <w:highlight w:val="none"/>
        </w:rPr>
      </w:pPr>
    </w:p>
    <w:p w14:paraId="21A0FDCA">
      <w:pPr>
        <w:widowControl/>
        <w:rPr>
          <w:rFonts w:ascii="宋体" w:hAnsi="宋体" w:eastAsia="宋体" w:cs="Times New Roman"/>
          <w:b/>
          <w:bCs/>
          <w:color w:val="auto"/>
          <w:kern w:val="0"/>
          <w:sz w:val="24"/>
          <w:szCs w:val="24"/>
          <w:highlight w:val="none"/>
        </w:rPr>
      </w:pPr>
    </w:p>
    <w:p w14:paraId="4B720EA0">
      <w:pPr>
        <w:widowControl/>
        <w:rPr>
          <w:rFonts w:ascii="宋体" w:hAnsi="宋体" w:eastAsia="宋体" w:cs="Times New Roman"/>
          <w:b/>
          <w:bCs/>
          <w:color w:val="auto"/>
          <w:kern w:val="0"/>
          <w:sz w:val="24"/>
          <w:szCs w:val="24"/>
          <w:highlight w:val="none"/>
        </w:rPr>
      </w:pPr>
    </w:p>
    <w:p w14:paraId="1E2A6D28">
      <w:pPr>
        <w:widowControl/>
        <w:rPr>
          <w:rFonts w:ascii="宋体" w:hAnsi="宋体" w:eastAsia="宋体" w:cs="Times New Roman"/>
          <w:b/>
          <w:bCs/>
          <w:color w:val="auto"/>
          <w:kern w:val="0"/>
          <w:sz w:val="24"/>
          <w:szCs w:val="24"/>
          <w:highlight w:val="none"/>
        </w:rPr>
      </w:pPr>
    </w:p>
    <w:p w14:paraId="1AE9BC3D">
      <w:pPr>
        <w:widowControl/>
        <w:rPr>
          <w:rFonts w:ascii="宋体" w:hAnsi="宋体" w:eastAsia="宋体" w:cs="Times New Roman"/>
          <w:b/>
          <w:bCs/>
          <w:color w:val="auto"/>
          <w:kern w:val="0"/>
          <w:sz w:val="24"/>
          <w:szCs w:val="24"/>
          <w:highlight w:val="none"/>
        </w:rPr>
      </w:pPr>
    </w:p>
    <w:p w14:paraId="7A1A4B2B">
      <w:pPr>
        <w:widowControl/>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br w:type="page"/>
      </w:r>
      <w:r>
        <w:rPr>
          <w:rFonts w:hint="eastAsia" w:ascii="宋体" w:hAnsi="宋体" w:eastAsia="宋体" w:cs="Times New Roman"/>
          <w:b/>
          <w:bCs/>
          <w:color w:val="auto"/>
          <w:kern w:val="0"/>
          <w:sz w:val="24"/>
          <w:szCs w:val="24"/>
          <w:highlight w:val="none"/>
          <w:lang w:val="en-US" w:eastAsia="zh-CN"/>
        </w:rPr>
        <w:t>三、</w:t>
      </w:r>
      <w:r>
        <w:rPr>
          <w:rFonts w:hint="eastAsia" w:ascii="宋体" w:hAnsi="宋体" w:eastAsia="宋体" w:cs="Times New Roman"/>
          <w:b/>
          <w:bCs/>
          <w:color w:val="auto"/>
          <w:kern w:val="0"/>
          <w:sz w:val="24"/>
          <w:szCs w:val="24"/>
          <w:highlight w:val="none"/>
        </w:rPr>
        <w:t>投 标 函</w:t>
      </w:r>
    </w:p>
    <w:p w14:paraId="1A3789EC">
      <w:pPr>
        <w:widowControl/>
        <w:spacing w:line="480" w:lineRule="auto"/>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spacing w:val="46"/>
          <w:kern w:val="0"/>
          <w:sz w:val="24"/>
          <w:szCs w:val="24"/>
          <w:highlight w:val="none"/>
        </w:rPr>
        <w:t xml:space="preserve">致 </w:t>
      </w:r>
      <w:r>
        <w:rPr>
          <w:rFonts w:hint="eastAsia" w:ascii="宋体" w:hAnsi="宋体" w:eastAsia="宋体" w:cs="Times New Roman"/>
          <w:color w:val="auto"/>
          <w:spacing w:val="46"/>
          <w:kern w:val="0"/>
          <w:sz w:val="24"/>
          <w:szCs w:val="24"/>
          <w:highlight w:val="none"/>
          <w:u w:val="single"/>
          <w:lang w:val="en-US" w:eastAsia="zh-CN"/>
        </w:rPr>
        <w:t xml:space="preserve">         </w:t>
      </w:r>
      <w:r>
        <w:rPr>
          <w:rFonts w:hint="eastAsia" w:ascii="宋体" w:hAnsi="宋体" w:eastAsia="宋体" w:cs="Times New Roman"/>
          <w:color w:val="auto"/>
          <w:spacing w:val="46"/>
          <w:kern w:val="0"/>
          <w:sz w:val="24"/>
          <w:szCs w:val="24"/>
          <w:highlight w:val="none"/>
        </w:rPr>
        <w:t>（采购人） ：</w:t>
      </w:r>
    </w:p>
    <w:p w14:paraId="0D5F6D7D">
      <w:pPr>
        <w:widowControl/>
        <w:spacing w:line="480" w:lineRule="auto"/>
        <w:ind w:firstLine="480"/>
        <w:jc w:val="lef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根据已收到贵方 </w:t>
      </w:r>
      <w:r>
        <w:rPr>
          <w:rFonts w:hint="eastAsia" w:ascii="宋体" w:hAnsi="宋体" w:eastAsia="宋体" w:cs="Times New Roman"/>
          <w:color w:val="auto"/>
          <w:kern w:val="0"/>
          <w:sz w:val="24"/>
          <w:szCs w:val="24"/>
          <w:highlight w:val="none"/>
          <w:u w:val="single"/>
          <w:lang w:val="en-US" w:eastAsia="zh-CN"/>
        </w:rPr>
        <w:t xml:space="preserve">          </w:t>
      </w:r>
      <w:r>
        <w:rPr>
          <w:rFonts w:hint="eastAsia" w:ascii="宋体" w:hAnsi="宋体" w:eastAsia="宋体" w:cs="Times New Roman"/>
          <w:color w:val="auto"/>
          <w:kern w:val="0"/>
          <w:sz w:val="24"/>
          <w:szCs w:val="24"/>
          <w:highlight w:val="none"/>
        </w:rPr>
        <w:t>（项目名称）的招标文件，遵照《中华人民共和国政府采购法》等有关规定，我单位经研究上述招标文件的投标须知、合同条款、技术参数及其它有关文件后，我方愿以人民币（大写）</w:t>
      </w:r>
      <w:r>
        <w:rPr>
          <w:rFonts w:hint="eastAsia" w:ascii="宋体" w:hAnsi="宋体" w:eastAsia="宋体" w:cs="Times New Roman"/>
          <w:color w:val="auto"/>
          <w:kern w:val="0"/>
          <w:sz w:val="24"/>
          <w:szCs w:val="24"/>
          <w:highlight w:val="none"/>
          <w:lang w:eastAsia="zh-CN"/>
        </w:rPr>
        <w:t>：</w:t>
      </w:r>
      <w:r>
        <w:rPr>
          <w:rFonts w:hint="eastAsia" w:ascii="宋体" w:hAnsi="宋体" w:eastAsia="宋体" w:cs="Times New Roman"/>
          <w:color w:val="auto"/>
          <w:kern w:val="0"/>
          <w:sz w:val="24"/>
          <w:szCs w:val="24"/>
          <w:highlight w:val="none"/>
          <w:u w:val="single"/>
          <w:lang w:val="en-US" w:eastAsia="zh-CN"/>
        </w:rPr>
        <w:t xml:space="preserve">           </w:t>
      </w:r>
      <w:r>
        <w:rPr>
          <w:rFonts w:hint="eastAsia" w:ascii="宋体" w:hAnsi="宋体" w:eastAsia="宋体" w:cs="Times New Roman"/>
          <w:color w:val="auto"/>
          <w:kern w:val="0"/>
          <w:sz w:val="24"/>
          <w:szCs w:val="24"/>
          <w:highlight w:val="none"/>
        </w:rPr>
        <w:t>（小写：</w:t>
      </w:r>
      <w:r>
        <w:rPr>
          <w:rFonts w:hint="eastAsia" w:ascii="宋体" w:hAnsi="宋体" w:eastAsia="宋体" w:cs="Times New Roman"/>
          <w:color w:val="auto"/>
          <w:kern w:val="0"/>
          <w:sz w:val="24"/>
          <w:szCs w:val="24"/>
          <w:highlight w:val="none"/>
          <w:u w:val="single"/>
          <w:lang w:val="en-US" w:eastAsia="zh-CN"/>
        </w:rPr>
        <w:t xml:space="preserve">          </w:t>
      </w:r>
      <w:r>
        <w:rPr>
          <w:rFonts w:hint="eastAsia" w:ascii="宋体" w:hAnsi="宋体" w:eastAsia="宋体" w:cs="Times New Roman"/>
          <w:color w:val="auto"/>
          <w:kern w:val="0"/>
          <w:sz w:val="24"/>
          <w:szCs w:val="24"/>
          <w:highlight w:val="none"/>
        </w:rPr>
        <w:t>元）的投标报价；承包上述项目的采购及安装、调试、验收、培训、质保期服务、与货物有关的运输和保险及其他伴随服务。</w:t>
      </w:r>
    </w:p>
    <w:p w14:paraId="2CA90F6D">
      <w:pPr>
        <w:widowControl/>
        <w:spacing w:line="480" w:lineRule="auto"/>
        <w:ind w:firstLine="420"/>
        <w:jc w:val="lef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1</w:t>
      </w:r>
      <w:r>
        <w:rPr>
          <w:rFonts w:hint="eastAsia" w:ascii="宋体" w:hAnsi="宋体" w:eastAsia="宋体" w:cs="Times New Roman"/>
          <w:color w:val="auto"/>
          <w:kern w:val="0"/>
          <w:sz w:val="24"/>
          <w:szCs w:val="24"/>
          <w:highlight w:val="none"/>
        </w:rPr>
        <w:t>、 我方已详细审核全部招标文件，包括修改文件（如有）及有关附件，已充分理解并掌握了本招标项目的全部有关情况，认为招标文件符合法律、法规的要求，充分体现了公开、公平、公正和诚实信用原则，我方对招标文件没有任何异议。同意接受招标文件的全部内容和条件。</w:t>
      </w:r>
    </w:p>
    <w:p w14:paraId="177204F5">
      <w:pPr>
        <w:widowControl/>
        <w:spacing w:line="480" w:lineRule="auto"/>
        <w:ind w:firstLine="420"/>
        <w:jc w:val="lef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2</w:t>
      </w:r>
      <w:r>
        <w:rPr>
          <w:rFonts w:hint="eastAsia" w:ascii="宋体" w:hAnsi="宋体" w:eastAsia="宋体" w:cs="Times New Roman"/>
          <w:color w:val="auto"/>
          <w:kern w:val="0"/>
          <w:sz w:val="24"/>
          <w:szCs w:val="24"/>
          <w:highlight w:val="none"/>
        </w:rPr>
        <w:t>、 我方承认投标函附表是我方投标函的组成部分。</w:t>
      </w:r>
    </w:p>
    <w:p w14:paraId="425FC668">
      <w:pPr>
        <w:widowControl/>
        <w:spacing w:line="480" w:lineRule="auto"/>
        <w:ind w:firstLine="420"/>
        <w:jc w:val="lef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3</w:t>
      </w:r>
      <w:r>
        <w:rPr>
          <w:rFonts w:hint="eastAsia" w:ascii="宋体" w:hAnsi="宋体" w:eastAsia="宋体" w:cs="Times New Roman"/>
          <w:color w:val="auto"/>
          <w:kern w:val="0"/>
          <w:sz w:val="24"/>
          <w:szCs w:val="24"/>
          <w:highlight w:val="none"/>
        </w:rPr>
        <w:t>、 如我方中标，我方承诺在收到中标通知书后，在中标通知书规定的期限内，根据招标文件、我方的投标文件及有关澄清承诺书的要求，与采购人订立书面合同，并按照合同约定承担完成合同的责任和义务。</w:t>
      </w:r>
    </w:p>
    <w:p w14:paraId="5A78E428">
      <w:pPr>
        <w:widowControl/>
        <w:spacing w:line="480" w:lineRule="auto"/>
        <w:ind w:firstLine="420"/>
        <w:jc w:val="left"/>
        <w:rPr>
          <w:rFonts w:hint="eastAsia" w:ascii="宋体" w:hAnsi="宋体" w:eastAsia="宋体" w:cs="Times New Roman"/>
          <w:color w:val="auto"/>
          <w:kern w:val="0"/>
          <w:sz w:val="24"/>
          <w:szCs w:val="24"/>
          <w:highlight w:val="none"/>
          <w:lang w:eastAsia="zh-CN"/>
        </w:rPr>
      </w:pPr>
      <w:r>
        <w:rPr>
          <w:rFonts w:hint="eastAsia" w:ascii="宋体" w:hAnsi="宋体" w:eastAsia="宋体" w:cs="Times New Roman"/>
          <w:color w:val="auto"/>
          <w:kern w:val="0"/>
          <w:sz w:val="24"/>
          <w:szCs w:val="24"/>
          <w:highlight w:val="none"/>
          <w:lang w:val="en-US" w:eastAsia="zh-CN"/>
        </w:rPr>
        <w:t>5</w:t>
      </w:r>
      <w:r>
        <w:rPr>
          <w:rFonts w:hint="eastAsia" w:ascii="宋体" w:hAnsi="宋体" w:eastAsia="宋体" w:cs="Times New Roman"/>
          <w:color w:val="auto"/>
          <w:kern w:val="0"/>
          <w:sz w:val="24"/>
          <w:szCs w:val="24"/>
          <w:highlight w:val="none"/>
        </w:rPr>
        <w:t>、 我方同意自本项目招标文件中规定的投标有效期内有效，并承诺在投标有效期内不修改、撤销投标文件</w:t>
      </w:r>
      <w:r>
        <w:rPr>
          <w:rFonts w:hint="eastAsia" w:ascii="宋体" w:hAnsi="宋体" w:eastAsia="宋体" w:cs="Times New Roman"/>
          <w:color w:val="auto"/>
          <w:kern w:val="0"/>
          <w:sz w:val="24"/>
          <w:szCs w:val="24"/>
          <w:highlight w:val="none"/>
          <w:lang w:eastAsia="zh-CN"/>
        </w:rPr>
        <w:t>。</w:t>
      </w:r>
    </w:p>
    <w:p w14:paraId="764C75BD">
      <w:pPr>
        <w:widowControl/>
        <w:spacing w:line="480" w:lineRule="auto"/>
        <w:ind w:firstLine="420"/>
        <w:jc w:val="left"/>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spacing w:val="44"/>
          <w:kern w:val="0"/>
          <w:sz w:val="24"/>
          <w:szCs w:val="24"/>
          <w:highlight w:val="none"/>
          <w:lang w:val="en-US" w:eastAsia="zh-CN"/>
        </w:rPr>
        <w:t>6</w:t>
      </w:r>
      <w:r>
        <w:rPr>
          <w:rFonts w:hint="eastAsia" w:ascii="宋体" w:hAnsi="宋体" w:eastAsia="宋体" w:cs="Times New Roman"/>
          <w:color w:val="auto"/>
          <w:spacing w:val="44"/>
          <w:kern w:val="0"/>
          <w:sz w:val="24"/>
          <w:szCs w:val="24"/>
          <w:highlight w:val="none"/>
        </w:rPr>
        <w:t>、</w:t>
      </w:r>
      <w:r>
        <w:rPr>
          <w:rFonts w:hint="eastAsia" w:ascii="宋体" w:hAnsi="宋体" w:eastAsia="宋体" w:cs="Times New Roman"/>
          <w:color w:val="auto"/>
          <w:kern w:val="0"/>
          <w:sz w:val="24"/>
          <w:szCs w:val="24"/>
          <w:highlight w:val="none"/>
        </w:rPr>
        <w:t>我方在此声明，所递交的投标文件及有关资料内容完整、真实和准确。</w:t>
      </w:r>
    </w:p>
    <w:p w14:paraId="01650F46">
      <w:pPr>
        <w:widowControl/>
        <w:spacing w:line="480" w:lineRule="auto"/>
        <w:ind w:firstLine="420"/>
        <w:jc w:val="left"/>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 xml:space="preserve">：（盖单位公章）  </w:t>
      </w:r>
    </w:p>
    <w:p w14:paraId="15BAD675">
      <w:pPr>
        <w:widowControl/>
        <w:spacing w:line="480" w:lineRule="auto"/>
        <w:ind w:firstLine="420"/>
        <w:jc w:val="left"/>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法定代表人：（电子签章）</w:t>
      </w:r>
    </w:p>
    <w:p w14:paraId="393BD066">
      <w:pPr>
        <w:widowControl/>
        <w:spacing w:line="480" w:lineRule="auto"/>
        <w:ind w:firstLine="420"/>
        <w:jc w:val="left"/>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投标单位授权人联系方式：</w:t>
      </w:r>
    </w:p>
    <w:p w14:paraId="36159FAC">
      <w:pPr>
        <w:widowControl/>
        <w:spacing w:line="480" w:lineRule="auto"/>
        <w:jc w:val="right"/>
        <w:rPr>
          <w:rFonts w:hint="eastAsia" w:ascii="宋体" w:hAnsi="宋体" w:eastAsia="宋体" w:cs="Times New Roman"/>
          <w:b/>
          <w:bCs/>
          <w:color w:val="auto"/>
          <w:kern w:val="0"/>
          <w:sz w:val="24"/>
          <w:szCs w:val="24"/>
          <w:highlight w:val="none"/>
        </w:rPr>
      </w:pPr>
      <w:r>
        <w:rPr>
          <w:rFonts w:hint="eastAsia" w:ascii="宋体" w:hAnsi="宋体" w:eastAsia="宋体" w:cs="Times New Roman"/>
          <w:color w:val="auto"/>
          <w:spacing w:val="46"/>
          <w:kern w:val="0"/>
          <w:sz w:val="24"/>
          <w:szCs w:val="24"/>
          <w:highlight w:val="none"/>
        </w:rPr>
        <w:t>日 期： 年 月 日</w:t>
      </w:r>
    </w:p>
    <w:p w14:paraId="5A49850E">
      <w:pPr>
        <w:widowControl/>
        <w:jc w:val="center"/>
        <w:rPr>
          <w:rFonts w:hint="eastAsia" w:ascii="宋体" w:hAnsi="宋体" w:eastAsia="宋体" w:cs="Times New Roman"/>
          <w:b/>
          <w:bCs/>
          <w:color w:val="auto"/>
          <w:kern w:val="0"/>
          <w:sz w:val="24"/>
          <w:szCs w:val="24"/>
          <w:highlight w:val="none"/>
        </w:rPr>
      </w:pPr>
    </w:p>
    <w:p w14:paraId="5EF4C2ED">
      <w:pPr>
        <w:widowControl/>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t>投标函附表</w:t>
      </w:r>
    </w:p>
    <w:p w14:paraId="5C38EA86">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名称：</w:t>
      </w:r>
    </w:p>
    <w:p w14:paraId="3B6C389F">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项目编号：                                    货币单位：元</w:t>
      </w:r>
    </w:p>
    <w:tbl>
      <w:tblPr>
        <w:tblStyle w:val="14"/>
        <w:tblW w:w="9467" w:type="dxa"/>
        <w:tblInd w:w="0" w:type="dxa"/>
        <w:tblLayout w:type="fixed"/>
        <w:tblCellMar>
          <w:top w:w="0" w:type="dxa"/>
          <w:left w:w="108" w:type="dxa"/>
          <w:bottom w:w="0" w:type="dxa"/>
          <w:right w:w="108" w:type="dxa"/>
        </w:tblCellMar>
      </w:tblPr>
      <w:tblGrid>
        <w:gridCol w:w="1018"/>
        <w:gridCol w:w="787"/>
        <w:gridCol w:w="902"/>
        <w:gridCol w:w="1585"/>
        <w:gridCol w:w="1310"/>
        <w:gridCol w:w="915"/>
        <w:gridCol w:w="933"/>
        <w:gridCol w:w="742"/>
        <w:gridCol w:w="584"/>
        <w:gridCol w:w="691"/>
      </w:tblGrid>
      <w:tr w14:paraId="4A3FE43C">
        <w:trPr>
          <w:trHeight w:val="963" w:hRule="atLeast"/>
        </w:trPr>
        <w:tc>
          <w:tcPr>
            <w:tcW w:w="1018" w:type="dxa"/>
            <w:tcBorders>
              <w:top w:val="single" w:color="auto" w:sz="4" w:space="0"/>
              <w:left w:val="single" w:color="auto" w:sz="4" w:space="0"/>
              <w:bottom w:val="single" w:color="auto" w:sz="4" w:space="0"/>
              <w:right w:val="single" w:color="auto" w:sz="4" w:space="0"/>
            </w:tcBorders>
            <w:vAlign w:val="center"/>
          </w:tcPr>
          <w:p w14:paraId="510A56BC">
            <w:pPr>
              <w:widowControl/>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序号</w:t>
            </w:r>
          </w:p>
        </w:tc>
        <w:tc>
          <w:tcPr>
            <w:tcW w:w="787" w:type="dxa"/>
            <w:tcBorders>
              <w:top w:val="single" w:color="auto" w:sz="4" w:space="0"/>
              <w:left w:val="nil"/>
              <w:bottom w:val="single" w:color="auto" w:sz="4" w:space="0"/>
              <w:right w:val="single" w:color="auto" w:sz="4" w:space="0"/>
            </w:tcBorders>
            <w:vAlign w:val="center"/>
          </w:tcPr>
          <w:p w14:paraId="496C53F8">
            <w:pPr>
              <w:widowControl/>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lang w:val="en-US" w:eastAsia="zh-CN"/>
              </w:rPr>
              <w:t>设备</w:t>
            </w:r>
            <w:r>
              <w:rPr>
                <w:rFonts w:hint="eastAsia" w:ascii="宋体" w:hAnsi="宋体" w:eastAsia="宋体" w:cs="Times New Roman"/>
                <w:color w:val="auto"/>
                <w:kern w:val="0"/>
                <w:sz w:val="24"/>
                <w:szCs w:val="24"/>
                <w:highlight w:val="none"/>
              </w:rPr>
              <w:t>名称</w:t>
            </w:r>
          </w:p>
        </w:tc>
        <w:tc>
          <w:tcPr>
            <w:tcW w:w="902" w:type="dxa"/>
            <w:tcBorders>
              <w:top w:val="single" w:color="auto" w:sz="4" w:space="0"/>
              <w:left w:val="nil"/>
              <w:bottom w:val="single" w:color="auto" w:sz="4" w:space="0"/>
              <w:right w:val="single" w:color="auto" w:sz="4" w:space="0"/>
            </w:tcBorders>
            <w:vAlign w:val="center"/>
          </w:tcPr>
          <w:p w14:paraId="312BF095">
            <w:pPr>
              <w:widowControl/>
              <w:jc w:val="center"/>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品牌</w:t>
            </w:r>
          </w:p>
        </w:tc>
        <w:tc>
          <w:tcPr>
            <w:tcW w:w="1585" w:type="dxa"/>
            <w:tcBorders>
              <w:top w:val="single" w:color="auto" w:sz="4" w:space="0"/>
              <w:left w:val="nil"/>
              <w:bottom w:val="single" w:color="auto" w:sz="4" w:space="0"/>
              <w:right w:val="single" w:color="auto" w:sz="4" w:space="0"/>
            </w:tcBorders>
            <w:vAlign w:val="center"/>
          </w:tcPr>
          <w:p w14:paraId="420B2A51">
            <w:pPr>
              <w:widowControl/>
              <w:jc w:val="center"/>
              <w:rPr>
                <w:rFonts w:hint="eastAsia" w:ascii="Times New Roman" w:hAnsi="Times New Roman" w:eastAsia="宋体" w:cs="Times New Roman"/>
                <w:color w:val="auto"/>
                <w:kern w:val="0"/>
                <w:sz w:val="24"/>
                <w:szCs w:val="24"/>
                <w:highlight w:val="none"/>
                <w:lang w:eastAsia="zh-CN"/>
              </w:rPr>
            </w:pPr>
            <w:r>
              <w:rPr>
                <w:rFonts w:hint="eastAsia" w:ascii="宋体" w:hAnsi="宋体" w:eastAsia="宋体" w:cs="Times New Roman"/>
                <w:color w:val="auto"/>
                <w:kern w:val="0"/>
                <w:sz w:val="24"/>
                <w:szCs w:val="24"/>
                <w:highlight w:val="none"/>
                <w:lang w:eastAsia="zh-CN"/>
              </w:rPr>
              <w:t xml:space="preserve">规格型号 </w:t>
            </w:r>
          </w:p>
        </w:tc>
        <w:tc>
          <w:tcPr>
            <w:tcW w:w="1310" w:type="dxa"/>
            <w:tcBorders>
              <w:top w:val="single" w:color="auto" w:sz="4" w:space="0"/>
              <w:left w:val="nil"/>
              <w:bottom w:val="single" w:color="auto" w:sz="4" w:space="0"/>
              <w:right w:val="single" w:color="auto" w:sz="4" w:space="0"/>
            </w:tcBorders>
            <w:vAlign w:val="center"/>
          </w:tcPr>
          <w:p w14:paraId="144FB21A">
            <w:pPr>
              <w:widowControl/>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制造商</w:t>
            </w:r>
          </w:p>
        </w:tc>
        <w:tc>
          <w:tcPr>
            <w:tcW w:w="915" w:type="dxa"/>
            <w:tcBorders>
              <w:top w:val="single" w:color="auto" w:sz="4" w:space="0"/>
              <w:left w:val="nil"/>
              <w:bottom w:val="single" w:color="auto" w:sz="4" w:space="0"/>
              <w:right w:val="single" w:color="auto" w:sz="4" w:space="0"/>
            </w:tcBorders>
            <w:vAlign w:val="center"/>
          </w:tcPr>
          <w:p w14:paraId="5CF386AA">
            <w:pPr>
              <w:widowControl/>
              <w:jc w:val="center"/>
              <w:rPr>
                <w:rFonts w:hint="eastAsia" w:ascii="Times New Roman" w:hAnsi="Times New Roman" w:eastAsia="宋体" w:cs="Times New Roman"/>
                <w:color w:val="auto"/>
                <w:kern w:val="0"/>
                <w:sz w:val="24"/>
                <w:szCs w:val="24"/>
                <w:highlight w:val="none"/>
                <w:lang w:eastAsia="zh-CN"/>
              </w:rPr>
            </w:pPr>
            <w:r>
              <w:rPr>
                <w:rFonts w:hint="eastAsia" w:ascii="宋体" w:hAnsi="宋体" w:eastAsia="宋体" w:cs="Times New Roman"/>
                <w:color w:val="auto"/>
                <w:kern w:val="0"/>
                <w:sz w:val="24"/>
                <w:szCs w:val="24"/>
                <w:highlight w:val="none"/>
                <w:lang w:eastAsia="zh-CN"/>
              </w:rPr>
              <w:t xml:space="preserve">单位 </w:t>
            </w:r>
          </w:p>
        </w:tc>
        <w:tc>
          <w:tcPr>
            <w:tcW w:w="933" w:type="dxa"/>
            <w:tcBorders>
              <w:top w:val="single" w:color="auto" w:sz="4" w:space="0"/>
              <w:left w:val="nil"/>
              <w:bottom w:val="single" w:color="auto" w:sz="4" w:space="0"/>
              <w:right w:val="single" w:color="auto" w:sz="4" w:space="0"/>
            </w:tcBorders>
            <w:vAlign w:val="center"/>
          </w:tcPr>
          <w:p w14:paraId="2F0197BB">
            <w:pPr>
              <w:widowControl/>
              <w:jc w:val="center"/>
              <w:rPr>
                <w:rFonts w:hint="eastAsia" w:ascii="Times New Roman" w:hAnsi="Times New Roman" w:eastAsia="宋体" w:cs="Times New Roman"/>
                <w:color w:val="auto"/>
                <w:kern w:val="0"/>
                <w:sz w:val="24"/>
                <w:szCs w:val="24"/>
                <w:highlight w:val="none"/>
                <w:lang w:eastAsia="zh-CN"/>
              </w:rPr>
            </w:pPr>
            <w:r>
              <w:rPr>
                <w:rFonts w:hint="eastAsia" w:ascii="Times New Roman" w:hAnsi="Times New Roman" w:eastAsia="宋体" w:cs="Times New Roman"/>
                <w:color w:val="auto"/>
                <w:kern w:val="0"/>
                <w:sz w:val="24"/>
                <w:szCs w:val="24"/>
                <w:highlight w:val="none"/>
              </w:rPr>
              <w:t>数量</w:t>
            </w:r>
          </w:p>
        </w:tc>
        <w:tc>
          <w:tcPr>
            <w:tcW w:w="742" w:type="dxa"/>
            <w:tcBorders>
              <w:top w:val="single" w:color="auto" w:sz="4" w:space="0"/>
              <w:left w:val="nil"/>
              <w:bottom w:val="single" w:color="auto" w:sz="4" w:space="0"/>
              <w:right w:val="single" w:color="auto" w:sz="4" w:space="0"/>
            </w:tcBorders>
          </w:tcPr>
          <w:p w14:paraId="529B9833">
            <w:pPr>
              <w:widowControl/>
              <w:jc w:val="center"/>
              <w:rPr>
                <w:rFonts w:hint="eastAsia" w:ascii="Times New Roman" w:hAnsi="Times New Roman" w:eastAsia="宋体" w:cs="Times New Roman"/>
                <w:color w:val="auto"/>
                <w:kern w:val="0"/>
                <w:sz w:val="24"/>
                <w:szCs w:val="24"/>
                <w:highlight w:val="none"/>
              </w:rPr>
            </w:pPr>
          </w:p>
          <w:p w14:paraId="26C36A91">
            <w:pPr>
              <w:widowControl/>
              <w:jc w:val="center"/>
              <w:rPr>
                <w:rFonts w:hint="eastAsia" w:ascii="Times New Roman" w:hAnsi="Times New Roman" w:eastAsia="宋体" w:cs="Times New Roman"/>
                <w:color w:val="auto"/>
                <w:kern w:val="0"/>
                <w:sz w:val="24"/>
                <w:szCs w:val="24"/>
                <w:highlight w:val="none"/>
                <w:lang w:eastAsia="zh-CN"/>
              </w:rPr>
            </w:pPr>
            <w:r>
              <w:rPr>
                <w:rFonts w:hint="eastAsia" w:ascii="Times New Roman" w:hAnsi="Times New Roman" w:eastAsia="宋体" w:cs="Times New Roman"/>
                <w:color w:val="auto"/>
                <w:kern w:val="0"/>
                <w:sz w:val="24"/>
                <w:szCs w:val="24"/>
                <w:highlight w:val="none"/>
                <w:lang w:val="en-US" w:eastAsia="zh-CN"/>
              </w:rPr>
              <w:t>单价</w:t>
            </w:r>
          </w:p>
        </w:tc>
        <w:tc>
          <w:tcPr>
            <w:tcW w:w="584" w:type="dxa"/>
            <w:tcBorders>
              <w:top w:val="single" w:color="auto" w:sz="4" w:space="0"/>
              <w:left w:val="nil"/>
              <w:bottom w:val="single" w:color="auto" w:sz="4" w:space="0"/>
              <w:right w:val="single" w:color="auto" w:sz="4" w:space="0"/>
            </w:tcBorders>
            <w:vAlign w:val="center"/>
          </w:tcPr>
          <w:p w14:paraId="02C9468B">
            <w:pPr>
              <w:widowControl/>
              <w:jc w:val="center"/>
              <w:rPr>
                <w:rFonts w:hint="eastAsia"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合计</w:t>
            </w:r>
          </w:p>
        </w:tc>
        <w:tc>
          <w:tcPr>
            <w:tcW w:w="691" w:type="dxa"/>
            <w:tcBorders>
              <w:top w:val="single" w:color="auto" w:sz="4" w:space="0"/>
              <w:left w:val="single" w:color="auto" w:sz="4" w:space="0"/>
              <w:bottom w:val="single" w:color="auto" w:sz="4" w:space="0"/>
              <w:right w:val="single" w:color="auto" w:sz="4" w:space="0"/>
            </w:tcBorders>
            <w:vAlign w:val="center"/>
          </w:tcPr>
          <w:p w14:paraId="4DECA6C3">
            <w:pPr>
              <w:widowControl/>
              <w:jc w:val="center"/>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备注</w:t>
            </w:r>
          </w:p>
        </w:tc>
      </w:tr>
      <w:tr w14:paraId="4EEC9994">
        <w:trPr>
          <w:trHeight w:val="509" w:hRule="atLeast"/>
        </w:trPr>
        <w:tc>
          <w:tcPr>
            <w:tcW w:w="1018" w:type="dxa"/>
            <w:tcBorders>
              <w:top w:val="single" w:color="auto" w:sz="4" w:space="0"/>
              <w:left w:val="single" w:color="auto" w:sz="4" w:space="0"/>
              <w:bottom w:val="single" w:color="auto" w:sz="4" w:space="0"/>
              <w:right w:val="single" w:color="auto" w:sz="4" w:space="0"/>
            </w:tcBorders>
          </w:tcPr>
          <w:p w14:paraId="0E175C80">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c>
          <w:tcPr>
            <w:tcW w:w="787" w:type="dxa"/>
            <w:tcBorders>
              <w:top w:val="single" w:color="auto" w:sz="4" w:space="0"/>
              <w:left w:val="nil"/>
              <w:bottom w:val="single" w:color="auto" w:sz="4" w:space="0"/>
              <w:right w:val="single" w:color="auto" w:sz="4" w:space="0"/>
            </w:tcBorders>
          </w:tcPr>
          <w:p w14:paraId="31BDD897">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c>
          <w:tcPr>
            <w:tcW w:w="902" w:type="dxa"/>
            <w:tcBorders>
              <w:top w:val="single" w:color="auto" w:sz="4" w:space="0"/>
              <w:left w:val="nil"/>
              <w:bottom w:val="single" w:color="auto" w:sz="4" w:space="0"/>
              <w:right w:val="single" w:color="auto" w:sz="4" w:space="0"/>
            </w:tcBorders>
          </w:tcPr>
          <w:p w14:paraId="18472D7A">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c>
          <w:tcPr>
            <w:tcW w:w="1585" w:type="dxa"/>
            <w:tcBorders>
              <w:top w:val="single" w:color="auto" w:sz="4" w:space="0"/>
              <w:left w:val="nil"/>
              <w:bottom w:val="single" w:color="auto" w:sz="4" w:space="0"/>
              <w:right w:val="single" w:color="auto" w:sz="4" w:space="0"/>
            </w:tcBorders>
          </w:tcPr>
          <w:p w14:paraId="7CEC361C">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c>
          <w:tcPr>
            <w:tcW w:w="1310" w:type="dxa"/>
            <w:tcBorders>
              <w:top w:val="single" w:color="auto" w:sz="4" w:space="0"/>
              <w:left w:val="nil"/>
              <w:bottom w:val="single" w:color="auto" w:sz="4" w:space="0"/>
              <w:right w:val="single" w:color="auto" w:sz="4" w:space="0"/>
            </w:tcBorders>
          </w:tcPr>
          <w:p w14:paraId="7B22EE66">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c>
          <w:tcPr>
            <w:tcW w:w="915" w:type="dxa"/>
            <w:tcBorders>
              <w:top w:val="single" w:color="auto" w:sz="4" w:space="0"/>
              <w:left w:val="nil"/>
              <w:bottom w:val="single" w:color="auto" w:sz="4" w:space="0"/>
              <w:right w:val="single" w:color="auto" w:sz="4" w:space="0"/>
            </w:tcBorders>
          </w:tcPr>
          <w:p w14:paraId="25033141">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c>
          <w:tcPr>
            <w:tcW w:w="933" w:type="dxa"/>
            <w:tcBorders>
              <w:top w:val="single" w:color="auto" w:sz="4" w:space="0"/>
              <w:left w:val="nil"/>
              <w:bottom w:val="single" w:color="auto" w:sz="4" w:space="0"/>
              <w:right w:val="single" w:color="auto" w:sz="4" w:space="0"/>
            </w:tcBorders>
          </w:tcPr>
          <w:p w14:paraId="3BF926EB">
            <w:pPr>
              <w:widowControl/>
              <w:spacing w:line="520" w:lineRule="atLeas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c>
          <w:tcPr>
            <w:tcW w:w="742" w:type="dxa"/>
            <w:tcBorders>
              <w:top w:val="single" w:color="auto" w:sz="4" w:space="0"/>
              <w:left w:val="nil"/>
              <w:bottom w:val="single" w:color="auto" w:sz="4" w:space="0"/>
              <w:right w:val="single" w:color="auto" w:sz="4" w:space="0"/>
            </w:tcBorders>
          </w:tcPr>
          <w:p w14:paraId="3275D84E">
            <w:pPr>
              <w:widowControl/>
              <w:spacing w:line="520" w:lineRule="atLeast"/>
              <w:rPr>
                <w:rFonts w:ascii="宋体" w:hAnsi="宋体" w:eastAsia="宋体" w:cs="Times New Roman"/>
                <w:color w:val="auto"/>
                <w:kern w:val="0"/>
                <w:sz w:val="24"/>
                <w:szCs w:val="24"/>
                <w:highlight w:val="none"/>
              </w:rPr>
            </w:pPr>
          </w:p>
        </w:tc>
        <w:tc>
          <w:tcPr>
            <w:tcW w:w="584" w:type="dxa"/>
            <w:tcBorders>
              <w:top w:val="single" w:color="auto" w:sz="4" w:space="0"/>
              <w:left w:val="nil"/>
              <w:bottom w:val="single" w:color="auto" w:sz="4" w:space="0"/>
              <w:right w:val="single" w:color="auto" w:sz="4" w:space="0"/>
            </w:tcBorders>
          </w:tcPr>
          <w:p w14:paraId="607FFBF1">
            <w:pPr>
              <w:widowControl/>
              <w:spacing w:line="520" w:lineRule="atLeast"/>
              <w:rPr>
                <w:rFonts w:ascii="宋体" w:hAnsi="宋体" w:eastAsia="宋体" w:cs="Times New Roman"/>
                <w:color w:val="auto"/>
                <w:kern w:val="0"/>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tcPr>
          <w:p w14:paraId="2E768CAB">
            <w:pPr>
              <w:widowControl/>
              <w:spacing w:line="520" w:lineRule="atLeast"/>
              <w:rPr>
                <w:rFonts w:ascii="宋体" w:hAnsi="宋体" w:eastAsia="宋体" w:cs="Times New Roman"/>
                <w:color w:val="auto"/>
                <w:kern w:val="0"/>
                <w:sz w:val="24"/>
                <w:szCs w:val="24"/>
                <w:highlight w:val="none"/>
              </w:rPr>
            </w:pPr>
          </w:p>
        </w:tc>
      </w:tr>
      <w:tr w14:paraId="2F5FB82B">
        <w:trPr>
          <w:trHeight w:val="509" w:hRule="atLeast"/>
        </w:trPr>
        <w:tc>
          <w:tcPr>
            <w:tcW w:w="1018" w:type="dxa"/>
            <w:tcBorders>
              <w:top w:val="single" w:color="auto" w:sz="4" w:space="0"/>
              <w:left w:val="single" w:color="auto" w:sz="4" w:space="0"/>
              <w:bottom w:val="single" w:color="auto" w:sz="4" w:space="0"/>
              <w:right w:val="single" w:color="auto" w:sz="4" w:space="0"/>
            </w:tcBorders>
          </w:tcPr>
          <w:p w14:paraId="4BDBB733">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c>
          <w:tcPr>
            <w:tcW w:w="787" w:type="dxa"/>
            <w:tcBorders>
              <w:top w:val="single" w:color="auto" w:sz="4" w:space="0"/>
              <w:left w:val="nil"/>
              <w:bottom w:val="single" w:color="auto" w:sz="4" w:space="0"/>
              <w:right w:val="single" w:color="auto" w:sz="4" w:space="0"/>
            </w:tcBorders>
          </w:tcPr>
          <w:p w14:paraId="58F563E6">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c>
          <w:tcPr>
            <w:tcW w:w="902" w:type="dxa"/>
            <w:tcBorders>
              <w:top w:val="single" w:color="auto" w:sz="4" w:space="0"/>
              <w:left w:val="nil"/>
              <w:bottom w:val="single" w:color="auto" w:sz="4" w:space="0"/>
              <w:right w:val="single" w:color="auto" w:sz="4" w:space="0"/>
            </w:tcBorders>
          </w:tcPr>
          <w:p w14:paraId="6EB08114">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c>
          <w:tcPr>
            <w:tcW w:w="1585" w:type="dxa"/>
            <w:tcBorders>
              <w:top w:val="single" w:color="auto" w:sz="4" w:space="0"/>
              <w:left w:val="nil"/>
              <w:bottom w:val="single" w:color="auto" w:sz="4" w:space="0"/>
              <w:right w:val="single" w:color="auto" w:sz="4" w:space="0"/>
            </w:tcBorders>
          </w:tcPr>
          <w:p w14:paraId="68D8FE4A">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c>
          <w:tcPr>
            <w:tcW w:w="1310" w:type="dxa"/>
            <w:tcBorders>
              <w:top w:val="single" w:color="auto" w:sz="4" w:space="0"/>
              <w:left w:val="nil"/>
              <w:bottom w:val="single" w:color="auto" w:sz="4" w:space="0"/>
              <w:right w:val="single" w:color="auto" w:sz="4" w:space="0"/>
            </w:tcBorders>
          </w:tcPr>
          <w:p w14:paraId="09C1C052">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c>
          <w:tcPr>
            <w:tcW w:w="915" w:type="dxa"/>
            <w:tcBorders>
              <w:top w:val="single" w:color="auto" w:sz="4" w:space="0"/>
              <w:left w:val="nil"/>
              <w:bottom w:val="single" w:color="auto" w:sz="4" w:space="0"/>
              <w:right w:val="single" w:color="auto" w:sz="4" w:space="0"/>
            </w:tcBorders>
          </w:tcPr>
          <w:p w14:paraId="2CF5924B">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c>
          <w:tcPr>
            <w:tcW w:w="933" w:type="dxa"/>
            <w:tcBorders>
              <w:top w:val="single" w:color="auto" w:sz="4" w:space="0"/>
              <w:left w:val="nil"/>
              <w:bottom w:val="single" w:color="auto" w:sz="4" w:space="0"/>
              <w:right w:val="single" w:color="auto" w:sz="4" w:space="0"/>
            </w:tcBorders>
          </w:tcPr>
          <w:p w14:paraId="456D23B0">
            <w:pPr>
              <w:widowControl/>
              <w:spacing w:line="520" w:lineRule="atLeas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c>
          <w:tcPr>
            <w:tcW w:w="742" w:type="dxa"/>
            <w:tcBorders>
              <w:top w:val="single" w:color="auto" w:sz="4" w:space="0"/>
              <w:left w:val="nil"/>
              <w:bottom w:val="single" w:color="auto" w:sz="4" w:space="0"/>
              <w:right w:val="single" w:color="auto" w:sz="4" w:space="0"/>
            </w:tcBorders>
          </w:tcPr>
          <w:p w14:paraId="6F3F4BCE">
            <w:pPr>
              <w:widowControl/>
              <w:spacing w:line="520" w:lineRule="atLeast"/>
              <w:rPr>
                <w:rFonts w:ascii="宋体" w:hAnsi="宋体" w:eastAsia="宋体" w:cs="Times New Roman"/>
                <w:color w:val="auto"/>
                <w:kern w:val="0"/>
                <w:sz w:val="24"/>
                <w:szCs w:val="24"/>
                <w:highlight w:val="none"/>
              </w:rPr>
            </w:pPr>
          </w:p>
        </w:tc>
        <w:tc>
          <w:tcPr>
            <w:tcW w:w="584" w:type="dxa"/>
            <w:tcBorders>
              <w:top w:val="single" w:color="auto" w:sz="4" w:space="0"/>
              <w:left w:val="nil"/>
              <w:bottom w:val="single" w:color="auto" w:sz="4" w:space="0"/>
              <w:right w:val="single" w:color="auto" w:sz="4" w:space="0"/>
            </w:tcBorders>
          </w:tcPr>
          <w:p w14:paraId="5580F332">
            <w:pPr>
              <w:widowControl/>
              <w:spacing w:line="520" w:lineRule="atLeast"/>
              <w:rPr>
                <w:rFonts w:ascii="宋体" w:hAnsi="宋体" w:eastAsia="宋体" w:cs="Times New Roman"/>
                <w:color w:val="auto"/>
                <w:kern w:val="0"/>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tcPr>
          <w:p w14:paraId="309058DA">
            <w:pPr>
              <w:widowControl/>
              <w:spacing w:line="520" w:lineRule="atLeast"/>
              <w:rPr>
                <w:rFonts w:ascii="宋体" w:hAnsi="宋体" w:eastAsia="宋体" w:cs="Times New Roman"/>
                <w:color w:val="auto"/>
                <w:kern w:val="0"/>
                <w:sz w:val="24"/>
                <w:szCs w:val="24"/>
                <w:highlight w:val="none"/>
              </w:rPr>
            </w:pPr>
          </w:p>
        </w:tc>
      </w:tr>
      <w:tr w14:paraId="367FCBC1">
        <w:trPr>
          <w:trHeight w:val="509" w:hRule="atLeast"/>
        </w:trPr>
        <w:tc>
          <w:tcPr>
            <w:tcW w:w="1018" w:type="dxa"/>
            <w:tcBorders>
              <w:top w:val="single" w:color="auto" w:sz="4" w:space="0"/>
              <w:left w:val="single" w:color="auto" w:sz="4" w:space="0"/>
              <w:bottom w:val="single" w:color="auto" w:sz="4" w:space="0"/>
              <w:right w:val="single" w:color="auto" w:sz="4" w:space="0"/>
            </w:tcBorders>
          </w:tcPr>
          <w:p w14:paraId="6B115587">
            <w:pPr>
              <w:widowControl/>
              <w:spacing w:line="520" w:lineRule="atLeast"/>
              <w:rPr>
                <w:rFonts w:hint="eastAsia" w:ascii="宋体" w:hAnsi="宋体" w:eastAsia="宋体" w:cs="Times New Roman"/>
                <w:color w:val="auto"/>
                <w:kern w:val="0"/>
                <w:sz w:val="24"/>
                <w:szCs w:val="24"/>
                <w:highlight w:val="none"/>
              </w:rPr>
            </w:pPr>
          </w:p>
        </w:tc>
        <w:tc>
          <w:tcPr>
            <w:tcW w:w="787" w:type="dxa"/>
            <w:tcBorders>
              <w:top w:val="single" w:color="auto" w:sz="4" w:space="0"/>
              <w:left w:val="nil"/>
              <w:bottom w:val="single" w:color="auto" w:sz="4" w:space="0"/>
              <w:right w:val="single" w:color="auto" w:sz="4" w:space="0"/>
            </w:tcBorders>
          </w:tcPr>
          <w:p w14:paraId="21B5CD1B">
            <w:pPr>
              <w:widowControl/>
              <w:spacing w:line="520" w:lineRule="atLeast"/>
              <w:rPr>
                <w:rFonts w:hint="eastAsia" w:ascii="宋体" w:hAnsi="宋体" w:eastAsia="宋体" w:cs="Times New Roman"/>
                <w:color w:val="auto"/>
                <w:kern w:val="0"/>
                <w:sz w:val="24"/>
                <w:szCs w:val="24"/>
                <w:highlight w:val="none"/>
              </w:rPr>
            </w:pPr>
          </w:p>
        </w:tc>
        <w:tc>
          <w:tcPr>
            <w:tcW w:w="902" w:type="dxa"/>
            <w:tcBorders>
              <w:top w:val="single" w:color="auto" w:sz="4" w:space="0"/>
              <w:left w:val="nil"/>
              <w:bottom w:val="single" w:color="auto" w:sz="4" w:space="0"/>
              <w:right w:val="single" w:color="auto" w:sz="4" w:space="0"/>
            </w:tcBorders>
          </w:tcPr>
          <w:p w14:paraId="12535A1B">
            <w:pPr>
              <w:widowControl/>
              <w:spacing w:line="520" w:lineRule="atLeast"/>
              <w:rPr>
                <w:rFonts w:hint="eastAsia" w:ascii="宋体" w:hAnsi="宋体" w:eastAsia="宋体" w:cs="Times New Roman"/>
                <w:color w:val="auto"/>
                <w:kern w:val="0"/>
                <w:sz w:val="24"/>
                <w:szCs w:val="24"/>
                <w:highlight w:val="none"/>
              </w:rPr>
            </w:pPr>
          </w:p>
        </w:tc>
        <w:tc>
          <w:tcPr>
            <w:tcW w:w="1585" w:type="dxa"/>
            <w:tcBorders>
              <w:top w:val="single" w:color="auto" w:sz="4" w:space="0"/>
              <w:left w:val="nil"/>
              <w:bottom w:val="single" w:color="auto" w:sz="4" w:space="0"/>
              <w:right w:val="single" w:color="auto" w:sz="4" w:space="0"/>
            </w:tcBorders>
          </w:tcPr>
          <w:p w14:paraId="68C007D2">
            <w:pPr>
              <w:widowControl/>
              <w:spacing w:line="520" w:lineRule="atLeast"/>
              <w:rPr>
                <w:rFonts w:hint="eastAsia" w:ascii="宋体" w:hAnsi="宋体" w:eastAsia="宋体" w:cs="Times New Roman"/>
                <w:color w:val="auto"/>
                <w:kern w:val="0"/>
                <w:sz w:val="24"/>
                <w:szCs w:val="24"/>
                <w:highlight w:val="none"/>
              </w:rPr>
            </w:pPr>
          </w:p>
        </w:tc>
        <w:tc>
          <w:tcPr>
            <w:tcW w:w="1310" w:type="dxa"/>
            <w:tcBorders>
              <w:top w:val="single" w:color="auto" w:sz="4" w:space="0"/>
              <w:left w:val="nil"/>
              <w:bottom w:val="single" w:color="auto" w:sz="4" w:space="0"/>
              <w:right w:val="single" w:color="auto" w:sz="4" w:space="0"/>
            </w:tcBorders>
          </w:tcPr>
          <w:p w14:paraId="5FD40FCA">
            <w:pPr>
              <w:widowControl/>
              <w:spacing w:line="520" w:lineRule="atLeast"/>
              <w:rPr>
                <w:rFonts w:hint="eastAsia" w:ascii="宋体" w:hAnsi="宋体" w:eastAsia="宋体" w:cs="Times New Roman"/>
                <w:color w:val="auto"/>
                <w:kern w:val="0"/>
                <w:sz w:val="24"/>
                <w:szCs w:val="24"/>
                <w:highlight w:val="none"/>
              </w:rPr>
            </w:pPr>
          </w:p>
        </w:tc>
        <w:tc>
          <w:tcPr>
            <w:tcW w:w="915" w:type="dxa"/>
            <w:tcBorders>
              <w:top w:val="single" w:color="auto" w:sz="4" w:space="0"/>
              <w:left w:val="nil"/>
              <w:bottom w:val="single" w:color="auto" w:sz="4" w:space="0"/>
              <w:right w:val="single" w:color="auto" w:sz="4" w:space="0"/>
            </w:tcBorders>
          </w:tcPr>
          <w:p w14:paraId="326F83A1">
            <w:pPr>
              <w:widowControl/>
              <w:spacing w:line="520" w:lineRule="atLeast"/>
              <w:rPr>
                <w:rFonts w:hint="eastAsia" w:ascii="宋体" w:hAnsi="宋体" w:eastAsia="宋体" w:cs="Times New Roman"/>
                <w:color w:val="auto"/>
                <w:kern w:val="0"/>
                <w:sz w:val="24"/>
                <w:szCs w:val="24"/>
                <w:highlight w:val="none"/>
              </w:rPr>
            </w:pPr>
          </w:p>
        </w:tc>
        <w:tc>
          <w:tcPr>
            <w:tcW w:w="933" w:type="dxa"/>
            <w:tcBorders>
              <w:top w:val="single" w:color="auto" w:sz="4" w:space="0"/>
              <w:left w:val="nil"/>
              <w:bottom w:val="single" w:color="auto" w:sz="4" w:space="0"/>
              <w:right w:val="single" w:color="auto" w:sz="4" w:space="0"/>
            </w:tcBorders>
          </w:tcPr>
          <w:p w14:paraId="1AB38EA6">
            <w:pPr>
              <w:widowControl/>
              <w:spacing w:line="520" w:lineRule="atLeast"/>
              <w:rPr>
                <w:rFonts w:ascii="宋体" w:hAnsi="宋体" w:eastAsia="宋体" w:cs="Times New Roman"/>
                <w:color w:val="auto"/>
                <w:kern w:val="0"/>
                <w:sz w:val="24"/>
                <w:szCs w:val="24"/>
                <w:highlight w:val="none"/>
              </w:rPr>
            </w:pPr>
          </w:p>
        </w:tc>
        <w:tc>
          <w:tcPr>
            <w:tcW w:w="742" w:type="dxa"/>
            <w:tcBorders>
              <w:top w:val="single" w:color="auto" w:sz="4" w:space="0"/>
              <w:left w:val="nil"/>
              <w:bottom w:val="single" w:color="auto" w:sz="4" w:space="0"/>
              <w:right w:val="single" w:color="auto" w:sz="4" w:space="0"/>
            </w:tcBorders>
          </w:tcPr>
          <w:p w14:paraId="0B909E85">
            <w:pPr>
              <w:widowControl/>
              <w:spacing w:line="520" w:lineRule="atLeast"/>
              <w:rPr>
                <w:rFonts w:ascii="宋体" w:hAnsi="宋体" w:eastAsia="宋体" w:cs="Times New Roman"/>
                <w:color w:val="auto"/>
                <w:kern w:val="0"/>
                <w:sz w:val="24"/>
                <w:szCs w:val="24"/>
                <w:highlight w:val="none"/>
              </w:rPr>
            </w:pPr>
          </w:p>
        </w:tc>
        <w:tc>
          <w:tcPr>
            <w:tcW w:w="584" w:type="dxa"/>
            <w:tcBorders>
              <w:top w:val="single" w:color="auto" w:sz="4" w:space="0"/>
              <w:left w:val="nil"/>
              <w:bottom w:val="single" w:color="auto" w:sz="4" w:space="0"/>
              <w:right w:val="single" w:color="auto" w:sz="4" w:space="0"/>
            </w:tcBorders>
          </w:tcPr>
          <w:p w14:paraId="1C74708D">
            <w:pPr>
              <w:widowControl/>
              <w:spacing w:line="520" w:lineRule="atLeast"/>
              <w:rPr>
                <w:rFonts w:ascii="宋体" w:hAnsi="宋体" w:eastAsia="宋体" w:cs="Times New Roman"/>
                <w:color w:val="auto"/>
                <w:kern w:val="0"/>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tcPr>
          <w:p w14:paraId="5E99428D">
            <w:pPr>
              <w:widowControl/>
              <w:spacing w:line="520" w:lineRule="atLeast"/>
              <w:rPr>
                <w:rFonts w:ascii="宋体" w:hAnsi="宋体" w:eastAsia="宋体" w:cs="Times New Roman"/>
                <w:color w:val="auto"/>
                <w:kern w:val="0"/>
                <w:sz w:val="24"/>
                <w:szCs w:val="24"/>
                <w:highlight w:val="none"/>
              </w:rPr>
            </w:pPr>
          </w:p>
        </w:tc>
      </w:tr>
      <w:tr w14:paraId="3F5623D3">
        <w:trPr>
          <w:trHeight w:val="578" w:hRule="atLeast"/>
        </w:trPr>
        <w:tc>
          <w:tcPr>
            <w:tcW w:w="9467" w:type="dxa"/>
            <w:gridSpan w:val="10"/>
            <w:tcBorders>
              <w:top w:val="single" w:color="auto" w:sz="4" w:space="0"/>
              <w:left w:val="single" w:color="auto" w:sz="4" w:space="0"/>
              <w:bottom w:val="single" w:color="auto" w:sz="4" w:space="0"/>
              <w:right w:val="single" w:color="auto" w:sz="4" w:space="0"/>
            </w:tcBorders>
          </w:tcPr>
          <w:p w14:paraId="08FEB7C5">
            <w:pPr>
              <w:widowControl/>
              <w:spacing w:line="520" w:lineRule="atLeas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投标总价(大写)： ￥</w:t>
            </w:r>
          </w:p>
        </w:tc>
      </w:tr>
    </w:tbl>
    <w:p w14:paraId="12DD357D">
      <w:pPr>
        <w:widowControl/>
        <w:spacing w:line="520" w:lineRule="atLeast"/>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注: </w:t>
      </w:r>
    </w:p>
    <w:p w14:paraId="3D3BD944">
      <w:pPr>
        <w:widowControl/>
        <w:spacing w:line="520" w:lineRule="atLeast"/>
        <w:ind w:firstLine="84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lang w:val="en-US" w:eastAsia="zh-CN"/>
        </w:rPr>
        <w:t>1</w:t>
      </w:r>
      <w:r>
        <w:rPr>
          <w:rFonts w:hint="eastAsia" w:ascii="宋体" w:hAnsi="宋体" w:eastAsia="宋体" w:cs="Times New Roman"/>
          <w:color w:val="auto"/>
          <w:kern w:val="0"/>
          <w:sz w:val="24"/>
          <w:szCs w:val="24"/>
          <w:highlight w:val="none"/>
        </w:rPr>
        <w:t>、投标费用包括项目实施所需的人工费、服务费、运输费、安装调试费、设备价、备品备件价、检验费、包装费、装卸费、税金（含关税、增值税）、检测验收费、培训费等各项费用其他一切费用。</w:t>
      </w:r>
    </w:p>
    <w:p w14:paraId="14E7431B">
      <w:pPr>
        <w:widowControl/>
        <w:spacing w:line="520" w:lineRule="atLeast"/>
        <w:ind w:firstLine="840"/>
        <w:rPr>
          <w:rFonts w:hint="eastAsia"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lang w:val="en-US" w:eastAsia="zh-CN"/>
        </w:rPr>
        <w:t>2</w:t>
      </w:r>
      <w:r>
        <w:rPr>
          <w:rFonts w:hint="eastAsia" w:ascii="宋体" w:hAnsi="宋体" w:eastAsia="宋体" w:cs="Times New Roman"/>
          <w:color w:val="auto"/>
          <w:kern w:val="0"/>
          <w:sz w:val="24"/>
          <w:szCs w:val="24"/>
          <w:highlight w:val="none"/>
        </w:rPr>
        <w:t>、</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按格式填列，不得自行更改。否则引起的不利后果由</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承担。</w:t>
      </w:r>
    </w:p>
    <w:p w14:paraId="44F976CC">
      <w:pPr>
        <w:widowControl/>
        <w:spacing w:line="480" w:lineRule="atLeast"/>
        <w:ind w:firstLine="120"/>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注：此表格若不够用，可根据实际自行扩展表格。</w:t>
      </w:r>
    </w:p>
    <w:p w14:paraId="673B1E2F">
      <w:pPr>
        <w:pStyle w:val="20"/>
        <w:rPr>
          <w:color w:val="auto"/>
          <w:highlight w:val="none"/>
        </w:rPr>
      </w:pPr>
    </w:p>
    <w:p w14:paraId="77B5CD1A">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法定代表人： （电子签章）</w:t>
      </w:r>
    </w:p>
    <w:p w14:paraId="22965B48">
      <w:pPr>
        <w:widowControl/>
        <w:spacing w:line="520" w:lineRule="atLeast"/>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 xml:space="preserve">：（盖单位公章）   </w:t>
      </w:r>
    </w:p>
    <w:p w14:paraId="58DC4EC4">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年 月  日</w:t>
      </w:r>
    </w:p>
    <w:p w14:paraId="51326BC2">
      <w:pPr>
        <w:widowControl/>
        <w:jc w:val="left"/>
        <w:rPr>
          <w:rFonts w:ascii="Times New Roman" w:hAnsi="Times New Roman" w:eastAsia="宋体" w:cs="Times New Roman"/>
          <w:b/>
          <w:bCs/>
          <w:color w:val="auto"/>
          <w:kern w:val="0"/>
          <w:sz w:val="24"/>
          <w:szCs w:val="24"/>
          <w:highlight w:val="none"/>
        </w:rPr>
      </w:pPr>
      <w:r>
        <w:rPr>
          <w:rFonts w:ascii="Times New Roman" w:hAnsi="Times New Roman" w:eastAsia="宋体" w:cs="Times New Roman"/>
          <w:b/>
          <w:bCs/>
          <w:color w:val="auto"/>
          <w:kern w:val="0"/>
          <w:sz w:val="24"/>
          <w:szCs w:val="24"/>
          <w:highlight w:val="none"/>
        </w:rPr>
        <w:br w:type="page"/>
      </w:r>
    </w:p>
    <w:p w14:paraId="7D367DDF">
      <w:pPr>
        <w:widowControl/>
        <w:spacing w:line="520" w:lineRule="atLeast"/>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lang w:val="en-US" w:eastAsia="zh-CN"/>
        </w:rPr>
        <w:t>五、</w:t>
      </w:r>
      <w:r>
        <w:rPr>
          <w:rFonts w:hint="eastAsia" w:ascii="宋体" w:hAnsi="宋体" w:eastAsia="宋体" w:cs="Times New Roman"/>
          <w:b/>
          <w:bCs/>
          <w:color w:val="auto"/>
          <w:kern w:val="0"/>
          <w:sz w:val="24"/>
          <w:szCs w:val="24"/>
          <w:highlight w:val="none"/>
        </w:rPr>
        <w:t xml:space="preserve">  技术参数偏离表</w:t>
      </w:r>
      <w:r>
        <w:rPr>
          <w:rFonts w:hint="eastAsia" w:ascii="宋体" w:hAnsi="宋体" w:eastAsia="宋体" w:cs="Times New Roman"/>
          <w:color w:val="auto"/>
          <w:kern w:val="0"/>
          <w:sz w:val="24"/>
          <w:szCs w:val="24"/>
          <w:highlight w:val="none"/>
        </w:rPr>
        <w:t>（格式）</w:t>
      </w:r>
    </w:p>
    <w:p w14:paraId="21F391C9">
      <w:pPr>
        <w:widowControl/>
        <w:spacing w:line="520" w:lineRule="atLeast"/>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lang w:eastAsia="zh-CN"/>
        </w:rPr>
        <w:t>投标供应商</w:t>
      </w:r>
      <w:r>
        <w:rPr>
          <w:rFonts w:hint="eastAsia" w:ascii="Times New Roman" w:hAnsi="Times New Roman" w:eastAsia="宋体" w:cs="Times New Roman"/>
          <w:color w:val="auto"/>
          <w:kern w:val="0"/>
          <w:sz w:val="24"/>
          <w:szCs w:val="24"/>
          <w:highlight w:val="none"/>
        </w:rPr>
        <w:t>名称：</w:t>
      </w:r>
    </w:p>
    <w:p w14:paraId="3416702D">
      <w:pPr>
        <w:widowControl/>
        <w:spacing w:line="520" w:lineRule="atLeast"/>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项目编号：</w:t>
      </w:r>
    </w:p>
    <w:tbl>
      <w:tblPr>
        <w:tblStyle w:val="14"/>
        <w:tblW w:w="9288" w:type="dxa"/>
        <w:tblInd w:w="0" w:type="dxa"/>
        <w:tblLayout w:type="fixed"/>
        <w:tblCellMar>
          <w:top w:w="0" w:type="dxa"/>
          <w:left w:w="108" w:type="dxa"/>
          <w:bottom w:w="0" w:type="dxa"/>
          <w:right w:w="108" w:type="dxa"/>
        </w:tblCellMar>
      </w:tblPr>
      <w:tblGrid>
        <w:gridCol w:w="810"/>
        <w:gridCol w:w="1275"/>
        <w:gridCol w:w="2086"/>
        <w:gridCol w:w="1891"/>
        <w:gridCol w:w="1981"/>
        <w:gridCol w:w="1245"/>
      </w:tblGrid>
      <w:tr w14:paraId="53A48DDB">
        <w:trPr>
          <w:trHeight w:val="975" w:hRule="atLeast"/>
        </w:trPr>
        <w:tc>
          <w:tcPr>
            <w:tcW w:w="810" w:type="dxa"/>
            <w:tcBorders>
              <w:top w:val="single" w:color="auto" w:sz="4" w:space="0"/>
              <w:left w:val="single" w:color="auto" w:sz="4" w:space="0"/>
              <w:bottom w:val="single" w:color="auto" w:sz="4" w:space="0"/>
              <w:right w:val="single" w:color="auto" w:sz="4" w:space="0"/>
            </w:tcBorders>
          </w:tcPr>
          <w:p w14:paraId="03C95A52">
            <w:pPr>
              <w:widowControl/>
              <w:spacing w:line="480" w:lineRule="atLeast"/>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序号</w:t>
            </w:r>
          </w:p>
        </w:tc>
        <w:tc>
          <w:tcPr>
            <w:tcW w:w="1275" w:type="dxa"/>
            <w:tcBorders>
              <w:top w:val="single" w:color="auto" w:sz="4" w:space="0"/>
              <w:left w:val="nil"/>
              <w:bottom w:val="single" w:color="auto" w:sz="4" w:space="0"/>
              <w:right w:val="single" w:color="auto" w:sz="4" w:space="0"/>
            </w:tcBorders>
          </w:tcPr>
          <w:p w14:paraId="62611603">
            <w:pPr>
              <w:widowControl/>
              <w:spacing w:line="480" w:lineRule="atLeast"/>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lang w:val="en-US" w:eastAsia="zh-CN"/>
              </w:rPr>
              <w:t>设备</w:t>
            </w:r>
            <w:r>
              <w:rPr>
                <w:rFonts w:hint="eastAsia" w:ascii="Times New Roman" w:hAnsi="Times New Roman" w:eastAsia="宋体" w:cs="Times New Roman"/>
                <w:color w:val="auto"/>
                <w:kern w:val="0"/>
                <w:sz w:val="24"/>
                <w:szCs w:val="24"/>
                <w:highlight w:val="none"/>
              </w:rPr>
              <w:t>名称</w:t>
            </w:r>
          </w:p>
        </w:tc>
        <w:tc>
          <w:tcPr>
            <w:tcW w:w="2085" w:type="dxa"/>
            <w:tcBorders>
              <w:top w:val="single" w:color="auto" w:sz="4" w:space="0"/>
              <w:left w:val="nil"/>
              <w:bottom w:val="single" w:color="auto" w:sz="4" w:space="0"/>
              <w:right w:val="single" w:color="auto" w:sz="4" w:space="0"/>
            </w:tcBorders>
          </w:tcPr>
          <w:p w14:paraId="75F0FE20">
            <w:pPr>
              <w:widowControl/>
              <w:spacing w:line="480" w:lineRule="atLeast"/>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招标技术参数要求</w:t>
            </w:r>
          </w:p>
        </w:tc>
        <w:tc>
          <w:tcPr>
            <w:tcW w:w="1890" w:type="dxa"/>
            <w:tcBorders>
              <w:top w:val="single" w:color="auto" w:sz="4" w:space="0"/>
              <w:left w:val="nil"/>
              <w:bottom w:val="single" w:color="auto" w:sz="4" w:space="0"/>
              <w:right w:val="single" w:color="auto" w:sz="4" w:space="0"/>
            </w:tcBorders>
          </w:tcPr>
          <w:p w14:paraId="24E4BA63">
            <w:pPr>
              <w:widowControl/>
              <w:spacing w:line="480" w:lineRule="atLeast"/>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投标品牌和型号</w:t>
            </w:r>
          </w:p>
        </w:tc>
        <w:tc>
          <w:tcPr>
            <w:tcW w:w="1980" w:type="dxa"/>
            <w:tcBorders>
              <w:top w:val="single" w:color="auto" w:sz="4" w:space="0"/>
              <w:left w:val="nil"/>
              <w:bottom w:val="single" w:color="auto" w:sz="4" w:space="0"/>
              <w:right w:val="single" w:color="auto" w:sz="4" w:space="0"/>
            </w:tcBorders>
          </w:tcPr>
          <w:p w14:paraId="5068C9C3">
            <w:pPr>
              <w:widowControl/>
              <w:spacing w:line="480" w:lineRule="atLeast"/>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投标产品技术参数</w:t>
            </w:r>
          </w:p>
        </w:tc>
        <w:tc>
          <w:tcPr>
            <w:tcW w:w="1245" w:type="dxa"/>
            <w:tcBorders>
              <w:top w:val="single" w:color="auto" w:sz="4" w:space="0"/>
              <w:left w:val="nil"/>
              <w:bottom w:val="single" w:color="auto" w:sz="4" w:space="0"/>
              <w:right w:val="single" w:color="auto" w:sz="4" w:space="0"/>
            </w:tcBorders>
          </w:tcPr>
          <w:p w14:paraId="0986184A">
            <w:pPr>
              <w:widowControl/>
              <w:spacing w:line="480" w:lineRule="atLeast"/>
              <w:jc w:val="center"/>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偏离说明</w:t>
            </w:r>
          </w:p>
        </w:tc>
      </w:tr>
      <w:tr w14:paraId="78C07171">
        <w:trPr>
          <w:trHeight w:val="495" w:hRule="atLeast"/>
        </w:trPr>
        <w:tc>
          <w:tcPr>
            <w:tcW w:w="810" w:type="dxa"/>
            <w:tcBorders>
              <w:top w:val="single" w:color="auto" w:sz="4" w:space="0"/>
              <w:left w:val="single" w:color="auto" w:sz="4" w:space="0"/>
              <w:bottom w:val="single" w:color="auto" w:sz="4" w:space="0"/>
              <w:right w:val="single" w:color="auto" w:sz="4" w:space="0"/>
            </w:tcBorders>
          </w:tcPr>
          <w:p w14:paraId="1C5A2523">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1275" w:type="dxa"/>
            <w:tcBorders>
              <w:top w:val="single" w:color="auto" w:sz="4" w:space="0"/>
              <w:left w:val="nil"/>
              <w:bottom w:val="single" w:color="auto" w:sz="4" w:space="0"/>
              <w:right w:val="single" w:color="auto" w:sz="4" w:space="0"/>
            </w:tcBorders>
          </w:tcPr>
          <w:p w14:paraId="69976E0E">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2085" w:type="dxa"/>
            <w:tcBorders>
              <w:top w:val="single" w:color="auto" w:sz="4" w:space="0"/>
              <w:left w:val="nil"/>
              <w:bottom w:val="single" w:color="auto" w:sz="4" w:space="0"/>
              <w:right w:val="single" w:color="auto" w:sz="4" w:space="0"/>
            </w:tcBorders>
          </w:tcPr>
          <w:p w14:paraId="692C6F5F">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1890" w:type="dxa"/>
            <w:tcBorders>
              <w:top w:val="single" w:color="auto" w:sz="4" w:space="0"/>
              <w:left w:val="nil"/>
              <w:bottom w:val="single" w:color="auto" w:sz="4" w:space="0"/>
              <w:right w:val="single" w:color="auto" w:sz="4" w:space="0"/>
            </w:tcBorders>
          </w:tcPr>
          <w:p w14:paraId="23341294">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1980" w:type="dxa"/>
            <w:tcBorders>
              <w:top w:val="single" w:color="auto" w:sz="4" w:space="0"/>
              <w:left w:val="nil"/>
              <w:bottom w:val="single" w:color="auto" w:sz="4" w:space="0"/>
              <w:right w:val="single" w:color="auto" w:sz="4" w:space="0"/>
            </w:tcBorders>
          </w:tcPr>
          <w:p w14:paraId="0912B24F">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1245" w:type="dxa"/>
            <w:tcBorders>
              <w:top w:val="single" w:color="auto" w:sz="4" w:space="0"/>
              <w:left w:val="nil"/>
              <w:bottom w:val="single" w:color="auto" w:sz="4" w:space="0"/>
              <w:right w:val="single" w:color="auto" w:sz="4" w:space="0"/>
            </w:tcBorders>
          </w:tcPr>
          <w:p w14:paraId="0459F2EF">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r>
      <w:tr w14:paraId="6D90EA8A">
        <w:trPr>
          <w:trHeight w:val="495" w:hRule="atLeast"/>
        </w:trPr>
        <w:tc>
          <w:tcPr>
            <w:tcW w:w="810" w:type="dxa"/>
            <w:tcBorders>
              <w:top w:val="single" w:color="auto" w:sz="4" w:space="0"/>
              <w:left w:val="single" w:color="auto" w:sz="4" w:space="0"/>
              <w:bottom w:val="single" w:color="auto" w:sz="4" w:space="0"/>
              <w:right w:val="single" w:color="auto" w:sz="4" w:space="0"/>
            </w:tcBorders>
          </w:tcPr>
          <w:p w14:paraId="04E91076">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1275" w:type="dxa"/>
            <w:tcBorders>
              <w:top w:val="single" w:color="auto" w:sz="4" w:space="0"/>
              <w:left w:val="nil"/>
              <w:bottom w:val="single" w:color="auto" w:sz="4" w:space="0"/>
              <w:right w:val="single" w:color="auto" w:sz="4" w:space="0"/>
            </w:tcBorders>
          </w:tcPr>
          <w:p w14:paraId="41E8AB24">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2085" w:type="dxa"/>
            <w:tcBorders>
              <w:top w:val="single" w:color="auto" w:sz="4" w:space="0"/>
              <w:left w:val="nil"/>
              <w:bottom w:val="single" w:color="auto" w:sz="4" w:space="0"/>
              <w:right w:val="single" w:color="auto" w:sz="4" w:space="0"/>
            </w:tcBorders>
          </w:tcPr>
          <w:p w14:paraId="5AFB0660">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1890" w:type="dxa"/>
            <w:tcBorders>
              <w:top w:val="single" w:color="auto" w:sz="4" w:space="0"/>
              <w:left w:val="nil"/>
              <w:bottom w:val="single" w:color="auto" w:sz="4" w:space="0"/>
              <w:right w:val="single" w:color="auto" w:sz="4" w:space="0"/>
            </w:tcBorders>
          </w:tcPr>
          <w:p w14:paraId="7A2FF4A2">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1980" w:type="dxa"/>
            <w:tcBorders>
              <w:top w:val="single" w:color="auto" w:sz="4" w:space="0"/>
              <w:left w:val="nil"/>
              <w:bottom w:val="single" w:color="auto" w:sz="4" w:space="0"/>
              <w:right w:val="single" w:color="auto" w:sz="4" w:space="0"/>
            </w:tcBorders>
          </w:tcPr>
          <w:p w14:paraId="6FF4306B">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1245" w:type="dxa"/>
            <w:tcBorders>
              <w:top w:val="single" w:color="auto" w:sz="4" w:space="0"/>
              <w:left w:val="nil"/>
              <w:bottom w:val="single" w:color="auto" w:sz="4" w:space="0"/>
              <w:right w:val="single" w:color="auto" w:sz="4" w:space="0"/>
            </w:tcBorders>
          </w:tcPr>
          <w:p w14:paraId="5F051273">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r>
      <w:tr w14:paraId="04F4B73A">
        <w:trPr>
          <w:trHeight w:val="495" w:hRule="atLeast"/>
        </w:trPr>
        <w:tc>
          <w:tcPr>
            <w:tcW w:w="810" w:type="dxa"/>
            <w:tcBorders>
              <w:top w:val="single" w:color="auto" w:sz="4" w:space="0"/>
              <w:left w:val="single" w:color="auto" w:sz="4" w:space="0"/>
              <w:bottom w:val="single" w:color="auto" w:sz="4" w:space="0"/>
              <w:right w:val="single" w:color="auto" w:sz="4" w:space="0"/>
            </w:tcBorders>
          </w:tcPr>
          <w:p w14:paraId="008CD1FB">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1275" w:type="dxa"/>
            <w:tcBorders>
              <w:top w:val="single" w:color="auto" w:sz="4" w:space="0"/>
              <w:left w:val="nil"/>
              <w:bottom w:val="single" w:color="auto" w:sz="4" w:space="0"/>
              <w:right w:val="single" w:color="auto" w:sz="4" w:space="0"/>
            </w:tcBorders>
          </w:tcPr>
          <w:p w14:paraId="27D55349">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2085" w:type="dxa"/>
            <w:tcBorders>
              <w:top w:val="single" w:color="auto" w:sz="4" w:space="0"/>
              <w:left w:val="nil"/>
              <w:bottom w:val="single" w:color="auto" w:sz="4" w:space="0"/>
              <w:right w:val="single" w:color="auto" w:sz="4" w:space="0"/>
            </w:tcBorders>
          </w:tcPr>
          <w:p w14:paraId="10D2035D">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1890" w:type="dxa"/>
            <w:tcBorders>
              <w:top w:val="single" w:color="auto" w:sz="4" w:space="0"/>
              <w:left w:val="nil"/>
              <w:bottom w:val="single" w:color="auto" w:sz="4" w:space="0"/>
              <w:right w:val="single" w:color="auto" w:sz="4" w:space="0"/>
            </w:tcBorders>
          </w:tcPr>
          <w:p w14:paraId="4E8A5148">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1980" w:type="dxa"/>
            <w:tcBorders>
              <w:top w:val="single" w:color="auto" w:sz="4" w:space="0"/>
              <w:left w:val="nil"/>
              <w:bottom w:val="single" w:color="auto" w:sz="4" w:space="0"/>
              <w:right w:val="single" w:color="auto" w:sz="4" w:space="0"/>
            </w:tcBorders>
          </w:tcPr>
          <w:p w14:paraId="61E95529">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1245" w:type="dxa"/>
            <w:tcBorders>
              <w:top w:val="single" w:color="auto" w:sz="4" w:space="0"/>
              <w:left w:val="nil"/>
              <w:bottom w:val="single" w:color="auto" w:sz="4" w:space="0"/>
              <w:right w:val="single" w:color="auto" w:sz="4" w:space="0"/>
            </w:tcBorders>
          </w:tcPr>
          <w:p w14:paraId="14A46925">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r>
      <w:tr w14:paraId="357458DB">
        <w:trPr>
          <w:trHeight w:val="495" w:hRule="atLeast"/>
        </w:trPr>
        <w:tc>
          <w:tcPr>
            <w:tcW w:w="810" w:type="dxa"/>
            <w:tcBorders>
              <w:top w:val="single" w:color="auto" w:sz="4" w:space="0"/>
              <w:left w:val="single" w:color="auto" w:sz="4" w:space="0"/>
              <w:bottom w:val="single" w:color="auto" w:sz="4" w:space="0"/>
              <w:right w:val="single" w:color="auto" w:sz="4" w:space="0"/>
            </w:tcBorders>
          </w:tcPr>
          <w:p w14:paraId="161F78FC">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1275" w:type="dxa"/>
            <w:tcBorders>
              <w:top w:val="single" w:color="auto" w:sz="4" w:space="0"/>
              <w:left w:val="nil"/>
              <w:bottom w:val="single" w:color="auto" w:sz="4" w:space="0"/>
              <w:right w:val="single" w:color="auto" w:sz="4" w:space="0"/>
            </w:tcBorders>
          </w:tcPr>
          <w:p w14:paraId="39AE3297">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2085" w:type="dxa"/>
            <w:tcBorders>
              <w:top w:val="single" w:color="auto" w:sz="4" w:space="0"/>
              <w:left w:val="nil"/>
              <w:bottom w:val="single" w:color="auto" w:sz="4" w:space="0"/>
              <w:right w:val="single" w:color="auto" w:sz="4" w:space="0"/>
            </w:tcBorders>
          </w:tcPr>
          <w:p w14:paraId="4C5E300F">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1890" w:type="dxa"/>
            <w:tcBorders>
              <w:top w:val="single" w:color="auto" w:sz="4" w:space="0"/>
              <w:left w:val="nil"/>
              <w:bottom w:val="single" w:color="auto" w:sz="4" w:space="0"/>
              <w:right w:val="single" w:color="auto" w:sz="4" w:space="0"/>
            </w:tcBorders>
          </w:tcPr>
          <w:p w14:paraId="619D80DE">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1980" w:type="dxa"/>
            <w:tcBorders>
              <w:top w:val="single" w:color="auto" w:sz="4" w:space="0"/>
              <w:left w:val="nil"/>
              <w:bottom w:val="single" w:color="auto" w:sz="4" w:space="0"/>
              <w:right w:val="single" w:color="auto" w:sz="4" w:space="0"/>
            </w:tcBorders>
          </w:tcPr>
          <w:p w14:paraId="5DE3F4CD">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1245" w:type="dxa"/>
            <w:tcBorders>
              <w:top w:val="single" w:color="auto" w:sz="4" w:space="0"/>
              <w:left w:val="nil"/>
              <w:bottom w:val="single" w:color="auto" w:sz="4" w:space="0"/>
              <w:right w:val="single" w:color="auto" w:sz="4" w:space="0"/>
            </w:tcBorders>
          </w:tcPr>
          <w:p w14:paraId="72D93F19">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r>
      <w:tr w14:paraId="2A7DBD04">
        <w:trPr>
          <w:trHeight w:val="495" w:hRule="atLeast"/>
        </w:trPr>
        <w:tc>
          <w:tcPr>
            <w:tcW w:w="810" w:type="dxa"/>
            <w:tcBorders>
              <w:top w:val="single" w:color="auto" w:sz="4" w:space="0"/>
              <w:left w:val="single" w:color="auto" w:sz="4" w:space="0"/>
              <w:bottom w:val="single" w:color="auto" w:sz="4" w:space="0"/>
              <w:right w:val="single" w:color="auto" w:sz="4" w:space="0"/>
            </w:tcBorders>
          </w:tcPr>
          <w:p w14:paraId="6BDED3A7">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1275" w:type="dxa"/>
            <w:tcBorders>
              <w:top w:val="single" w:color="auto" w:sz="4" w:space="0"/>
              <w:left w:val="nil"/>
              <w:bottom w:val="single" w:color="auto" w:sz="4" w:space="0"/>
              <w:right w:val="single" w:color="auto" w:sz="4" w:space="0"/>
            </w:tcBorders>
          </w:tcPr>
          <w:p w14:paraId="56911BA8">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2085" w:type="dxa"/>
            <w:tcBorders>
              <w:top w:val="single" w:color="auto" w:sz="4" w:space="0"/>
              <w:left w:val="nil"/>
              <w:bottom w:val="single" w:color="auto" w:sz="4" w:space="0"/>
              <w:right w:val="single" w:color="auto" w:sz="4" w:space="0"/>
            </w:tcBorders>
          </w:tcPr>
          <w:p w14:paraId="6CD03E8F">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1890" w:type="dxa"/>
            <w:tcBorders>
              <w:top w:val="single" w:color="auto" w:sz="4" w:space="0"/>
              <w:left w:val="nil"/>
              <w:bottom w:val="single" w:color="auto" w:sz="4" w:space="0"/>
              <w:right w:val="single" w:color="auto" w:sz="4" w:space="0"/>
            </w:tcBorders>
          </w:tcPr>
          <w:p w14:paraId="698D009D">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1980" w:type="dxa"/>
            <w:tcBorders>
              <w:top w:val="single" w:color="auto" w:sz="4" w:space="0"/>
              <w:left w:val="nil"/>
              <w:bottom w:val="single" w:color="auto" w:sz="4" w:space="0"/>
              <w:right w:val="single" w:color="auto" w:sz="4" w:space="0"/>
            </w:tcBorders>
          </w:tcPr>
          <w:p w14:paraId="1CB0482B">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1245" w:type="dxa"/>
            <w:tcBorders>
              <w:top w:val="single" w:color="auto" w:sz="4" w:space="0"/>
              <w:left w:val="nil"/>
              <w:bottom w:val="single" w:color="auto" w:sz="4" w:space="0"/>
              <w:right w:val="single" w:color="auto" w:sz="4" w:space="0"/>
            </w:tcBorders>
          </w:tcPr>
          <w:p w14:paraId="1B198902">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r>
      <w:tr w14:paraId="2EDE8B41">
        <w:trPr>
          <w:trHeight w:val="495" w:hRule="atLeast"/>
        </w:trPr>
        <w:tc>
          <w:tcPr>
            <w:tcW w:w="810" w:type="dxa"/>
            <w:tcBorders>
              <w:top w:val="single" w:color="auto" w:sz="4" w:space="0"/>
              <w:left w:val="single" w:color="auto" w:sz="4" w:space="0"/>
              <w:bottom w:val="single" w:color="auto" w:sz="4" w:space="0"/>
              <w:right w:val="single" w:color="auto" w:sz="4" w:space="0"/>
            </w:tcBorders>
          </w:tcPr>
          <w:p w14:paraId="05EF2724">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1275" w:type="dxa"/>
            <w:tcBorders>
              <w:top w:val="single" w:color="auto" w:sz="4" w:space="0"/>
              <w:left w:val="nil"/>
              <w:bottom w:val="single" w:color="auto" w:sz="4" w:space="0"/>
              <w:right w:val="single" w:color="auto" w:sz="4" w:space="0"/>
            </w:tcBorders>
          </w:tcPr>
          <w:p w14:paraId="25E3ECB1">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2085" w:type="dxa"/>
            <w:tcBorders>
              <w:top w:val="single" w:color="auto" w:sz="4" w:space="0"/>
              <w:left w:val="nil"/>
              <w:bottom w:val="single" w:color="auto" w:sz="4" w:space="0"/>
              <w:right w:val="single" w:color="auto" w:sz="4" w:space="0"/>
            </w:tcBorders>
          </w:tcPr>
          <w:p w14:paraId="4E24C932">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1890" w:type="dxa"/>
            <w:tcBorders>
              <w:top w:val="single" w:color="auto" w:sz="4" w:space="0"/>
              <w:left w:val="nil"/>
              <w:bottom w:val="single" w:color="auto" w:sz="4" w:space="0"/>
              <w:right w:val="single" w:color="auto" w:sz="4" w:space="0"/>
            </w:tcBorders>
          </w:tcPr>
          <w:p w14:paraId="6A43074E">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1980" w:type="dxa"/>
            <w:tcBorders>
              <w:top w:val="single" w:color="auto" w:sz="4" w:space="0"/>
              <w:left w:val="nil"/>
              <w:bottom w:val="single" w:color="auto" w:sz="4" w:space="0"/>
              <w:right w:val="single" w:color="auto" w:sz="4" w:space="0"/>
            </w:tcBorders>
          </w:tcPr>
          <w:p w14:paraId="2E520FFB">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c>
          <w:tcPr>
            <w:tcW w:w="1245" w:type="dxa"/>
            <w:tcBorders>
              <w:top w:val="single" w:color="auto" w:sz="4" w:space="0"/>
              <w:left w:val="nil"/>
              <w:bottom w:val="single" w:color="auto" w:sz="4" w:space="0"/>
              <w:right w:val="single" w:color="auto" w:sz="4" w:space="0"/>
            </w:tcBorders>
          </w:tcPr>
          <w:p w14:paraId="6C19478E">
            <w:pPr>
              <w:widowControl/>
              <w:spacing w:line="480" w:lineRule="atLeast"/>
              <w:rPr>
                <w:rFonts w:ascii="Times New Roman" w:hAnsi="Times New Roman" w:eastAsia="宋体" w:cs="Times New Roman"/>
                <w:color w:val="auto"/>
                <w:kern w:val="0"/>
                <w:sz w:val="24"/>
                <w:szCs w:val="24"/>
                <w:highlight w:val="none"/>
              </w:rPr>
            </w:pPr>
            <w:r>
              <w:rPr>
                <w:rFonts w:ascii="Times New Roman" w:hAnsi="Times New Roman" w:eastAsia="宋体" w:cs="Times New Roman"/>
                <w:color w:val="auto"/>
                <w:kern w:val="0"/>
                <w:sz w:val="24"/>
                <w:szCs w:val="24"/>
                <w:highlight w:val="none"/>
              </w:rPr>
              <w:t> </w:t>
            </w:r>
          </w:p>
        </w:tc>
      </w:tr>
    </w:tbl>
    <w:p w14:paraId="4EE26B55">
      <w:pPr>
        <w:pStyle w:val="19"/>
        <w:rPr>
          <w:color w:val="auto"/>
          <w:highlight w:val="none"/>
        </w:rPr>
      </w:pPr>
    </w:p>
    <w:p w14:paraId="23022C84">
      <w:pPr>
        <w:widowControl/>
        <w:spacing w:line="480" w:lineRule="atLeast"/>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（注：</w:t>
      </w:r>
      <w:r>
        <w:rPr>
          <w:rFonts w:hint="eastAsia" w:ascii="Times New Roman" w:hAnsi="Times New Roman" w:eastAsia="宋体" w:cs="Times New Roman"/>
          <w:color w:val="auto"/>
          <w:kern w:val="0"/>
          <w:sz w:val="24"/>
          <w:szCs w:val="24"/>
          <w:highlight w:val="none"/>
          <w:lang w:eastAsia="zh-CN"/>
        </w:rPr>
        <w:t>投标供应商</w:t>
      </w:r>
      <w:r>
        <w:rPr>
          <w:rFonts w:hint="eastAsia" w:ascii="Times New Roman" w:hAnsi="Times New Roman" w:eastAsia="宋体" w:cs="Times New Roman"/>
          <w:color w:val="auto"/>
          <w:kern w:val="0"/>
          <w:sz w:val="24"/>
          <w:szCs w:val="24"/>
          <w:highlight w:val="none"/>
        </w:rPr>
        <w:t>应根据投标设备的技术参数对照招标文件要求对比偏离情况）</w:t>
      </w:r>
    </w:p>
    <w:p w14:paraId="6C1BA26C">
      <w:pPr>
        <w:widowControl/>
        <w:spacing w:line="480" w:lineRule="atLeast"/>
        <w:rPr>
          <w:rFonts w:ascii="Times New Roman" w:hAnsi="Times New Roman" w:eastAsia="宋体" w:cs="Times New Roman"/>
          <w:color w:val="auto"/>
          <w:kern w:val="0"/>
          <w:sz w:val="24"/>
          <w:szCs w:val="24"/>
          <w:highlight w:val="none"/>
        </w:rPr>
      </w:pPr>
    </w:p>
    <w:p w14:paraId="422FC760">
      <w:pPr>
        <w:widowControl/>
        <w:spacing w:line="480" w:lineRule="atLeast"/>
        <w:ind w:firstLine="120"/>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注：此表格若不够用，可根据实际自行扩展表格。</w:t>
      </w:r>
    </w:p>
    <w:p w14:paraId="31F242A0">
      <w:pPr>
        <w:widowControl/>
        <w:spacing w:line="480" w:lineRule="atLeast"/>
        <w:ind w:firstLine="120"/>
        <w:rPr>
          <w:rFonts w:ascii="Times New Roman" w:hAnsi="Times New Roman" w:eastAsia="宋体" w:cs="Times New Roman"/>
          <w:color w:val="auto"/>
          <w:kern w:val="0"/>
          <w:sz w:val="24"/>
          <w:szCs w:val="24"/>
          <w:highlight w:val="none"/>
        </w:rPr>
      </w:pPr>
    </w:p>
    <w:p w14:paraId="685D5FAB">
      <w:pPr>
        <w:widowControl/>
        <w:spacing w:line="480" w:lineRule="atLeast"/>
        <w:ind w:firstLine="460" w:firstLineChars="192"/>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法定代表人</w:t>
      </w:r>
      <w:r>
        <w:rPr>
          <w:rFonts w:hint="eastAsia" w:ascii="Times New Roman" w:hAnsi="Times New Roman" w:eastAsia="宋体" w:cs="Times New Roman"/>
          <w:color w:val="auto"/>
          <w:kern w:val="0"/>
          <w:sz w:val="24"/>
          <w:szCs w:val="24"/>
          <w:highlight w:val="none"/>
        </w:rPr>
        <w:t>：</w:t>
      </w:r>
      <w:r>
        <w:rPr>
          <w:rFonts w:hint="eastAsia" w:ascii="宋体" w:hAnsi="宋体" w:eastAsia="宋体" w:cs="Times New Roman"/>
          <w:color w:val="auto"/>
          <w:kern w:val="0"/>
          <w:sz w:val="24"/>
          <w:szCs w:val="24"/>
          <w:highlight w:val="none"/>
        </w:rPr>
        <w:t>（电子签章）</w:t>
      </w:r>
    </w:p>
    <w:p w14:paraId="41F92204">
      <w:pPr>
        <w:widowControl/>
        <w:spacing w:line="520" w:lineRule="atLeast"/>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：（盖单位公章）</w:t>
      </w:r>
    </w:p>
    <w:p w14:paraId="3F36CCDB">
      <w:pPr>
        <w:widowControl/>
        <w:spacing w:line="520" w:lineRule="atLeast"/>
        <w:ind w:firstLine="4560"/>
        <w:rPr>
          <w:rFonts w:ascii="Times New Roman" w:hAnsi="Times New Roman" w:eastAsia="宋体" w:cs="Times New Roman"/>
          <w:color w:val="auto"/>
          <w:kern w:val="0"/>
          <w:sz w:val="28"/>
          <w:szCs w:val="28"/>
          <w:highlight w:val="none"/>
        </w:rPr>
      </w:pPr>
      <w:r>
        <w:rPr>
          <w:rFonts w:hint="eastAsia" w:ascii="宋体" w:hAnsi="宋体" w:eastAsia="宋体" w:cs="Times New Roman"/>
          <w:color w:val="auto"/>
          <w:kern w:val="0"/>
          <w:sz w:val="24"/>
          <w:szCs w:val="24"/>
          <w:highlight w:val="none"/>
        </w:rPr>
        <w:t>年 月 日</w:t>
      </w:r>
    </w:p>
    <w:p w14:paraId="018CD997">
      <w:pPr>
        <w:widowControl/>
        <w:spacing w:line="520" w:lineRule="atLeast"/>
        <w:rPr>
          <w:rFonts w:ascii="宋体" w:hAnsi="宋体" w:eastAsia="宋体" w:cs="Times New Roman"/>
          <w:b/>
          <w:bCs/>
          <w:color w:val="auto"/>
          <w:kern w:val="0"/>
          <w:szCs w:val="21"/>
          <w:highlight w:val="none"/>
        </w:rPr>
      </w:pPr>
    </w:p>
    <w:p w14:paraId="2D7C8802">
      <w:pPr>
        <w:widowControl/>
        <w:spacing w:line="360" w:lineRule="auto"/>
        <w:rPr>
          <w:rFonts w:ascii="宋体" w:hAnsi="宋体" w:eastAsia="宋体" w:cs="Times New Roman"/>
          <w:b/>
          <w:bCs/>
          <w:color w:val="auto"/>
          <w:kern w:val="0"/>
          <w:sz w:val="28"/>
          <w:szCs w:val="28"/>
          <w:highlight w:val="none"/>
        </w:rPr>
      </w:pPr>
    </w:p>
    <w:p w14:paraId="0BBEF37D">
      <w:pPr>
        <w:widowControl/>
        <w:spacing w:line="360" w:lineRule="auto"/>
        <w:rPr>
          <w:rFonts w:ascii="宋体" w:hAnsi="宋体" w:eastAsia="宋体" w:cs="Times New Roman"/>
          <w:b/>
          <w:bCs/>
          <w:color w:val="auto"/>
          <w:kern w:val="0"/>
          <w:sz w:val="24"/>
          <w:szCs w:val="24"/>
          <w:highlight w:val="none"/>
        </w:rPr>
      </w:pPr>
    </w:p>
    <w:p w14:paraId="05B7A410">
      <w:pPr>
        <w:widowControl/>
        <w:jc w:val="left"/>
        <w:rPr>
          <w:rFonts w:ascii="宋体" w:hAnsi="宋体" w:eastAsia="宋体" w:cs="Times New Roman"/>
          <w:b/>
          <w:bCs/>
          <w:color w:val="auto"/>
          <w:kern w:val="0"/>
          <w:sz w:val="24"/>
          <w:szCs w:val="24"/>
          <w:highlight w:val="none"/>
        </w:rPr>
      </w:pPr>
      <w:r>
        <w:rPr>
          <w:rFonts w:ascii="宋体" w:hAnsi="宋体" w:eastAsia="宋体" w:cs="Times New Roman"/>
          <w:b/>
          <w:bCs/>
          <w:color w:val="auto"/>
          <w:kern w:val="0"/>
          <w:sz w:val="24"/>
          <w:szCs w:val="24"/>
          <w:highlight w:val="none"/>
        </w:rPr>
        <w:br w:type="page"/>
      </w:r>
    </w:p>
    <w:p w14:paraId="125F71B6">
      <w:pPr>
        <w:widowControl/>
        <w:spacing w:line="520" w:lineRule="atLeast"/>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lang w:val="en-US" w:eastAsia="zh-CN"/>
        </w:rPr>
        <w:t>六、</w:t>
      </w:r>
      <w:r>
        <w:rPr>
          <w:rFonts w:hint="eastAsia" w:ascii="宋体" w:hAnsi="宋体" w:eastAsia="宋体" w:cs="Times New Roman"/>
          <w:b/>
          <w:bCs/>
          <w:color w:val="auto"/>
          <w:kern w:val="0"/>
          <w:sz w:val="24"/>
          <w:szCs w:val="24"/>
          <w:highlight w:val="none"/>
        </w:rPr>
        <w:t xml:space="preserve"> 商务响应表</w:t>
      </w:r>
      <w:r>
        <w:rPr>
          <w:rFonts w:hint="eastAsia" w:ascii="宋体" w:hAnsi="宋体" w:eastAsia="宋体" w:cs="Times New Roman"/>
          <w:color w:val="auto"/>
          <w:kern w:val="0"/>
          <w:sz w:val="24"/>
          <w:szCs w:val="24"/>
          <w:highlight w:val="none"/>
        </w:rPr>
        <w:t>（格式）</w:t>
      </w:r>
    </w:p>
    <w:p w14:paraId="56B8A53D">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名称：</w:t>
      </w:r>
    </w:p>
    <w:p w14:paraId="6F28FAD6">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项目编号：</w:t>
      </w:r>
    </w:p>
    <w:tbl>
      <w:tblPr>
        <w:tblStyle w:val="14"/>
        <w:tblW w:w="9324" w:type="dxa"/>
        <w:tblInd w:w="0" w:type="dxa"/>
        <w:tblLayout w:type="fixed"/>
        <w:tblCellMar>
          <w:top w:w="0" w:type="dxa"/>
          <w:left w:w="108" w:type="dxa"/>
          <w:bottom w:w="0" w:type="dxa"/>
          <w:right w:w="108" w:type="dxa"/>
        </w:tblCellMar>
      </w:tblPr>
      <w:tblGrid>
        <w:gridCol w:w="2490"/>
        <w:gridCol w:w="2701"/>
        <w:gridCol w:w="1260"/>
        <w:gridCol w:w="2873"/>
      </w:tblGrid>
      <w:tr w14:paraId="678B2F5F">
        <w:trPr>
          <w:trHeight w:val="1050" w:hRule="atLeast"/>
        </w:trPr>
        <w:tc>
          <w:tcPr>
            <w:tcW w:w="2490" w:type="dxa"/>
            <w:tcBorders>
              <w:top w:val="single" w:color="auto" w:sz="4" w:space="0"/>
              <w:left w:val="single" w:color="auto" w:sz="4" w:space="0"/>
              <w:bottom w:val="single" w:color="auto" w:sz="4" w:space="0"/>
              <w:right w:val="single" w:color="auto" w:sz="4" w:space="0"/>
            </w:tcBorders>
          </w:tcPr>
          <w:p w14:paraId="770C27D1">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项目</w:t>
            </w:r>
          </w:p>
        </w:tc>
        <w:tc>
          <w:tcPr>
            <w:tcW w:w="2701" w:type="dxa"/>
            <w:tcBorders>
              <w:top w:val="single" w:color="auto" w:sz="4" w:space="0"/>
              <w:left w:val="nil"/>
              <w:bottom w:val="single" w:color="auto" w:sz="4" w:space="0"/>
              <w:right w:val="single" w:color="auto" w:sz="4" w:space="0"/>
            </w:tcBorders>
          </w:tcPr>
          <w:p w14:paraId="48E73A60">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招标文件要求</w:t>
            </w:r>
          </w:p>
        </w:tc>
        <w:tc>
          <w:tcPr>
            <w:tcW w:w="1260" w:type="dxa"/>
            <w:tcBorders>
              <w:top w:val="single" w:color="auto" w:sz="4" w:space="0"/>
              <w:left w:val="nil"/>
              <w:bottom w:val="single" w:color="auto" w:sz="4" w:space="0"/>
              <w:right w:val="single" w:color="auto" w:sz="4" w:space="0"/>
            </w:tcBorders>
          </w:tcPr>
          <w:p w14:paraId="3CEFB3C4">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是否响应</w:t>
            </w:r>
          </w:p>
        </w:tc>
        <w:tc>
          <w:tcPr>
            <w:tcW w:w="2873" w:type="dxa"/>
            <w:tcBorders>
              <w:top w:val="single" w:color="auto" w:sz="4" w:space="0"/>
              <w:left w:val="nil"/>
              <w:bottom w:val="single" w:color="auto" w:sz="4" w:space="0"/>
              <w:right w:val="single" w:color="auto" w:sz="4" w:space="0"/>
            </w:tcBorders>
          </w:tcPr>
          <w:p w14:paraId="1DA05809">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的承诺或说明</w:t>
            </w:r>
          </w:p>
        </w:tc>
      </w:tr>
      <w:tr w14:paraId="12F604DB">
        <w:trPr>
          <w:trHeight w:val="525" w:hRule="atLeast"/>
        </w:trPr>
        <w:tc>
          <w:tcPr>
            <w:tcW w:w="2490" w:type="dxa"/>
            <w:tcBorders>
              <w:top w:val="single" w:color="auto" w:sz="4" w:space="0"/>
              <w:left w:val="single" w:color="auto" w:sz="4" w:space="0"/>
              <w:bottom w:val="single" w:color="auto" w:sz="4" w:space="0"/>
              <w:right w:val="single" w:color="auto" w:sz="4" w:space="0"/>
            </w:tcBorders>
          </w:tcPr>
          <w:p w14:paraId="23A83520">
            <w:pPr>
              <w:widowControl/>
              <w:spacing w:line="480" w:lineRule="atLeast"/>
              <w:jc w:val="left"/>
              <w:rPr>
                <w:rFonts w:hint="eastAsia" w:ascii="Times New Roman" w:hAnsi="Times New Roman" w:eastAsia="宋体" w:cs="Times New Roman"/>
                <w:color w:val="auto"/>
                <w:kern w:val="0"/>
                <w:sz w:val="24"/>
                <w:szCs w:val="24"/>
                <w:highlight w:val="none"/>
                <w:lang w:val="en-US" w:eastAsia="zh-CN"/>
              </w:rPr>
            </w:pPr>
            <w:r>
              <w:rPr>
                <w:rFonts w:hint="eastAsia" w:ascii="宋体" w:hAnsi="宋体" w:eastAsia="宋体" w:cs="Times New Roman"/>
                <w:color w:val="auto"/>
                <w:kern w:val="0"/>
                <w:sz w:val="24"/>
                <w:szCs w:val="24"/>
                <w:highlight w:val="none"/>
                <w:lang w:eastAsia="zh-CN"/>
              </w:rPr>
              <w:t>交货期</w:t>
            </w:r>
          </w:p>
        </w:tc>
        <w:tc>
          <w:tcPr>
            <w:tcW w:w="2701" w:type="dxa"/>
            <w:tcBorders>
              <w:top w:val="single" w:color="auto" w:sz="4" w:space="0"/>
              <w:left w:val="nil"/>
              <w:bottom w:val="single" w:color="auto" w:sz="4" w:space="0"/>
              <w:right w:val="single" w:color="auto" w:sz="4" w:space="0"/>
            </w:tcBorders>
          </w:tcPr>
          <w:p w14:paraId="35A7A230">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c>
          <w:tcPr>
            <w:tcW w:w="1260" w:type="dxa"/>
            <w:tcBorders>
              <w:top w:val="single" w:color="auto" w:sz="4" w:space="0"/>
              <w:left w:val="nil"/>
              <w:bottom w:val="single" w:color="auto" w:sz="4" w:space="0"/>
              <w:right w:val="single" w:color="auto" w:sz="4" w:space="0"/>
            </w:tcBorders>
          </w:tcPr>
          <w:p w14:paraId="0F77FBCA">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c>
          <w:tcPr>
            <w:tcW w:w="2873" w:type="dxa"/>
            <w:tcBorders>
              <w:top w:val="single" w:color="auto" w:sz="4" w:space="0"/>
              <w:left w:val="nil"/>
              <w:bottom w:val="single" w:color="auto" w:sz="4" w:space="0"/>
              <w:right w:val="single" w:color="auto" w:sz="4" w:space="0"/>
            </w:tcBorders>
          </w:tcPr>
          <w:p w14:paraId="6D24142F">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r>
      <w:tr w14:paraId="2BFA1B24">
        <w:trPr>
          <w:trHeight w:val="720" w:hRule="atLeast"/>
        </w:trPr>
        <w:tc>
          <w:tcPr>
            <w:tcW w:w="2490" w:type="dxa"/>
            <w:tcBorders>
              <w:top w:val="single" w:color="auto" w:sz="4" w:space="0"/>
              <w:left w:val="single" w:color="auto" w:sz="4" w:space="0"/>
              <w:bottom w:val="single" w:color="auto" w:sz="4" w:space="0"/>
              <w:right w:val="single" w:color="auto" w:sz="4" w:space="0"/>
            </w:tcBorders>
          </w:tcPr>
          <w:p w14:paraId="0AC5B22D">
            <w:pPr>
              <w:widowControl/>
              <w:spacing w:line="480" w:lineRule="atLeast"/>
              <w:jc w:val="left"/>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质量</w:t>
            </w:r>
            <w:r>
              <w:rPr>
                <w:rFonts w:hint="eastAsia" w:ascii="Times New Roman" w:hAnsi="Times New Roman" w:eastAsia="宋体" w:cs="Times New Roman"/>
                <w:color w:val="auto"/>
                <w:kern w:val="0"/>
                <w:sz w:val="24"/>
                <w:szCs w:val="24"/>
                <w:highlight w:val="none"/>
                <w:lang w:eastAsia="zh-CN"/>
              </w:rPr>
              <w:t>要求</w:t>
            </w:r>
          </w:p>
        </w:tc>
        <w:tc>
          <w:tcPr>
            <w:tcW w:w="2701" w:type="dxa"/>
            <w:tcBorders>
              <w:top w:val="single" w:color="auto" w:sz="4" w:space="0"/>
              <w:left w:val="nil"/>
              <w:bottom w:val="single" w:color="auto" w:sz="4" w:space="0"/>
              <w:right w:val="single" w:color="auto" w:sz="4" w:space="0"/>
            </w:tcBorders>
          </w:tcPr>
          <w:p w14:paraId="3880AF47">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c>
          <w:tcPr>
            <w:tcW w:w="1260" w:type="dxa"/>
            <w:tcBorders>
              <w:top w:val="single" w:color="auto" w:sz="4" w:space="0"/>
              <w:left w:val="nil"/>
              <w:bottom w:val="single" w:color="auto" w:sz="4" w:space="0"/>
              <w:right w:val="single" w:color="auto" w:sz="4" w:space="0"/>
            </w:tcBorders>
          </w:tcPr>
          <w:p w14:paraId="0C71A030">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c>
          <w:tcPr>
            <w:tcW w:w="2873" w:type="dxa"/>
            <w:tcBorders>
              <w:top w:val="single" w:color="auto" w:sz="4" w:space="0"/>
              <w:left w:val="nil"/>
              <w:bottom w:val="single" w:color="auto" w:sz="4" w:space="0"/>
              <w:right w:val="single" w:color="auto" w:sz="4" w:space="0"/>
            </w:tcBorders>
          </w:tcPr>
          <w:p w14:paraId="4BD19890">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r>
      <w:tr w14:paraId="36135A46">
        <w:trPr>
          <w:trHeight w:val="945" w:hRule="atLeast"/>
        </w:trPr>
        <w:tc>
          <w:tcPr>
            <w:tcW w:w="2490" w:type="dxa"/>
            <w:tcBorders>
              <w:top w:val="single" w:color="auto" w:sz="4" w:space="0"/>
              <w:left w:val="single" w:color="auto" w:sz="4" w:space="0"/>
              <w:bottom w:val="single" w:color="auto" w:sz="4" w:space="0"/>
              <w:right w:val="single" w:color="auto" w:sz="4" w:space="0"/>
            </w:tcBorders>
          </w:tcPr>
          <w:p w14:paraId="2F6B7F46">
            <w:pPr>
              <w:widowControl/>
              <w:spacing w:line="520" w:lineRule="atLeast"/>
              <w:rPr>
                <w:rFonts w:hint="eastAsia" w:ascii="Times New Roman" w:hAnsi="Times New Roman" w:eastAsia="宋体" w:cs="Times New Roman"/>
                <w:color w:val="auto"/>
                <w:kern w:val="0"/>
                <w:sz w:val="24"/>
                <w:szCs w:val="24"/>
                <w:highlight w:val="none"/>
                <w:lang w:eastAsia="zh-CN"/>
              </w:rPr>
            </w:pPr>
            <w:r>
              <w:rPr>
                <w:rFonts w:hint="eastAsia" w:ascii="Times New Roman" w:hAnsi="Times New Roman" w:eastAsia="宋体" w:cs="Times New Roman"/>
                <w:color w:val="auto"/>
                <w:kern w:val="0"/>
                <w:sz w:val="24"/>
                <w:szCs w:val="24"/>
                <w:highlight w:val="none"/>
                <w:lang w:eastAsia="zh-CN"/>
              </w:rPr>
              <w:t>质保期</w:t>
            </w:r>
          </w:p>
        </w:tc>
        <w:tc>
          <w:tcPr>
            <w:tcW w:w="2701" w:type="dxa"/>
            <w:tcBorders>
              <w:top w:val="single" w:color="auto" w:sz="4" w:space="0"/>
              <w:left w:val="nil"/>
              <w:bottom w:val="single" w:color="auto" w:sz="4" w:space="0"/>
              <w:right w:val="single" w:color="auto" w:sz="4" w:space="0"/>
            </w:tcBorders>
          </w:tcPr>
          <w:p w14:paraId="470AFDC1">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c>
          <w:tcPr>
            <w:tcW w:w="1260" w:type="dxa"/>
            <w:tcBorders>
              <w:top w:val="single" w:color="auto" w:sz="4" w:space="0"/>
              <w:left w:val="nil"/>
              <w:bottom w:val="single" w:color="auto" w:sz="4" w:space="0"/>
              <w:right w:val="single" w:color="auto" w:sz="4" w:space="0"/>
            </w:tcBorders>
          </w:tcPr>
          <w:p w14:paraId="46A211E6">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c>
          <w:tcPr>
            <w:tcW w:w="2873" w:type="dxa"/>
            <w:tcBorders>
              <w:top w:val="single" w:color="auto" w:sz="4" w:space="0"/>
              <w:left w:val="nil"/>
              <w:bottom w:val="single" w:color="auto" w:sz="4" w:space="0"/>
              <w:right w:val="single" w:color="auto" w:sz="4" w:space="0"/>
            </w:tcBorders>
          </w:tcPr>
          <w:p w14:paraId="4EE7984B">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r>
      <w:tr w14:paraId="14BEAA98">
        <w:trPr>
          <w:trHeight w:val="825" w:hRule="atLeast"/>
        </w:trPr>
        <w:tc>
          <w:tcPr>
            <w:tcW w:w="2490" w:type="dxa"/>
            <w:tcBorders>
              <w:top w:val="single" w:color="auto" w:sz="4" w:space="0"/>
              <w:left w:val="single" w:color="auto" w:sz="4" w:space="0"/>
              <w:bottom w:val="single" w:color="auto" w:sz="4" w:space="0"/>
              <w:right w:val="single" w:color="auto" w:sz="4" w:space="0"/>
            </w:tcBorders>
          </w:tcPr>
          <w:p w14:paraId="118B6A16">
            <w:pPr>
              <w:widowControl/>
              <w:spacing w:line="520" w:lineRule="atLeast"/>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投标有效期</w:t>
            </w:r>
          </w:p>
        </w:tc>
        <w:tc>
          <w:tcPr>
            <w:tcW w:w="2701" w:type="dxa"/>
            <w:tcBorders>
              <w:top w:val="single" w:color="auto" w:sz="4" w:space="0"/>
              <w:left w:val="nil"/>
              <w:bottom w:val="single" w:color="auto" w:sz="4" w:space="0"/>
              <w:right w:val="single" w:color="auto" w:sz="4" w:space="0"/>
            </w:tcBorders>
          </w:tcPr>
          <w:p w14:paraId="6D6ACAEC">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c>
          <w:tcPr>
            <w:tcW w:w="1260" w:type="dxa"/>
            <w:tcBorders>
              <w:top w:val="single" w:color="auto" w:sz="4" w:space="0"/>
              <w:left w:val="nil"/>
              <w:bottom w:val="single" w:color="auto" w:sz="4" w:space="0"/>
              <w:right w:val="single" w:color="auto" w:sz="4" w:space="0"/>
            </w:tcBorders>
          </w:tcPr>
          <w:p w14:paraId="105F64F1">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c>
          <w:tcPr>
            <w:tcW w:w="2873" w:type="dxa"/>
            <w:tcBorders>
              <w:top w:val="single" w:color="auto" w:sz="4" w:space="0"/>
              <w:left w:val="nil"/>
              <w:bottom w:val="single" w:color="auto" w:sz="4" w:space="0"/>
              <w:right w:val="single" w:color="auto" w:sz="4" w:space="0"/>
            </w:tcBorders>
          </w:tcPr>
          <w:p w14:paraId="0EC63825">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r>
      <w:tr w14:paraId="6D7774A3">
        <w:trPr>
          <w:trHeight w:val="525" w:hRule="atLeast"/>
        </w:trPr>
        <w:tc>
          <w:tcPr>
            <w:tcW w:w="2490" w:type="dxa"/>
            <w:tcBorders>
              <w:top w:val="single" w:color="auto" w:sz="4" w:space="0"/>
              <w:left w:val="single" w:color="auto" w:sz="4" w:space="0"/>
              <w:bottom w:val="single" w:color="auto" w:sz="4" w:space="0"/>
              <w:right w:val="single" w:color="auto" w:sz="4" w:space="0"/>
            </w:tcBorders>
          </w:tcPr>
          <w:p w14:paraId="18721F89">
            <w:pPr>
              <w:widowControl/>
              <w:spacing w:line="520" w:lineRule="atLeast"/>
              <w:rPr>
                <w:rFonts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lang w:val="en-US" w:eastAsia="zh-CN"/>
              </w:rPr>
              <w:t>....</w:t>
            </w:r>
          </w:p>
        </w:tc>
        <w:tc>
          <w:tcPr>
            <w:tcW w:w="2701" w:type="dxa"/>
            <w:tcBorders>
              <w:top w:val="single" w:color="auto" w:sz="4" w:space="0"/>
              <w:left w:val="nil"/>
              <w:bottom w:val="single" w:color="auto" w:sz="4" w:space="0"/>
              <w:right w:val="single" w:color="auto" w:sz="4" w:space="0"/>
            </w:tcBorders>
          </w:tcPr>
          <w:p w14:paraId="6DC579F1">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c>
          <w:tcPr>
            <w:tcW w:w="1260" w:type="dxa"/>
            <w:tcBorders>
              <w:top w:val="single" w:color="auto" w:sz="4" w:space="0"/>
              <w:left w:val="nil"/>
              <w:bottom w:val="single" w:color="auto" w:sz="4" w:space="0"/>
              <w:right w:val="single" w:color="auto" w:sz="4" w:space="0"/>
            </w:tcBorders>
          </w:tcPr>
          <w:p w14:paraId="0DF13ACB">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c>
          <w:tcPr>
            <w:tcW w:w="2873" w:type="dxa"/>
            <w:tcBorders>
              <w:top w:val="single" w:color="auto" w:sz="4" w:space="0"/>
              <w:left w:val="nil"/>
              <w:bottom w:val="single" w:color="auto" w:sz="4" w:space="0"/>
              <w:right w:val="single" w:color="auto" w:sz="4" w:space="0"/>
            </w:tcBorders>
          </w:tcPr>
          <w:p w14:paraId="05F85F7C">
            <w:pPr>
              <w:widowControl/>
              <w:spacing w:line="520" w:lineRule="atLeast"/>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w:t>
            </w:r>
          </w:p>
        </w:tc>
      </w:tr>
    </w:tbl>
    <w:p w14:paraId="0307A50C">
      <w:pPr>
        <w:widowControl/>
        <w:spacing w:line="520" w:lineRule="atLeast"/>
        <w:ind w:firstLine="2400"/>
        <w:rPr>
          <w:rFonts w:ascii="Times New Roman" w:hAnsi="Times New Roman" w:eastAsia="宋体" w:cs="Times New Roman"/>
          <w:color w:val="auto"/>
          <w:kern w:val="0"/>
          <w:sz w:val="24"/>
          <w:szCs w:val="24"/>
          <w:highlight w:val="none"/>
        </w:rPr>
      </w:pPr>
    </w:p>
    <w:p w14:paraId="76ACD97B">
      <w:pPr>
        <w:widowControl/>
        <w:spacing w:line="520" w:lineRule="atLeast"/>
        <w:ind w:firstLine="2400"/>
        <w:rPr>
          <w:rFonts w:ascii="Times New Roman" w:hAnsi="Times New Roman" w:eastAsia="宋体" w:cs="Times New Roman"/>
          <w:color w:val="auto"/>
          <w:kern w:val="0"/>
          <w:sz w:val="24"/>
          <w:szCs w:val="24"/>
          <w:highlight w:val="none"/>
        </w:rPr>
      </w:pPr>
    </w:p>
    <w:p w14:paraId="444A37F0">
      <w:pPr>
        <w:widowControl/>
        <w:spacing w:line="520" w:lineRule="atLeast"/>
        <w:ind w:firstLine="3736" w:firstLineChars="1557"/>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法定代表人： （电子签章）</w:t>
      </w:r>
    </w:p>
    <w:p w14:paraId="19CAE6F3">
      <w:pPr>
        <w:widowControl/>
        <w:spacing w:line="520" w:lineRule="atLeast"/>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：（盖单位公章）</w:t>
      </w:r>
    </w:p>
    <w:p w14:paraId="428E3787">
      <w:pPr>
        <w:widowControl/>
        <w:spacing w:line="520" w:lineRule="atLeast"/>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年 月 日</w:t>
      </w:r>
    </w:p>
    <w:p w14:paraId="6D0E8FA0">
      <w:pPr>
        <w:widowControl/>
        <w:spacing w:line="360" w:lineRule="auto"/>
        <w:jc w:val="center"/>
        <w:rPr>
          <w:rFonts w:ascii="宋体" w:hAnsi="宋体" w:eastAsia="宋体" w:cs="Times New Roman"/>
          <w:b/>
          <w:bCs/>
          <w:color w:val="auto"/>
          <w:kern w:val="0"/>
          <w:sz w:val="28"/>
          <w:szCs w:val="28"/>
          <w:highlight w:val="none"/>
        </w:rPr>
      </w:pPr>
    </w:p>
    <w:p w14:paraId="23E62CDA">
      <w:pPr>
        <w:widowControl/>
        <w:spacing w:line="360" w:lineRule="auto"/>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8"/>
          <w:szCs w:val="28"/>
          <w:highlight w:val="none"/>
        </w:rPr>
        <w:br w:type="page"/>
      </w:r>
      <w:r>
        <w:rPr>
          <w:rFonts w:hint="eastAsia" w:ascii="宋体" w:hAnsi="宋体" w:eastAsia="宋体" w:cs="Times New Roman"/>
          <w:b/>
          <w:bCs/>
          <w:color w:val="auto"/>
          <w:kern w:val="0"/>
          <w:sz w:val="24"/>
          <w:szCs w:val="24"/>
          <w:highlight w:val="none"/>
          <w:lang w:val="en-US" w:eastAsia="zh-CN"/>
        </w:rPr>
        <w:t>七、</w:t>
      </w:r>
      <w:r>
        <w:rPr>
          <w:rFonts w:hint="eastAsia" w:ascii="Times New Roman" w:hAnsi="Times New Roman" w:eastAsia="宋体" w:cs="Times New Roman"/>
          <w:b/>
          <w:bCs/>
          <w:color w:val="auto"/>
          <w:kern w:val="0"/>
          <w:sz w:val="24"/>
          <w:szCs w:val="24"/>
          <w:highlight w:val="none"/>
        </w:rPr>
        <w:t>资格证明文件</w:t>
      </w:r>
    </w:p>
    <w:p w14:paraId="163E9000">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1、满足《中华人民共和国政府采购法》第二十二条规定；</w:t>
      </w:r>
      <w:r>
        <w:rPr>
          <w:rFonts w:hint="eastAsia" w:ascii="宋体" w:hAnsi="宋体" w:eastAsia="宋体" w:cs="Times New Roman"/>
          <w:bCs/>
          <w:color w:val="auto"/>
          <w:sz w:val="24"/>
          <w:szCs w:val="24"/>
          <w:highlight w:val="none"/>
        </w:rPr>
        <w:tab/>
      </w:r>
    </w:p>
    <w:p w14:paraId="01B11481">
      <w:pPr>
        <w:spacing w:line="360" w:lineRule="auto"/>
        <w:ind w:firstLine="480" w:firstLineChars="200"/>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2、落实政府采购政策满足的资格要求</w:t>
      </w:r>
      <w:r>
        <w:rPr>
          <w:rFonts w:hint="eastAsia" w:ascii="宋体" w:hAnsi="宋体" w:eastAsia="宋体" w:cs="Times New Roman"/>
          <w:bCs/>
          <w:color w:val="auto"/>
          <w:sz w:val="24"/>
          <w:szCs w:val="24"/>
          <w:highlight w:val="none"/>
          <w:lang w:val="en-US" w:eastAsia="zh-CN"/>
        </w:rPr>
        <w:t>:</w:t>
      </w:r>
      <w:r>
        <w:rPr>
          <w:rFonts w:hint="eastAsia" w:ascii="宋体" w:hAnsi="宋体" w:eastAsia="宋体" w:cs="Times New Roman"/>
          <w:bCs/>
          <w:color w:val="auto"/>
          <w:sz w:val="24"/>
          <w:szCs w:val="24"/>
          <w:highlight w:val="none"/>
        </w:rPr>
        <w:t>落实政府采购政策满足的资格要求</w:t>
      </w:r>
      <w:r>
        <w:rPr>
          <w:rFonts w:hint="eastAsia" w:ascii="宋体" w:hAnsi="宋体" w:eastAsia="宋体" w:cs="Times New Roman"/>
          <w:bCs/>
          <w:color w:val="auto"/>
          <w:sz w:val="24"/>
          <w:szCs w:val="24"/>
          <w:highlight w:val="none"/>
          <w:lang w:val="en-US" w:eastAsia="zh-CN"/>
        </w:rPr>
        <w:t>:促进中小微企业、监狱企业及残疾人福利性单位发展扶持政策、政府强制采购节能产品强制采购、节能产品及环境标志产品优先采购，支持政采贷</w:t>
      </w:r>
      <w:r>
        <w:rPr>
          <w:rFonts w:hint="eastAsia" w:ascii="宋体" w:hAnsi="宋体" w:eastAsia="宋体" w:cs="Times New Roman"/>
          <w:bCs/>
          <w:color w:val="auto"/>
          <w:sz w:val="24"/>
          <w:szCs w:val="24"/>
          <w:highlight w:val="none"/>
        </w:rPr>
        <w:t>。</w:t>
      </w:r>
    </w:p>
    <w:p w14:paraId="1DC455D6">
      <w:pPr>
        <w:spacing w:line="360" w:lineRule="auto"/>
        <w:ind w:firstLine="480" w:firstLineChars="200"/>
        <w:rPr>
          <w:rFonts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3、本项目的特定资格要求</w:t>
      </w:r>
      <w:r>
        <w:rPr>
          <w:rFonts w:hint="eastAsia" w:ascii="宋体" w:hAnsi="宋体" w:eastAsia="宋体" w:cs="Times New Roman"/>
          <w:bCs/>
          <w:color w:val="auto"/>
          <w:sz w:val="24"/>
          <w:szCs w:val="24"/>
          <w:highlight w:val="none"/>
        </w:rPr>
        <w:tab/>
      </w:r>
    </w:p>
    <w:p w14:paraId="5A870491">
      <w:pPr>
        <w:spacing w:line="360" w:lineRule="auto"/>
        <w:ind w:firstLine="480" w:firstLineChars="200"/>
        <w:rPr>
          <w:rFonts w:hint="eastAsia" w:ascii="宋体" w:hAnsi="宋体" w:eastAsia="宋体" w:cs="Times New Roman"/>
          <w:bCs/>
          <w:color w:val="auto"/>
          <w:sz w:val="24"/>
          <w:szCs w:val="24"/>
          <w:highlight w:val="none"/>
          <w:lang w:val="en-US" w:eastAsia="zh-CN"/>
        </w:rPr>
      </w:pPr>
      <w:r>
        <w:rPr>
          <w:rFonts w:hint="eastAsia" w:ascii="宋体" w:hAnsi="宋体" w:eastAsia="宋体" w:cs="Times New Roman"/>
          <w:bCs/>
          <w:color w:val="auto"/>
          <w:sz w:val="24"/>
          <w:szCs w:val="24"/>
          <w:highlight w:val="none"/>
          <w:lang w:val="en-US" w:eastAsia="zh-CN"/>
        </w:rPr>
        <w:t xml:space="preserve">3.1、投标供应商须具有合法有效的营业执照（可使用电子营业执照）；   </w:t>
      </w:r>
    </w:p>
    <w:p w14:paraId="3D7AF55D">
      <w:pPr>
        <w:spacing w:line="360" w:lineRule="auto"/>
        <w:ind w:firstLine="480" w:firstLineChars="200"/>
        <w:rPr>
          <w:rFonts w:hint="eastAsia" w:ascii="宋体" w:hAnsi="宋体" w:eastAsia="宋体" w:cs="Times New Roman"/>
          <w:bCs/>
          <w:color w:val="auto"/>
          <w:sz w:val="24"/>
          <w:szCs w:val="24"/>
          <w:highlight w:val="none"/>
          <w:lang w:eastAsia="zh-CN"/>
        </w:rPr>
      </w:pPr>
      <w:r>
        <w:rPr>
          <w:rFonts w:hint="eastAsia" w:ascii="宋体" w:hAnsi="宋体" w:eastAsia="宋体" w:cs="Times New Roman"/>
          <w:bCs/>
          <w:color w:val="auto"/>
          <w:sz w:val="24"/>
          <w:szCs w:val="24"/>
          <w:highlight w:val="none"/>
          <w:lang w:val="en-US" w:eastAsia="zh-CN"/>
        </w:rPr>
        <w:t>3.2、</w:t>
      </w:r>
      <w:r>
        <w:rPr>
          <w:rFonts w:hint="eastAsia" w:ascii="宋体" w:hAnsi="宋体" w:eastAsia="宋体" w:cs="Times New Roman"/>
          <w:bCs/>
          <w:color w:val="auto"/>
          <w:sz w:val="24"/>
          <w:szCs w:val="24"/>
          <w:highlight w:val="none"/>
          <w:lang w:eastAsia="zh-CN"/>
        </w:rPr>
        <w:t>投标供应商</w:t>
      </w:r>
      <w:r>
        <w:rPr>
          <w:rFonts w:hint="eastAsia" w:ascii="宋体" w:hAnsi="宋体" w:eastAsia="宋体" w:cs="Times New Roman"/>
          <w:bCs/>
          <w:color w:val="auto"/>
          <w:sz w:val="24"/>
          <w:szCs w:val="24"/>
          <w:highlight w:val="none"/>
        </w:rPr>
        <w:t>须承诺本企业无商业贿赂和不正当竞争行为</w:t>
      </w:r>
      <w:r>
        <w:rPr>
          <w:rFonts w:hint="eastAsia" w:ascii="宋体" w:hAnsi="宋体" w:eastAsia="宋体" w:cs="Times New Roman"/>
          <w:bCs/>
          <w:color w:val="auto"/>
          <w:sz w:val="24"/>
          <w:szCs w:val="24"/>
          <w:highlight w:val="none"/>
          <w:lang w:eastAsia="zh-CN"/>
        </w:rPr>
        <w:t>；</w:t>
      </w:r>
    </w:p>
    <w:p w14:paraId="46B4198C">
      <w:pPr>
        <w:spacing w:line="360" w:lineRule="auto"/>
        <w:ind w:firstLine="480" w:firstLineChars="200"/>
        <w:rPr>
          <w:rFonts w:hint="eastAsia" w:ascii="宋体" w:hAnsi="宋体" w:eastAsia="宋体" w:cs="Times New Roman"/>
          <w:bCs/>
          <w:color w:val="auto"/>
          <w:sz w:val="24"/>
          <w:szCs w:val="24"/>
          <w:highlight w:val="none"/>
          <w:lang w:val="en-US" w:eastAsia="zh-CN"/>
        </w:rPr>
      </w:pPr>
      <w:r>
        <w:rPr>
          <w:rFonts w:hint="eastAsia" w:ascii="宋体" w:hAnsi="宋体" w:eastAsia="宋体" w:cs="Times New Roman"/>
          <w:bCs/>
          <w:color w:val="auto"/>
          <w:sz w:val="24"/>
          <w:szCs w:val="24"/>
          <w:highlight w:val="none"/>
        </w:rPr>
        <w:t>3.</w:t>
      </w:r>
      <w:r>
        <w:rPr>
          <w:rFonts w:hint="eastAsia" w:ascii="宋体" w:hAnsi="宋体" w:eastAsia="宋体" w:cs="Times New Roman"/>
          <w:bCs/>
          <w:color w:val="auto"/>
          <w:sz w:val="24"/>
          <w:szCs w:val="24"/>
          <w:highlight w:val="none"/>
          <w:lang w:val="en-US" w:eastAsia="zh-CN"/>
        </w:rPr>
        <w:t>3、根据《关于在政府采购活动中查询及使用信用记录有关问题的通知》(财库[2016]125号)和豫财购【2016】15号的规定，对列入失信被执行人、重大税收违法失信主体、政府采购严重违法失信行为记录名单的供应商，拒绝参与本项目采购活动；须提供中国执行信息公开网（http://zxgk.court.gov.cn/）关于“失信被执行人”查询截图；信用中国(www.creditchina.gov.cn）关于“重大税收违法失信主体”查询截图；中国政府采购网（www.ccgp.gov.cn）关于“政府采购严重违法失信行为记录名单”查询截图。查询日期自公告发布之日起，查询截止时间为投标截止时间止；</w:t>
      </w:r>
    </w:p>
    <w:p w14:paraId="35EBA25C">
      <w:pPr>
        <w:spacing w:line="360" w:lineRule="auto"/>
        <w:ind w:firstLine="480" w:firstLineChars="200"/>
        <w:rPr>
          <w:rFonts w:hint="default" w:ascii="宋体" w:hAnsi="宋体" w:eastAsia="宋体" w:cs="Times New Roman"/>
          <w:bCs/>
          <w:color w:val="auto"/>
          <w:sz w:val="24"/>
          <w:szCs w:val="24"/>
          <w:highlight w:val="none"/>
          <w:lang w:val="en-US" w:eastAsia="zh-CN"/>
        </w:rPr>
      </w:pPr>
      <w:r>
        <w:rPr>
          <w:rFonts w:hint="eastAsia" w:ascii="宋体" w:hAnsi="宋体" w:eastAsia="宋体" w:cs="Times New Roman"/>
          <w:bCs/>
          <w:color w:val="auto"/>
          <w:sz w:val="24"/>
          <w:szCs w:val="24"/>
          <w:highlight w:val="none"/>
          <w:lang w:val="en-US" w:eastAsia="zh-CN"/>
        </w:rPr>
        <w:t>3.4、单位负责人为同一人或者存在直接控股、管理关系的不同供应商，不得同时参加同一项目的投标（提供“国家企业信用信息公示系统”中公示的公司基础信息、股东或投资人信息，查询结果清晰可见）。</w:t>
      </w:r>
    </w:p>
    <w:p w14:paraId="25F60703">
      <w:pPr>
        <w:widowControl/>
        <w:spacing w:line="520" w:lineRule="atLeast"/>
        <w:rPr>
          <w:rFonts w:hint="eastAsia" w:ascii="宋体" w:hAnsi="宋体" w:eastAsia="宋体" w:cs="Times New Roman"/>
          <w:b/>
          <w:bCs/>
          <w:color w:val="auto"/>
          <w:kern w:val="0"/>
          <w:sz w:val="24"/>
          <w:szCs w:val="24"/>
          <w:highlight w:val="none"/>
          <w:lang w:eastAsia="zh-CN"/>
        </w:rPr>
      </w:pPr>
      <w:r>
        <w:rPr>
          <w:rFonts w:hint="eastAsia" w:ascii="宋体" w:hAnsi="宋体" w:eastAsia="宋体" w:cs="Times New Roman"/>
          <w:b/>
          <w:bCs/>
          <w:color w:val="auto"/>
          <w:kern w:val="0"/>
          <w:sz w:val="24"/>
          <w:szCs w:val="24"/>
          <w:highlight w:val="none"/>
          <w:lang w:eastAsia="zh-CN"/>
        </w:rPr>
        <w:t>注：以上为</w:t>
      </w:r>
      <w:r>
        <w:rPr>
          <w:rFonts w:hint="eastAsia" w:ascii="宋体" w:hAnsi="宋体" w:eastAsia="宋体" w:cs="Times New Roman"/>
          <w:b/>
          <w:bCs/>
          <w:color w:val="auto"/>
          <w:kern w:val="0"/>
          <w:sz w:val="24"/>
          <w:szCs w:val="24"/>
          <w:highlight w:val="none"/>
          <w:lang w:val="en-US" w:eastAsia="zh-CN"/>
        </w:rPr>
        <w:t>投标供应商</w:t>
      </w:r>
      <w:r>
        <w:rPr>
          <w:rFonts w:hint="eastAsia" w:ascii="宋体" w:hAnsi="宋体" w:eastAsia="宋体" w:cs="Times New Roman"/>
          <w:b/>
          <w:bCs/>
          <w:color w:val="auto"/>
          <w:kern w:val="0"/>
          <w:sz w:val="24"/>
          <w:szCs w:val="24"/>
          <w:highlight w:val="none"/>
          <w:lang w:eastAsia="zh-CN"/>
        </w:rPr>
        <w:t>资格审查必备资料，需按招标文件要求在投标文件中提供。</w:t>
      </w:r>
    </w:p>
    <w:p w14:paraId="1935B425">
      <w:pPr>
        <w:widowControl/>
        <w:spacing w:line="360" w:lineRule="auto"/>
        <w:jc w:val="center"/>
        <w:rPr>
          <w:rFonts w:ascii="Times New Roman" w:hAnsi="Times New Roman" w:eastAsia="宋体" w:cs="Times New Roman"/>
          <w:color w:val="auto"/>
          <w:kern w:val="0"/>
          <w:sz w:val="24"/>
          <w:szCs w:val="24"/>
          <w:highlight w:val="none"/>
        </w:rPr>
      </w:pPr>
      <w:r>
        <w:rPr>
          <w:rFonts w:hint="eastAsia" w:ascii="宋体" w:hAnsi="宋体" w:eastAsia="宋体" w:cs="Times New Roman"/>
          <w:b/>
          <w:bCs/>
          <w:color w:val="auto"/>
          <w:kern w:val="0"/>
          <w:sz w:val="24"/>
          <w:szCs w:val="24"/>
          <w:highlight w:val="none"/>
        </w:rPr>
        <w:br w:type="page"/>
      </w:r>
      <w:r>
        <w:rPr>
          <w:rFonts w:hint="eastAsia" w:ascii="宋体" w:hAnsi="宋体" w:eastAsia="宋体" w:cs="Times New Roman"/>
          <w:b/>
          <w:bCs/>
          <w:color w:val="auto"/>
          <w:kern w:val="0"/>
          <w:sz w:val="24"/>
          <w:szCs w:val="24"/>
          <w:highlight w:val="none"/>
          <w:lang w:val="en-US" w:eastAsia="zh-CN"/>
        </w:rPr>
        <w:t>八、</w:t>
      </w:r>
      <w:r>
        <w:rPr>
          <w:rFonts w:hint="eastAsia" w:ascii="宋体" w:hAnsi="宋体" w:eastAsia="宋体" w:cs="Times New Roman"/>
          <w:b/>
          <w:bCs/>
          <w:color w:val="auto"/>
          <w:kern w:val="0"/>
          <w:sz w:val="24"/>
          <w:szCs w:val="24"/>
          <w:highlight w:val="none"/>
        </w:rPr>
        <w:t>投标保证承诺函</w:t>
      </w:r>
    </w:p>
    <w:p w14:paraId="7F87B549">
      <w:pPr>
        <w:widowControl/>
        <w:spacing w:line="360" w:lineRule="auto"/>
        <w:rPr>
          <w:rFonts w:ascii="宋体" w:hAnsi="宋体" w:eastAsia="宋体" w:cs="Times New Roman"/>
          <w:color w:val="auto"/>
          <w:kern w:val="0"/>
          <w:sz w:val="24"/>
          <w:szCs w:val="24"/>
          <w:highlight w:val="none"/>
          <w:u w:val="single"/>
        </w:rPr>
      </w:pPr>
      <w:r>
        <w:rPr>
          <w:rFonts w:hint="eastAsia" w:ascii="宋体" w:hAnsi="宋体" w:eastAsia="宋体" w:cs="Times New Roman"/>
          <w:color w:val="auto"/>
          <w:kern w:val="0"/>
          <w:sz w:val="24"/>
          <w:szCs w:val="24"/>
          <w:highlight w:val="none"/>
        </w:rPr>
        <w:t>致</w:t>
      </w:r>
      <w:r>
        <w:rPr>
          <w:rFonts w:hint="eastAsia" w:ascii="宋体" w:hAnsi="宋体" w:eastAsia="宋体" w:cs="Times New Roman"/>
          <w:color w:val="auto"/>
          <w:kern w:val="0"/>
          <w:sz w:val="24"/>
          <w:szCs w:val="24"/>
          <w:highlight w:val="none"/>
          <w:u w:val="single"/>
        </w:rPr>
        <w:t>（采购人或采购代理机构名称）：</w:t>
      </w:r>
    </w:p>
    <w:p w14:paraId="1218D0BA">
      <w:pPr>
        <w:widowControl/>
        <w:spacing w:line="360" w:lineRule="auto"/>
        <w:ind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我单位承诺：</w:t>
      </w:r>
    </w:p>
    <w:p w14:paraId="75AAE68E">
      <w:pPr>
        <w:widowControl/>
        <w:spacing w:line="360" w:lineRule="auto"/>
        <w:ind w:firstLine="480" w:firstLineChars="200"/>
        <w:rPr>
          <w:rFonts w:ascii="宋体" w:hAnsi="宋体" w:eastAsia="宋体" w:cs="Times New Roman"/>
          <w:color w:val="auto"/>
          <w:kern w:val="0"/>
          <w:sz w:val="24"/>
          <w:szCs w:val="24"/>
          <w:highlight w:val="none"/>
          <w:shd w:val="clear" w:color="auto" w:fill="FFFFFF"/>
        </w:rPr>
      </w:pPr>
      <w:r>
        <w:rPr>
          <w:rFonts w:hint="eastAsia" w:ascii="宋体" w:hAnsi="宋体" w:eastAsia="宋体" w:cs="Times New Roman"/>
          <w:color w:val="auto"/>
          <w:kern w:val="0"/>
          <w:sz w:val="24"/>
          <w:szCs w:val="24"/>
          <w:highlight w:val="none"/>
        </w:rPr>
        <w:t>一、</w:t>
      </w:r>
      <w:r>
        <w:rPr>
          <w:rFonts w:hint="eastAsia" w:ascii="宋体" w:hAnsi="宋体" w:eastAsia="宋体" w:cs="Times New Roman"/>
          <w:color w:val="auto"/>
          <w:kern w:val="0"/>
          <w:sz w:val="24"/>
          <w:szCs w:val="24"/>
          <w:highlight w:val="none"/>
          <w:shd w:val="clear" w:color="auto" w:fill="FFFFFF"/>
        </w:rPr>
        <w:t>拒绝在中标通知书规定的时间内签订合同;</w:t>
      </w:r>
    </w:p>
    <w:p w14:paraId="0AA789A1">
      <w:pPr>
        <w:widowControl/>
        <w:spacing w:line="360" w:lineRule="auto"/>
        <w:ind w:firstLine="480" w:firstLineChars="200"/>
        <w:rPr>
          <w:rFonts w:ascii="宋体" w:hAnsi="宋体" w:eastAsia="宋体" w:cs="Times New Roman"/>
          <w:color w:val="auto"/>
          <w:kern w:val="0"/>
          <w:sz w:val="24"/>
          <w:szCs w:val="24"/>
          <w:highlight w:val="none"/>
          <w:shd w:val="clear" w:color="auto" w:fill="FFFFFF"/>
        </w:rPr>
      </w:pPr>
      <w:r>
        <w:rPr>
          <w:rFonts w:hint="eastAsia" w:ascii="宋体" w:hAnsi="宋体" w:eastAsia="宋体" w:cs="Times New Roman"/>
          <w:color w:val="auto"/>
          <w:kern w:val="0"/>
          <w:sz w:val="24"/>
          <w:szCs w:val="24"/>
          <w:highlight w:val="none"/>
          <w:shd w:val="clear" w:color="auto" w:fill="FFFFFF"/>
        </w:rPr>
        <w:t>二、在投标（响应）文件提供虚假材料的；</w:t>
      </w:r>
    </w:p>
    <w:p w14:paraId="0ABD694D">
      <w:pPr>
        <w:widowControl/>
        <w:spacing w:line="360" w:lineRule="auto"/>
        <w:ind w:firstLine="480" w:firstLineChars="20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三、供应商与招标人（采购人）、其他投标供应商或者代理机构恶意串通的；</w:t>
      </w:r>
    </w:p>
    <w:p w14:paraId="72ACFB8A">
      <w:pPr>
        <w:widowControl/>
        <w:spacing w:line="360" w:lineRule="auto"/>
        <w:ind w:firstLine="480"/>
        <w:rPr>
          <w:rFonts w:ascii="Times New Roman" w:hAnsi="Times New Roman"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如中标，我单位出现以上情况，造成采购人经济损失，我单位向采购人缴纳经济补偿，自觉承担违约责任。</w:t>
      </w:r>
    </w:p>
    <w:p w14:paraId="5F0A2E15">
      <w:pPr>
        <w:widowControl/>
        <w:spacing w:line="360" w:lineRule="auto"/>
        <w:ind w:firstLine="480" w:firstLineChars="200"/>
        <w:rPr>
          <w:rFonts w:ascii="宋体" w:hAnsi="宋体" w:eastAsia="宋体" w:cs="Times New Roman"/>
          <w:color w:val="auto"/>
          <w:kern w:val="0"/>
          <w:sz w:val="24"/>
          <w:szCs w:val="24"/>
          <w:highlight w:val="none"/>
        </w:rPr>
      </w:pPr>
    </w:p>
    <w:p w14:paraId="7BE1EDD6">
      <w:pPr>
        <w:widowControl/>
        <w:spacing w:line="360" w:lineRule="auto"/>
        <w:rPr>
          <w:rFonts w:ascii="宋体" w:hAnsi="宋体" w:eastAsia="宋体" w:cs="Times New Roman"/>
          <w:color w:val="auto"/>
          <w:kern w:val="0"/>
          <w:sz w:val="24"/>
          <w:szCs w:val="24"/>
          <w:highlight w:val="none"/>
        </w:rPr>
      </w:pPr>
    </w:p>
    <w:p w14:paraId="3B246F39">
      <w:pPr>
        <w:widowControl/>
        <w:spacing w:line="360" w:lineRule="auto"/>
        <w:ind w:firstLine="4440" w:firstLineChars="185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法定代表人：（电子签章）</w:t>
      </w:r>
    </w:p>
    <w:p w14:paraId="2EFAD5E4">
      <w:pPr>
        <w:widowControl/>
        <w:spacing w:line="360" w:lineRule="auto"/>
        <w:ind w:firstLine="48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w:t>
      </w:r>
      <w:r>
        <w:rPr>
          <w:rFonts w:hint="eastAsia" w:ascii="宋体" w:hAnsi="宋体" w:eastAsia="宋体" w:cs="Times New Roman"/>
          <w:color w:val="auto"/>
          <w:kern w:val="0"/>
          <w:sz w:val="24"/>
          <w:szCs w:val="24"/>
          <w:highlight w:val="none"/>
          <w:lang w:eastAsia="zh-CN"/>
        </w:rPr>
        <w:t>投标供应商</w:t>
      </w:r>
      <w:r>
        <w:rPr>
          <w:rFonts w:hint="eastAsia" w:ascii="宋体" w:hAnsi="宋体" w:eastAsia="宋体" w:cs="Times New Roman"/>
          <w:color w:val="auto"/>
          <w:kern w:val="0"/>
          <w:sz w:val="24"/>
          <w:szCs w:val="24"/>
          <w:highlight w:val="none"/>
        </w:rPr>
        <w:t>：（盖单位公章）</w:t>
      </w:r>
    </w:p>
    <w:p w14:paraId="3D197A8D">
      <w:pPr>
        <w:widowControl/>
        <w:spacing w:line="360" w:lineRule="auto"/>
        <w:ind w:firstLine="480"/>
        <w:rPr>
          <w:rFonts w:ascii="宋体" w:hAnsi="宋体" w:eastAsia="宋体" w:cs="Times New Roman"/>
          <w:color w:val="auto"/>
          <w:kern w:val="0"/>
          <w:sz w:val="24"/>
          <w:szCs w:val="24"/>
          <w:highlight w:val="none"/>
        </w:rPr>
      </w:pPr>
      <w:r>
        <w:rPr>
          <w:rFonts w:hint="eastAsia" w:ascii="宋体" w:hAnsi="宋体" w:eastAsia="宋体" w:cs="Times New Roman"/>
          <w:color w:val="auto"/>
          <w:kern w:val="0"/>
          <w:sz w:val="24"/>
          <w:szCs w:val="24"/>
          <w:highlight w:val="none"/>
        </w:rPr>
        <w:t xml:space="preserve">                                  年 月  日</w:t>
      </w:r>
    </w:p>
    <w:p w14:paraId="344F7663">
      <w:pPr>
        <w:widowControl/>
        <w:spacing w:line="360" w:lineRule="auto"/>
        <w:jc w:val="center"/>
        <w:rPr>
          <w:rFonts w:ascii="宋体" w:hAnsi="宋体" w:eastAsia="宋体" w:cs="Times New Roman"/>
          <w:b/>
          <w:bCs/>
          <w:color w:val="auto"/>
          <w:kern w:val="0"/>
          <w:sz w:val="24"/>
          <w:szCs w:val="24"/>
          <w:highlight w:val="none"/>
        </w:rPr>
      </w:pPr>
    </w:p>
    <w:p w14:paraId="5605FBAC">
      <w:pPr>
        <w:widowControl/>
        <w:spacing w:line="360" w:lineRule="auto"/>
        <w:jc w:val="center"/>
        <w:rPr>
          <w:rFonts w:ascii="宋体" w:hAnsi="宋体" w:eastAsia="宋体" w:cs="Times New Roman"/>
          <w:b/>
          <w:bCs/>
          <w:color w:val="auto"/>
          <w:kern w:val="0"/>
          <w:sz w:val="28"/>
          <w:szCs w:val="28"/>
          <w:highlight w:val="none"/>
        </w:rPr>
      </w:pPr>
    </w:p>
    <w:p w14:paraId="55F4D6B6">
      <w:pPr>
        <w:widowControl/>
        <w:spacing w:line="360" w:lineRule="auto"/>
        <w:jc w:val="center"/>
        <w:rPr>
          <w:rFonts w:ascii="宋体" w:hAnsi="宋体" w:eastAsia="宋体" w:cs="Times New Roman"/>
          <w:b/>
          <w:bCs/>
          <w:color w:val="auto"/>
          <w:kern w:val="0"/>
          <w:sz w:val="28"/>
          <w:szCs w:val="28"/>
          <w:highlight w:val="none"/>
        </w:rPr>
      </w:pPr>
    </w:p>
    <w:p w14:paraId="5EB506F1">
      <w:pPr>
        <w:widowControl/>
        <w:spacing w:line="360" w:lineRule="auto"/>
        <w:rPr>
          <w:rFonts w:ascii="宋体" w:hAnsi="宋体" w:eastAsia="宋体" w:cs="Times New Roman"/>
          <w:b/>
          <w:bCs/>
          <w:color w:val="auto"/>
          <w:kern w:val="0"/>
          <w:sz w:val="24"/>
          <w:szCs w:val="24"/>
          <w:highlight w:val="none"/>
        </w:rPr>
      </w:pPr>
    </w:p>
    <w:p w14:paraId="11179FAA">
      <w:pPr>
        <w:widowControl/>
        <w:jc w:val="left"/>
        <w:rPr>
          <w:rFonts w:ascii="Times New Roman" w:hAnsi="Times New Roman" w:eastAsia="宋体" w:cs="Times New Roman"/>
          <w:color w:val="auto"/>
          <w:szCs w:val="24"/>
          <w:highlight w:val="none"/>
        </w:rPr>
      </w:pPr>
      <w:r>
        <w:rPr>
          <w:rFonts w:ascii="宋体" w:hAnsi="宋体" w:eastAsia="宋体" w:cs="Times New Roman"/>
          <w:b/>
          <w:bCs/>
          <w:color w:val="auto"/>
          <w:kern w:val="0"/>
          <w:sz w:val="24"/>
          <w:szCs w:val="24"/>
          <w:highlight w:val="none"/>
        </w:rPr>
        <w:br w:type="page"/>
      </w:r>
    </w:p>
    <w:p w14:paraId="7FA09F29">
      <w:pPr>
        <w:widowControl/>
        <w:spacing w:line="360" w:lineRule="auto"/>
        <w:jc w:val="center"/>
        <w:rPr>
          <w:rFonts w:ascii="宋体" w:hAnsi="宋体" w:eastAsia="宋体" w:cs="Times New Roman"/>
          <w:b/>
          <w:bCs/>
          <w:color w:val="auto"/>
          <w:kern w:val="0"/>
          <w:sz w:val="24"/>
          <w:szCs w:val="24"/>
          <w:highlight w:val="none"/>
        </w:rPr>
      </w:pPr>
      <w:r>
        <w:rPr>
          <w:rFonts w:hint="eastAsia" w:ascii="Times New Roman" w:hAnsi="Times New Roman" w:eastAsia="宋体" w:cs="Times New Roman"/>
          <w:b/>
          <w:bCs/>
          <w:color w:val="auto"/>
          <w:szCs w:val="24"/>
          <w:highlight w:val="none"/>
          <w:lang w:val="en-US" w:eastAsia="zh-CN"/>
        </w:rPr>
        <w:t>九、</w:t>
      </w:r>
      <w:r>
        <w:rPr>
          <w:rFonts w:hint="eastAsia" w:ascii="宋体" w:hAnsi="宋体" w:eastAsia="宋体" w:cs="Times New Roman"/>
          <w:b/>
          <w:bCs/>
          <w:color w:val="auto"/>
          <w:kern w:val="0"/>
          <w:sz w:val="24"/>
          <w:szCs w:val="24"/>
          <w:highlight w:val="none"/>
          <w:lang w:eastAsia="zh-CN"/>
        </w:rPr>
        <w:t>投标供应商</w:t>
      </w:r>
      <w:r>
        <w:rPr>
          <w:rFonts w:hint="eastAsia" w:ascii="宋体" w:hAnsi="宋体" w:eastAsia="宋体" w:cs="Times New Roman"/>
          <w:b/>
          <w:bCs/>
          <w:color w:val="auto"/>
          <w:kern w:val="0"/>
          <w:sz w:val="24"/>
          <w:szCs w:val="24"/>
          <w:highlight w:val="none"/>
        </w:rPr>
        <w:t>资格声明函</w:t>
      </w:r>
    </w:p>
    <w:p w14:paraId="286DB3B3">
      <w:pPr>
        <w:spacing w:line="360" w:lineRule="auto"/>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u w:val="single"/>
        </w:rPr>
        <w:t>致（采购人或采购代理机构名称）</w:t>
      </w:r>
      <w:r>
        <w:rPr>
          <w:rFonts w:hint="eastAsia" w:ascii="Times New Roman" w:hAnsi="Times New Roman" w:eastAsia="宋体" w:cs="Times New Roman"/>
          <w:color w:val="auto"/>
          <w:sz w:val="24"/>
          <w:szCs w:val="24"/>
          <w:highlight w:val="none"/>
        </w:rPr>
        <w:t>：</w:t>
      </w:r>
    </w:p>
    <w:p w14:paraId="0D3ED5CC">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我方自愿参与（项目名称：</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项目编号：</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）项目的投标，提供的投标文件资料均保证来源渠道合法、材料真实，若提供的材料有虚假内容，我方愿意承担一切与之项目有关的责任。 </w:t>
      </w:r>
    </w:p>
    <w:p w14:paraId="5BB9C241">
      <w:pPr>
        <w:spacing w:line="360" w:lineRule="auto"/>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我方在此声明，我方具备并满足《中华人民共和国政府采购法》二十二条所规定的条件：</w:t>
      </w:r>
    </w:p>
    <w:p w14:paraId="1A402E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(一)具有独立承担民事责任的能力；</w:t>
      </w:r>
    </w:p>
    <w:p w14:paraId="57D71FF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(二)具有良好的商业信誉和健全的财务会计制度；</w:t>
      </w:r>
    </w:p>
    <w:p w14:paraId="7DEFF41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(三)具有履行合同所必需的设备和专业技术能力；</w:t>
      </w:r>
    </w:p>
    <w:p w14:paraId="3B17DA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(四)有依法缴纳税收和社会保障资金的良好记录；</w:t>
      </w:r>
    </w:p>
    <w:p w14:paraId="41E15D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(五)参加政府采购活动前三年内，在经营活动中没有重大违法记录；</w:t>
      </w:r>
    </w:p>
    <w:p w14:paraId="519C2B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(六)法律、行政法规规定的其他条件。</w:t>
      </w:r>
    </w:p>
    <w:p w14:paraId="624967B7">
      <w:pPr>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我方保证上述信息的真实和准确，并愿意承担因我方就此弄虚作假所引起的一切法律后果。</w:t>
      </w:r>
    </w:p>
    <w:p w14:paraId="6BAD19BA">
      <w:pPr>
        <w:pStyle w:val="12"/>
        <w:rPr>
          <w:rFonts w:hint="eastAsia" w:eastAsia="宋体"/>
          <w:color w:val="auto"/>
          <w:highlight w:val="none"/>
          <w:lang w:val="en-US" w:eastAsia="zh-CN"/>
        </w:rPr>
      </w:pPr>
    </w:p>
    <w:p w14:paraId="3B10CD84">
      <w:pPr>
        <w:spacing w:line="360" w:lineRule="auto"/>
        <w:rPr>
          <w:rFonts w:ascii="宋体" w:hAnsi="宋体" w:eastAsia="宋体" w:cs="宋体"/>
          <w:color w:val="auto"/>
          <w:sz w:val="24"/>
          <w:szCs w:val="24"/>
          <w:highlight w:val="none"/>
        </w:rPr>
      </w:pPr>
    </w:p>
    <w:p w14:paraId="51BC60F4">
      <w:pPr>
        <w:spacing w:line="360" w:lineRule="auto"/>
        <w:rPr>
          <w:rFonts w:ascii="宋体" w:hAnsi="宋体" w:eastAsia="宋体" w:cs="宋体"/>
          <w:color w:val="auto"/>
          <w:sz w:val="24"/>
          <w:szCs w:val="24"/>
          <w:highlight w:val="none"/>
        </w:rPr>
      </w:pPr>
    </w:p>
    <w:p w14:paraId="7BCC8F70">
      <w:pPr>
        <w:spacing w:line="360" w:lineRule="auto"/>
        <w:rPr>
          <w:rFonts w:ascii="宋体" w:hAnsi="宋体" w:eastAsia="宋体" w:cs="Times New Roman"/>
          <w:color w:val="auto"/>
          <w:sz w:val="24"/>
          <w:szCs w:val="24"/>
          <w:highlight w:val="none"/>
        </w:rPr>
      </w:pPr>
    </w:p>
    <w:p w14:paraId="371C4C49">
      <w:pPr>
        <w:spacing w:line="360" w:lineRule="auto"/>
        <w:ind w:firstLine="3960" w:firstLineChars="165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法定代表人：（电子签章）</w:t>
      </w:r>
    </w:p>
    <w:p w14:paraId="1D91E178">
      <w:pPr>
        <w:spacing w:line="360" w:lineRule="auto"/>
        <w:ind w:firstLine="3960" w:firstLineChars="165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lang w:eastAsia="zh-CN"/>
        </w:rPr>
        <w:t>投标供应商</w:t>
      </w:r>
      <w:r>
        <w:rPr>
          <w:rFonts w:hint="eastAsia" w:ascii="宋体" w:hAnsi="宋体" w:eastAsia="宋体" w:cs="Times New Roman"/>
          <w:color w:val="auto"/>
          <w:sz w:val="24"/>
          <w:szCs w:val="24"/>
          <w:highlight w:val="none"/>
        </w:rPr>
        <w:t>：（盖单位公章）</w:t>
      </w:r>
    </w:p>
    <w:p w14:paraId="0FDED77B">
      <w:pPr>
        <w:spacing w:line="360" w:lineRule="auto"/>
        <w:ind w:firstLine="4080" w:firstLineChars="1700"/>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年  月  日</w:t>
      </w:r>
    </w:p>
    <w:p w14:paraId="67ABCFD3">
      <w:pPr>
        <w:widowControl/>
        <w:jc w:val="left"/>
        <w:rPr>
          <w:rFonts w:hint="eastAsia" w:ascii="宋体" w:hAnsi="宋体" w:eastAsia="宋体" w:cs="Times New Roman"/>
          <w:b/>
          <w:bCs/>
          <w:color w:val="auto"/>
          <w:kern w:val="0"/>
          <w:sz w:val="28"/>
          <w:szCs w:val="28"/>
          <w:highlight w:val="none"/>
        </w:rPr>
      </w:pPr>
      <w:r>
        <w:rPr>
          <w:rFonts w:hint="eastAsia" w:ascii="宋体" w:hAnsi="宋体" w:eastAsia="宋体" w:cs="Times New Roman"/>
          <w:b/>
          <w:bCs/>
          <w:color w:val="auto"/>
          <w:kern w:val="0"/>
          <w:sz w:val="28"/>
          <w:szCs w:val="28"/>
          <w:highlight w:val="none"/>
        </w:rPr>
        <w:br w:type="page"/>
      </w:r>
    </w:p>
    <w:p w14:paraId="5CF330E5">
      <w:pPr>
        <w:pStyle w:val="5"/>
        <w:jc w:val="center"/>
        <w:rPr>
          <w:rFonts w:hint="eastAsia" w:ascii="宋体" w:hAnsi="宋体" w:eastAsia="宋体" w:cs="Times New Roman"/>
          <w:b/>
          <w:bCs/>
          <w:color w:val="auto"/>
          <w:kern w:val="0"/>
          <w:sz w:val="24"/>
          <w:szCs w:val="24"/>
          <w:highlight w:val="none"/>
          <w:lang w:val="en-GB" w:eastAsia="zh-CN" w:bidi="ar-SA"/>
        </w:rPr>
      </w:pPr>
      <w:r>
        <w:rPr>
          <w:rFonts w:hint="eastAsia" w:ascii="宋体" w:hAnsi="宋体" w:eastAsia="宋体" w:cs="Times New Roman"/>
          <w:b/>
          <w:bCs/>
          <w:color w:val="auto"/>
          <w:kern w:val="0"/>
          <w:sz w:val="24"/>
          <w:szCs w:val="24"/>
          <w:highlight w:val="none"/>
          <w:lang w:val="en-US" w:eastAsia="zh-CN" w:bidi="ar-SA"/>
        </w:rPr>
        <w:t>十、</w:t>
      </w:r>
      <w:r>
        <w:rPr>
          <w:rFonts w:hint="eastAsia" w:ascii="宋体" w:hAnsi="宋体" w:eastAsia="宋体" w:cs="Times New Roman"/>
          <w:b/>
          <w:bCs/>
          <w:color w:val="auto"/>
          <w:kern w:val="0"/>
          <w:sz w:val="24"/>
          <w:szCs w:val="24"/>
          <w:highlight w:val="none"/>
          <w:lang w:val="en-GB" w:eastAsia="zh-CN" w:bidi="ar-SA"/>
        </w:rPr>
        <w:t>关于符合本国产品标准的声明函</w:t>
      </w:r>
    </w:p>
    <w:p w14:paraId="203DFEDB">
      <w:pPr>
        <w:spacing w:after="156" w:afterLines="50" w:line="520" w:lineRule="exact"/>
        <w:ind w:firstLine="480"/>
        <w:jc w:val="left"/>
        <w:rPr>
          <w:rFonts w:hint="eastAsia" w:asciiTheme="minorEastAsia" w:hAnsiTheme="minorEastAsia" w:eastAsiaTheme="minorEastAsia" w:cstheme="minorEastAsia"/>
          <w:i w:val="0"/>
          <w:iCs w:val="0"/>
          <w:caps w:val="0"/>
          <w:color w:val="auto"/>
          <w:spacing w:val="0"/>
          <w:sz w:val="24"/>
          <w:szCs w:val="24"/>
          <w:highlight w:val="none"/>
          <w:shd w:val="clear" w:color="auto" w:fill="FFFFFF"/>
        </w:rPr>
      </w:pP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537B12F6">
      <w:pPr>
        <w:numPr>
          <w:ilvl w:val="0"/>
          <w:numId w:val="17"/>
        </w:numPr>
        <w:spacing w:after="156" w:afterLines="50" w:line="520" w:lineRule="exact"/>
        <w:ind w:firstLine="480"/>
        <w:jc w:val="left"/>
        <w:rPr>
          <w:rFonts w:hint="eastAsia" w:asciiTheme="minorEastAsia" w:hAnsiTheme="minorEastAsia" w:eastAsiaTheme="minorEastAsia" w:cstheme="minorEastAsia"/>
          <w:i w:val="0"/>
          <w:iCs w:val="0"/>
          <w:caps w:val="0"/>
          <w:color w:val="auto"/>
          <w:spacing w:val="0"/>
          <w:sz w:val="24"/>
          <w:szCs w:val="24"/>
          <w:highlight w:val="none"/>
          <w:shd w:val="clear" w:color="auto" w:fill="FFFFFF"/>
        </w:rPr>
      </w:pPr>
      <w:r>
        <w:rPr>
          <w:rStyle w:val="17"/>
          <w:rFonts w:hint="eastAsia" w:asciiTheme="minorEastAsia" w:hAnsiTheme="minorEastAsia" w:eastAsiaTheme="minorEastAsia" w:cstheme="minorEastAsia"/>
          <w:i w:val="0"/>
          <w:iCs w:val="0"/>
          <w:caps w:val="0"/>
          <w:color w:val="auto"/>
          <w:spacing w:val="0"/>
          <w:sz w:val="24"/>
          <w:szCs w:val="24"/>
          <w:highlight w:val="none"/>
          <w:u w:val="single"/>
          <w:vertAlign w:val="baseline"/>
        </w:rPr>
        <w:t>（产品名称</w:t>
      </w:r>
      <w:r>
        <w:rPr>
          <w:rStyle w:val="17"/>
          <w:rFonts w:hint="eastAsia" w:asciiTheme="minorEastAsia" w:hAnsiTheme="minorEastAsia" w:cstheme="minorEastAsia"/>
          <w:i w:val="0"/>
          <w:iCs w:val="0"/>
          <w:caps w:val="0"/>
          <w:color w:val="auto"/>
          <w:spacing w:val="0"/>
          <w:sz w:val="24"/>
          <w:szCs w:val="24"/>
          <w:highlight w:val="none"/>
          <w:u w:val="single"/>
          <w:vertAlign w:val="baseline"/>
          <w:lang w:val="en-US" w:eastAsia="zh-CN"/>
        </w:rPr>
        <w:t>1</w:t>
      </w:r>
      <w:r>
        <w:rPr>
          <w:rStyle w:val="17"/>
          <w:rFonts w:hint="eastAsia" w:asciiTheme="minorEastAsia" w:hAnsiTheme="minorEastAsia" w:eastAsiaTheme="minorEastAsia" w:cstheme="minorEastAsia"/>
          <w:i w:val="0"/>
          <w:iCs w:val="0"/>
          <w:caps w:val="0"/>
          <w:color w:val="auto"/>
          <w:spacing w:val="0"/>
          <w:sz w:val="24"/>
          <w:szCs w:val="24"/>
          <w:highlight w:val="none"/>
          <w:u w:val="single"/>
          <w:vertAlign w:val="baseline"/>
        </w:rPr>
        <w:t>）</w:t>
      </w:r>
      <w:r>
        <w:rPr>
          <w:rStyle w:val="17"/>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，生产厂为</w:t>
      </w:r>
      <w:r>
        <w:rPr>
          <w:rStyle w:val="17"/>
          <w:rFonts w:hint="eastAsia" w:asciiTheme="minorEastAsia" w:hAnsiTheme="minorEastAsia" w:eastAsiaTheme="minorEastAsia" w:cstheme="minorEastAsia"/>
          <w:i w:val="0"/>
          <w:iCs w:val="0"/>
          <w:caps w:val="0"/>
          <w:color w:val="auto"/>
          <w:spacing w:val="0"/>
          <w:sz w:val="24"/>
          <w:szCs w:val="24"/>
          <w:highlight w:val="none"/>
          <w:u w:val="single"/>
          <w:vertAlign w:val="baseline"/>
        </w:rPr>
        <w:t>（厂名）</w:t>
      </w:r>
      <w:r>
        <w:rPr>
          <w:rStyle w:val="17"/>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，厂址为</w:t>
      </w:r>
      <w:r>
        <w:rPr>
          <w:rStyle w:val="17"/>
          <w:rFonts w:hint="eastAsia" w:asciiTheme="minorEastAsia" w:hAnsiTheme="minorEastAsia" w:eastAsiaTheme="minorEastAsia" w:cstheme="minorEastAsia"/>
          <w:i w:val="0"/>
          <w:iCs w:val="0"/>
          <w:caps w:val="0"/>
          <w:color w:val="auto"/>
          <w:spacing w:val="0"/>
          <w:sz w:val="24"/>
          <w:szCs w:val="24"/>
          <w:highlight w:val="none"/>
          <w:u w:val="single"/>
          <w:vertAlign w:val="baseline"/>
        </w:rPr>
        <w:t>（生产厂址）</w:t>
      </w:r>
      <w:r>
        <w:rPr>
          <w:rStyle w:val="17"/>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w:t>
      </w:r>
      <w:r>
        <w:rPr>
          <w:rStyle w:val="17"/>
          <w:rFonts w:hint="eastAsia" w:asciiTheme="minorEastAsia" w:hAnsiTheme="minorEastAsia" w:eastAsiaTheme="minorEastAsia" w:cstheme="minorEastAsia"/>
          <w:i w:val="0"/>
          <w:iCs w:val="0"/>
          <w:caps w:val="0"/>
          <w:color w:val="auto"/>
          <w:spacing w:val="0"/>
          <w:sz w:val="24"/>
          <w:szCs w:val="24"/>
          <w:highlight w:val="none"/>
          <w:u w:val="single"/>
          <w:vertAlign w:val="baseline"/>
        </w:rPr>
        <w:t>（产品名称1）</w:t>
      </w:r>
      <w:r>
        <w:rPr>
          <w:rStyle w:val="17"/>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的中国境内生产的组件成本占比≥</w:t>
      </w:r>
      <w:r>
        <w:rPr>
          <w:rStyle w:val="17"/>
          <w:rFonts w:hint="eastAsia" w:asciiTheme="minorEastAsia" w:hAnsiTheme="minorEastAsia" w:eastAsiaTheme="minorEastAsia" w:cstheme="minorEastAsia"/>
          <w:i w:val="0"/>
          <w:iCs w:val="0"/>
          <w:caps w:val="0"/>
          <w:color w:val="auto"/>
          <w:spacing w:val="0"/>
          <w:sz w:val="24"/>
          <w:szCs w:val="24"/>
          <w:highlight w:val="none"/>
          <w:u w:val="single"/>
          <w:vertAlign w:val="baseline"/>
        </w:rPr>
        <w:t>（规定比例）</w:t>
      </w:r>
      <w:r>
        <w:rPr>
          <w:rStyle w:val="17"/>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w:t>
      </w:r>
      <w:r>
        <w:rPr>
          <w:rStyle w:val="17"/>
          <w:rFonts w:hint="eastAsia" w:asciiTheme="minorEastAsia" w:hAnsiTheme="minorEastAsia" w:eastAsiaTheme="minorEastAsia" w:cstheme="minorEastAsia"/>
          <w:i w:val="0"/>
          <w:iCs w:val="0"/>
          <w:caps w:val="0"/>
          <w:color w:val="auto"/>
          <w:spacing w:val="0"/>
          <w:sz w:val="24"/>
          <w:szCs w:val="24"/>
          <w:highlight w:val="none"/>
          <w:u w:val="single"/>
          <w:vertAlign w:val="baseline"/>
        </w:rPr>
        <w:t>（产品名称1）</w:t>
      </w:r>
      <w:r>
        <w:rPr>
          <w:rStyle w:val="17"/>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的</w:t>
      </w:r>
      <w:r>
        <w:rPr>
          <w:rStyle w:val="17"/>
          <w:rFonts w:hint="eastAsia" w:asciiTheme="minorEastAsia" w:hAnsiTheme="minorEastAsia" w:eastAsiaTheme="minorEastAsia" w:cstheme="minorEastAsia"/>
          <w:i w:val="0"/>
          <w:iCs w:val="0"/>
          <w:caps w:val="0"/>
          <w:color w:val="auto"/>
          <w:spacing w:val="0"/>
          <w:sz w:val="24"/>
          <w:szCs w:val="24"/>
          <w:highlight w:val="none"/>
          <w:u w:val="single"/>
          <w:vertAlign w:val="baseline"/>
        </w:rPr>
        <w:t>（关键组件</w:t>
      </w:r>
      <w:r>
        <w:rPr>
          <w:rStyle w:val="17"/>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Style w:val="17"/>
          <w:rFonts w:hint="eastAsia" w:asciiTheme="minorEastAsia" w:hAnsiTheme="minorEastAsia" w:eastAsiaTheme="minorEastAsia" w:cstheme="minorEastAsia"/>
          <w:i w:val="0"/>
          <w:iCs w:val="0"/>
          <w:caps w:val="0"/>
          <w:color w:val="auto"/>
          <w:spacing w:val="0"/>
          <w:sz w:val="24"/>
          <w:szCs w:val="24"/>
          <w:highlight w:val="none"/>
          <w:u w:val="single"/>
          <w:vertAlign w:val="baseline"/>
        </w:rPr>
        <w:t>）</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在中国境内生产。</w:t>
      </w:r>
      <w:r>
        <w:rPr>
          <w:rStyle w:val="17"/>
          <w:rFonts w:hint="eastAsia" w:asciiTheme="minorEastAsia" w:hAnsiTheme="minorEastAsia" w:eastAsiaTheme="minorEastAsia" w:cstheme="minorEastAsia"/>
          <w:i w:val="0"/>
          <w:iCs w:val="0"/>
          <w:caps w:val="0"/>
          <w:color w:val="auto"/>
          <w:spacing w:val="0"/>
          <w:sz w:val="24"/>
          <w:szCs w:val="24"/>
          <w:highlight w:val="none"/>
          <w:u w:val="single"/>
          <w:vertAlign w:val="baseline"/>
        </w:rPr>
        <w:t>（产品名称1）</w:t>
      </w:r>
      <w:r>
        <w:rPr>
          <w:rStyle w:val="17"/>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的</w:t>
      </w:r>
      <w:r>
        <w:rPr>
          <w:rStyle w:val="17"/>
          <w:rFonts w:hint="eastAsia" w:asciiTheme="minorEastAsia" w:hAnsiTheme="minorEastAsia" w:eastAsiaTheme="minorEastAsia" w:cstheme="minorEastAsia"/>
          <w:i w:val="0"/>
          <w:iCs w:val="0"/>
          <w:caps w:val="0"/>
          <w:color w:val="auto"/>
          <w:spacing w:val="0"/>
          <w:sz w:val="24"/>
          <w:szCs w:val="24"/>
          <w:highlight w:val="none"/>
          <w:u w:val="single"/>
          <w:vertAlign w:val="baseline"/>
        </w:rPr>
        <w:t>（关键工序）</w:t>
      </w:r>
      <w:r>
        <w:rPr>
          <w:rStyle w:val="17"/>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在中国境内完成。</w:t>
      </w:r>
    </w:p>
    <w:p w14:paraId="47136944">
      <w:pPr>
        <w:numPr>
          <w:ilvl w:val="0"/>
          <w:numId w:val="17"/>
        </w:numPr>
        <w:spacing w:after="156" w:afterLines="50" w:line="520" w:lineRule="exact"/>
        <w:ind w:firstLine="480"/>
        <w:jc w:val="left"/>
        <w:rPr>
          <w:rFonts w:hint="eastAsia" w:asciiTheme="minorEastAsia" w:hAnsiTheme="minorEastAsia" w:eastAsiaTheme="minorEastAsia" w:cstheme="minorEastAsia"/>
          <w:i w:val="0"/>
          <w:iCs w:val="0"/>
          <w:caps w:val="0"/>
          <w:color w:val="auto"/>
          <w:spacing w:val="0"/>
          <w:sz w:val="24"/>
          <w:szCs w:val="24"/>
          <w:highlight w:val="none"/>
          <w:shd w:val="clear" w:color="auto" w:fill="FFFFFF"/>
        </w:rPr>
      </w:pPr>
      <w:r>
        <w:rPr>
          <w:rStyle w:val="17"/>
          <w:rFonts w:hint="eastAsia" w:asciiTheme="minorEastAsia" w:hAnsiTheme="minorEastAsia" w:eastAsiaTheme="minorEastAsia" w:cstheme="minorEastAsia"/>
          <w:i w:val="0"/>
          <w:iCs w:val="0"/>
          <w:caps w:val="0"/>
          <w:color w:val="auto"/>
          <w:spacing w:val="0"/>
          <w:sz w:val="24"/>
          <w:szCs w:val="24"/>
          <w:highlight w:val="none"/>
          <w:u w:val="single"/>
          <w:vertAlign w:val="baseline"/>
        </w:rPr>
        <w:t>（产品名称</w:t>
      </w:r>
      <w:r>
        <w:rPr>
          <w:rStyle w:val="17"/>
          <w:rFonts w:hint="eastAsia" w:asciiTheme="minorEastAsia" w:hAnsiTheme="minorEastAsia" w:cstheme="minorEastAsia"/>
          <w:i w:val="0"/>
          <w:iCs w:val="0"/>
          <w:caps w:val="0"/>
          <w:color w:val="auto"/>
          <w:spacing w:val="0"/>
          <w:sz w:val="24"/>
          <w:szCs w:val="24"/>
          <w:highlight w:val="none"/>
          <w:u w:val="single"/>
          <w:vertAlign w:val="baseline"/>
          <w:lang w:val="en-US" w:eastAsia="zh-CN"/>
        </w:rPr>
        <w:t>2</w:t>
      </w:r>
      <w:r>
        <w:rPr>
          <w:rStyle w:val="17"/>
          <w:rFonts w:hint="eastAsia" w:asciiTheme="minorEastAsia" w:hAnsiTheme="minorEastAsia" w:eastAsiaTheme="minorEastAsia" w:cstheme="minorEastAsia"/>
          <w:i w:val="0"/>
          <w:iCs w:val="0"/>
          <w:caps w:val="0"/>
          <w:color w:val="auto"/>
          <w:spacing w:val="0"/>
          <w:sz w:val="24"/>
          <w:szCs w:val="24"/>
          <w:highlight w:val="none"/>
          <w:u w:val="single"/>
          <w:vertAlign w:val="baseline"/>
        </w:rPr>
        <w:t>）</w:t>
      </w:r>
      <w:r>
        <w:rPr>
          <w:rStyle w:val="17"/>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，生产厂为</w:t>
      </w:r>
      <w:r>
        <w:rPr>
          <w:rStyle w:val="17"/>
          <w:rFonts w:hint="eastAsia" w:asciiTheme="minorEastAsia" w:hAnsiTheme="minorEastAsia" w:eastAsiaTheme="minorEastAsia" w:cstheme="minorEastAsia"/>
          <w:i w:val="0"/>
          <w:iCs w:val="0"/>
          <w:caps w:val="0"/>
          <w:color w:val="auto"/>
          <w:spacing w:val="0"/>
          <w:sz w:val="24"/>
          <w:szCs w:val="24"/>
          <w:highlight w:val="none"/>
          <w:u w:val="single"/>
          <w:vertAlign w:val="baseline"/>
        </w:rPr>
        <w:t>（厂名）</w:t>
      </w:r>
      <w:r>
        <w:rPr>
          <w:rStyle w:val="17"/>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，厂址为</w:t>
      </w:r>
      <w:r>
        <w:rPr>
          <w:rStyle w:val="17"/>
          <w:rFonts w:hint="eastAsia" w:asciiTheme="minorEastAsia" w:hAnsiTheme="minorEastAsia" w:eastAsiaTheme="minorEastAsia" w:cstheme="minorEastAsia"/>
          <w:i w:val="0"/>
          <w:iCs w:val="0"/>
          <w:caps w:val="0"/>
          <w:color w:val="auto"/>
          <w:spacing w:val="0"/>
          <w:sz w:val="24"/>
          <w:szCs w:val="24"/>
          <w:highlight w:val="none"/>
          <w:u w:val="single"/>
          <w:vertAlign w:val="baseline"/>
        </w:rPr>
        <w:t>（生产厂址）</w:t>
      </w:r>
      <w:r>
        <w:rPr>
          <w:rStyle w:val="17"/>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w:t>
      </w:r>
      <w:r>
        <w:rPr>
          <w:rStyle w:val="17"/>
          <w:rFonts w:hint="eastAsia" w:asciiTheme="minorEastAsia" w:hAnsiTheme="minorEastAsia" w:eastAsiaTheme="minorEastAsia" w:cstheme="minorEastAsia"/>
          <w:i w:val="0"/>
          <w:iCs w:val="0"/>
          <w:caps w:val="0"/>
          <w:color w:val="auto"/>
          <w:spacing w:val="0"/>
          <w:sz w:val="24"/>
          <w:szCs w:val="24"/>
          <w:highlight w:val="none"/>
          <w:u w:val="single"/>
          <w:vertAlign w:val="baseline"/>
        </w:rPr>
        <w:t>（产品名称</w:t>
      </w:r>
      <w:r>
        <w:rPr>
          <w:rStyle w:val="17"/>
          <w:rFonts w:hint="eastAsia" w:asciiTheme="minorEastAsia" w:hAnsiTheme="minorEastAsia" w:cstheme="minorEastAsia"/>
          <w:i w:val="0"/>
          <w:iCs w:val="0"/>
          <w:caps w:val="0"/>
          <w:color w:val="auto"/>
          <w:spacing w:val="0"/>
          <w:sz w:val="24"/>
          <w:szCs w:val="24"/>
          <w:highlight w:val="none"/>
          <w:u w:val="single"/>
          <w:vertAlign w:val="baseline"/>
          <w:lang w:val="en-US" w:eastAsia="zh-CN"/>
        </w:rPr>
        <w:t>2</w:t>
      </w:r>
      <w:r>
        <w:rPr>
          <w:rStyle w:val="17"/>
          <w:rFonts w:hint="eastAsia" w:asciiTheme="minorEastAsia" w:hAnsiTheme="minorEastAsia" w:eastAsiaTheme="minorEastAsia" w:cstheme="minorEastAsia"/>
          <w:i w:val="0"/>
          <w:iCs w:val="0"/>
          <w:caps w:val="0"/>
          <w:color w:val="auto"/>
          <w:spacing w:val="0"/>
          <w:sz w:val="24"/>
          <w:szCs w:val="24"/>
          <w:highlight w:val="none"/>
          <w:u w:val="single"/>
          <w:vertAlign w:val="baseline"/>
        </w:rPr>
        <w:t>）</w:t>
      </w:r>
      <w:r>
        <w:rPr>
          <w:rStyle w:val="17"/>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的中国境内生产的组件成本占比≥</w:t>
      </w:r>
      <w:r>
        <w:rPr>
          <w:rStyle w:val="17"/>
          <w:rFonts w:hint="eastAsia" w:asciiTheme="minorEastAsia" w:hAnsiTheme="minorEastAsia" w:eastAsiaTheme="minorEastAsia" w:cstheme="minorEastAsia"/>
          <w:i w:val="0"/>
          <w:iCs w:val="0"/>
          <w:caps w:val="0"/>
          <w:color w:val="auto"/>
          <w:spacing w:val="0"/>
          <w:sz w:val="24"/>
          <w:szCs w:val="24"/>
          <w:highlight w:val="none"/>
          <w:u w:val="single"/>
          <w:vertAlign w:val="baseline"/>
        </w:rPr>
        <w:t>（规定比例）</w:t>
      </w:r>
      <w:r>
        <w:rPr>
          <w:rStyle w:val="17"/>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w:t>
      </w:r>
      <w:r>
        <w:rPr>
          <w:rStyle w:val="17"/>
          <w:rFonts w:hint="eastAsia" w:asciiTheme="minorEastAsia" w:hAnsiTheme="minorEastAsia" w:eastAsiaTheme="minorEastAsia" w:cstheme="minorEastAsia"/>
          <w:i w:val="0"/>
          <w:iCs w:val="0"/>
          <w:caps w:val="0"/>
          <w:color w:val="auto"/>
          <w:spacing w:val="0"/>
          <w:sz w:val="24"/>
          <w:szCs w:val="24"/>
          <w:highlight w:val="none"/>
          <w:u w:val="single"/>
          <w:vertAlign w:val="baseline"/>
        </w:rPr>
        <w:t>（产品名称</w:t>
      </w:r>
      <w:r>
        <w:rPr>
          <w:rStyle w:val="17"/>
          <w:rFonts w:hint="eastAsia" w:asciiTheme="minorEastAsia" w:hAnsiTheme="minorEastAsia" w:cstheme="minorEastAsia"/>
          <w:i w:val="0"/>
          <w:iCs w:val="0"/>
          <w:caps w:val="0"/>
          <w:color w:val="auto"/>
          <w:spacing w:val="0"/>
          <w:sz w:val="24"/>
          <w:szCs w:val="24"/>
          <w:highlight w:val="none"/>
          <w:u w:val="single"/>
          <w:vertAlign w:val="baseline"/>
          <w:lang w:val="en-US" w:eastAsia="zh-CN"/>
        </w:rPr>
        <w:t>2</w:t>
      </w:r>
      <w:r>
        <w:rPr>
          <w:rStyle w:val="17"/>
          <w:rFonts w:hint="eastAsia" w:asciiTheme="minorEastAsia" w:hAnsiTheme="minorEastAsia" w:eastAsiaTheme="minorEastAsia" w:cstheme="minorEastAsia"/>
          <w:i w:val="0"/>
          <w:iCs w:val="0"/>
          <w:caps w:val="0"/>
          <w:color w:val="auto"/>
          <w:spacing w:val="0"/>
          <w:sz w:val="24"/>
          <w:szCs w:val="24"/>
          <w:highlight w:val="none"/>
          <w:u w:val="single"/>
          <w:vertAlign w:val="baseline"/>
        </w:rPr>
        <w:t>）</w:t>
      </w:r>
      <w:r>
        <w:rPr>
          <w:rStyle w:val="17"/>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的</w:t>
      </w:r>
      <w:r>
        <w:rPr>
          <w:rStyle w:val="17"/>
          <w:rFonts w:hint="eastAsia" w:asciiTheme="minorEastAsia" w:hAnsiTheme="minorEastAsia" w:eastAsiaTheme="minorEastAsia" w:cstheme="minorEastAsia"/>
          <w:i w:val="0"/>
          <w:iCs w:val="0"/>
          <w:caps w:val="0"/>
          <w:color w:val="auto"/>
          <w:spacing w:val="0"/>
          <w:sz w:val="24"/>
          <w:szCs w:val="24"/>
          <w:highlight w:val="none"/>
          <w:u w:val="single"/>
          <w:vertAlign w:val="baseline"/>
        </w:rPr>
        <w:t>（关键组件</w:t>
      </w:r>
      <w:r>
        <w:rPr>
          <w:rStyle w:val="17"/>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Style w:val="17"/>
          <w:rFonts w:hint="eastAsia" w:asciiTheme="minorEastAsia" w:hAnsiTheme="minorEastAsia" w:eastAsiaTheme="minorEastAsia" w:cstheme="minorEastAsia"/>
          <w:i w:val="0"/>
          <w:iCs w:val="0"/>
          <w:caps w:val="0"/>
          <w:color w:val="auto"/>
          <w:spacing w:val="0"/>
          <w:sz w:val="24"/>
          <w:szCs w:val="24"/>
          <w:highlight w:val="none"/>
          <w:u w:val="single"/>
          <w:vertAlign w:val="baseline"/>
        </w:rPr>
        <w:t>）</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在中国境内生产。</w:t>
      </w:r>
      <w:r>
        <w:rPr>
          <w:rStyle w:val="17"/>
          <w:rFonts w:hint="eastAsia" w:asciiTheme="minorEastAsia" w:hAnsiTheme="minorEastAsia" w:eastAsiaTheme="minorEastAsia" w:cstheme="minorEastAsia"/>
          <w:i w:val="0"/>
          <w:iCs w:val="0"/>
          <w:caps w:val="0"/>
          <w:color w:val="auto"/>
          <w:spacing w:val="0"/>
          <w:sz w:val="24"/>
          <w:szCs w:val="24"/>
          <w:highlight w:val="none"/>
          <w:u w:val="single"/>
          <w:vertAlign w:val="baseline"/>
        </w:rPr>
        <w:t>（产品名称</w:t>
      </w:r>
      <w:r>
        <w:rPr>
          <w:rStyle w:val="17"/>
          <w:rFonts w:hint="eastAsia" w:asciiTheme="minorEastAsia" w:hAnsiTheme="minorEastAsia" w:cstheme="minorEastAsia"/>
          <w:i w:val="0"/>
          <w:iCs w:val="0"/>
          <w:caps w:val="0"/>
          <w:color w:val="auto"/>
          <w:spacing w:val="0"/>
          <w:sz w:val="24"/>
          <w:szCs w:val="24"/>
          <w:highlight w:val="none"/>
          <w:u w:val="single"/>
          <w:vertAlign w:val="baseline"/>
          <w:lang w:val="en-US" w:eastAsia="zh-CN"/>
        </w:rPr>
        <w:t>2</w:t>
      </w:r>
      <w:r>
        <w:rPr>
          <w:rStyle w:val="17"/>
          <w:rFonts w:hint="eastAsia" w:asciiTheme="minorEastAsia" w:hAnsiTheme="minorEastAsia" w:eastAsiaTheme="minorEastAsia" w:cstheme="minorEastAsia"/>
          <w:i w:val="0"/>
          <w:iCs w:val="0"/>
          <w:caps w:val="0"/>
          <w:color w:val="auto"/>
          <w:spacing w:val="0"/>
          <w:sz w:val="24"/>
          <w:szCs w:val="24"/>
          <w:highlight w:val="none"/>
          <w:u w:val="single"/>
          <w:vertAlign w:val="baseline"/>
        </w:rPr>
        <w:t>）</w:t>
      </w:r>
      <w:r>
        <w:rPr>
          <w:rStyle w:val="17"/>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的</w:t>
      </w:r>
      <w:r>
        <w:rPr>
          <w:rStyle w:val="17"/>
          <w:rFonts w:hint="eastAsia" w:asciiTheme="minorEastAsia" w:hAnsiTheme="minorEastAsia" w:eastAsiaTheme="minorEastAsia" w:cstheme="minorEastAsia"/>
          <w:i w:val="0"/>
          <w:iCs w:val="0"/>
          <w:caps w:val="0"/>
          <w:color w:val="auto"/>
          <w:spacing w:val="0"/>
          <w:sz w:val="24"/>
          <w:szCs w:val="24"/>
          <w:highlight w:val="none"/>
          <w:u w:val="single"/>
          <w:vertAlign w:val="baseline"/>
        </w:rPr>
        <w:t>（关键工序）</w:t>
      </w:r>
      <w:r>
        <w:rPr>
          <w:rStyle w:val="17"/>
          <w:rFonts w:hint="eastAsia" w:asciiTheme="minorEastAsia" w:hAnsiTheme="minorEastAsia" w:cstheme="minorEastAsia"/>
          <w:i w:val="0"/>
          <w:iCs w:val="0"/>
          <w:caps w:val="0"/>
          <w:color w:val="auto"/>
          <w:spacing w:val="0"/>
          <w:sz w:val="24"/>
          <w:szCs w:val="24"/>
          <w:highlight w:val="none"/>
          <w:u w:val="single"/>
          <w:vertAlign w:val="baseline"/>
          <w:lang w:val="en-US" w:eastAsia="zh-CN"/>
        </w:rPr>
        <w:t xml:space="preserve">    </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在中国境内完成。</w:t>
      </w:r>
    </w:p>
    <w:p w14:paraId="50DCC713">
      <w:pPr>
        <w:numPr>
          <w:ilvl w:val="0"/>
          <w:numId w:val="17"/>
        </w:numPr>
        <w:spacing w:after="156" w:afterLines="50" w:line="520" w:lineRule="exact"/>
        <w:ind w:left="0" w:leftChars="0" w:firstLine="480" w:firstLineChars="0"/>
        <w:jc w:val="left"/>
        <w:rPr>
          <w:rFonts w:hint="eastAsia" w:asciiTheme="minorEastAsia" w:hAnsiTheme="minorEastAsia" w:eastAsiaTheme="minorEastAsia" w:cstheme="minorEastAsia"/>
          <w:i w:val="0"/>
          <w:iCs w:val="0"/>
          <w:caps w:val="0"/>
          <w:color w:val="auto"/>
          <w:spacing w:val="0"/>
          <w:sz w:val="24"/>
          <w:szCs w:val="24"/>
          <w:highlight w:val="none"/>
          <w:shd w:val="clear" w:color="auto" w:fill="FFFFFF"/>
        </w:rPr>
      </w:pP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w:t>
      </w:r>
    </w:p>
    <w:p w14:paraId="4C444D98">
      <w:pPr>
        <w:numPr>
          <w:ilvl w:val="0"/>
          <w:numId w:val="17"/>
        </w:numPr>
        <w:spacing w:after="156" w:afterLines="50" w:line="520" w:lineRule="exact"/>
        <w:ind w:left="0" w:leftChars="0" w:firstLine="480" w:firstLineChars="0"/>
        <w:jc w:val="left"/>
        <w:rPr>
          <w:rFonts w:hint="eastAsia"/>
          <w:color w:val="auto"/>
          <w:highlight w:val="none"/>
        </w:rPr>
      </w:pP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w:t>
      </w:r>
    </w:p>
    <w:p w14:paraId="61F4756B">
      <w:pPr>
        <w:numPr>
          <w:ilvl w:val="0"/>
          <w:numId w:val="0"/>
        </w:numPr>
        <w:spacing w:after="156" w:afterLines="50" w:line="520" w:lineRule="exact"/>
        <w:ind w:left="480" w:leftChars="0"/>
        <w:jc w:val="left"/>
        <w:rPr>
          <w:rFonts w:hint="eastAsia" w:asciiTheme="minorEastAsia" w:hAnsiTheme="minorEastAsia" w:eastAsiaTheme="minorEastAsia" w:cstheme="minorEastAsia"/>
          <w:i w:val="0"/>
          <w:iCs w:val="0"/>
          <w:caps w:val="0"/>
          <w:color w:val="auto"/>
          <w:spacing w:val="0"/>
          <w:sz w:val="24"/>
          <w:szCs w:val="24"/>
          <w:highlight w:val="none"/>
          <w:shd w:val="clear" w:color="auto" w:fill="FFFFFF"/>
        </w:rPr>
      </w:pP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本公司（单位）对上述声明内容的真实性负责。如有虚假，愿承担相应法律责任。</w:t>
      </w:r>
    </w:p>
    <w:p w14:paraId="78F1171A">
      <w:pPr>
        <w:numPr>
          <w:ilvl w:val="0"/>
          <w:numId w:val="0"/>
        </w:numPr>
        <w:spacing w:after="156" w:afterLines="50" w:line="520" w:lineRule="exact"/>
        <w:ind w:left="480" w:leftChars="0" w:firstLine="4080" w:firstLineChars="1700"/>
        <w:jc w:val="left"/>
        <w:rPr>
          <w:rFonts w:hint="eastAsia" w:asciiTheme="minorEastAsia" w:hAnsiTheme="minorEastAsia" w:eastAsiaTheme="minorEastAsia" w:cstheme="minorEastAsia"/>
          <w:i w:val="0"/>
          <w:iCs w:val="0"/>
          <w:caps w:val="0"/>
          <w:color w:val="auto"/>
          <w:spacing w:val="0"/>
          <w:sz w:val="24"/>
          <w:szCs w:val="24"/>
          <w:highlight w:val="none"/>
          <w:shd w:val="clear" w:color="auto" w:fill="FFFFFF"/>
        </w:rPr>
      </w:pP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公司（单位）名称（盖章）：　   </w:t>
      </w:r>
    </w:p>
    <w:p w14:paraId="4310ED1E">
      <w:pPr>
        <w:numPr>
          <w:ilvl w:val="0"/>
          <w:numId w:val="0"/>
        </w:numPr>
        <w:spacing w:after="156" w:afterLines="50" w:line="520" w:lineRule="exact"/>
        <w:ind w:left="480" w:leftChars="0" w:firstLine="4080" w:firstLineChars="1700"/>
        <w:jc w:val="left"/>
        <w:rPr>
          <w:rFonts w:hint="eastAsia" w:asciiTheme="minorEastAsia" w:hAnsiTheme="minorEastAsia" w:eastAsiaTheme="minorEastAsia" w:cstheme="minorEastAsia"/>
          <w:b/>
          <w:bCs/>
          <w:color w:val="auto"/>
          <w:spacing w:val="0"/>
          <w:sz w:val="24"/>
          <w:szCs w:val="24"/>
          <w:highlight w:val="none"/>
        </w:rPr>
      </w:pP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日期：　  年　  月　  日</w:t>
      </w:r>
    </w:p>
    <w:p w14:paraId="58BCBAEE">
      <w:pPr>
        <w:keepNext w:val="0"/>
        <w:keepLines w:val="0"/>
        <w:pageBreakBefore w:val="0"/>
        <w:widowControl w:val="0"/>
        <w:numPr>
          <w:ilvl w:val="0"/>
          <w:numId w:val="18"/>
        </w:numPr>
        <w:kinsoku/>
        <w:wordWrap/>
        <w:overflowPunct/>
        <w:topLinePunct w:val="0"/>
        <w:autoSpaceDE/>
        <w:autoSpaceDN/>
        <w:bidi w:val="0"/>
        <w:adjustRightInd/>
        <w:snapToGrid/>
        <w:spacing w:line="440" w:lineRule="exact"/>
        <w:ind w:left="482" w:leftChars="0"/>
        <w:jc w:val="left"/>
        <w:textAlignment w:val="auto"/>
        <w:rPr>
          <w:rFonts w:hint="eastAsia" w:asciiTheme="minorEastAsia" w:hAnsiTheme="minorEastAsia" w:eastAsiaTheme="minorEastAsia" w:cstheme="minorEastAsia"/>
          <w:i w:val="0"/>
          <w:iCs w:val="0"/>
          <w:caps w:val="0"/>
          <w:color w:val="auto"/>
          <w:spacing w:val="0"/>
          <w:sz w:val="24"/>
          <w:szCs w:val="24"/>
          <w:highlight w:val="none"/>
          <w:shd w:val="clear" w:color="auto" w:fill="FFFFFF"/>
        </w:rPr>
      </w:pP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产品如有型号，请在“产品名称”栏一并填写。</w:t>
      </w:r>
    </w:p>
    <w:p w14:paraId="7565BECA">
      <w:pPr>
        <w:keepNext w:val="0"/>
        <w:keepLines w:val="0"/>
        <w:pageBreakBefore w:val="0"/>
        <w:widowControl w:val="0"/>
        <w:numPr>
          <w:ilvl w:val="0"/>
          <w:numId w:val="18"/>
        </w:numPr>
        <w:kinsoku/>
        <w:wordWrap/>
        <w:overflowPunct/>
        <w:topLinePunct w:val="0"/>
        <w:autoSpaceDE/>
        <w:autoSpaceDN/>
        <w:bidi w:val="0"/>
        <w:adjustRightInd/>
        <w:snapToGrid/>
        <w:spacing w:line="440" w:lineRule="exact"/>
        <w:ind w:left="482" w:leftChars="0"/>
        <w:jc w:val="left"/>
        <w:textAlignment w:val="auto"/>
        <w:rPr>
          <w:rFonts w:hint="eastAsia" w:asciiTheme="minorEastAsia" w:hAnsiTheme="minorEastAsia" w:eastAsiaTheme="minorEastAsia" w:cstheme="minorEastAsia"/>
          <w:i w:val="0"/>
          <w:iCs w:val="0"/>
          <w:caps w:val="0"/>
          <w:color w:val="auto"/>
          <w:spacing w:val="0"/>
          <w:sz w:val="24"/>
          <w:szCs w:val="24"/>
          <w:highlight w:val="none"/>
          <w:shd w:val="clear" w:color="auto" w:fill="FFFFFF"/>
        </w:rPr>
      </w:pP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生产厂名与厂址应与生产厂营业执照载明的相关信息保持一致。</w:t>
      </w:r>
    </w:p>
    <w:p w14:paraId="1BF3B88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shd w:val="clear" w:color="auto" w:fill="FFFFFF"/>
        </w:rPr>
      </w:pPr>
      <w:r>
        <w:rPr>
          <w:rFonts w:hint="eastAsia" w:asciiTheme="minorEastAsia" w:hAnsiTheme="minorEastAsia" w:eastAsiaTheme="minorEastAsia" w:cstheme="minorEastAsia"/>
          <w:i w:val="0"/>
          <w:iCs w:val="0"/>
          <w:caps w:val="0"/>
          <w:color w:val="auto"/>
          <w:spacing w:val="0"/>
          <w:sz w:val="24"/>
          <w:szCs w:val="24"/>
          <w:highlight w:val="none"/>
          <w:shd w:val="clear" w:color="auto" w:fill="FFFFFF"/>
          <w:lang w:val="en-US" w:eastAsia="zh-CN"/>
        </w:rPr>
        <w:t>3.</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该产品的中国境内生产的组件成本占比相关要求实施前，“规定比例”栏可不填，下同。</w:t>
      </w:r>
    </w:p>
    <w:p w14:paraId="3FC32F4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left"/>
        <w:textAlignment w:val="auto"/>
        <w:rPr>
          <w:rFonts w:hint="eastAsia" w:asciiTheme="minorEastAsia" w:hAnsiTheme="minorEastAsia" w:eastAsiaTheme="minorEastAsia" w:cstheme="minorEastAsia"/>
          <w:i w:val="0"/>
          <w:iCs w:val="0"/>
          <w:caps w:val="0"/>
          <w:color w:val="auto"/>
          <w:spacing w:val="0"/>
          <w:sz w:val="24"/>
          <w:szCs w:val="24"/>
          <w:highlight w:val="none"/>
          <w:shd w:val="clear" w:color="auto" w:fill="FFFFFF"/>
        </w:rPr>
      </w:pPr>
      <w:r>
        <w:rPr>
          <w:rFonts w:hint="eastAsia" w:asciiTheme="minorEastAsia" w:hAnsiTheme="minorEastAsia" w:eastAsiaTheme="minorEastAsia" w:cstheme="minorEastAsia"/>
          <w:i w:val="0"/>
          <w:iCs w:val="0"/>
          <w:caps w:val="0"/>
          <w:color w:val="auto"/>
          <w:spacing w:val="0"/>
          <w:sz w:val="24"/>
          <w:szCs w:val="24"/>
          <w:highlight w:val="none"/>
          <w:shd w:val="clear" w:color="auto" w:fill="FFFFFF"/>
          <w:lang w:val="en-US" w:eastAsia="zh-CN"/>
        </w:rPr>
        <w:t>4.</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该产品的关键组件要求实施前，“关键组件”栏可不填，下同。</w:t>
      </w:r>
    </w:p>
    <w:p w14:paraId="6795FE1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GB" w:eastAsia="zh-CN"/>
        </w:rPr>
      </w:pPr>
      <w:r>
        <w:rPr>
          <w:rFonts w:hint="eastAsia" w:asciiTheme="minorEastAsia" w:hAnsiTheme="minorEastAsia" w:eastAsiaTheme="minorEastAsia" w:cstheme="minorEastAsia"/>
          <w:i w:val="0"/>
          <w:iCs w:val="0"/>
          <w:caps w:val="0"/>
          <w:color w:val="auto"/>
          <w:spacing w:val="0"/>
          <w:sz w:val="24"/>
          <w:szCs w:val="24"/>
          <w:highlight w:val="none"/>
          <w:shd w:val="clear" w:color="auto" w:fill="FFFFFF"/>
          <w:lang w:val="en-US" w:eastAsia="zh-CN"/>
        </w:rPr>
        <w:t>5.</w:t>
      </w:r>
      <w:r>
        <w:rPr>
          <w:rFonts w:hint="eastAsia" w:asciiTheme="minorEastAsia" w:hAnsiTheme="minorEastAsia" w:eastAsiaTheme="minorEastAsia" w:cstheme="minorEastAsia"/>
          <w:i w:val="0"/>
          <w:iCs w:val="0"/>
          <w:caps w:val="0"/>
          <w:color w:val="auto"/>
          <w:spacing w:val="0"/>
          <w:sz w:val="24"/>
          <w:szCs w:val="24"/>
          <w:highlight w:val="none"/>
          <w:shd w:val="clear" w:color="auto" w:fill="FFFFFF"/>
        </w:rPr>
        <w:t>该产品的关键工序要求实施前，“关键工序”栏可不填，下同。</w:t>
      </w:r>
    </w:p>
    <w:p w14:paraId="32C5CCF3">
      <w:pPr>
        <w:pStyle w:val="12"/>
        <w:rPr>
          <w:rFonts w:hint="eastAsia"/>
          <w:color w:val="auto"/>
          <w:highlight w:val="none"/>
          <w:lang w:val="en-GB" w:eastAsia="zh-CN"/>
        </w:rPr>
      </w:pPr>
    </w:p>
    <w:p w14:paraId="1EB8A569">
      <w:pPr>
        <w:pStyle w:val="4"/>
        <w:numPr>
          <w:ilvl w:val="0"/>
          <w:numId w:val="0"/>
        </w:numPr>
        <w:tabs>
          <w:tab w:val="left" w:pos="840"/>
        </w:tabs>
        <w:ind w:left="420"/>
        <w:jc w:val="center"/>
        <w:rPr>
          <w:rFonts w:hint="default" w:ascii="宋体" w:hAnsi="宋体"/>
          <w:color w:val="auto"/>
          <w:sz w:val="24"/>
          <w:szCs w:val="21"/>
          <w:highlight w:val="none"/>
          <w:lang w:val="en-US" w:eastAsia="zh-CN"/>
        </w:rPr>
      </w:pPr>
      <w:r>
        <w:rPr>
          <w:rFonts w:hint="eastAsia" w:ascii="宋体" w:hAnsi="宋体" w:cs="Times New Roman"/>
          <w:b/>
          <w:bCs/>
          <w:color w:val="auto"/>
          <w:kern w:val="0"/>
          <w:sz w:val="24"/>
          <w:szCs w:val="24"/>
          <w:highlight w:val="none"/>
          <w:lang w:val="en-US" w:eastAsia="zh-CN" w:bidi="ar-SA"/>
        </w:rPr>
        <w:t>十一、</w:t>
      </w:r>
      <w:r>
        <w:rPr>
          <w:rFonts w:hint="eastAsia" w:ascii="宋体" w:hAnsi="宋体"/>
          <w:color w:val="auto"/>
          <w:sz w:val="24"/>
          <w:szCs w:val="21"/>
          <w:highlight w:val="none"/>
          <w:lang w:val="en-US" w:eastAsia="zh-CN"/>
        </w:rPr>
        <w:t>其他资料</w:t>
      </w:r>
    </w:p>
    <w:p w14:paraId="0FB6D0F4">
      <w:pPr>
        <w:widowControl/>
        <w:jc w:val="left"/>
        <w:rPr>
          <w:rFonts w:ascii="宋体" w:hAnsi="宋体" w:eastAsia="宋体" w:cs="Times New Roman"/>
          <w:b/>
          <w:bCs/>
          <w:color w:val="auto"/>
          <w:kern w:val="0"/>
          <w:sz w:val="28"/>
          <w:szCs w:val="28"/>
          <w:highlight w:val="none"/>
        </w:rPr>
      </w:pPr>
    </w:p>
    <w:p w14:paraId="7B1BAE4B">
      <w:pPr>
        <w:widowControl/>
        <w:jc w:val="center"/>
        <w:rPr>
          <w:rFonts w:hint="eastAsia" w:ascii="宋体" w:hAnsi="宋体" w:eastAsia="宋体" w:cs="Times New Roman"/>
          <w:b/>
          <w:bCs/>
          <w:color w:val="auto"/>
          <w:kern w:val="0"/>
          <w:sz w:val="24"/>
          <w:szCs w:val="24"/>
          <w:highlight w:val="none"/>
        </w:rPr>
      </w:pPr>
      <w:r>
        <w:rPr>
          <w:rFonts w:hint="eastAsia" w:ascii="宋体" w:hAnsi="宋体" w:eastAsia="宋体" w:cs="Times New Roman"/>
          <w:b/>
          <w:bCs/>
          <w:color w:val="auto"/>
          <w:kern w:val="0"/>
          <w:sz w:val="24"/>
          <w:szCs w:val="24"/>
          <w:highlight w:val="none"/>
        </w:rPr>
        <w:t>评分办法中要求的相关材料、业绩等</w:t>
      </w:r>
    </w:p>
    <w:p w14:paraId="38F2723D">
      <w:pPr>
        <w:widowControl/>
        <w:jc w:val="left"/>
        <w:rPr>
          <w:rFonts w:hint="eastAsia" w:ascii="宋体" w:hAnsi="宋体" w:eastAsia="宋体" w:cs="Times New Roman"/>
          <w:b/>
          <w:bCs/>
          <w:color w:val="auto"/>
          <w:kern w:val="0"/>
          <w:sz w:val="28"/>
          <w:szCs w:val="28"/>
          <w:highlight w:val="none"/>
        </w:rPr>
      </w:pPr>
    </w:p>
    <w:p w14:paraId="1589156D">
      <w:pPr>
        <w:widowControl/>
        <w:jc w:val="left"/>
        <w:rPr>
          <w:rFonts w:hint="eastAsia" w:ascii="宋体" w:hAnsi="宋体" w:eastAsia="宋体" w:cs="Times New Roman"/>
          <w:b/>
          <w:bCs/>
          <w:color w:val="auto"/>
          <w:kern w:val="0"/>
          <w:sz w:val="28"/>
          <w:szCs w:val="28"/>
          <w:highlight w:val="none"/>
        </w:rPr>
      </w:pPr>
    </w:p>
    <w:p w14:paraId="31282F56">
      <w:pPr>
        <w:widowControl/>
        <w:jc w:val="left"/>
        <w:rPr>
          <w:rFonts w:hint="eastAsia" w:ascii="宋体" w:hAnsi="宋体" w:eastAsia="宋体" w:cs="Times New Roman"/>
          <w:b/>
          <w:bCs/>
          <w:color w:val="auto"/>
          <w:kern w:val="0"/>
          <w:sz w:val="28"/>
          <w:szCs w:val="28"/>
          <w:highlight w:val="none"/>
        </w:rPr>
      </w:pPr>
    </w:p>
    <w:p w14:paraId="7E5B6618">
      <w:pPr>
        <w:widowControl/>
        <w:jc w:val="left"/>
        <w:rPr>
          <w:rFonts w:hint="eastAsia" w:ascii="宋体" w:hAnsi="宋体" w:eastAsia="宋体" w:cs="Times New Roman"/>
          <w:b/>
          <w:bCs/>
          <w:color w:val="auto"/>
          <w:kern w:val="0"/>
          <w:sz w:val="28"/>
          <w:szCs w:val="28"/>
          <w:highlight w:val="none"/>
        </w:rPr>
      </w:pPr>
    </w:p>
    <w:p w14:paraId="4AF32536">
      <w:pPr>
        <w:widowControl/>
        <w:jc w:val="left"/>
        <w:rPr>
          <w:rFonts w:hint="eastAsia" w:ascii="宋体" w:hAnsi="宋体" w:eastAsia="宋体" w:cs="Times New Roman"/>
          <w:b/>
          <w:bCs/>
          <w:color w:val="auto"/>
          <w:kern w:val="0"/>
          <w:sz w:val="24"/>
          <w:szCs w:val="24"/>
          <w:highlight w:val="none"/>
        </w:rPr>
      </w:pPr>
    </w:p>
    <w:p w14:paraId="60D9A9E5">
      <w:pPr>
        <w:widowControl/>
        <w:jc w:val="left"/>
        <w:rPr>
          <w:rFonts w:hint="eastAsia" w:ascii="宋体" w:hAnsi="宋体" w:eastAsia="宋体" w:cs="Times New Roman"/>
          <w:b/>
          <w:bCs/>
          <w:color w:val="auto"/>
          <w:kern w:val="0"/>
          <w:sz w:val="24"/>
          <w:szCs w:val="24"/>
          <w:highlight w:val="none"/>
        </w:rPr>
      </w:pPr>
    </w:p>
    <w:p w14:paraId="13E4DF3B">
      <w:pPr>
        <w:widowControl/>
        <w:jc w:val="left"/>
        <w:rPr>
          <w:rFonts w:hint="eastAsia" w:ascii="宋体" w:hAnsi="宋体" w:eastAsia="宋体" w:cs="Times New Roman"/>
          <w:b/>
          <w:bCs/>
          <w:color w:val="auto"/>
          <w:kern w:val="0"/>
          <w:sz w:val="24"/>
          <w:szCs w:val="24"/>
          <w:highlight w:val="none"/>
        </w:rPr>
      </w:pPr>
    </w:p>
    <w:p w14:paraId="12DA0244">
      <w:pPr>
        <w:widowControl/>
        <w:jc w:val="left"/>
        <w:rPr>
          <w:rFonts w:hint="eastAsia" w:ascii="宋体" w:hAnsi="宋体" w:eastAsia="宋体" w:cs="Times New Roman"/>
          <w:b/>
          <w:bCs/>
          <w:color w:val="auto"/>
          <w:kern w:val="0"/>
          <w:sz w:val="24"/>
          <w:szCs w:val="24"/>
          <w:highlight w:val="none"/>
        </w:rPr>
      </w:pPr>
    </w:p>
    <w:p w14:paraId="2F2A2365">
      <w:pPr>
        <w:widowControl/>
        <w:jc w:val="left"/>
        <w:rPr>
          <w:rFonts w:hint="eastAsia" w:ascii="宋体" w:hAnsi="宋体" w:eastAsia="宋体" w:cs="Times New Roman"/>
          <w:b/>
          <w:bCs/>
          <w:color w:val="auto"/>
          <w:kern w:val="0"/>
          <w:sz w:val="24"/>
          <w:szCs w:val="24"/>
          <w:highlight w:val="none"/>
        </w:rPr>
      </w:pPr>
    </w:p>
    <w:p w14:paraId="4069F2B7">
      <w:pPr>
        <w:widowControl/>
        <w:jc w:val="left"/>
        <w:rPr>
          <w:rFonts w:hint="eastAsia" w:ascii="宋体" w:hAnsi="宋体" w:eastAsia="宋体" w:cs="Times New Roman"/>
          <w:b/>
          <w:bCs/>
          <w:color w:val="auto"/>
          <w:kern w:val="0"/>
          <w:sz w:val="24"/>
          <w:szCs w:val="24"/>
          <w:highlight w:val="none"/>
        </w:rPr>
      </w:pPr>
    </w:p>
    <w:p w14:paraId="5CA58FC9">
      <w:pPr>
        <w:widowControl/>
        <w:jc w:val="left"/>
        <w:rPr>
          <w:rFonts w:hint="eastAsia" w:ascii="宋体" w:hAnsi="宋体" w:eastAsia="宋体" w:cs="Times New Roman"/>
          <w:b/>
          <w:bCs/>
          <w:color w:val="auto"/>
          <w:kern w:val="0"/>
          <w:sz w:val="24"/>
          <w:szCs w:val="24"/>
          <w:highlight w:val="none"/>
        </w:rPr>
      </w:pPr>
    </w:p>
    <w:p w14:paraId="2CC8AB5D">
      <w:pPr>
        <w:widowControl/>
        <w:jc w:val="left"/>
        <w:rPr>
          <w:rFonts w:hint="eastAsia" w:ascii="宋体" w:hAnsi="宋体" w:eastAsia="宋体" w:cs="Times New Roman"/>
          <w:b/>
          <w:bCs/>
          <w:color w:val="auto"/>
          <w:kern w:val="0"/>
          <w:sz w:val="24"/>
          <w:szCs w:val="24"/>
          <w:highlight w:val="none"/>
        </w:rPr>
      </w:pPr>
    </w:p>
    <w:p w14:paraId="57A28497">
      <w:pPr>
        <w:widowControl/>
        <w:jc w:val="left"/>
        <w:rPr>
          <w:rFonts w:hint="eastAsia" w:ascii="宋体" w:hAnsi="宋体" w:eastAsia="宋体" w:cs="Times New Roman"/>
          <w:b/>
          <w:bCs/>
          <w:color w:val="auto"/>
          <w:kern w:val="0"/>
          <w:sz w:val="24"/>
          <w:szCs w:val="24"/>
          <w:highlight w:val="none"/>
        </w:rPr>
      </w:pPr>
    </w:p>
    <w:p w14:paraId="63F3889E">
      <w:pPr>
        <w:widowControl/>
        <w:jc w:val="left"/>
        <w:rPr>
          <w:rFonts w:hint="eastAsia" w:ascii="宋体" w:hAnsi="宋体" w:eastAsia="宋体" w:cs="Times New Roman"/>
          <w:b/>
          <w:bCs/>
          <w:color w:val="auto"/>
          <w:kern w:val="0"/>
          <w:sz w:val="24"/>
          <w:szCs w:val="24"/>
          <w:highlight w:val="none"/>
        </w:rPr>
      </w:pPr>
    </w:p>
    <w:p w14:paraId="2055E497">
      <w:pPr>
        <w:widowControl/>
        <w:jc w:val="left"/>
        <w:rPr>
          <w:rFonts w:hint="eastAsia" w:ascii="宋体" w:hAnsi="宋体" w:eastAsia="宋体" w:cs="Times New Roman"/>
          <w:b/>
          <w:bCs/>
          <w:color w:val="auto"/>
          <w:kern w:val="0"/>
          <w:sz w:val="24"/>
          <w:szCs w:val="24"/>
          <w:highlight w:val="none"/>
        </w:rPr>
      </w:pPr>
    </w:p>
    <w:p w14:paraId="21AAA453">
      <w:pPr>
        <w:widowControl/>
        <w:jc w:val="left"/>
        <w:rPr>
          <w:rFonts w:hint="eastAsia" w:ascii="宋体" w:hAnsi="宋体" w:eastAsia="宋体" w:cs="Times New Roman"/>
          <w:b/>
          <w:bCs/>
          <w:color w:val="auto"/>
          <w:kern w:val="0"/>
          <w:sz w:val="24"/>
          <w:szCs w:val="24"/>
          <w:highlight w:val="none"/>
        </w:rPr>
      </w:pPr>
    </w:p>
    <w:p w14:paraId="00AA90CF">
      <w:pPr>
        <w:widowControl/>
        <w:jc w:val="left"/>
        <w:rPr>
          <w:rFonts w:hint="eastAsia" w:ascii="宋体" w:hAnsi="宋体" w:eastAsia="宋体" w:cs="Times New Roman"/>
          <w:b/>
          <w:bCs/>
          <w:color w:val="auto"/>
          <w:kern w:val="0"/>
          <w:sz w:val="24"/>
          <w:szCs w:val="24"/>
          <w:highlight w:val="none"/>
        </w:rPr>
      </w:pPr>
    </w:p>
    <w:p w14:paraId="4FBC0DD2">
      <w:pPr>
        <w:widowControl/>
        <w:jc w:val="left"/>
        <w:rPr>
          <w:rFonts w:hint="eastAsia" w:ascii="宋体" w:hAnsi="宋体" w:eastAsia="宋体" w:cs="Times New Roman"/>
          <w:b/>
          <w:bCs/>
          <w:color w:val="auto"/>
          <w:kern w:val="0"/>
          <w:sz w:val="24"/>
          <w:szCs w:val="24"/>
          <w:highlight w:val="none"/>
        </w:rPr>
      </w:pPr>
    </w:p>
    <w:p w14:paraId="1F58F0AD">
      <w:pPr>
        <w:widowControl/>
        <w:jc w:val="left"/>
        <w:rPr>
          <w:rFonts w:hint="eastAsia" w:ascii="宋体" w:hAnsi="宋体" w:eastAsia="宋体" w:cs="Times New Roman"/>
          <w:b/>
          <w:bCs/>
          <w:color w:val="auto"/>
          <w:kern w:val="0"/>
          <w:sz w:val="24"/>
          <w:szCs w:val="24"/>
          <w:highlight w:val="none"/>
        </w:rPr>
      </w:pPr>
    </w:p>
    <w:p w14:paraId="7814FB47">
      <w:pPr>
        <w:widowControl/>
        <w:jc w:val="left"/>
        <w:rPr>
          <w:rFonts w:hint="eastAsia" w:ascii="宋体" w:hAnsi="宋体" w:eastAsia="宋体" w:cs="Times New Roman"/>
          <w:b/>
          <w:bCs/>
          <w:color w:val="auto"/>
          <w:kern w:val="0"/>
          <w:sz w:val="24"/>
          <w:szCs w:val="24"/>
          <w:highlight w:val="none"/>
        </w:rPr>
      </w:pPr>
    </w:p>
    <w:p w14:paraId="2D071EA6">
      <w:pPr>
        <w:widowControl/>
        <w:jc w:val="left"/>
        <w:rPr>
          <w:rFonts w:hint="eastAsia" w:ascii="宋体" w:hAnsi="宋体" w:eastAsia="宋体" w:cs="Times New Roman"/>
          <w:b/>
          <w:bCs/>
          <w:color w:val="auto"/>
          <w:kern w:val="0"/>
          <w:sz w:val="24"/>
          <w:szCs w:val="24"/>
          <w:highlight w:val="none"/>
        </w:rPr>
      </w:pPr>
    </w:p>
    <w:p w14:paraId="1EA8EA55">
      <w:pPr>
        <w:widowControl/>
        <w:jc w:val="left"/>
        <w:rPr>
          <w:rFonts w:hint="eastAsia" w:ascii="宋体" w:hAnsi="宋体" w:eastAsia="宋体" w:cs="Times New Roman"/>
          <w:b/>
          <w:bCs/>
          <w:color w:val="auto"/>
          <w:kern w:val="0"/>
          <w:sz w:val="24"/>
          <w:szCs w:val="24"/>
          <w:highlight w:val="none"/>
        </w:rPr>
      </w:pPr>
    </w:p>
    <w:p w14:paraId="592487F1">
      <w:pPr>
        <w:pStyle w:val="18"/>
        <w:rPr>
          <w:rFonts w:hint="eastAsia" w:ascii="宋体" w:hAnsi="宋体" w:eastAsia="宋体" w:cs="Times New Roman"/>
          <w:b/>
          <w:bCs/>
          <w:color w:val="auto"/>
          <w:kern w:val="0"/>
          <w:sz w:val="24"/>
          <w:szCs w:val="24"/>
          <w:highlight w:val="none"/>
        </w:rPr>
      </w:pPr>
    </w:p>
    <w:p w14:paraId="60FAFAD3">
      <w:pPr>
        <w:pStyle w:val="12"/>
        <w:rPr>
          <w:rFonts w:hint="eastAsia" w:ascii="宋体" w:hAnsi="宋体" w:eastAsia="宋体" w:cs="Times New Roman"/>
          <w:b/>
          <w:bCs/>
          <w:color w:val="auto"/>
          <w:kern w:val="0"/>
          <w:sz w:val="24"/>
          <w:szCs w:val="24"/>
          <w:highlight w:val="none"/>
        </w:rPr>
      </w:pPr>
    </w:p>
    <w:p w14:paraId="0D00B8C5">
      <w:pPr>
        <w:pStyle w:val="12"/>
        <w:rPr>
          <w:rFonts w:hint="eastAsia" w:ascii="宋体" w:hAnsi="宋体" w:eastAsia="宋体" w:cs="Times New Roman"/>
          <w:b/>
          <w:bCs/>
          <w:color w:val="auto"/>
          <w:kern w:val="0"/>
          <w:sz w:val="24"/>
          <w:szCs w:val="24"/>
          <w:highlight w:val="none"/>
        </w:rPr>
      </w:pPr>
    </w:p>
    <w:p w14:paraId="25818183">
      <w:pPr>
        <w:pStyle w:val="12"/>
        <w:rPr>
          <w:rFonts w:hint="eastAsia" w:ascii="宋体" w:hAnsi="宋体" w:eastAsia="宋体" w:cs="Times New Roman"/>
          <w:b/>
          <w:bCs/>
          <w:color w:val="auto"/>
          <w:kern w:val="0"/>
          <w:sz w:val="24"/>
          <w:szCs w:val="24"/>
          <w:highlight w:val="none"/>
        </w:rPr>
      </w:pPr>
    </w:p>
    <w:p w14:paraId="162E4B2D">
      <w:pPr>
        <w:pStyle w:val="12"/>
        <w:rPr>
          <w:rFonts w:hint="eastAsia" w:ascii="宋体" w:hAnsi="宋体" w:eastAsia="宋体" w:cs="Times New Roman"/>
          <w:b/>
          <w:bCs/>
          <w:color w:val="auto"/>
          <w:kern w:val="0"/>
          <w:sz w:val="24"/>
          <w:szCs w:val="24"/>
          <w:highlight w:val="none"/>
        </w:rPr>
      </w:pPr>
    </w:p>
    <w:p w14:paraId="6E21B390">
      <w:pPr>
        <w:pStyle w:val="12"/>
        <w:rPr>
          <w:rFonts w:hint="eastAsia" w:ascii="宋体" w:hAnsi="宋体" w:eastAsia="宋体" w:cs="Times New Roman"/>
          <w:b/>
          <w:bCs/>
          <w:color w:val="auto"/>
          <w:kern w:val="0"/>
          <w:sz w:val="24"/>
          <w:szCs w:val="24"/>
          <w:highlight w:val="none"/>
        </w:rPr>
      </w:pPr>
    </w:p>
    <w:p w14:paraId="34C354D2">
      <w:pPr>
        <w:pStyle w:val="12"/>
        <w:rPr>
          <w:rFonts w:hint="eastAsia" w:ascii="宋体" w:hAnsi="宋体" w:eastAsia="宋体" w:cs="Times New Roman"/>
          <w:b/>
          <w:bCs/>
          <w:color w:val="auto"/>
          <w:kern w:val="0"/>
          <w:sz w:val="24"/>
          <w:szCs w:val="24"/>
          <w:highlight w:val="none"/>
        </w:rPr>
      </w:pPr>
    </w:p>
    <w:p w14:paraId="4CAB4AA9">
      <w:pPr>
        <w:pStyle w:val="12"/>
        <w:rPr>
          <w:rFonts w:hint="eastAsia" w:ascii="宋体" w:hAnsi="宋体" w:eastAsia="宋体" w:cs="Times New Roman"/>
          <w:b/>
          <w:bCs/>
          <w:color w:val="auto"/>
          <w:kern w:val="0"/>
          <w:sz w:val="24"/>
          <w:szCs w:val="24"/>
          <w:highlight w:val="none"/>
        </w:rPr>
      </w:pPr>
    </w:p>
    <w:p w14:paraId="6A957EF4">
      <w:pPr>
        <w:widowControl/>
        <w:jc w:val="left"/>
        <w:rPr>
          <w:rFonts w:hint="eastAsia" w:ascii="宋体" w:hAnsi="宋体" w:eastAsia="宋体" w:cs="Times New Roman"/>
          <w:b/>
          <w:bCs/>
          <w:color w:val="auto"/>
          <w:kern w:val="0"/>
          <w:sz w:val="24"/>
          <w:szCs w:val="24"/>
          <w:highlight w:val="none"/>
        </w:rPr>
      </w:pPr>
    </w:p>
    <w:p w14:paraId="2C8074F5">
      <w:pPr>
        <w:widowControl/>
        <w:jc w:val="left"/>
        <w:rPr>
          <w:rFonts w:hint="eastAsia" w:ascii="宋体" w:hAnsi="宋体" w:eastAsia="宋体" w:cs="Times New Roman"/>
          <w:b/>
          <w:bCs/>
          <w:color w:val="auto"/>
          <w:kern w:val="0"/>
          <w:sz w:val="24"/>
          <w:szCs w:val="24"/>
          <w:highlight w:val="none"/>
        </w:rPr>
      </w:pPr>
    </w:p>
    <w:p w14:paraId="51B9171F">
      <w:pPr>
        <w:widowControl/>
        <w:jc w:val="left"/>
        <w:rPr>
          <w:rFonts w:hint="eastAsia" w:ascii="宋体" w:hAnsi="宋体" w:eastAsia="宋体" w:cs="Times New Roman"/>
          <w:b/>
          <w:bCs/>
          <w:color w:val="auto"/>
          <w:kern w:val="0"/>
          <w:sz w:val="24"/>
          <w:szCs w:val="24"/>
          <w:highlight w:val="none"/>
        </w:rPr>
      </w:pPr>
    </w:p>
    <w:p w14:paraId="4FD6C511">
      <w:pPr>
        <w:widowControl/>
        <w:jc w:val="left"/>
        <w:rPr>
          <w:rFonts w:hint="default" w:ascii="宋体" w:hAnsi="宋体" w:eastAsia="宋体" w:cs="Times New Roman"/>
          <w:b/>
          <w:bCs/>
          <w:color w:val="auto"/>
          <w:kern w:val="0"/>
          <w:sz w:val="24"/>
          <w:szCs w:val="24"/>
          <w:highlight w:val="none"/>
          <w:lang w:val="en-US" w:eastAsia="zh-CN"/>
        </w:rPr>
      </w:pPr>
      <w:r>
        <w:rPr>
          <w:rFonts w:hint="eastAsia" w:ascii="宋体" w:hAnsi="宋体" w:eastAsia="宋体" w:cs="Times New Roman"/>
          <w:b/>
          <w:bCs/>
          <w:color w:val="auto"/>
          <w:kern w:val="0"/>
          <w:sz w:val="24"/>
          <w:szCs w:val="24"/>
          <w:highlight w:val="none"/>
        </w:rPr>
        <w:t>附件：</w:t>
      </w:r>
    </w:p>
    <w:p w14:paraId="3F5F272A">
      <w:pPr>
        <w:widowControl/>
        <w:spacing w:line="360" w:lineRule="auto"/>
        <w:jc w:val="center"/>
        <w:rPr>
          <w:rFonts w:hint="eastAsia" w:ascii="宋体" w:hAnsi="宋体" w:eastAsia="宋体" w:cs="Times New Roman"/>
          <w:b/>
          <w:bCs/>
          <w:color w:val="auto"/>
          <w:kern w:val="0"/>
          <w:sz w:val="24"/>
          <w:szCs w:val="24"/>
          <w:highlight w:val="none"/>
          <w:lang w:val="en-US" w:eastAsia="zh-CN"/>
        </w:rPr>
      </w:pPr>
      <w:bookmarkStart w:id="25" w:name="_Toc27377"/>
      <w:r>
        <w:rPr>
          <w:rFonts w:hint="eastAsia" w:ascii="宋体" w:hAnsi="宋体" w:eastAsia="宋体" w:cs="Times New Roman"/>
          <w:b/>
          <w:bCs/>
          <w:color w:val="auto"/>
          <w:kern w:val="0"/>
          <w:sz w:val="24"/>
          <w:szCs w:val="24"/>
          <w:highlight w:val="none"/>
          <w:lang w:val="en-US" w:eastAsia="zh-CN"/>
        </w:rPr>
        <w:t>中小企业声明函</w:t>
      </w:r>
      <w:r>
        <w:rPr>
          <w:rFonts w:hint="eastAsia" w:ascii="宋体" w:hAnsi="宋体" w:eastAsia="宋体" w:cs="Times New Roman"/>
          <w:b/>
          <w:bCs/>
          <w:color w:val="auto"/>
          <w:kern w:val="0"/>
          <w:sz w:val="24"/>
          <w:szCs w:val="24"/>
          <w:highlight w:val="none"/>
          <w:lang w:eastAsia="zh-CN"/>
        </w:rPr>
        <w:t>（如有）</w:t>
      </w:r>
      <w:bookmarkEnd w:id="25"/>
    </w:p>
    <w:p w14:paraId="6F97EF99">
      <w:pPr>
        <w:widowControl/>
        <w:spacing w:line="360" w:lineRule="auto"/>
        <w:rPr>
          <w:rFonts w:hint="eastAsia" w:ascii="宋体" w:hAnsi="宋体" w:cs="宋体"/>
          <w:b/>
          <w:color w:val="auto"/>
          <w:kern w:val="0"/>
          <w:sz w:val="28"/>
          <w:szCs w:val="28"/>
          <w:highlight w:val="none"/>
          <w:lang w:bidi="ar"/>
        </w:rPr>
      </w:pPr>
    </w:p>
    <w:p w14:paraId="1D6E6AE5">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本公司</w:t>
      </w:r>
      <w:r>
        <w:rPr>
          <w:rFonts w:hint="eastAsia" w:ascii="宋体" w:hAnsi="宋体" w:cs="宋体"/>
          <w:color w:val="auto"/>
          <w:kern w:val="0"/>
          <w:szCs w:val="21"/>
          <w:highlight w:val="none"/>
          <w:u w:val="single"/>
          <w:lang w:val="en-US" w:eastAsia="zh-CN" w:bidi="ar"/>
        </w:rPr>
        <w:t xml:space="preserve">          </w:t>
      </w:r>
      <w:r>
        <w:rPr>
          <w:rFonts w:hint="eastAsia" w:ascii="宋体" w:hAnsi="宋体" w:cs="宋体"/>
          <w:color w:val="auto"/>
          <w:kern w:val="0"/>
          <w:szCs w:val="21"/>
          <w:highlight w:val="none"/>
          <w:lang w:bidi="ar"/>
        </w:rPr>
        <w:t>郑重声明，根据《政府采购促进中小企业发展管理办法》（财库﹝2020﹞46 号）的规定，本公司</w:t>
      </w:r>
      <w:r>
        <w:rPr>
          <w:rFonts w:hint="eastAsia" w:ascii="宋体" w:hAnsi="宋体" w:cs="宋体"/>
          <w:color w:val="auto"/>
          <w:kern w:val="0"/>
          <w:szCs w:val="21"/>
          <w:highlight w:val="none"/>
          <w:u w:val="single"/>
          <w:lang w:val="en-US" w:eastAsia="zh-CN" w:bidi="ar"/>
        </w:rPr>
        <w:t xml:space="preserve">          </w:t>
      </w:r>
      <w:r>
        <w:rPr>
          <w:rFonts w:hint="eastAsia" w:ascii="宋体" w:hAnsi="宋体" w:cs="宋体"/>
          <w:color w:val="auto"/>
          <w:kern w:val="0"/>
          <w:szCs w:val="21"/>
          <w:highlight w:val="none"/>
          <w:lang w:bidi="ar"/>
        </w:rPr>
        <w:t>参加</w:t>
      </w:r>
      <w:r>
        <w:rPr>
          <w:rFonts w:hint="eastAsia" w:ascii="宋体" w:hAnsi="宋体" w:cs="宋体"/>
          <w:color w:val="auto"/>
          <w:kern w:val="0"/>
          <w:szCs w:val="21"/>
          <w:highlight w:val="none"/>
          <w:u w:val="single"/>
          <w:lang w:bidi="ar"/>
        </w:rPr>
        <w:t>（单位名称）</w:t>
      </w:r>
      <w:r>
        <w:rPr>
          <w:rFonts w:hint="eastAsia" w:ascii="宋体" w:hAnsi="宋体" w:cs="宋体"/>
          <w:color w:val="auto"/>
          <w:kern w:val="0"/>
          <w:szCs w:val="21"/>
          <w:highlight w:val="none"/>
          <w:lang w:bidi="ar"/>
        </w:rPr>
        <w:t>的</w:t>
      </w:r>
      <w:r>
        <w:rPr>
          <w:rFonts w:hint="eastAsia" w:ascii="宋体" w:hAnsi="宋体" w:cs="宋体"/>
          <w:color w:val="auto"/>
          <w:kern w:val="0"/>
          <w:szCs w:val="21"/>
          <w:highlight w:val="none"/>
          <w:u w:val="single"/>
          <w:lang w:bidi="ar"/>
        </w:rPr>
        <w:t>（项目名称）</w:t>
      </w:r>
      <w:r>
        <w:rPr>
          <w:rFonts w:hint="eastAsia" w:ascii="宋体" w:hAnsi="宋体" w:cs="宋体"/>
          <w:color w:val="auto"/>
          <w:kern w:val="0"/>
          <w:szCs w:val="21"/>
          <w:highlight w:val="none"/>
          <w:lang w:bidi="ar"/>
        </w:rPr>
        <w:t xml:space="preserve">采购活动，提供的货物全部由符合政策要求的中小企业制造。相关企业（含联合体中的中小企业、签订分包意向协议的中小企业） </w:t>
      </w:r>
    </w:p>
    <w:p w14:paraId="778EE3F2">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的具体情况如下： </w:t>
      </w:r>
    </w:p>
    <w:p w14:paraId="4F9E94E3">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1. </w:t>
      </w:r>
      <w:r>
        <w:rPr>
          <w:rFonts w:hint="eastAsia" w:ascii="宋体" w:hAnsi="宋体" w:cs="宋体"/>
          <w:color w:val="auto"/>
          <w:kern w:val="0"/>
          <w:szCs w:val="21"/>
          <w:highlight w:val="none"/>
          <w:u w:val="single"/>
          <w:lang w:bidi="ar"/>
        </w:rPr>
        <w:t xml:space="preserve">（标的名称） </w:t>
      </w:r>
      <w:r>
        <w:rPr>
          <w:rFonts w:hint="eastAsia" w:ascii="宋体" w:hAnsi="宋体" w:cs="宋体"/>
          <w:color w:val="auto"/>
          <w:kern w:val="0"/>
          <w:szCs w:val="21"/>
          <w:highlight w:val="none"/>
          <w:lang w:bidi="ar"/>
        </w:rPr>
        <w:t>，属于</w:t>
      </w:r>
      <w:r>
        <w:rPr>
          <w:rFonts w:hint="eastAsia" w:ascii="宋体" w:hAnsi="宋体" w:cs="宋体"/>
          <w:color w:val="auto"/>
          <w:kern w:val="0"/>
          <w:szCs w:val="21"/>
          <w:highlight w:val="none"/>
          <w:u w:val="single"/>
          <w:lang w:bidi="ar"/>
        </w:rPr>
        <w:t xml:space="preserve">（采购文件中明确的所属行业） </w:t>
      </w:r>
      <w:r>
        <w:rPr>
          <w:rFonts w:hint="eastAsia" w:ascii="宋体" w:hAnsi="宋体" w:cs="宋体"/>
          <w:color w:val="auto"/>
          <w:kern w:val="0"/>
          <w:szCs w:val="21"/>
          <w:highlight w:val="none"/>
          <w:lang w:bidi="ar"/>
        </w:rPr>
        <w:t>行业；制造商为</w:t>
      </w:r>
      <w:r>
        <w:rPr>
          <w:rFonts w:hint="eastAsia" w:ascii="宋体" w:hAnsi="宋体" w:cs="宋体"/>
          <w:color w:val="auto"/>
          <w:kern w:val="0"/>
          <w:szCs w:val="21"/>
          <w:highlight w:val="none"/>
          <w:u w:val="single"/>
          <w:lang w:bidi="ar"/>
        </w:rPr>
        <w:t>（企业名称）</w:t>
      </w:r>
      <w:r>
        <w:rPr>
          <w:rFonts w:hint="eastAsia" w:ascii="宋体" w:hAnsi="宋体" w:cs="宋体"/>
          <w:color w:val="auto"/>
          <w:kern w:val="0"/>
          <w:szCs w:val="21"/>
          <w:highlight w:val="none"/>
          <w:lang w:bidi="ar"/>
        </w:rPr>
        <w:t>，从业人员</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人，营业收入为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万元，资产总额为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万元①，属于</w:t>
      </w:r>
      <w:r>
        <w:rPr>
          <w:rFonts w:hint="eastAsia" w:ascii="宋体" w:hAnsi="宋体" w:cs="宋体"/>
          <w:color w:val="auto"/>
          <w:kern w:val="0"/>
          <w:szCs w:val="21"/>
          <w:highlight w:val="none"/>
          <w:u w:val="single"/>
          <w:lang w:bidi="ar"/>
        </w:rPr>
        <w:t>（中型企业、小 型企业、微型企业）</w:t>
      </w:r>
      <w:r>
        <w:rPr>
          <w:rFonts w:hint="eastAsia" w:ascii="宋体" w:hAnsi="宋体" w:cs="宋体"/>
          <w:color w:val="auto"/>
          <w:kern w:val="0"/>
          <w:szCs w:val="21"/>
          <w:highlight w:val="none"/>
          <w:lang w:bidi="ar"/>
        </w:rPr>
        <w:t xml:space="preserve">； </w:t>
      </w:r>
    </w:p>
    <w:p w14:paraId="6E913A58">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2. </w:t>
      </w:r>
      <w:r>
        <w:rPr>
          <w:rFonts w:hint="eastAsia" w:ascii="宋体" w:hAnsi="宋体" w:cs="宋体"/>
          <w:color w:val="auto"/>
          <w:kern w:val="0"/>
          <w:szCs w:val="21"/>
          <w:highlight w:val="none"/>
          <w:u w:val="single"/>
          <w:lang w:bidi="ar"/>
        </w:rPr>
        <w:t xml:space="preserve">（标的名称） </w:t>
      </w:r>
      <w:r>
        <w:rPr>
          <w:rFonts w:hint="eastAsia" w:ascii="宋体" w:hAnsi="宋体" w:cs="宋体"/>
          <w:color w:val="auto"/>
          <w:kern w:val="0"/>
          <w:szCs w:val="21"/>
          <w:highlight w:val="none"/>
          <w:lang w:bidi="ar"/>
        </w:rPr>
        <w:t>，属于</w:t>
      </w:r>
      <w:r>
        <w:rPr>
          <w:rFonts w:hint="eastAsia" w:ascii="宋体" w:hAnsi="宋体" w:cs="宋体"/>
          <w:color w:val="auto"/>
          <w:kern w:val="0"/>
          <w:szCs w:val="21"/>
          <w:highlight w:val="none"/>
          <w:u w:val="single"/>
          <w:lang w:bidi="ar"/>
        </w:rPr>
        <w:t>（采购文件中明确的所属行业）</w:t>
      </w:r>
      <w:r>
        <w:rPr>
          <w:rFonts w:hint="eastAsia" w:ascii="宋体" w:hAnsi="宋体" w:cs="宋体"/>
          <w:color w:val="auto"/>
          <w:kern w:val="0"/>
          <w:szCs w:val="21"/>
          <w:highlight w:val="none"/>
          <w:lang w:bidi="ar"/>
        </w:rPr>
        <w:t>行业；制造商为</w:t>
      </w:r>
      <w:r>
        <w:rPr>
          <w:rFonts w:hint="eastAsia" w:ascii="宋体" w:hAnsi="宋体" w:cs="宋体"/>
          <w:color w:val="auto"/>
          <w:kern w:val="0"/>
          <w:szCs w:val="21"/>
          <w:highlight w:val="none"/>
          <w:u w:val="single"/>
          <w:lang w:bidi="ar"/>
        </w:rPr>
        <w:t>（企业名称），</w:t>
      </w:r>
      <w:r>
        <w:rPr>
          <w:rFonts w:hint="eastAsia" w:ascii="宋体" w:hAnsi="宋体" w:cs="宋体"/>
          <w:color w:val="auto"/>
          <w:kern w:val="0"/>
          <w:szCs w:val="21"/>
          <w:highlight w:val="none"/>
          <w:lang w:bidi="ar"/>
        </w:rPr>
        <w:t>从业人员</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人，营业收入为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万元，资产总额为</w:t>
      </w:r>
      <w:r>
        <w:rPr>
          <w:rFonts w:hint="eastAsia" w:ascii="宋体" w:hAnsi="宋体" w:cs="宋体"/>
          <w:color w:val="auto"/>
          <w:kern w:val="0"/>
          <w:szCs w:val="21"/>
          <w:highlight w:val="none"/>
          <w:u w:val="single"/>
          <w:lang w:bidi="ar"/>
        </w:rPr>
        <w:t xml:space="preserve">     </w:t>
      </w:r>
      <w:r>
        <w:rPr>
          <w:rFonts w:hint="eastAsia" w:ascii="宋体" w:hAnsi="宋体" w:cs="宋体"/>
          <w:color w:val="auto"/>
          <w:kern w:val="0"/>
          <w:szCs w:val="21"/>
          <w:highlight w:val="none"/>
          <w:lang w:bidi="ar"/>
        </w:rPr>
        <w:t>万元，属于</w:t>
      </w:r>
      <w:r>
        <w:rPr>
          <w:rFonts w:hint="eastAsia" w:ascii="宋体" w:hAnsi="宋体" w:cs="宋体"/>
          <w:color w:val="auto"/>
          <w:kern w:val="0"/>
          <w:szCs w:val="21"/>
          <w:highlight w:val="none"/>
          <w:u w:val="single"/>
          <w:lang w:bidi="ar"/>
        </w:rPr>
        <w:t>（中型企业、小型企业、微型企业）</w:t>
      </w:r>
      <w:r>
        <w:rPr>
          <w:rFonts w:hint="eastAsia" w:ascii="宋体" w:hAnsi="宋体" w:cs="宋体"/>
          <w:color w:val="auto"/>
          <w:kern w:val="0"/>
          <w:szCs w:val="21"/>
          <w:highlight w:val="none"/>
          <w:lang w:bidi="ar"/>
        </w:rPr>
        <w:t xml:space="preserve">； </w:t>
      </w:r>
    </w:p>
    <w:p w14:paraId="46908844">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w:t>
      </w:r>
    </w:p>
    <w:p w14:paraId="0F374511">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以上企业，不属于大企业的分支机构，不存在控股股东为大企业的情形，也不存在与大企业的负责人为同一人的情形。</w:t>
      </w:r>
    </w:p>
    <w:p w14:paraId="023A26E4">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本企业对上述声明内容的真实性负责。如有虚假，将依法承担相应责任。 </w:t>
      </w:r>
    </w:p>
    <w:p w14:paraId="35636AC1">
      <w:pPr>
        <w:widowControl/>
        <w:spacing w:line="360" w:lineRule="auto"/>
        <w:jc w:val="left"/>
        <w:rPr>
          <w:rFonts w:hint="eastAsia" w:ascii="宋体" w:hAnsi="宋体" w:cs="宋体"/>
          <w:color w:val="auto"/>
          <w:kern w:val="0"/>
          <w:szCs w:val="21"/>
          <w:highlight w:val="none"/>
          <w:lang w:bidi="ar"/>
        </w:rPr>
      </w:pPr>
    </w:p>
    <w:p w14:paraId="036EF308">
      <w:pPr>
        <w:widowControl/>
        <w:spacing w:line="360" w:lineRule="auto"/>
        <w:jc w:val="left"/>
        <w:rPr>
          <w:rFonts w:hint="eastAsia" w:ascii="宋体" w:hAnsi="宋体" w:cs="宋体"/>
          <w:color w:val="auto"/>
          <w:kern w:val="0"/>
          <w:szCs w:val="21"/>
          <w:highlight w:val="none"/>
          <w:lang w:bidi="ar"/>
        </w:rPr>
      </w:pPr>
    </w:p>
    <w:p w14:paraId="68328B1F">
      <w:pPr>
        <w:widowControl/>
        <w:spacing w:line="360" w:lineRule="auto"/>
        <w:ind w:firstLine="5460" w:firstLineChars="26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企业名称（盖章）： </w:t>
      </w:r>
    </w:p>
    <w:p w14:paraId="06BCA5E1">
      <w:pPr>
        <w:widowControl/>
        <w:spacing w:line="360" w:lineRule="auto"/>
        <w:ind w:firstLine="5460" w:firstLineChars="26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 xml:space="preserve">日 期： </w:t>
      </w:r>
    </w:p>
    <w:p w14:paraId="673FB389">
      <w:pPr>
        <w:widowControl/>
        <w:spacing w:line="360" w:lineRule="auto"/>
        <w:jc w:val="left"/>
        <w:rPr>
          <w:rFonts w:hint="eastAsia" w:ascii="宋体" w:hAnsi="宋体" w:cs="宋体"/>
          <w:b/>
          <w:bCs/>
          <w:color w:val="auto"/>
          <w:kern w:val="0"/>
          <w:szCs w:val="21"/>
          <w:highlight w:val="none"/>
          <w:lang w:bidi="ar"/>
        </w:rPr>
      </w:pPr>
      <w:r>
        <w:rPr>
          <w:rFonts w:hint="eastAsia" w:ascii="宋体" w:hAnsi="宋体" w:cs="宋体"/>
          <w:b/>
          <w:bCs/>
          <w:color w:val="auto"/>
          <w:kern w:val="0"/>
          <w:szCs w:val="21"/>
          <w:highlight w:val="none"/>
          <w:lang w:bidi="ar"/>
        </w:rPr>
        <w:t>（属于中小微企业的填写，不属于的无需填写此项内容）</w:t>
      </w:r>
    </w:p>
    <w:p w14:paraId="3F897DDA">
      <w:pPr>
        <w:widowControl/>
        <w:spacing w:line="360" w:lineRule="auto"/>
        <w:jc w:val="left"/>
        <w:rPr>
          <w:rFonts w:hint="eastAsia" w:ascii="宋体" w:hAnsi="宋体" w:cs="宋体"/>
          <w:color w:val="auto"/>
          <w:kern w:val="0"/>
          <w:szCs w:val="21"/>
          <w:highlight w:val="none"/>
          <w:lang w:bidi="ar"/>
        </w:rPr>
      </w:pPr>
      <w:r>
        <w:rPr>
          <w:rFonts w:hint="eastAsia" w:ascii="宋体" w:hAnsi="宋体" w:cs="宋体"/>
          <w:b/>
          <w:bCs/>
          <w:color w:val="auto"/>
          <w:kern w:val="0"/>
          <w:szCs w:val="21"/>
          <w:highlight w:val="none"/>
          <w:lang w:bidi="ar"/>
        </w:rPr>
        <w:t>注：</w:t>
      </w:r>
      <w:r>
        <w:rPr>
          <w:rFonts w:hint="eastAsia" w:ascii="宋体" w:hAnsi="宋体" w:cs="宋体"/>
          <w:color w:val="auto"/>
          <w:kern w:val="0"/>
          <w:szCs w:val="21"/>
          <w:highlight w:val="none"/>
          <w:lang w:bidi="ar"/>
        </w:rPr>
        <w:t>①从业人员、营业收入、资产总额填报上</w:t>
      </w:r>
      <w:r>
        <w:rPr>
          <w:rFonts w:hint="eastAsia" w:ascii="宋体" w:hAnsi="宋体" w:cs="宋体"/>
          <w:color w:val="auto"/>
          <w:kern w:val="0"/>
          <w:szCs w:val="21"/>
          <w:highlight w:val="none"/>
          <w:lang w:eastAsia="zh-CN" w:bidi="ar"/>
        </w:rPr>
        <w:t>自验收合格之日起 3年</w:t>
      </w:r>
      <w:r>
        <w:rPr>
          <w:rFonts w:hint="eastAsia" w:ascii="宋体" w:hAnsi="宋体" w:cs="宋体"/>
          <w:color w:val="auto"/>
          <w:kern w:val="0"/>
          <w:szCs w:val="21"/>
          <w:highlight w:val="none"/>
          <w:lang w:bidi="ar"/>
        </w:rPr>
        <w:t>度数据，无上</w:t>
      </w:r>
      <w:r>
        <w:rPr>
          <w:rFonts w:hint="eastAsia" w:ascii="宋体" w:hAnsi="宋体" w:cs="宋体"/>
          <w:color w:val="auto"/>
          <w:kern w:val="0"/>
          <w:szCs w:val="21"/>
          <w:highlight w:val="none"/>
          <w:lang w:eastAsia="zh-CN" w:bidi="ar"/>
        </w:rPr>
        <w:t>自验收合格之日起 3年</w:t>
      </w:r>
      <w:r>
        <w:rPr>
          <w:rFonts w:hint="eastAsia" w:ascii="宋体" w:hAnsi="宋体" w:cs="宋体"/>
          <w:color w:val="auto"/>
          <w:kern w:val="0"/>
          <w:szCs w:val="21"/>
          <w:highlight w:val="none"/>
          <w:lang w:bidi="ar"/>
        </w:rPr>
        <w:t>度数据的新成立企业可不填报。</w:t>
      </w:r>
    </w:p>
    <w:p w14:paraId="22E93366">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color w:val="auto"/>
          <w:szCs w:val="21"/>
          <w:highlight w:val="none"/>
        </w:rPr>
        <w:t>②</w:t>
      </w:r>
      <w:r>
        <w:rPr>
          <w:rFonts w:hint="eastAsia" w:ascii="宋体" w:hAnsi="宋体" w:cs="宋体"/>
          <w:color w:val="auto"/>
          <w:kern w:val="0"/>
          <w:szCs w:val="21"/>
          <w:highlight w:val="none"/>
          <w:lang w:bidi="ar"/>
        </w:rPr>
        <w:t>供应商提供的货物既有中小企业制造货物，也有大型企业制造货物的，不享受《政府采购促进中小企业发展管理办法》规定的中小企业扶持政策。</w:t>
      </w:r>
    </w:p>
    <w:p w14:paraId="48EE5E2B">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color w:val="auto"/>
          <w:szCs w:val="21"/>
          <w:highlight w:val="none"/>
        </w:rPr>
        <w:t>③</w:t>
      </w:r>
      <w:r>
        <w:rPr>
          <w:rFonts w:hint="eastAsia" w:ascii="宋体" w:hAnsi="宋体" w:cs="宋体"/>
          <w:color w:val="auto"/>
          <w:kern w:val="0"/>
          <w:szCs w:val="21"/>
          <w:highlight w:val="none"/>
          <w:lang w:bidi="ar"/>
        </w:rPr>
        <w:t xml:space="preserve">以联合体形式参加政府采购活动，联合体各方均为中小企业的，联合体视同中小企业。其中，联合体各方均为小微企业的，联合体视同小微企业。 </w:t>
      </w:r>
    </w:p>
    <w:p w14:paraId="3B862324">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④在政府采购活动中，供应商提供的所有货物由小微企业制造，即货物由小微企业生产且使用该小微企业商号或者注册商标的，才能享受《政府采购促进中小企业发展管理办法》规定的价格扣减。</w:t>
      </w:r>
    </w:p>
    <w:p w14:paraId="6C888C19">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⑤中小企业声明函格式应严格按照招标文件提供的格式填写。非单一产品采购的，设备制造商不止一家时，中小企业声明函中须列出所有的设备及制造商，罗列不全的中小企业声明函不予认可。</w:t>
      </w:r>
    </w:p>
    <w:p w14:paraId="74BC5511">
      <w:pPr>
        <w:widowControl/>
        <w:spacing w:line="360" w:lineRule="auto"/>
        <w:ind w:firstLine="420" w:firstLineChars="200"/>
        <w:jc w:val="left"/>
        <w:rPr>
          <w:rFonts w:hint="eastAsia" w:ascii="宋体" w:hAnsi="宋体" w:cs="宋体"/>
          <w:color w:val="auto"/>
          <w:kern w:val="0"/>
          <w:szCs w:val="21"/>
          <w:highlight w:val="none"/>
          <w:lang w:bidi="ar"/>
        </w:rPr>
      </w:pPr>
      <w:r>
        <w:rPr>
          <w:rFonts w:hint="eastAsia" w:ascii="宋体" w:hAnsi="宋体" w:cs="宋体"/>
          <w:color w:val="auto"/>
          <w:kern w:val="0"/>
          <w:szCs w:val="21"/>
          <w:highlight w:val="none"/>
          <w:lang w:bidi="ar"/>
        </w:rPr>
        <w:t>⑥在货物采购项目中，货物应当由中小企业制造，不对其中涉及的服务的承接商作出要求。</w:t>
      </w:r>
    </w:p>
    <w:p w14:paraId="458C7D37">
      <w:pPr>
        <w:widowControl/>
        <w:spacing w:line="360" w:lineRule="auto"/>
        <w:ind w:firstLine="420" w:firstLineChars="200"/>
        <w:jc w:val="left"/>
        <w:rPr>
          <w:rFonts w:hint="eastAsia" w:ascii="宋体" w:hAnsi="宋体" w:cs="宋体"/>
          <w:color w:val="auto"/>
          <w:kern w:val="0"/>
          <w:szCs w:val="21"/>
          <w:highlight w:val="none"/>
          <w:lang w:bidi="ar"/>
        </w:rPr>
      </w:pPr>
    </w:p>
    <w:p w14:paraId="0FF5FB96">
      <w:pPr>
        <w:spacing w:line="360" w:lineRule="auto"/>
        <w:rPr>
          <w:rFonts w:hint="eastAsia" w:ascii="宋体" w:hAnsi="宋体" w:cs="宋体"/>
          <w:color w:val="auto"/>
          <w:szCs w:val="21"/>
          <w:highlight w:val="none"/>
        </w:rPr>
      </w:pPr>
    </w:p>
    <w:p w14:paraId="45063C26">
      <w:pPr>
        <w:pStyle w:val="4"/>
        <w:numPr>
          <w:ilvl w:val="0"/>
          <w:numId w:val="0"/>
        </w:numPr>
        <w:tabs>
          <w:tab w:val="left" w:pos="840"/>
        </w:tabs>
        <w:ind w:left="420"/>
        <w:jc w:val="left"/>
        <w:rPr>
          <w:rFonts w:hint="eastAsia" w:ascii="宋体" w:hAnsi="宋体"/>
          <w:color w:val="auto"/>
          <w:szCs w:val="24"/>
          <w:highlight w:val="none"/>
          <w:lang w:val="en-US" w:eastAsia="zh-CN"/>
        </w:rPr>
      </w:pPr>
      <w:bookmarkStart w:id="26" w:name="OLE_LINK14"/>
      <w:bookmarkStart w:id="27" w:name="OLE_LINK13"/>
      <w:r>
        <w:rPr>
          <w:rFonts w:hint="eastAsia" w:ascii="宋体" w:hAnsi="宋体"/>
          <w:color w:val="auto"/>
          <w:szCs w:val="24"/>
          <w:highlight w:val="none"/>
          <w:lang w:val="en-US" w:eastAsia="zh-CN"/>
        </w:rPr>
        <w:br w:type="page"/>
      </w:r>
      <w:bookmarkStart w:id="28" w:name="_Toc23336"/>
      <w:r>
        <w:rPr>
          <w:rFonts w:hint="eastAsia" w:ascii="宋体" w:hAnsi="宋体" w:eastAsia="宋体" w:cs="Times New Roman"/>
          <w:b/>
          <w:bCs/>
          <w:color w:val="auto"/>
          <w:kern w:val="0"/>
          <w:sz w:val="24"/>
          <w:szCs w:val="24"/>
          <w:highlight w:val="none"/>
          <w:lang w:val="en-US" w:eastAsia="zh-CN" w:bidi="ar-SA"/>
        </w:rPr>
        <w:t>附件：</w:t>
      </w:r>
    </w:p>
    <w:p w14:paraId="40144AF7">
      <w:pPr>
        <w:pStyle w:val="4"/>
        <w:numPr>
          <w:ilvl w:val="0"/>
          <w:numId w:val="0"/>
        </w:numPr>
        <w:tabs>
          <w:tab w:val="left" w:pos="840"/>
        </w:tabs>
        <w:ind w:left="420"/>
        <w:jc w:val="center"/>
        <w:rPr>
          <w:rFonts w:hint="eastAsia" w:ascii="宋体" w:hAnsi="宋体"/>
          <w:color w:val="auto"/>
          <w:szCs w:val="24"/>
          <w:highlight w:val="none"/>
          <w:lang w:val="en-US" w:eastAsia="zh-CN"/>
        </w:rPr>
      </w:pPr>
      <w:r>
        <w:rPr>
          <w:rFonts w:hint="eastAsia" w:ascii="宋体" w:hAnsi="宋体"/>
          <w:color w:val="auto"/>
          <w:szCs w:val="24"/>
          <w:highlight w:val="none"/>
          <w:lang w:val="en-US" w:eastAsia="zh-CN"/>
        </w:rPr>
        <w:t>残疾人福利性单位声明函</w:t>
      </w:r>
      <w:r>
        <w:rPr>
          <w:rFonts w:hint="eastAsia" w:ascii="宋体" w:hAnsi="宋体" w:cs="微软雅黑"/>
          <w:color w:val="auto"/>
          <w:kern w:val="0"/>
          <w:szCs w:val="21"/>
          <w:highlight w:val="none"/>
          <w:lang w:eastAsia="zh-CN"/>
        </w:rPr>
        <w:t>（如有）</w:t>
      </w:r>
      <w:bookmarkEnd w:id="28"/>
    </w:p>
    <w:bookmarkEnd w:id="26"/>
    <w:bookmarkEnd w:id="27"/>
    <w:p w14:paraId="3CB80ED4">
      <w:pPr>
        <w:spacing w:line="360" w:lineRule="auto"/>
        <w:rPr>
          <w:rFonts w:hint="eastAsia" w:ascii="宋体" w:hAnsi="宋体" w:cs="宋体"/>
          <w:b/>
          <w:color w:val="auto"/>
          <w:spacing w:val="6"/>
          <w:szCs w:val="21"/>
          <w:highlight w:val="none"/>
        </w:rPr>
      </w:pPr>
    </w:p>
    <w:p w14:paraId="5FA2920E">
      <w:pPr>
        <w:spacing w:line="360" w:lineRule="auto"/>
        <w:ind w:firstLine="444" w:firstLineChars="200"/>
        <w:rPr>
          <w:rFonts w:hint="eastAsia" w:ascii="宋体" w:hAnsi="宋体" w:cs="宋体"/>
          <w:color w:val="auto"/>
          <w:spacing w:val="6"/>
          <w:szCs w:val="21"/>
          <w:highlight w:val="none"/>
        </w:rPr>
      </w:pPr>
      <w:r>
        <w:rPr>
          <w:rFonts w:hint="eastAsia" w:ascii="宋体" w:hAnsi="宋体" w:cs="宋体"/>
          <w:color w:val="auto"/>
          <w:spacing w:val="6"/>
          <w:szCs w:val="21"/>
          <w:highlight w:val="none"/>
        </w:rPr>
        <w:t>本单位郑重声明，根据《财政部 民政部 中国残疾人联合会关于促进残疾人就业政府采购政策的通知》（财库</w:t>
      </w:r>
      <w:r>
        <w:rPr>
          <w:rFonts w:hint="eastAsia" w:ascii="宋体" w:hAnsi="宋体" w:cs="宋体"/>
          <w:color w:val="auto"/>
          <w:szCs w:val="21"/>
          <w:highlight w:val="none"/>
        </w:rPr>
        <w:t>〔2017〕 141</w:t>
      </w:r>
      <w:r>
        <w:rPr>
          <w:rFonts w:hint="eastAsia" w:ascii="宋体" w:hAnsi="宋体" w:cs="宋体"/>
          <w:color w:val="auto"/>
          <w:spacing w:val="6"/>
          <w:szCs w:val="21"/>
          <w:highlight w:val="none"/>
        </w:rPr>
        <w:t>号）的规定，本单位为符合条件的残疾人福利性单位，且本单位参加</w:t>
      </w:r>
      <w:r>
        <w:rPr>
          <w:rFonts w:hint="eastAsia" w:ascii="宋体" w:hAnsi="宋体" w:cs="宋体"/>
          <w:color w:val="auto"/>
          <w:spacing w:val="6"/>
          <w:szCs w:val="21"/>
          <w:highlight w:val="none"/>
          <w:u w:val="single"/>
        </w:rPr>
        <w:t xml:space="preserve">       </w:t>
      </w:r>
      <w:r>
        <w:rPr>
          <w:rFonts w:hint="eastAsia" w:ascii="宋体" w:hAnsi="宋体" w:cs="宋体"/>
          <w:color w:val="auto"/>
          <w:spacing w:val="6"/>
          <w:szCs w:val="21"/>
          <w:highlight w:val="none"/>
        </w:rPr>
        <w:t>单位的</w:t>
      </w:r>
      <w:r>
        <w:rPr>
          <w:rFonts w:hint="eastAsia" w:ascii="宋体" w:hAnsi="宋体" w:cs="宋体"/>
          <w:color w:val="auto"/>
          <w:spacing w:val="6"/>
          <w:szCs w:val="21"/>
          <w:highlight w:val="none"/>
          <w:u w:val="single"/>
        </w:rPr>
        <w:t xml:space="preserve">      </w:t>
      </w:r>
      <w:r>
        <w:rPr>
          <w:rFonts w:hint="eastAsia" w:ascii="宋体" w:hAnsi="宋体" w:cs="宋体"/>
          <w:color w:val="auto"/>
          <w:spacing w:val="6"/>
          <w:szCs w:val="21"/>
          <w:highlight w:val="none"/>
        </w:rPr>
        <w:t>项目采购活动提供本单位制造的货物（由本单位承担工程/提供服务），或者提供其他残疾人福利性单位制造的货物（不包括使用非残疾人福利性单位注册商标的货物）。</w:t>
      </w:r>
    </w:p>
    <w:p w14:paraId="3B38BD36">
      <w:pPr>
        <w:spacing w:line="360" w:lineRule="auto"/>
        <w:ind w:firstLine="444" w:firstLineChars="200"/>
        <w:rPr>
          <w:rFonts w:hint="eastAsia" w:ascii="宋体" w:hAnsi="宋体" w:cs="宋体"/>
          <w:color w:val="auto"/>
          <w:spacing w:val="6"/>
          <w:szCs w:val="21"/>
          <w:highlight w:val="none"/>
        </w:rPr>
      </w:pPr>
      <w:r>
        <w:rPr>
          <w:rFonts w:hint="eastAsia" w:ascii="宋体" w:hAnsi="宋体" w:cs="宋体"/>
          <w:color w:val="auto"/>
          <w:spacing w:val="6"/>
          <w:szCs w:val="21"/>
          <w:highlight w:val="none"/>
        </w:rPr>
        <w:t>本单位对上述声明的真实性负责。如有虚假，将依法承担相应责任。</w:t>
      </w:r>
    </w:p>
    <w:p w14:paraId="5CA0016D">
      <w:pPr>
        <w:spacing w:line="360" w:lineRule="auto"/>
        <w:ind w:firstLine="444" w:firstLineChars="200"/>
        <w:rPr>
          <w:rFonts w:hint="eastAsia" w:ascii="宋体" w:hAnsi="宋体" w:cs="宋体"/>
          <w:color w:val="auto"/>
          <w:spacing w:val="6"/>
          <w:szCs w:val="21"/>
          <w:highlight w:val="none"/>
        </w:rPr>
      </w:pPr>
    </w:p>
    <w:p w14:paraId="6D9C6B1D">
      <w:pPr>
        <w:spacing w:line="360" w:lineRule="auto"/>
        <w:ind w:firstLine="444" w:firstLineChars="200"/>
        <w:rPr>
          <w:rFonts w:hint="eastAsia" w:ascii="宋体" w:hAnsi="宋体" w:cs="宋体"/>
          <w:color w:val="auto"/>
          <w:spacing w:val="6"/>
          <w:szCs w:val="21"/>
          <w:highlight w:val="none"/>
        </w:rPr>
      </w:pPr>
    </w:p>
    <w:p w14:paraId="5240BD13">
      <w:pPr>
        <w:tabs>
          <w:tab w:val="left" w:pos="4860"/>
        </w:tabs>
        <w:spacing w:line="360" w:lineRule="auto"/>
        <w:ind w:right="1560" w:firstLine="444" w:firstLineChars="200"/>
        <w:jc w:val="center"/>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               单位名称（盖章）：</w:t>
      </w:r>
    </w:p>
    <w:p w14:paraId="09208B80">
      <w:pPr>
        <w:tabs>
          <w:tab w:val="left" w:pos="4860"/>
        </w:tabs>
        <w:spacing w:line="360" w:lineRule="auto"/>
        <w:ind w:right="1560" w:firstLine="444" w:firstLineChars="200"/>
        <w:jc w:val="center"/>
        <w:rPr>
          <w:rFonts w:hint="eastAsia" w:ascii="宋体" w:hAnsi="宋体" w:cs="宋体"/>
          <w:color w:val="auto"/>
          <w:spacing w:val="6"/>
          <w:szCs w:val="21"/>
          <w:highlight w:val="none"/>
        </w:rPr>
      </w:pPr>
      <w:r>
        <w:rPr>
          <w:rFonts w:hint="eastAsia" w:ascii="宋体" w:hAnsi="宋体" w:cs="宋体"/>
          <w:color w:val="auto"/>
          <w:spacing w:val="6"/>
          <w:szCs w:val="21"/>
          <w:highlight w:val="none"/>
        </w:rPr>
        <w:t xml:space="preserve">       日  期：</w:t>
      </w:r>
    </w:p>
    <w:p w14:paraId="063A7669">
      <w:pPr>
        <w:widowControl/>
        <w:spacing w:line="360" w:lineRule="auto"/>
        <w:rPr>
          <w:rFonts w:hint="eastAsia" w:ascii="宋体" w:hAnsi="宋体" w:cs="宋体"/>
          <w:b/>
          <w:color w:val="auto"/>
          <w:szCs w:val="21"/>
          <w:highlight w:val="none"/>
        </w:rPr>
      </w:pPr>
    </w:p>
    <w:p w14:paraId="59B1D467">
      <w:pPr>
        <w:widowControl/>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（提醒：如果</w:t>
      </w:r>
      <w:r>
        <w:rPr>
          <w:rFonts w:hint="eastAsia" w:ascii="宋体" w:hAnsi="宋体" w:cs="宋体"/>
          <w:b/>
          <w:color w:val="auto"/>
          <w:szCs w:val="21"/>
          <w:highlight w:val="none"/>
          <w:lang w:eastAsia="zh-CN"/>
        </w:rPr>
        <w:t>投标供应商</w:t>
      </w:r>
      <w:r>
        <w:rPr>
          <w:rFonts w:hint="eastAsia" w:ascii="宋体" w:hAnsi="宋体" w:cs="宋体"/>
          <w:b/>
          <w:color w:val="auto"/>
          <w:spacing w:val="10"/>
          <w:kern w:val="0"/>
          <w:szCs w:val="21"/>
          <w:highlight w:val="none"/>
        </w:rPr>
        <w:t>不是残疾人福利性单位</w:t>
      </w:r>
      <w:r>
        <w:rPr>
          <w:rFonts w:hint="eastAsia" w:ascii="宋体" w:hAnsi="宋体" w:cs="宋体"/>
          <w:b/>
          <w:color w:val="auto"/>
          <w:szCs w:val="21"/>
          <w:highlight w:val="none"/>
        </w:rPr>
        <w:t>，则不需要提供《残疾人福利性单位声明函</w:t>
      </w:r>
    </w:p>
    <w:p w14:paraId="2FF876F2">
      <w:pPr>
        <w:widowControl/>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w:t>
      </w:r>
    </w:p>
    <w:p w14:paraId="59D3E3B7">
      <w:pPr>
        <w:tabs>
          <w:tab w:val="left" w:pos="840"/>
        </w:tabs>
        <w:autoSpaceDE w:val="0"/>
        <w:autoSpaceDN w:val="0"/>
        <w:adjustRightInd w:val="0"/>
        <w:spacing w:line="360" w:lineRule="auto"/>
        <w:rPr>
          <w:rFonts w:hint="eastAsia" w:ascii="宋体" w:hAnsi="宋体"/>
          <w:b/>
          <w:color w:val="auto"/>
          <w:sz w:val="24"/>
          <w:highlight w:val="none"/>
        </w:rPr>
      </w:pPr>
    </w:p>
    <w:p w14:paraId="5B4C4E39">
      <w:pPr>
        <w:spacing w:line="360" w:lineRule="auto"/>
        <w:rPr>
          <w:rFonts w:hint="eastAsia"/>
          <w:color w:val="auto"/>
          <w:highlight w:val="none"/>
        </w:rPr>
      </w:pPr>
      <w:r>
        <w:rPr>
          <w:rFonts w:hint="eastAsia"/>
          <w:color w:val="auto"/>
          <w:highlight w:val="none"/>
        </w:rPr>
        <w:t>《财政部民政部中国残疾人联合会关于促进残疾人就业政府采购政策的通知》（财库（2017〔141〕号）的规定：</w:t>
      </w:r>
    </w:p>
    <w:p w14:paraId="22F1E22F">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1. 享受政府采购支持政策的残疾人福利性单位应当同时满足以下条件：</w:t>
      </w:r>
    </w:p>
    <w:p w14:paraId="33F98B99">
      <w:pPr>
        <w:spacing w:line="360" w:lineRule="auto"/>
        <w:rPr>
          <w:rFonts w:hint="eastAsia"/>
          <w:color w:val="auto"/>
          <w:highlight w:val="none"/>
        </w:rPr>
      </w:pPr>
      <w:r>
        <w:rPr>
          <w:rFonts w:hint="eastAsia"/>
          <w:color w:val="auto"/>
          <w:highlight w:val="none"/>
        </w:rPr>
        <w:t>（1）安置的残疾人占本单位在职职工人数的比例不低于25%（含25%），并且安置的残疾人人数不少于10人（含10人）；</w:t>
      </w:r>
    </w:p>
    <w:p w14:paraId="7367BFD0">
      <w:pPr>
        <w:spacing w:line="360" w:lineRule="auto"/>
        <w:rPr>
          <w:rFonts w:hint="eastAsia"/>
          <w:color w:val="auto"/>
          <w:highlight w:val="none"/>
        </w:rPr>
      </w:pPr>
      <w:r>
        <w:rPr>
          <w:rFonts w:hint="eastAsia"/>
          <w:color w:val="auto"/>
          <w:highlight w:val="none"/>
        </w:rPr>
        <w:t>（2）依法与安置的每位残疾人签订了</w:t>
      </w:r>
      <w:r>
        <w:rPr>
          <w:rFonts w:hint="eastAsia"/>
          <w:color w:val="auto"/>
          <w:highlight w:val="none"/>
          <w:lang w:eastAsia="zh-CN"/>
        </w:rPr>
        <w:t>自验收合格之日起 3年</w:t>
      </w:r>
      <w:r>
        <w:rPr>
          <w:rFonts w:hint="eastAsia"/>
          <w:color w:val="auto"/>
          <w:highlight w:val="none"/>
        </w:rPr>
        <w:t>以上（含</w:t>
      </w:r>
      <w:r>
        <w:rPr>
          <w:rFonts w:hint="eastAsia"/>
          <w:color w:val="auto"/>
          <w:highlight w:val="none"/>
          <w:lang w:eastAsia="zh-CN"/>
        </w:rPr>
        <w:t>自验收合格之日起 3年</w:t>
      </w:r>
      <w:r>
        <w:rPr>
          <w:rFonts w:hint="eastAsia"/>
          <w:color w:val="auto"/>
          <w:highlight w:val="none"/>
        </w:rPr>
        <w:t>）的劳动合同或服务协议；</w:t>
      </w:r>
    </w:p>
    <w:p w14:paraId="1D4F20BA">
      <w:pPr>
        <w:spacing w:line="360" w:lineRule="auto"/>
        <w:rPr>
          <w:rFonts w:hint="eastAsia"/>
          <w:color w:val="auto"/>
          <w:highlight w:val="none"/>
        </w:rPr>
      </w:pPr>
      <w:r>
        <w:rPr>
          <w:rFonts w:hint="eastAsia"/>
          <w:color w:val="auto"/>
          <w:highlight w:val="none"/>
        </w:rPr>
        <w:t>（3）为安置的每位残疾人按月足额缴纳了基本养老保险、基本医疗保险、失业保险、工伤保险和生育保险等社会保险费；</w:t>
      </w:r>
    </w:p>
    <w:p w14:paraId="61983346">
      <w:pPr>
        <w:spacing w:line="360" w:lineRule="auto"/>
        <w:rPr>
          <w:rFonts w:hint="eastAsia"/>
          <w:color w:val="auto"/>
          <w:highlight w:val="none"/>
        </w:rPr>
      </w:pPr>
      <w:r>
        <w:rPr>
          <w:rFonts w:hint="eastAsia"/>
          <w:color w:val="auto"/>
          <w:highlight w:val="none"/>
        </w:rPr>
        <w:t>（4）通过银行等金融机构向安置的每位残疾人，按月支付了不低于单位所在区县适用的经省级人民政府批准的月最低工资标准的工资；</w:t>
      </w:r>
    </w:p>
    <w:p w14:paraId="0CF8662A">
      <w:pPr>
        <w:spacing w:line="360" w:lineRule="auto"/>
        <w:rPr>
          <w:rFonts w:hint="eastAsia"/>
          <w:color w:val="auto"/>
          <w:highlight w:val="none"/>
        </w:rPr>
      </w:pPr>
      <w:r>
        <w:rPr>
          <w:rFonts w:hint="eastAsia"/>
          <w:color w:val="auto"/>
          <w:highlight w:val="none"/>
        </w:rPr>
        <w:t>（5）提供本单位制造的货物、承担的工程或者服务（以下简称产品），或者提供其他残疾人福利性单位制造的货物（不包括使用非残疾人福利性单位注册商标的货物）。</w:t>
      </w:r>
    </w:p>
    <w:p w14:paraId="404D5C5E">
      <w:pPr>
        <w:spacing w:line="360" w:lineRule="auto"/>
        <w:ind w:firstLine="420" w:firstLineChars="200"/>
        <w:rPr>
          <w:rFonts w:hint="eastAsia" w:ascii="宋体" w:hAnsi="宋体"/>
          <w:b/>
          <w:color w:val="auto"/>
          <w:sz w:val="24"/>
          <w:highlight w:val="none"/>
        </w:rPr>
      </w:pPr>
      <w:r>
        <w:rPr>
          <w:rFonts w:hint="eastAsia" w:ascii="宋体" w:hAnsi="宋体" w:cs="宋体"/>
          <w:color w:val="auto"/>
          <w:szCs w:val="21"/>
          <w:highlight w:val="none"/>
        </w:rPr>
        <w:t>2. 中标人为残疾人福利性单位的，采购人或者其委托的采购代理机构应当随中标、成交结果同时公告其《残疾人福利性单位声明函》，接受社会监督。</w:t>
      </w:r>
    </w:p>
    <w:p w14:paraId="730F6A67">
      <w:pPr>
        <w:pStyle w:val="4"/>
        <w:numPr>
          <w:ilvl w:val="0"/>
          <w:numId w:val="0"/>
        </w:numPr>
        <w:tabs>
          <w:tab w:val="left" w:pos="840"/>
        </w:tabs>
        <w:jc w:val="both"/>
        <w:rPr>
          <w:rFonts w:hint="eastAsia" w:ascii="宋体" w:hAnsi="宋体" w:eastAsia="宋体" w:cs="Times New Roman"/>
          <w:b/>
          <w:bCs/>
          <w:color w:val="auto"/>
          <w:kern w:val="0"/>
          <w:sz w:val="24"/>
          <w:szCs w:val="24"/>
          <w:highlight w:val="none"/>
          <w:lang w:val="en-US" w:eastAsia="zh-CN" w:bidi="ar-SA"/>
        </w:rPr>
      </w:pPr>
      <w:bookmarkStart w:id="29" w:name="_Toc15900"/>
      <w:r>
        <w:rPr>
          <w:rFonts w:hint="eastAsia" w:ascii="宋体" w:hAnsi="宋体" w:eastAsia="宋体" w:cs="Times New Roman"/>
          <w:b/>
          <w:bCs/>
          <w:color w:val="auto"/>
          <w:kern w:val="0"/>
          <w:sz w:val="24"/>
          <w:szCs w:val="24"/>
          <w:highlight w:val="none"/>
          <w:lang w:val="en-GB" w:eastAsia="zh-CN" w:bidi="ar-SA"/>
        </w:rPr>
        <w:t>附件</w:t>
      </w:r>
      <w:r>
        <w:rPr>
          <w:rFonts w:hint="eastAsia" w:ascii="宋体" w:hAnsi="宋体" w:cs="Times New Roman"/>
          <w:b/>
          <w:bCs/>
          <w:color w:val="auto"/>
          <w:kern w:val="0"/>
          <w:sz w:val="24"/>
          <w:szCs w:val="24"/>
          <w:highlight w:val="none"/>
          <w:lang w:val="en-US" w:eastAsia="zh-CN" w:bidi="ar-SA"/>
        </w:rPr>
        <w:t>：</w:t>
      </w:r>
    </w:p>
    <w:p w14:paraId="364BF57D">
      <w:pPr>
        <w:pStyle w:val="4"/>
        <w:numPr>
          <w:ilvl w:val="0"/>
          <w:numId w:val="0"/>
        </w:numPr>
        <w:tabs>
          <w:tab w:val="left" w:pos="840"/>
        </w:tabs>
        <w:ind w:left="420"/>
        <w:jc w:val="center"/>
        <w:rPr>
          <w:rFonts w:hint="eastAsia" w:ascii="宋体" w:hAnsi="宋体"/>
          <w:color w:val="auto"/>
          <w:szCs w:val="24"/>
          <w:highlight w:val="none"/>
          <w:lang w:val="en-GB" w:eastAsia="zh-CN"/>
        </w:rPr>
      </w:pPr>
      <w:r>
        <w:rPr>
          <w:rFonts w:hint="eastAsia" w:ascii="宋体" w:hAnsi="宋体"/>
          <w:color w:val="auto"/>
          <w:szCs w:val="24"/>
          <w:highlight w:val="none"/>
          <w:lang w:val="en-GB" w:eastAsia="zh-CN"/>
        </w:rPr>
        <w:t>监狱企业证明材料</w:t>
      </w:r>
      <w:r>
        <w:rPr>
          <w:rFonts w:hint="eastAsia" w:ascii="宋体" w:hAnsi="宋体" w:cs="微软雅黑"/>
          <w:color w:val="auto"/>
          <w:kern w:val="0"/>
          <w:szCs w:val="21"/>
          <w:highlight w:val="none"/>
          <w:lang w:eastAsia="zh-CN"/>
        </w:rPr>
        <w:t>（如有）</w:t>
      </w:r>
      <w:bookmarkEnd w:id="29"/>
    </w:p>
    <w:p w14:paraId="0FB2BE13">
      <w:pPr>
        <w:rPr>
          <w:rFonts w:hint="eastAsia"/>
          <w:color w:val="auto"/>
          <w:highlight w:val="none"/>
          <w:lang w:val="en-GB"/>
        </w:rPr>
      </w:pPr>
    </w:p>
    <w:p w14:paraId="4CA9A8C0">
      <w:pPr>
        <w:spacing w:line="360" w:lineRule="auto"/>
        <w:ind w:firstLine="420" w:firstLineChars="200"/>
        <w:rPr>
          <w:rFonts w:hint="eastAsia"/>
          <w:color w:val="auto"/>
          <w:highlight w:val="none"/>
          <w:lang w:val="en-GB"/>
        </w:rPr>
      </w:pPr>
      <w:r>
        <w:rPr>
          <w:rFonts w:hint="eastAsia"/>
          <w:color w:val="auto"/>
          <w:highlight w:val="none"/>
          <w:lang w:val="en-GB"/>
        </w:rPr>
        <w:t>监狱企业参加政府采购活动时，应当提供由省级以上监狱管理局、戒毒管理局（含新疆生产建设兵团）出具的属于监狱企业的证明文件。</w:t>
      </w:r>
    </w:p>
    <w:p w14:paraId="0733A511">
      <w:pPr>
        <w:spacing w:line="360" w:lineRule="auto"/>
        <w:rPr>
          <w:rFonts w:hint="eastAsia"/>
          <w:color w:val="auto"/>
          <w:highlight w:val="none"/>
          <w:lang w:val="en-GB"/>
        </w:rPr>
      </w:pPr>
    </w:p>
    <w:p w14:paraId="25931C26">
      <w:pPr>
        <w:spacing w:line="360" w:lineRule="auto"/>
        <w:rPr>
          <w:rFonts w:hint="eastAsia"/>
          <w:color w:val="auto"/>
          <w:highlight w:val="none"/>
          <w:lang w:val="en-GB"/>
        </w:rPr>
      </w:pPr>
    </w:p>
    <w:p w14:paraId="6115CD50">
      <w:pPr>
        <w:widowControl/>
        <w:spacing w:line="360" w:lineRule="auto"/>
        <w:rPr>
          <w:rFonts w:hint="eastAsia" w:ascii="宋体" w:hAnsi="宋体" w:cs="宋体"/>
          <w:b/>
          <w:color w:val="auto"/>
          <w:szCs w:val="21"/>
          <w:highlight w:val="none"/>
        </w:rPr>
      </w:pPr>
      <w:r>
        <w:rPr>
          <w:rFonts w:hint="eastAsia" w:ascii="宋体" w:hAnsi="宋体" w:cs="宋体"/>
          <w:b/>
          <w:color w:val="auto"/>
          <w:szCs w:val="21"/>
          <w:highlight w:val="none"/>
        </w:rPr>
        <w:t>（提醒：如果</w:t>
      </w:r>
      <w:r>
        <w:rPr>
          <w:rFonts w:hint="eastAsia" w:ascii="宋体" w:hAnsi="宋体" w:cs="宋体"/>
          <w:b/>
          <w:color w:val="auto"/>
          <w:szCs w:val="21"/>
          <w:highlight w:val="none"/>
          <w:lang w:eastAsia="zh-CN"/>
        </w:rPr>
        <w:t>投标供应商</w:t>
      </w:r>
      <w:r>
        <w:rPr>
          <w:rFonts w:hint="eastAsia" w:ascii="宋体" w:hAnsi="宋体" w:cs="宋体"/>
          <w:b/>
          <w:color w:val="auto"/>
          <w:spacing w:val="10"/>
          <w:kern w:val="0"/>
          <w:szCs w:val="21"/>
          <w:highlight w:val="none"/>
        </w:rPr>
        <w:t>不是</w:t>
      </w:r>
      <w:r>
        <w:rPr>
          <w:rFonts w:hint="eastAsia" w:ascii="宋体" w:hAnsi="宋体"/>
          <w:b/>
          <w:bCs/>
          <w:color w:val="auto"/>
          <w:szCs w:val="21"/>
          <w:highlight w:val="none"/>
          <w:lang w:val="en-GB"/>
        </w:rPr>
        <w:t>监狱企业</w:t>
      </w:r>
      <w:r>
        <w:rPr>
          <w:rFonts w:hint="eastAsia" w:ascii="宋体" w:hAnsi="宋体" w:cs="宋体"/>
          <w:b/>
          <w:color w:val="auto"/>
          <w:szCs w:val="21"/>
          <w:highlight w:val="none"/>
        </w:rPr>
        <w:t>，则不需要提供</w:t>
      </w:r>
      <w:r>
        <w:rPr>
          <w:rFonts w:hint="eastAsia" w:ascii="宋体" w:hAnsi="宋体" w:cs="宋体"/>
          <w:b/>
          <w:color w:val="auto"/>
          <w:szCs w:val="21"/>
          <w:highlight w:val="none"/>
          <w:lang w:val="en-GB"/>
        </w:rPr>
        <w:t>监狱企业证明材料</w:t>
      </w:r>
      <w:r>
        <w:rPr>
          <w:rFonts w:hint="eastAsia" w:ascii="宋体" w:hAnsi="宋体" w:cs="宋体"/>
          <w:b/>
          <w:color w:val="auto"/>
          <w:szCs w:val="21"/>
          <w:highlight w:val="none"/>
        </w:rPr>
        <w:t>）</w:t>
      </w:r>
    </w:p>
    <w:p w14:paraId="2A92959F">
      <w:pPr>
        <w:rPr>
          <w:rFonts w:ascii="Times New Roman" w:hAnsi="Times New Roman" w:eastAsia="宋体" w:cs="Times New Roman"/>
          <w:color w:val="auto"/>
          <w:szCs w:val="24"/>
          <w:highlight w:val="none"/>
        </w:rPr>
      </w:pPr>
    </w:p>
    <w:p w14:paraId="33DCE117">
      <w:pPr>
        <w:rPr>
          <w:color w:val="auto"/>
          <w:highlight w:val="none"/>
        </w:rPr>
      </w:pPr>
    </w:p>
    <w:p w14:paraId="541B202E">
      <w:pPr>
        <w:rPr>
          <w:color w:val="auto"/>
          <w:highlight w:val="none"/>
        </w:rPr>
      </w:pPr>
    </w:p>
    <w:p w14:paraId="745D3FC1">
      <w:pPr>
        <w:pStyle w:val="20"/>
        <w:rPr>
          <w:color w:val="auto"/>
          <w:highlight w:val="none"/>
        </w:rPr>
      </w:pPr>
    </w:p>
    <w:p w14:paraId="3964262E">
      <w:pPr>
        <w:pStyle w:val="5"/>
        <w:rPr>
          <w:color w:val="auto"/>
          <w:highlight w:val="none"/>
        </w:rPr>
      </w:pPr>
    </w:p>
    <w:p w14:paraId="4911E1D8">
      <w:pPr>
        <w:rPr>
          <w:color w:val="auto"/>
          <w:highlight w:val="none"/>
        </w:rPr>
      </w:pPr>
    </w:p>
    <w:p w14:paraId="37B85E0D">
      <w:pPr>
        <w:pStyle w:val="20"/>
        <w:rPr>
          <w:color w:val="auto"/>
          <w:highlight w:val="none"/>
        </w:rPr>
      </w:pPr>
    </w:p>
    <w:p w14:paraId="7EBF9C94">
      <w:pPr>
        <w:pStyle w:val="5"/>
        <w:rPr>
          <w:color w:val="auto"/>
          <w:highlight w:val="none"/>
        </w:rPr>
      </w:pPr>
    </w:p>
    <w:p w14:paraId="6411B7A7">
      <w:pPr>
        <w:rPr>
          <w:color w:val="auto"/>
          <w:highlight w:val="none"/>
        </w:rPr>
      </w:pPr>
    </w:p>
    <w:p w14:paraId="43F59189">
      <w:pPr>
        <w:pStyle w:val="20"/>
        <w:rPr>
          <w:color w:val="auto"/>
          <w:highlight w:val="none"/>
        </w:rPr>
      </w:pPr>
    </w:p>
    <w:p w14:paraId="58D27C8D">
      <w:pPr>
        <w:pStyle w:val="5"/>
        <w:rPr>
          <w:color w:val="auto"/>
          <w:highlight w:val="none"/>
        </w:rPr>
      </w:pPr>
    </w:p>
    <w:p w14:paraId="79D78879">
      <w:pPr>
        <w:rPr>
          <w:color w:val="auto"/>
          <w:highlight w:val="none"/>
        </w:rPr>
      </w:pPr>
    </w:p>
    <w:p w14:paraId="05CCD216">
      <w:pPr>
        <w:rPr>
          <w:color w:val="auto"/>
          <w:highlight w:val="none"/>
        </w:rPr>
      </w:pPr>
    </w:p>
    <w:p w14:paraId="26926E87">
      <w:pPr>
        <w:rPr>
          <w:color w:val="auto"/>
          <w:highlight w:val="none"/>
        </w:rPr>
      </w:pPr>
    </w:p>
    <w:sectPr>
      <w:headerReference r:id="rId5" w:type="default"/>
      <w:footerReference r:id="rId6" w:type="default"/>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01"/>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CG Times">
    <w:altName w:val="Times New Roman"/>
    <w:panose1 w:val="00000000000000000000"/>
    <w:charset w:val="00"/>
    <w:family w:val="roman"/>
    <w:pitch w:val="default"/>
    <w:sig w:usb0="00000000" w:usb1="00000000" w:usb2="00000000" w:usb3="00000000" w:csb0="00000093" w:csb1="00000000"/>
  </w:font>
  <w:font w:name="华文楷体">
    <w:panose1 w:val="02010600040101010101"/>
    <w:charset w:val="86"/>
    <w:family w:val="auto"/>
    <w:pitch w:val="default"/>
    <w:sig w:usb0="80000287" w:usb1="280F3C52" w:usb2="00000016" w:usb3="00000000" w:csb0="0004001F" w:csb1="00000000"/>
  </w:font>
  <w:font w:name="仿宋_GB2312">
    <w:altName w:val="方正仿宋_GBK"/>
    <w:panose1 w:val="02010609030101010101"/>
    <w:charset w:val="86"/>
    <w:family w:val="modern"/>
    <w:pitch w:val="default"/>
    <w:sig w:usb0="00000000" w:usb1="00000000" w:usb2="00000000" w:usb3="00000000" w:csb0="00040000" w:csb1="00000000"/>
  </w:font>
  <w:font w:name="sans-serif">
    <w:altName w:val="苹方-简"/>
    <w:panose1 w:val="00000000000000000000"/>
    <w:charset w:val="00"/>
    <w:family w:val="auto"/>
    <w:pitch w:val="default"/>
    <w:sig w:usb0="00000000" w:usb1="00000000" w:usb2="00000000" w:usb3="00000000" w:csb0="00000000" w:csb1="00000000"/>
  </w:font>
  <w:font w:name="仿宋">
    <w:altName w:val="方正仿宋_GBK"/>
    <w:panose1 w:val="02010609060101010101"/>
    <w:charset w:val="86"/>
    <w:family w:val="auto"/>
    <w:pitch w:val="default"/>
    <w:sig w:usb0="00000000" w:usb1="00000000" w:usb2="00000016" w:usb3="00000000" w:csb0="00040001" w:csb1="00000000"/>
  </w:font>
  <w:font w:name="微软雅黑">
    <w:altName w:val="汉仪旗黑"/>
    <w:panose1 w:val="020B0503020204020204"/>
    <w:charset w:val="86"/>
    <w:family w:val="auto"/>
    <w:pitch w:val="default"/>
    <w:sig w:usb0="00000000" w:usb1="00000000" w:usb2="00000016" w:usb3="00000000" w:csb0="0004001F" w:csb1="00000000"/>
  </w:font>
  <w:font w:name="华文中宋">
    <w:altName w:val="汉仪书宋二KW"/>
    <w:panose1 w:val="02010600040101010101"/>
    <w:charset w:val="86"/>
    <w:family w:val="auto"/>
    <w:pitch w:val="default"/>
    <w:sig w:usb0="00000000" w:usb1="00000000" w:usb2="00000000" w:usb3="00000000" w:csb0="0004009F" w:csb1="DFD7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方正仿宋_GBK">
    <w:panose1 w:val="02000000000000000000"/>
    <w:charset w:val="86"/>
    <w:family w:val="auto"/>
    <w:pitch w:val="default"/>
    <w:sig w:usb0="A00002BF" w:usb1="38CF7CFA" w:usb2="00082016" w:usb3="00000000" w:csb0="00040001" w:csb1="00000000"/>
  </w:font>
  <w:font w:name="苹方-简">
    <w:panose1 w:val="020B0400000000000000"/>
    <w:charset w:val="86"/>
    <w:family w:val="auto"/>
    <w:pitch w:val="default"/>
    <w:sig w:usb0="A00002FF" w:usb1="7ACFFDFB" w:usb2="00000017" w:usb3="00000000" w:csb0="00040001" w:csb1="00000000"/>
  </w:font>
  <w:font w:name="汉仪旗黑">
    <w:panose1 w:val="00020600040101010101"/>
    <w:charset w:val="86"/>
    <w:family w:val="auto"/>
    <w:pitch w:val="default"/>
    <w:sig w:usb0="A00002BF" w:usb1="1ACF7CFA" w:usb2="00000016" w:usb3="00000000" w:csb0="0004009F" w:csb1="DFD70000"/>
  </w:font>
  <w:font w:name="宋体-简">
    <w:panose1 w:val="02010800040101010101"/>
    <w:charset w:val="86"/>
    <w:family w:val="auto"/>
    <w:pitch w:val="default"/>
    <w:sig w:usb0="00000001" w:usb1="080F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D19D07">
    <w:pPr>
      <w:pStyle w:val="10"/>
      <w:jc w:val="center"/>
    </w:pPr>
    <w:r>
      <w:fldChar w:fldCharType="begin"/>
    </w:r>
    <w:r>
      <w:instrText xml:space="preserve"> PAGE   \* MERGEFORMAT </w:instrText>
    </w:r>
    <w:r>
      <w:fldChar w:fldCharType="separate"/>
    </w:r>
    <w:r>
      <w:rPr>
        <w:lang w:val="zh-CN"/>
      </w:rPr>
      <w:t>47</w:t>
    </w:r>
    <w:r>
      <w:rPr>
        <w:lang w:val="zh-CN"/>
      </w:rPr>
      <w:fldChar w:fldCharType="end"/>
    </w:r>
  </w:p>
  <w:p w14:paraId="27A2D35A">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49B4BB">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EDD45">
    <w:pPr>
      <w:widowControl/>
      <w:spacing w:line="432" w:lineRule="auto"/>
      <w:jc w:val="left"/>
      <w:rPr>
        <w:rFonts w:ascii="宋体" w:hAnsi="宋体" w:cs="宋体"/>
        <w:kern w:val="0"/>
        <w:sz w:val="18"/>
        <w:szCs w:val="18"/>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DA8CB">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7D4BB3"/>
    <w:multiLevelType w:val="singleLevel"/>
    <w:tmpl w:val="857D4BB3"/>
    <w:lvl w:ilvl="0" w:tentative="0">
      <w:start w:val="1"/>
      <w:numFmt w:val="decimal"/>
      <w:suff w:val="space"/>
      <w:lvlText w:val="%1、"/>
      <w:lvlJc w:val="left"/>
    </w:lvl>
  </w:abstractNum>
  <w:abstractNum w:abstractNumId="1">
    <w:nsid w:val="92B792EB"/>
    <w:multiLevelType w:val="singleLevel"/>
    <w:tmpl w:val="92B792EB"/>
    <w:lvl w:ilvl="0" w:tentative="0">
      <w:start w:val="9"/>
      <w:numFmt w:val="decimal"/>
      <w:suff w:val="space"/>
      <w:lvlText w:val="%1、"/>
      <w:lvlJc w:val="left"/>
    </w:lvl>
  </w:abstractNum>
  <w:abstractNum w:abstractNumId="2">
    <w:nsid w:val="BF6BC116"/>
    <w:multiLevelType w:val="singleLevel"/>
    <w:tmpl w:val="BF6BC116"/>
    <w:lvl w:ilvl="0" w:tentative="0">
      <w:start w:val="16"/>
      <w:numFmt w:val="decimal"/>
      <w:suff w:val="space"/>
      <w:lvlText w:val="%1."/>
      <w:lvlJc w:val="left"/>
    </w:lvl>
  </w:abstractNum>
  <w:abstractNum w:abstractNumId="3">
    <w:nsid w:val="CFE7C3F8"/>
    <w:multiLevelType w:val="singleLevel"/>
    <w:tmpl w:val="CFE7C3F8"/>
    <w:lvl w:ilvl="0" w:tentative="0">
      <w:start w:val="1"/>
      <w:numFmt w:val="decimal"/>
      <w:suff w:val="nothing"/>
      <w:lvlText w:val="（%1）"/>
      <w:lvlJc w:val="left"/>
    </w:lvl>
  </w:abstractNum>
  <w:abstractNum w:abstractNumId="4">
    <w:nsid w:val="DDECD3BC"/>
    <w:multiLevelType w:val="singleLevel"/>
    <w:tmpl w:val="DDECD3BC"/>
    <w:lvl w:ilvl="0" w:tentative="0">
      <w:start w:val="6"/>
      <w:numFmt w:val="decimal"/>
      <w:suff w:val="space"/>
      <w:lvlText w:val="%1."/>
      <w:lvlJc w:val="left"/>
    </w:lvl>
  </w:abstractNum>
  <w:abstractNum w:abstractNumId="5">
    <w:nsid w:val="DE759F4B"/>
    <w:multiLevelType w:val="singleLevel"/>
    <w:tmpl w:val="DE759F4B"/>
    <w:lvl w:ilvl="0" w:tentative="0">
      <w:start w:val="2"/>
      <w:numFmt w:val="decimal"/>
      <w:suff w:val="space"/>
      <w:lvlText w:val="%1."/>
      <w:lvlJc w:val="left"/>
    </w:lvl>
  </w:abstractNum>
  <w:abstractNum w:abstractNumId="6">
    <w:nsid w:val="DEABE1DB"/>
    <w:multiLevelType w:val="singleLevel"/>
    <w:tmpl w:val="DEABE1DB"/>
    <w:lvl w:ilvl="0" w:tentative="0">
      <w:start w:val="23"/>
      <w:numFmt w:val="decimal"/>
      <w:suff w:val="space"/>
      <w:lvlText w:val="%1."/>
      <w:lvlJc w:val="left"/>
    </w:lvl>
  </w:abstractNum>
  <w:abstractNum w:abstractNumId="7">
    <w:nsid w:val="E3FB5766"/>
    <w:multiLevelType w:val="singleLevel"/>
    <w:tmpl w:val="E3FB5766"/>
    <w:lvl w:ilvl="0" w:tentative="0">
      <w:start w:val="1"/>
      <w:numFmt w:val="decimal"/>
      <w:lvlText w:val="%1."/>
      <w:lvlJc w:val="left"/>
      <w:pPr>
        <w:tabs>
          <w:tab w:val="left" w:pos="312"/>
        </w:tabs>
      </w:pPr>
    </w:lvl>
  </w:abstractNum>
  <w:abstractNum w:abstractNumId="8">
    <w:nsid w:val="FFEFC674"/>
    <w:multiLevelType w:val="singleLevel"/>
    <w:tmpl w:val="FFEFC674"/>
    <w:lvl w:ilvl="0" w:tentative="0">
      <w:start w:val="1"/>
      <w:numFmt w:val="decimal"/>
      <w:suff w:val="nothing"/>
      <w:lvlText w:val="（%1）"/>
      <w:lvlJc w:val="left"/>
    </w:lvl>
  </w:abstractNum>
  <w:abstractNum w:abstractNumId="9">
    <w:nsid w:val="05A95FA2"/>
    <w:multiLevelType w:val="multilevel"/>
    <w:tmpl w:val="05A95FA2"/>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20DF37AE"/>
    <w:multiLevelType w:val="multilevel"/>
    <w:tmpl w:val="20DF37AE"/>
    <w:lvl w:ilvl="0" w:tentative="0">
      <w:start w:val="1"/>
      <w:numFmt w:val="decimal"/>
      <w:lvlText w:val="（%1）"/>
      <w:lvlJc w:val="left"/>
      <w:pPr>
        <w:ind w:left="1257" w:hanging="601"/>
      </w:pPr>
      <w:rPr>
        <w:rFonts w:hint="default" w:ascii="宋体" w:hAnsi="宋体" w:eastAsia="宋体" w:cs="宋体"/>
        <w:w w:val="100"/>
        <w:sz w:val="22"/>
        <w:szCs w:val="22"/>
        <w:lang w:val="en-US" w:eastAsia="zh-CN" w:bidi="ar-SA"/>
      </w:rPr>
    </w:lvl>
    <w:lvl w:ilvl="1" w:tentative="0">
      <w:start w:val="0"/>
      <w:numFmt w:val="bullet"/>
      <w:lvlText w:val="•"/>
      <w:lvlJc w:val="left"/>
      <w:pPr>
        <w:ind w:left="2086" w:hanging="601"/>
      </w:pPr>
      <w:rPr>
        <w:rFonts w:hint="default"/>
        <w:lang w:val="en-US" w:eastAsia="zh-CN" w:bidi="ar-SA"/>
      </w:rPr>
    </w:lvl>
    <w:lvl w:ilvl="2" w:tentative="0">
      <w:start w:val="0"/>
      <w:numFmt w:val="bullet"/>
      <w:lvlText w:val="•"/>
      <w:lvlJc w:val="left"/>
      <w:pPr>
        <w:ind w:left="2913" w:hanging="601"/>
      </w:pPr>
      <w:rPr>
        <w:rFonts w:hint="default"/>
        <w:lang w:val="en-US" w:eastAsia="zh-CN" w:bidi="ar-SA"/>
      </w:rPr>
    </w:lvl>
    <w:lvl w:ilvl="3" w:tentative="0">
      <w:start w:val="0"/>
      <w:numFmt w:val="bullet"/>
      <w:lvlText w:val="•"/>
      <w:lvlJc w:val="left"/>
      <w:pPr>
        <w:ind w:left="3739" w:hanging="601"/>
      </w:pPr>
      <w:rPr>
        <w:rFonts w:hint="default"/>
        <w:lang w:val="en-US" w:eastAsia="zh-CN" w:bidi="ar-SA"/>
      </w:rPr>
    </w:lvl>
    <w:lvl w:ilvl="4" w:tentative="0">
      <w:start w:val="0"/>
      <w:numFmt w:val="bullet"/>
      <w:lvlText w:val="•"/>
      <w:lvlJc w:val="left"/>
      <w:pPr>
        <w:ind w:left="4566" w:hanging="601"/>
      </w:pPr>
      <w:rPr>
        <w:rFonts w:hint="default"/>
        <w:lang w:val="en-US" w:eastAsia="zh-CN" w:bidi="ar-SA"/>
      </w:rPr>
    </w:lvl>
    <w:lvl w:ilvl="5" w:tentative="0">
      <w:start w:val="0"/>
      <w:numFmt w:val="bullet"/>
      <w:lvlText w:val="•"/>
      <w:lvlJc w:val="left"/>
      <w:pPr>
        <w:ind w:left="5393" w:hanging="601"/>
      </w:pPr>
      <w:rPr>
        <w:rFonts w:hint="default"/>
        <w:lang w:val="en-US" w:eastAsia="zh-CN" w:bidi="ar-SA"/>
      </w:rPr>
    </w:lvl>
    <w:lvl w:ilvl="6" w:tentative="0">
      <w:start w:val="0"/>
      <w:numFmt w:val="bullet"/>
      <w:lvlText w:val="•"/>
      <w:lvlJc w:val="left"/>
      <w:pPr>
        <w:ind w:left="6219" w:hanging="601"/>
      </w:pPr>
      <w:rPr>
        <w:rFonts w:hint="default"/>
        <w:lang w:val="en-US" w:eastAsia="zh-CN" w:bidi="ar-SA"/>
      </w:rPr>
    </w:lvl>
    <w:lvl w:ilvl="7" w:tentative="0">
      <w:start w:val="0"/>
      <w:numFmt w:val="bullet"/>
      <w:lvlText w:val="•"/>
      <w:lvlJc w:val="left"/>
      <w:pPr>
        <w:ind w:left="7046" w:hanging="601"/>
      </w:pPr>
      <w:rPr>
        <w:rFonts w:hint="default"/>
        <w:lang w:val="en-US" w:eastAsia="zh-CN" w:bidi="ar-SA"/>
      </w:rPr>
    </w:lvl>
    <w:lvl w:ilvl="8" w:tentative="0">
      <w:start w:val="0"/>
      <w:numFmt w:val="bullet"/>
      <w:lvlText w:val="•"/>
      <w:lvlJc w:val="left"/>
      <w:pPr>
        <w:ind w:left="7872" w:hanging="601"/>
      </w:pPr>
      <w:rPr>
        <w:rFonts w:hint="default"/>
        <w:lang w:val="en-US" w:eastAsia="zh-CN" w:bidi="ar-SA"/>
      </w:rPr>
    </w:lvl>
  </w:abstractNum>
  <w:abstractNum w:abstractNumId="11">
    <w:nsid w:val="2AD24E2E"/>
    <w:multiLevelType w:val="singleLevel"/>
    <w:tmpl w:val="2AD24E2E"/>
    <w:lvl w:ilvl="0" w:tentative="0">
      <w:start w:val="1"/>
      <w:numFmt w:val="decimal"/>
      <w:lvlText w:val="%1."/>
      <w:lvlJc w:val="left"/>
      <w:pPr>
        <w:tabs>
          <w:tab w:val="left" w:pos="312"/>
        </w:tabs>
      </w:pPr>
    </w:lvl>
  </w:abstractNum>
  <w:abstractNum w:abstractNumId="12">
    <w:nsid w:val="37FE481A"/>
    <w:multiLevelType w:val="multilevel"/>
    <w:tmpl w:val="37FE481A"/>
    <w:lvl w:ilvl="0" w:tentative="0">
      <w:start w:val="38"/>
      <w:numFmt w:val="decimal"/>
      <w:lvlText w:val="%1"/>
      <w:lvlJc w:val="left"/>
      <w:pPr>
        <w:ind w:left="176" w:hanging="540"/>
      </w:pPr>
      <w:rPr>
        <w:rFonts w:hint="default"/>
        <w:lang w:val="en-US" w:eastAsia="zh-CN" w:bidi="ar-SA"/>
      </w:rPr>
    </w:lvl>
    <w:lvl w:ilvl="1" w:tentative="0">
      <w:start w:val="0"/>
      <w:numFmt w:val="none"/>
      <w:lvlText w:val=""/>
      <w:lvlJc w:val="left"/>
      <w:pPr>
        <w:tabs>
          <w:tab w:val="left" w:pos="360"/>
        </w:tabs>
      </w:pPr>
    </w:lvl>
    <w:lvl w:ilvl="2" w:tentative="0">
      <w:start w:val="0"/>
      <w:numFmt w:val="bullet"/>
      <w:lvlText w:val="•"/>
      <w:lvlJc w:val="left"/>
      <w:pPr>
        <w:ind w:left="2049" w:hanging="540"/>
      </w:pPr>
      <w:rPr>
        <w:rFonts w:hint="default"/>
        <w:lang w:val="en-US" w:eastAsia="zh-CN" w:bidi="ar-SA"/>
      </w:rPr>
    </w:lvl>
    <w:lvl w:ilvl="3" w:tentative="0">
      <w:start w:val="0"/>
      <w:numFmt w:val="bullet"/>
      <w:lvlText w:val="•"/>
      <w:lvlJc w:val="left"/>
      <w:pPr>
        <w:ind w:left="2983" w:hanging="540"/>
      </w:pPr>
      <w:rPr>
        <w:rFonts w:hint="default"/>
        <w:lang w:val="en-US" w:eastAsia="zh-CN" w:bidi="ar-SA"/>
      </w:rPr>
    </w:lvl>
    <w:lvl w:ilvl="4" w:tentative="0">
      <w:start w:val="0"/>
      <w:numFmt w:val="bullet"/>
      <w:lvlText w:val="•"/>
      <w:lvlJc w:val="left"/>
      <w:pPr>
        <w:ind w:left="3918" w:hanging="540"/>
      </w:pPr>
      <w:rPr>
        <w:rFonts w:hint="default"/>
        <w:lang w:val="en-US" w:eastAsia="zh-CN" w:bidi="ar-SA"/>
      </w:rPr>
    </w:lvl>
    <w:lvl w:ilvl="5" w:tentative="0">
      <w:start w:val="0"/>
      <w:numFmt w:val="bullet"/>
      <w:lvlText w:val="•"/>
      <w:lvlJc w:val="left"/>
      <w:pPr>
        <w:ind w:left="4853" w:hanging="540"/>
      </w:pPr>
      <w:rPr>
        <w:rFonts w:hint="default"/>
        <w:lang w:val="en-US" w:eastAsia="zh-CN" w:bidi="ar-SA"/>
      </w:rPr>
    </w:lvl>
    <w:lvl w:ilvl="6" w:tentative="0">
      <w:start w:val="0"/>
      <w:numFmt w:val="bullet"/>
      <w:lvlText w:val="•"/>
      <w:lvlJc w:val="left"/>
      <w:pPr>
        <w:ind w:left="5787" w:hanging="540"/>
      </w:pPr>
      <w:rPr>
        <w:rFonts w:hint="default"/>
        <w:lang w:val="en-US" w:eastAsia="zh-CN" w:bidi="ar-SA"/>
      </w:rPr>
    </w:lvl>
    <w:lvl w:ilvl="7" w:tentative="0">
      <w:start w:val="0"/>
      <w:numFmt w:val="bullet"/>
      <w:lvlText w:val="•"/>
      <w:lvlJc w:val="left"/>
      <w:pPr>
        <w:ind w:left="6722" w:hanging="540"/>
      </w:pPr>
      <w:rPr>
        <w:rFonts w:hint="default"/>
        <w:lang w:val="en-US" w:eastAsia="zh-CN" w:bidi="ar-SA"/>
      </w:rPr>
    </w:lvl>
    <w:lvl w:ilvl="8" w:tentative="0">
      <w:start w:val="0"/>
      <w:numFmt w:val="bullet"/>
      <w:lvlText w:val="•"/>
      <w:lvlJc w:val="left"/>
      <w:pPr>
        <w:ind w:left="7656" w:hanging="540"/>
      </w:pPr>
      <w:rPr>
        <w:rFonts w:hint="default"/>
        <w:lang w:val="en-US" w:eastAsia="zh-CN" w:bidi="ar-SA"/>
      </w:rPr>
    </w:lvl>
  </w:abstractNum>
  <w:abstractNum w:abstractNumId="13">
    <w:nsid w:val="40961BFD"/>
    <w:multiLevelType w:val="singleLevel"/>
    <w:tmpl w:val="40961BFD"/>
    <w:lvl w:ilvl="0" w:tentative="0">
      <w:start w:val="1"/>
      <w:numFmt w:val="decimal"/>
      <w:lvlText w:val="%1."/>
      <w:lvlJc w:val="left"/>
      <w:pPr>
        <w:tabs>
          <w:tab w:val="left" w:pos="312"/>
        </w:tabs>
      </w:pPr>
    </w:lvl>
  </w:abstractNum>
  <w:abstractNum w:abstractNumId="14">
    <w:nsid w:val="5177106C"/>
    <w:multiLevelType w:val="multilevel"/>
    <w:tmpl w:val="5177106C"/>
    <w:lvl w:ilvl="0" w:tentative="0">
      <w:start w:val="1"/>
      <w:numFmt w:val="chineseCountingThousand"/>
      <w:lvlText w:val="%1、"/>
      <w:lvlJc w:val="left"/>
      <w:pPr>
        <w:tabs>
          <w:tab w:val="left" w:pos="360"/>
        </w:tabs>
        <w:ind w:left="360" w:hanging="360"/>
      </w:pPr>
      <w:rPr>
        <w:rFonts w:hint="eastAsia" w:ascii="宋体" w:hAnsi="宋体" w:eastAsia="宋体"/>
        <w:color w:val="000000"/>
        <w:sz w:val="24"/>
        <w:szCs w:val="24"/>
      </w:rPr>
    </w:lvl>
    <w:lvl w:ilvl="1" w:tentative="0">
      <w:start w:val="1"/>
      <w:numFmt w:val="lowerLetter"/>
      <w:lvlText w:val="%2)"/>
      <w:lvlJc w:val="left"/>
      <w:pPr>
        <w:tabs>
          <w:tab w:val="left" w:pos="840"/>
        </w:tabs>
        <w:ind w:left="840" w:hanging="420"/>
      </w:pPr>
      <w:rPr>
        <w:rFonts w:hint="default" w:ascii="Times New Roman" w:hAnsi="Times New Roman" w:cs="Times New Roman"/>
      </w:rPr>
    </w:lvl>
    <w:lvl w:ilvl="2" w:tentative="0">
      <w:start w:val="1"/>
      <w:numFmt w:val="lowerRoman"/>
      <w:lvlText w:val="%3."/>
      <w:lvlJc w:val="right"/>
      <w:pPr>
        <w:tabs>
          <w:tab w:val="left" w:pos="1260"/>
        </w:tabs>
        <w:ind w:left="1260" w:hanging="420"/>
      </w:pPr>
      <w:rPr>
        <w:rFonts w:hint="default" w:ascii="Times New Roman" w:hAnsi="Times New Roman" w:cs="Times New Roman"/>
      </w:rPr>
    </w:lvl>
    <w:lvl w:ilvl="3" w:tentative="0">
      <w:start w:val="1"/>
      <w:numFmt w:val="decimal"/>
      <w:lvlText w:val="%4."/>
      <w:lvlJc w:val="left"/>
      <w:pPr>
        <w:tabs>
          <w:tab w:val="left" w:pos="1680"/>
        </w:tabs>
        <w:ind w:left="1680" w:hanging="420"/>
      </w:pPr>
      <w:rPr>
        <w:rFonts w:hint="default" w:ascii="Times New Roman" w:hAnsi="Times New Roman" w:cs="Times New Roman"/>
      </w:rPr>
    </w:lvl>
    <w:lvl w:ilvl="4" w:tentative="0">
      <w:start w:val="1"/>
      <w:numFmt w:val="lowerLetter"/>
      <w:lvlText w:val="%5)"/>
      <w:lvlJc w:val="left"/>
      <w:pPr>
        <w:tabs>
          <w:tab w:val="left" w:pos="2100"/>
        </w:tabs>
        <w:ind w:left="2100" w:hanging="420"/>
      </w:pPr>
      <w:rPr>
        <w:rFonts w:hint="default" w:ascii="Times New Roman" w:hAnsi="Times New Roman" w:cs="Times New Roman"/>
      </w:rPr>
    </w:lvl>
    <w:lvl w:ilvl="5" w:tentative="0">
      <w:start w:val="1"/>
      <w:numFmt w:val="lowerRoman"/>
      <w:lvlText w:val="%6."/>
      <w:lvlJc w:val="right"/>
      <w:pPr>
        <w:tabs>
          <w:tab w:val="left" w:pos="2520"/>
        </w:tabs>
        <w:ind w:left="2520" w:hanging="420"/>
      </w:pPr>
      <w:rPr>
        <w:rFonts w:hint="default" w:ascii="Times New Roman" w:hAnsi="Times New Roman" w:cs="Times New Roman"/>
      </w:rPr>
    </w:lvl>
    <w:lvl w:ilvl="6" w:tentative="0">
      <w:start w:val="1"/>
      <w:numFmt w:val="decimal"/>
      <w:lvlText w:val="%7."/>
      <w:lvlJc w:val="left"/>
      <w:pPr>
        <w:tabs>
          <w:tab w:val="left" w:pos="2940"/>
        </w:tabs>
        <w:ind w:left="2940" w:hanging="420"/>
      </w:pPr>
      <w:rPr>
        <w:rFonts w:hint="default" w:ascii="Times New Roman" w:hAnsi="Times New Roman" w:cs="Times New Roman"/>
      </w:rPr>
    </w:lvl>
    <w:lvl w:ilvl="7" w:tentative="0">
      <w:start w:val="1"/>
      <w:numFmt w:val="lowerLetter"/>
      <w:lvlText w:val="%8)"/>
      <w:lvlJc w:val="left"/>
      <w:pPr>
        <w:tabs>
          <w:tab w:val="left" w:pos="3360"/>
        </w:tabs>
        <w:ind w:left="3360" w:hanging="420"/>
      </w:pPr>
      <w:rPr>
        <w:rFonts w:hint="default" w:ascii="Times New Roman" w:hAnsi="Times New Roman" w:cs="Times New Roman"/>
      </w:rPr>
    </w:lvl>
    <w:lvl w:ilvl="8" w:tentative="0">
      <w:start w:val="1"/>
      <w:numFmt w:val="lowerRoman"/>
      <w:lvlText w:val="%9."/>
      <w:lvlJc w:val="right"/>
      <w:pPr>
        <w:tabs>
          <w:tab w:val="left" w:pos="3780"/>
        </w:tabs>
        <w:ind w:left="3780" w:hanging="420"/>
      </w:pPr>
      <w:rPr>
        <w:rFonts w:hint="default" w:ascii="Times New Roman" w:hAnsi="Times New Roman" w:cs="Times New Roman"/>
      </w:rPr>
    </w:lvl>
  </w:abstractNum>
  <w:abstractNum w:abstractNumId="15">
    <w:nsid w:val="5943EAE5"/>
    <w:multiLevelType w:val="singleLevel"/>
    <w:tmpl w:val="5943EAE5"/>
    <w:lvl w:ilvl="0" w:tentative="0">
      <w:start w:val="5"/>
      <w:numFmt w:val="chineseCounting"/>
      <w:suff w:val="space"/>
      <w:lvlText w:val="第%1章"/>
      <w:lvlJc w:val="left"/>
      <w:rPr>
        <w:rFonts w:hint="eastAsia"/>
      </w:rPr>
    </w:lvl>
  </w:abstractNum>
  <w:abstractNum w:abstractNumId="16">
    <w:nsid w:val="5DBA034D"/>
    <w:multiLevelType w:val="multilevel"/>
    <w:tmpl w:val="5DBA034D"/>
    <w:lvl w:ilvl="0" w:tentative="0">
      <w:start w:val="1"/>
      <w:numFmt w:val="chineseCounting"/>
      <w:lvlText w:val="%1、"/>
      <w:lvlJc w:val="left"/>
      <w:pPr>
        <w:tabs>
          <w:tab w:val="left" w:pos="0"/>
        </w:tabs>
        <w:ind w:left="420" w:hanging="420"/>
      </w:pPr>
    </w:lvl>
    <w:lvl w:ilvl="1" w:tentative="0">
      <w:start w:val="1"/>
      <w:numFmt w:val="lowerLetter"/>
      <w:lvlText w:val="%2)"/>
      <w:lvlJc w:val="left"/>
      <w:pPr>
        <w:tabs>
          <w:tab w:val="left" w:pos="0"/>
        </w:tabs>
        <w:ind w:left="840" w:hanging="420"/>
      </w:pPr>
      <w:rPr>
        <w:rFonts w:hint="default" w:ascii="Times New Roman" w:hAnsi="Times New Roman" w:cs="Times New Roman"/>
      </w:rPr>
    </w:lvl>
    <w:lvl w:ilvl="2" w:tentative="0">
      <w:start w:val="1"/>
      <w:numFmt w:val="lowerRoman"/>
      <w:lvlText w:val="%3."/>
      <w:lvlJc w:val="right"/>
      <w:pPr>
        <w:tabs>
          <w:tab w:val="left" w:pos="0"/>
        </w:tabs>
        <w:ind w:left="1260" w:hanging="420"/>
      </w:pPr>
      <w:rPr>
        <w:rFonts w:hint="default" w:ascii="Times New Roman" w:hAnsi="Times New Roman" w:cs="Times New Roman"/>
      </w:rPr>
    </w:lvl>
    <w:lvl w:ilvl="3" w:tentative="0">
      <w:start w:val="1"/>
      <w:numFmt w:val="decimal"/>
      <w:lvlText w:val="%4."/>
      <w:lvlJc w:val="left"/>
      <w:pPr>
        <w:tabs>
          <w:tab w:val="left" w:pos="0"/>
        </w:tabs>
        <w:ind w:left="1680" w:hanging="420"/>
      </w:pPr>
      <w:rPr>
        <w:rFonts w:hint="default" w:ascii="Times New Roman" w:hAnsi="Times New Roman" w:cs="Times New Roman"/>
      </w:rPr>
    </w:lvl>
    <w:lvl w:ilvl="4" w:tentative="0">
      <w:start w:val="1"/>
      <w:numFmt w:val="lowerLetter"/>
      <w:lvlText w:val="%5)"/>
      <w:lvlJc w:val="left"/>
      <w:pPr>
        <w:tabs>
          <w:tab w:val="left" w:pos="0"/>
        </w:tabs>
        <w:ind w:left="2100" w:hanging="420"/>
      </w:pPr>
      <w:rPr>
        <w:rFonts w:hint="default" w:ascii="Times New Roman" w:hAnsi="Times New Roman" w:cs="Times New Roman"/>
      </w:rPr>
    </w:lvl>
    <w:lvl w:ilvl="5" w:tentative="0">
      <w:start w:val="1"/>
      <w:numFmt w:val="lowerRoman"/>
      <w:lvlText w:val="%6."/>
      <w:lvlJc w:val="right"/>
      <w:pPr>
        <w:tabs>
          <w:tab w:val="left" w:pos="0"/>
        </w:tabs>
        <w:ind w:left="2520" w:hanging="420"/>
      </w:pPr>
      <w:rPr>
        <w:rFonts w:hint="default" w:ascii="Times New Roman" w:hAnsi="Times New Roman" w:cs="Times New Roman"/>
      </w:rPr>
    </w:lvl>
    <w:lvl w:ilvl="6" w:tentative="0">
      <w:start w:val="1"/>
      <w:numFmt w:val="decimal"/>
      <w:lvlText w:val="%7."/>
      <w:lvlJc w:val="left"/>
      <w:pPr>
        <w:tabs>
          <w:tab w:val="left" w:pos="0"/>
        </w:tabs>
        <w:ind w:left="2940" w:hanging="420"/>
      </w:pPr>
      <w:rPr>
        <w:rFonts w:hint="default" w:ascii="Times New Roman" w:hAnsi="Times New Roman" w:cs="Times New Roman"/>
      </w:rPr>
    </w:lvl>
    <w:lvl w:ilvl="7" w:tentative="0">
      <w:start w:val="1"/>
      <w:numFmt w:val="lowerLetter"/>
      <w:lvlText w:val="%8)"/>
      <w:lvlJc w:val="left"/>
      <w:pPr>
        <w:tabs>
          <w:tab w:val="left" w:pos="0"/>
        </w:tabs>
        <w:ind w:left="3360" w:hanging="420"/>
      </w:pPr>
      <w:rPr>
        <w:rFonts w:hint="default" w:ascii="Times New Roman" w:hAnsi="Times New Roman" w:cs="Times New Roman"/>
      </w:rPr>
    </w:lvl>
    <w:lvl w:ilvl="8" w:tentative="0">
      <w:start w:val="1"/>
      <w:numFmt w:val="lowerRoman"/>
      <w:lvlText w:val="%9."/>
      <w:lvlJc w:val="right"/>
      <w:pPr>
        <w:tabs>
          <w:tab w:val="left" w:pos="0"/>
        </w:tabs>
        <w:ind w:left="3780" w:hanging="420"/>
      </w:pPr>
      <w:rPr>
        <w:rFonts w:hint="default" w:ascii="Times New Roman" w:hAnsi="Times New Roman" w:cs="Times New Roman"/>
      </w:rPr>
    </w:lvl>
  </w:abstractNum>
  <w:abstractNum w:abstractNumId="17">
    <w:nsid w:val="7A0F6431"/>
    <w:multiLevelType w:val="singleLevel"/>
    <w:tmpl w:val="7A0F6431"/>
    <w:lvl w:ilvl="0" w:tentative="0">
      <w:start w:val="1"/>
      <w:numFmt w:val="decimal"/>
      <w:suff w:val="space"/>
      <w:lvlText w:val="%1."/>
      <w:lvlJc w:val="left"/>
    </w:lvl>
  </w:abstractNum>
  <w:num w:numId="1">
    <w:abstractNumId w:val="12"/>
  </w:num>
  <w:num w:numId="2">
    <w:abstractNumId w:val="10"/>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0"/>
  </w:num>
  <w:num w:numId="8">
    <w:abstractNumId w:val="1"/>
  </w:num>
  <w:num w:numId="9">
    <w:abstractNumId w:val="15"/>
  </w:num>
  <w:num w:numId="10">
    <w:abstractNumId w:val="17"/>
  </w:num>
  <w:num w:numId="11">
    <w:abstractNumId w:val="3"/>
  </w:num>
  <w:num w:numId="12">
    <w:abstractNumId w:val="8"/>
  </w:num>
  <w:num w:numId="13">
    <w:abstractNumId w:val="5"/>
  </w:num>
  <w:num w:numId="14">
    <w:abstractNumId w:val="4"/>
  </w:num>
  <w:num w:numId="15">
    <w:abstractNumId w:val="2"/>
  </w:num>
  <w:num w:numId="16">
    <w:abstractNumId w:val="6"/>
  </w:num>
  <w:num w:numId="17">
    <w:abstractNumId w:val="7"/>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DF233F"/>
    <w:rsid w:val="0EB2541C"/>
    <w:rsid w:val="0F3B42B7"/>
    <w:rsid w:val="0F5B222E"/>
    <w:rsid w:val="1F6B3AB8"/>
    <w:rsid w:val="1F6FB0E7"/>
    <w:rsid w:val="1FFBB963"/>
    <w:rsid w:val="2DE743E0"/>
    <w:rsid w:val="2F6B9099"/>
    <w:rsid w:val="2FFFDAC2"/>
    <w:rsid w:val="32FF6B63"/>
    <w:rsid w:val="33FD5C1C"/>
    <w:rsid w:val="39812D20"/>
    <w:rsid w:val="3DDFF5B8"/>
    <w:rsid w:val="3E771EF4"/>
    <w:rsid w:val="3EB7F9CD"/>
    <w:rsid w:val="3ECF2695"/>
    <w:rsid w:val="3F7E1152"/>
    <w:rsid w:val="3FBFCBF8"/>
    <w:rsid w:val="3FD94CE4"/>
    <w:rsid w:val="3FFF197C"/>
    <w:rsid w:val="4A7E19D2"/>
    <w:rsid w:val="4AEF8DFD"/>
    <w:rsid w:val="56FF3ABD"/>
    <w:rsid w:val="57FB9460"/>
    <w:rsid w:val="57FDDB82"/>
    <w:rsid w:val="5AFB275D"/>
    <w:rsid w:val="5EC751D3"/>
    <w:rsid w:val="5EFC2B0F"/>
    <w:rsid w:val="5F278E95"/>
    <w:rsid w:val="5FADC4C3"/>
    <w:rsid w:val="5FBBCEDE"/>
    <w:rsid w:val="5FE79F95"/>
    <w:rsid w:val="5FF35F63"/>
    <w:rsid w:val="5FFF1EEC"/>
    <w:rsid w:val="62001932"/>
    <w:rsid w:val="67BD1228"/>
    <w:rsid w:val="690EE45C"/>
    <w:rsid w:val="6B7DC52D"/>
    <w:rsid w:val="6D430064"/>
    <w:rsid w:val="6E9B1D25"/>
    <w:rsid w:val="6FBD4E6D"/>
    <w:rsid w:val="73DFBDE6"/>
    <w:rsid w:val="75BFA683"/>
    <w:rsid w:val="76F1C1D4"/>
    <w:rsid w:val="77ED5D15"/>
    <w:rsid w:val="77F51820"/>
    <w:rsid w:val="77FDB73E"/>
    <w:rsid w:val="79AB9ADE"/>
    <w:rsid w:val="7A2C9652"/>
    <w:rsid w:val="7A84221D"/>
    <w:rsid w:val="7BA39266"/>
    <w:rsid w:val="7BBFF76A"/>
    <w:rsid w:val="7BF70EBC"/>
    <w:rsid w:val="7BF7350F"/>
    <w:rsid w:val="7BFCCDCD"/>
    <w:rsid w:val="7BFE5540"/>
    <w:rsid w:val="7D5A071D"/>
    <w:rsid w:val="7D6764CA"/>
    <w:rsid w:val="7DF66D3B"/>
    <w:rsid w:val="7EBBA512"/>
    <w:rsid w:val="7EBF5859"/>
    <w:rsid w:val="7EE7F547"/>
    <w:rsid w:val="7EF0F79D"/>
    <w:rsid w:val="7F4FEC4B"/>
    <w:rsid w:val="7F53B73C"/>
    <w:rsid w:val="7F7B54D1"/>
    <w:rsid w:val="7F7F38BD"/>
    <w:rsid w:val="7F7FA9ED"/>
    <w:rsid w:val="7FAE5D1D"/>
    <w:rsid w:val="7FB3651C"/>
    <w:rsid w:val="7FDED25A"/>
    <w:rsid w:val="7FFD7633"/>
    <w:rsid w:val="7FFF620D"/>
    <w:rsid w:val="7FFF8040"/>
    <w:rsid w:val="9FE773E4"/>
    <w:rsid w:val="AE9DD15A"/>
    <w:rsid w:val="B4F51D31"/>
    <w:rsid w:val="B62B7383"/>
    <w:rsid w:val="B7EE4EC9"/>
    <w:rsid w:val="BBBD9668"/>
    <w:rsid w:val="BBFBB651"/>
    <w:rsid w:val="BF63FB2E"/>
    <w:rsid w:val="BF7B7755"/>
    <w:rsid w:val="BF7F639C"/>
    <w:rsid w:val="BFAF5E43"/>
    <w:rsid w:val="BFB3CCEC"/>
    <w:rsid w:val="BFDAADD2"/>
    <w:rsid w:val="BFF33837"/>
    <w:rsid w:val="BFFE17B9"/>
    <w:rsid w:val="C77CFA7B"/>
    <w:rsid w:val="CB5F80EF"/>
    <w:rsid w:val="CBEB11BA"/>
    <w:rsid w:val="CCEF51B7"/>
    <w:rsid w:val="CF2AFBF9"/>
    <w:rsid w:val="CFBDC9E8"/>
    <w:rsid w:val="CFBFB1E2"/>
    <w:rsid w:val="D4377470"/>
    <w:rsid w:val="D7BF5A3E"/>
    <w:rsid w:val="D7FFD046"/>
    <w:rsid w:val="DA776913"/>
    <w:rsid w:val="DBBF7CDA"/>
    <w:rsid w:val="DBF9D8B6"/>
    <w:rsid w:val="DE5B994E"/>
    <w:rsid w:val="DF3B60A3"/>
    <w:rsid w:val="DFDDD1B9"/>
    <w:rsid w:val="DFFF7BC9"/>
    <w:rsid w:val="E702DCB8"/>
    <w:rsid w:val="E7FE964A"/>
    <w:rsid w:val="EBA71638"/>
    <w:rsid w:val="EF3DB548"/>
    <w:rsid w:val="EFCFFF06"/>
    <w:rsid w:val="F01F71B3"/>
    <w:rsid w:val="F17D8F7D"/>
    <w:rsid w:val="F2BFB036"/>
    <w:rsid w:val="F5BD7B77"/>
    <w:rsid w:val="F5E62E7C"/>
    <w:rsid w:val="F6BE8150"/>
    <w:rsid w:val="F9EF4B51"/>
    <w:rsid w:val="FB3AAA65"/>
    <w:rsid w:val="FBBD04CF"/>
    <w:rsid w:val="FBFB57EA"/>
    <w:rsid w:val="FBFE1216"/>
    <w:rsid w:val="FCFF518B"/>
    <w:rsid w:val="FD9FB5CA"/>
    <w:rsid w:val="FDAB1D78"/>
    <w:rsid w:val="FDBDE810"/>
    <w:rsid w:val="FE76A2AC"/>
    <w:rsid w:val="FEAFA679"/>
    <w:rsid w:val="FF761C05"/>
    <w:rsid w:val="FFB936F0"/>
    <w:rsid w:val="FFBD51B7"/>
    <w:rsid w:val="FFCB5AFE"/>
    <w:rsid w:val="FFDD73F1"/>
    <w:rsid w:val="FFDF34C1"/>
    <w:rsid w:val="FFEB7FD2"/>
    <w:rsid w:val="FFFCFD77"/>
    <w:rsid w:val="FFFDE2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qFormat="1"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4"/>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2" w:lineRule="auto"/>
      <w:ind w:left="1800"/>
      <w:jc w:val="center"/>
      <w:outlineLvl w:val="1"/>
    </w:pPr>
    <w:rPr>
      <w:rFonts w:ascii="CG Times" w:hAnsi="CG Times" w:eastAsia="宋体" w:cs="Times New Roman"/>
      <w:b/>
      <w:kern w:val="0"/>
      <w:sz w:val="30"/>
      <w:szCs w:val="20"/>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2">
    <w:name w:val="Body Text Indent 2"/>
    <w:basedOn w:val="1"/>
    <w:unhideWhenUsed/>
    <w:qFormat/>
    <w:uiPriority w:val="0"/>
    <w:pPr>
      <w:spacing w:after="120" w:line="480" w:lineRule="auto"/>
      <w:ind w:left="420" w:leftChars="200"/>
    </w:pPr>
    <w:rPr>
      <w:rFonts w:ascii="Times New Roman" w:hAnsi="Times New Roman" w:eastAsia="宋体" w:cs="Times New Roman"/>
      <w:kern w:val="0"/>
      <w:sz w:val="20"/>
      <w:szCs w:val="24"/>
    </w:rPr>
  </w:style>
  <w:style w:type="paragraph" w:styleId="5">
    <w:name w:val="caption"/>
    <w:basedOn w:val="1"/>
    <w:next w:val="1"/>
    <w:qFormat/>
    <w:uiPriority w:val="0"/>
    <w:pPr>
      <w:spacing w:before="152" w:after="160"/>
    </w:pPr>
    <w:rPr>
      <w:rFonts w:ascii="Arial" w:hAnsi="Arial" w:eastAsia="黑体" w:cs="Times New Roman"/>
      <w:sz w:val="32"/>
      <w:szCs w:val="20"/>
    </w:rPr>
  </w:style>
  <w:style w:type="paragraph" w:styleId="6">
    <w:name w:val="Body Text"/>
    <w:basedOn w:val="1"/>
    <w:next w:val="7"/>
    <w:unhideWhenUsed/>
    <w:qFormat/>
    <w:uiPriority w:val="0"/>
    <w:pPr>
      <w:spacing w:after="120"/>
    </w:pPr>
    <w:rPr>
      <w:rFonts w:ascii="Times New Roman" w:hAnsi="Times New Roman" w:eastAsia="宋体" w:cs="Times New Roman"/>
      <w:kern w:val="0"/>
      <w:sz w:val="20"/>
      <w:szCs w:val="24"/>
    </w:rPr>
  </w:style>
  <w:style w:type="paragraph" w:styleId="7">
    <w:name w:val="Body Text 2"/>
    <w:basedOn w:val="1"/>
    <w:unhideWhenUsed/>
    <w:qFormat/>
    <w:uiPriority w:val="99"/>
    <w:pPr>
      <w:spacing w:line="500" w:lineRule="atLeast"/>
      <w:ind w:right="640"/>
    </w:pPr>
    <w:rPr>
      <w:rFonts w:ascii="宋体" w:hAnsi="宋体" w:eastAsia="宋体" w:cs="Times New Roman"/>
      <w:b/>
      <w:kern w:val="0"/>
      <w:sz w:val="20"/>
      <w:szCs w:val="44"/>
    </w:rPr>
  </w:style>
  <w:style w:type="paragraph" w:styleId="8">
    <w:name w:val="Body Text Indent"/>
    <w:basedOn w:val="1"/>
    <w:next w:val="1"/>
    <w:unhideWhenUsed/>
    <w:qFormat/>
    <w:uiPriority w:val="0"/>
    <w:pPr>
      <w:snapToGrid w:val="0"/>
      <w:spacing w:line="500" w:lineRule="exact"/>
      <w:ind w:firstLine="420"/>
    </w:pPr>
    <w:rPr>
      <w:rFonts w:ascii="宋体" w:hAnsi="Times New Roman" w:eastAsia="宋体" w:cs="Times New Roman"/>
      <w:kern w:val="0"/>
      <w:sz w:val="24"/>
      <w:szCs w:val="24"/>
    </w:rPr>
  </w:style>
  <w:style w:type="paragraph" w:styleId="9">
    <w:name w:val="Plain Text"/>
    <w:basedOn w:val="1"/>
    <w:unhideWhenUsed/>
    <w:qFormat/>
    <w:uiPriority w:val="0"/>
    <w:rPr>
      <w:rFonts w:ascii="宋体" w:hAnsi="Courier New" w:eastAsia="宋体" w:cs="Times New Roman"/>
      <w:kern w:val="0"/>
      <w:sz w:val="20"/>
      <w:szCs w:val="20"/>
    </w:rPr>
  </w:style>
  <w:style w:type="paragraph" w:styleId="10">
    <w:name w:val="footer"/>
    <w:basedOn w:val="1"/>
    <w:unhideWhenUsed/>
    <w:qFormat/>
    <w:uiPriority w:val="0"/>
    <w:pPr>
      <w:tabs>
        <w:tab w:val="center" w:pos="4153"/>
        <w:tab w:val="right" w:pos="8306"/>
      </w:tabs>
      <w:snapToGrid w:val="0"/>
      <w:jc w:val="left"/>
    </w:pPr>
    <w:rPr>
      <w:sz w:val="18"/>
      <w:szCs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footnote text"/>
    <w:basedOn w:val="1"/>
    <w:qFormat/>
    <w:uiPriority w:val="0"/>
    <w:rPr>
      <w:sz w:val="20"/>
      <w:szCs w:val="20"/>
    </w:rPr>
  </w:style>
  <w:style w:type="paragraph" w:styleId="13">
    <w:name w:val="Normal (Web)"/>
    <w:basedOn w:val="1"/>
    <w:qFormat/>
    <w:uiPriority w:val="0"/>
    <w:rPr>
      <w:rFonts w:asciiTheme="minorHAnsi" w:hAnsiTheme="minorHAnsi" w:eastAsiaTheme="minorEastAsia" w:cstheme="minorBidi"/>
      <w:sz w:val="24"/>
      <w:szCs w:val="22"/>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Emphasis"/>
    <w:basedOn w:val="16"/>
    <w:qFormat/>
    <w:uiPriority w:val="20"/>
    <w:rPr>
      <w:i/>
    </w:rPr>
  </w:style>
  <w:style w:type="paragraph" w:customStyle="1" w:styleId="18">
    <w:name w:val="Default"/>
    <w:next w:val="12"/>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9">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20">
    <w:name w:val="无间隔1"/>
    <w:basedOn w:val="1"/>
    <w:next w:val="5"/>
    <w:qFormat/>
    <w:uiPriority w:val="1"/>
    <w:pPr>
      <w:spacing w:line="400" w:lineRule="exact"/>
    </w:pPr>
    <w:rPr>
      <w:sz w:val="24"/>
    </w:rPr>
  </w:style>
  <w:style w:type="character" w:customStyle="1" w:styleId="21">
    <w:name w:val="font61"/>
    <w:basedOn w:val="16"/>
    <w:qFormat/>
    <w:uiPriority w:val="0"/>
    <w:rPr>
      <w:rFonts w:ascii="宋体" w:hAnsi="宋体" w:eastAsia="宋体" w:cs="宋体"/>
      <w:b/>
      <w:bCs/>
      <w:color w:val="000000"/>
      <w:sz w:val="18"/>
      <w:szCs w:val="18"/>
      <w:u w:val="none"/>
    </w:rPr>
  </w:style>
  <w:style w:type="character" w:customStyle="1" w:styleId="22">
    <w:name w:val="font71"/>
    <w:basedOn w:val="16"/>
    <w:qFormat/>
    <w:uiPriority w:val="0"/>
    <w:rPr>
      <w:rFonts w:ascii="宋体" w:hAnsi="宋体" w:eastAsia="宋体" w:cs="宋体"/>
      <w:color w:val="000000"/>
      <w:sz w:val="18"/>
      <w:szCs w:val="18"/>
      <w:u w:val="none"/>
    </w:rPr>
  </w:style>
  <w:style w:type="character" w:customStyle="1" w:styleId="23">
    <w:name w:val="font81"/>
    <w:basedOn w:val="16"/>
    <w:qFormat/>
    <w:uiPriority w:val="0"/>
    <w:rPr>
      <w:rFonts w:ascii="宋体" w:hAnsi="宋体" w:eastAsia="宋体" w:cs="宋体"/>
      <w:b/>
      <w:bCs/>
      <w:color w:val="000000"/>
      <w:sz w:val="22"/>
      <w:szCs w:val="22"/>
      <w:u w:val="none"/>
    </w:rPr>
  </w:style>
  <w:style w:type="paragraph" w:customStyle="1" w:styleId="24">
    <w:name w:val="列出段落1"/>
    <w:basedOn w:val="1"/>
    <w:qFormat/>
    <w:uiPriority w:val="0"/>
    <w:pPr>
      <w:ind w:firstLine="420" w:firstLineChars="200"/>
    </w:pPr>
    <w:rPr>
      <w:szCs w:val="21"/>
    </w:rPr>
  </w:style>
  <w:style w:type="paragraph" w:customStyle="1" w:styleId="25">
    <w:name w:val="Table Paragraph"/>
    <w:basedOn w:val="1"/>
    <w:qFormat/>
    <w:uiPriority w:val="1"/>
    <w:rPr>
      <w:rFonts w:ascii="宋体" w:hAnsi="宋体" w:cs="宋体"/>
      <w:lang w:val="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78</Pages>
  <Words>39862</Words>
  <Characters>43795</Characters>
  <Lines>0</Lines>
  <Paragraphs>0</Paragraphs>
  <TotalTime>6</TotalTime>
  <ScaleCrop>false</ScaleCrop>
  <LinksUpToDate>false</LinksUpToDate>
  <CharactersWithSpaces>45194</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2026-06-08T18:59:00Z</dcterms:created>
  <dc:creator>Administrator</dc:creator>
  <cp:lastModifiedBy>羋安</cp:lastModifiedBy>
  <dcterms:modified xsi:type="dcterms:W3CDTF">2026-10-12T15:59:07Z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KSOTemplateDocerSaveRecord">
    <vt:lpwstr>eyJoZGlkIjoiNmY3Y2ZjZTdiZDg1NGVhOGRjY2Q4MWFmZDRiOTRjYzciLCJ1c2VySWQiOiIyMzQwNDExMTMifQ==</vt:lpwstr>
  </property>
  <property fmtid="{D5CDD505-2E9C-101B-9397-08002B2CF9AE}" pid="4" name="ICV">
    <vt:lpwstr>CC81144B01A1AF2DEFDFB16A348041F5_43</vt:lpwstr>
  </property>
</Properties>
</file>