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95F4FE">
      <w:pPr>
        <w:pStyle w:val="12"/>
        <w:ind w:left="0" w:leftChars="0" w:firstLine="0" w:firstLineChars="0"/>
        <w:jc w:val="center"/>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lang w:val="en-US" w:eastAsia="zh-CN"/>
        </w:rPr>
        <w:t>商城县2026年鲇鱼山街道办事处财政常态化帮扶资金项目计划（第四批）基础设施项目</w:t>
      </w:r>
    </w:p>
    <w:p w14:paraId="19058009">
      <w:pPr>
        <w:rPr>
          <w:rFonts w:hint="eastAsia" w:ascii="宋体" w:hAnsi="宋体" w:eastAsia="宋体" w:cs="宋体"/>
          <w:b/>
          <w:bCs/>
          <w:sz w:val="44"/>
          <w:szCs w:val="44"/>
          <w:u w:val="none"/>
          <w:lang w:val="en-US" w:eastAsia="zh-CN"/>
        </w:rPr>
      </w:pPr>
    </w:p>
    <w:p w14:paraId="0EA194BC">
      <w:pPr>
        <w:pStyle w:val="12"/>
        <w:rPr>
          <w:rFonts w:hint="default" w:ascii="宋体" w:hAnsi="宋体" w:eastAsia="宋体" w:cs="宋体"/>
          <w:b/>
          <w:bCs/>
          <w:sz w:val="44"/>
          <w:szCs w:val="44"/>
          <w:u w:val="none"/>
          <w:lang w:val="en-US" w:eastAsia="zh-CN"/>
        </w:rPr>
      </w:pPr>
      <w:r>
        <w:rPr>
          <w:rFonts w:hint="eastAsia" w:cs="宋体"/>
          <w:b/>
          <w:bCs/>
          <w:sz w:val="44"/>
          <w:szCs w:val="44"/>
          <w:u w:val="none"/>
          <w:lang w:val="en-US" w:eastAsia="zh-CN"/>
        </w:rPr>
        <w:t xml:space="preserve">  </w:t>
      </w:r>
    </w:p>
    <w:p w14:paraId="1BDBD029">
      <w:pPr>
        <w:rPr>
          <w:lang w:eastAsia="zh-CN"/>
        </w:rPr>
      </w:pPr>
    </w:p>
    <w:p w14:paraId="2F23A831">
      <w:pPr>
        <w:pStyle w:val="25"/>
        <w:ind w:firstLine="160"/>
        <w:rPr>
          <w:sz w:val="16"/>
          <w:szCs w:val="16"/>
          <w:lang w:val="en-US"/>
        </w:rPr>
      </w:pPr>
    </w:p>
    <w:p w14:paraId="1A04EED6">
      <w:pPr>
        <w:pStyle w:val="12"/>
        <w:rPr>
          <w:b/>
          <w:bCs/>
          <w:sz w:val="84"/>
          <w:szCs w:val="84"/>
          <w:lang w:val="en-US"/>
        </w:rPr>
      </w:pPr>
    </w:p>
    <w:p w14:paraId="5C10CA47">
      <w:pPr>
        <w:rPr>
          <w:lang w:val="en-US"/>
        </w:rPr>
      </w:pPr>
    </w:p>
    <w:p w14:paraId="6ED5FAE6">
      <w:pPr>
        <w:widowControl/>
        <w:spacing w:line="360" w:lineRule="auto"/>
        <w:jc w:val="center"/>
        <w:rPr>
          <w:rFonts w:ascii="华文楷体" w:hAnsi="华文楷体" w:eastAsia="华文楷体" w:cs="华文楷体"/>
          <w:b/>
          <w:bCs/>
          <w:sz w:val="72"/>
          <w:szCs w:val="72"/>
          <w:lang w:val="en-US"/>
        </w:rPr>
      </w:pPr>
      <w:r>
        <w:rPr>
          <w:rFonts w:hint="eastAsia"/>
          <w:b/>
          <w:bCs/>
          <w:sz w:val="84"/>
          <w:szCs w:val="84"/>
          <w:lang w:val="en-US"/>
        </w:rPr>
        <w:t>磋  商  文  件</w:t>
      </w:r>
    </w:p>
    <w:p w14:paraId="1853FCAC">
      <w:pPr>
        <w:widowControl/>
        <w:spacing w:line="360" w:lineRule="auto"/>
        <w:jc w:val="center"/>
        <w:rPr>
          <w:rFonts w:hint="default" w:ascii="Verdana" w:hAnsi="Verdana" w:eastAsia="宋体" w:cs="Verdana"/>
          <w:b/>
          <w:bCs/>
          <w:color w:val="FF0000"/>
          <w:sz w:val="24"/>
          <w:shd w:val="clear" w:color="auto" w:fill="FFFFFF"/>
          <w:lang w:val="en-US" w:eastAsia="zh-CN"/>
        </w:rPr>
      </w:pPr>
      <w:r>
        <w:rPr>
          <w:rFonts w:hint="eastAsia" w:ascii="Verdana" w:hAnsi="Verdana" w:cs="Verdana"/>
          <w:b/>
          <w:bCs/>
          <w:sz w:val="24"/>
          <w:shd w:val="clear" w:color="auto" w:fill="FFFFFF"/>
        </w:rPr>
        <w:t>采购编号：商财</w:t>
      </w:r>
      <w:r>
        <w:rPr>
          <w:rFonts w:hint="eastAsia" w:ascii="Verdana" w:hAnsi="Verdana" w:cs="Verdana"/>
          <w:b/>
          <w:bCs/>
          <w:sz w:val="24"/>
          <w:shd w:val="clear" w:color="auto" w:fill="FFFFFF"/>
          <w:lang w:val="en-US" w:eastAsia="zh-CN"/>
        </w:rPr>
        <w:t>竞争性磋</w:t>
      </w:r>
      <w:r>
        <w:rPr>
          <w:rFonts w:hint="eastAsia" w:ascii="Verdana" w:hAnsi="Verdana" w:cs="Verdana"/>
          <w:b/>
          <w:bCs/>
          <w:color w:val="auto"/>
          <w:sz w:val="24"/>
          <w:shd w:val="clear" w:color="auto" w:fill="FFFFFF"/>
          <w:lang w:val="en-US" w:eastAsia="zh-CN"/>
        </w:rPr>
        <w:t>商-</w:t>
      </w:r>
      <w:r>
        <w:rPr>
          <w:rFonts w:hint="eastAsia" w:ascii="Verdana" w:hAnsi="Verdana" w:cs="Verdana"/>
          <w:b/>
          <w:bCs/>
          <w:color w:val="auto"/>
          <w:sz w:val="24"/>
          <w:shd w:val="clear" w:color="auto" w:fill="FFFFFF"/>
        </w:rPr>
        <w:t>202</w:t>
      </w:r>
      <w:r>
        <w:rPr>
          <w:rFonts w:hint="eastAsia" w:ascii="Verdana" w:hAnsi="Verdana" w:cs="Verdana"/>
          <w:b/>
          <w:bCs/>
          <w:color w:val="auto"/>
          <w:sz w:val="24"/>
          <w:shd w:val="clear" w:color="auto" w:fill="FFFFFF"/>
          <w:lang w:val="en-US" w:eastAsia="zh-CN"/>
        </w:rPr>
        <w:t>6</w:t>
      </w:r>
      <w:r>
        <w:rPr>
          <w:rFonts w:hint="eastAsia" w:ascii="Verdana" w:hAnsi="Verdana" w:cs="Verdana"/>
          <w:b/>
          <w:bCs/>
          <w:color w:val="auto"/>
          <w:sz w:val="24"/>
          <w:shd w:val="clear" w:color="auto" w:fill="FFFFFF"/>
        </w:rPr>
        <w:t>-</w:t>
      </w:r>
      <w:r>
        <w:rPr>
          <w:rFonts w:hint="eastAsia" w:ascii="Verdana" w:hAnsi="Verdana" w:cs="Verdana"/>
          <w:b/>
          <w:bCs/>
          <w:color w:val="auto"/>
          <w:sz w:val="24"/>
          <w:shd w:val="clear" w:color="auto" w:fill="FFFFFF"/>
          <w:lang w:val="en-US" w:eastAsia="zh-CN"/>
        </w:rPr>
        <w:t>26</w:t>
      </w:r>
    </w:p>
    <w:p w14:paraId="41CAED49">
      <w:pPr>
        <w:pStyle w:val="12"/>
        <w:rPr>
          <w:rFonts w:ascii="Verdana" w:hAnsi="Verdana" w:cs="Verdana"/>
          <w:b/>
          <w:bCs/>
          <w:sz w:val="24"/>
          <w:shd w:val="clear" w:color="auto" w:fill="FFFFFF"/>
          <w:lang w:val="en-US"/>
        </w:rPr>
      </w:pPr>
    </w:p>
    <w:p w14:paraId="42709682">
      <w:pPr>
        <w:rPr>
          <w:rFonts w:ascii="Verdana" w:hAnsi="Verdana" w:cs="Verdana"/>
          <w:b/>
          <w:bCs/>
          <w:sz w:val="24"/>
          <w:shd w:val="clear" w:color="auto" w:fill="FFFFFF"/>
          <w:lang w:val="en-US"/>
        </w:rPr>
      </w:pPr>
    </w:p>
    <w:p w14:paraId="690FB8F1">
      <w:pPr>
        <w:pStyle w:val="12"/>
        <w:rPr>
          <w:lang w:val="en-US"/>
        </w:rPr>
      </w:pPr>
    </w:p>
    <w:p w14:paraId="6037B7C4">
      <w:pPr>
        <w:adjustRightInd w:val="0"/>
        <w:snapToGrid w:val="0"/>
        <w:spacing w:line="360" w:lineRule="auto"/>
        <w:jc w:val="center"/>
        <w:rPr>
          <w:rFonts w:ascii="华文楷体" w:hAnsi="华文楷体" w:eastAsia="华文楷体" w:cs="华文楷体"/>
          <w:bCs/>
          <w:sz w:val="30"/>
          <w:szCs w:val="30"/>
        </w:rPr>
      </w:pPr>
    </w:p>
    <w:p w14:paraId="16DCA7B3">
      <w:pPr>
        <w:tabs>
          <w:tab w:val="left" w:pos="835"/>
        </w:tabs>
        <w:spacing w:line="600" w:lineRule="auto"/>
        <w:rPr>
          <w:bCs/>
          <w:sz w:val="30"/>
          <w:szCs w:val="30"/>
        </w:rPr>
      </w:pPr>
    </w:p>
    <w:p w14:paraId="7922A851">
      <w:pPr>
        <w:pStyle w:val="12"/>
      </w:pPr>
    </w:p>
    <w:p w14:paraId="37D6FC73">
      <w:pPr>
        <w:pStyle w:val="12"/>
        <w:rPr>
          <w:bCs/>
          <w:sz w:val="30"/>
          <w:szCs w:val="30"/>
        </w:rPr>
      </w:pPr>
    </w:p>
    <w:p w14:paraId="23F87EF2"/>
    <w:p w14:paraId="2D664691"/>
    <w:p w14:paraId="558CDEC5">
      <w:pPr>
        <w:tabs>
          <w:tab w:val="left" w:pos="835"/>
        </w:tabs>
        <w:spacing w:line="600" w:lineRule="auto"/>
        <w:ind w:firstLine="1200" w:firstLineChars="400"/>
        <w:rPr>
          <w:sz w:val="30"/>
        </w:rPr>
      </w:pPr>
      <w:r>
        <w:rPr>
          <w:rFonts w:hint="eastAsia"/>
          <w:bCs/>
          <w:sz w:val="30"/>
          <w:szCs w:val="30"/>
        </w:rPr>
        <w:t>采   购   人：</w:t>
      </w:r>
      <w:r>
        <w:rPr>
          <w:rFonts w:hint="eastAsia" w:ascii="宋体" w:hAnsi="宋体" w:eastAsia="宋体" w:cs="宋体"/>
          <w:sz w:val="30"/>
          <w:lang w:val="en-US" w:eastAsia="zh-CN"/>
        </w:rPr>
        <w:t>商城县人民政府鲇鱼山街道办事处</w:t>
      </w:r>
    </w:p>
    <w:p w14:paraId="55EDA58D">
      <w:pPr>
        <w:tabs>
          <w:tab w:val="left" w:pos="835"/>
        </w:tabs>
        <w:spacing w:line="600" w:lineRule="auto"/>
        <w:ind w:firstLine="1200" w:firstLineChars="400"/>
        <w:rPr>
          <w:kern w:val="2"/>
          <w:sz w:val="30"/>
          <w:szCs w:val="24"/>
          <w:lang w:val="en-US" w:bidi="ar-SA"/>
        </w:rPr>
      </w:pPr>
      <w:r>
        <w:rPr>
          <w:rFonts w:hint="eastAsia"/>
          <w:bCs/>
          <w:sz w:val="30"/>
          <w:szCs w:val="30"/>
        </w:rPr>
        <w:t>采购代理机构：</w:t>
      </w:r>
      <w:r>
        <w:rPr>
          <w:rFonts w:hint="eastAsia"/>
          <w:sz w:val="30"/>
          <w:lang w:val="en-US"/>
        </w:rPr>
        <w:t>河南中正和工程管理</w:t>
      </w:r>
      <w:r>
        <w:rPr>
          <w:rFonts w:hint="eastAsia"/>
          <w:sz w:val="30"/>
        </w:rPr>
        <w:t xml:space="preserve">有限公司 </w:t>
      </w:r>
    </w:p>
    <w:p w14:paraId="164F576E">
      <w:pPr>
        <w:pStyle w:val="12"/>
        <w:ind w:firstLine="3300" w:firstLineChars="1100"/>
        <w:jc w:val="both"/>
        <w:rPr>
          <w:sz w:val="28"/>
        </w:rPr>
      </w:pPr>
      <w:r>
        <w:rPr>
          <w:rFonts w:hint="eastAsia"/>
          <w:kern w:val="2"/>
          <w:sz w:val="30"/>
          <w:szCs w:val="24"/>
          <w:lang w:val="en-US" w:bidi="ar-SA"/>
        </w:rPr>
        <w:t>二零二</w:t>
      </w:r>
      <w:r>
        <w:rPr>
          <w:rFonts w:hint="eastAsia"/>
          <w:kern w:val="2"/>
          <w:sz w:val="30"/>
          <w:szCs w:val="24"/>
          <w:lang w:val="en-US" w:eastAsia="zh-CN" w:bidi="ar-SA"/>
        </w:rPr>
        <w:t>六</w:t>
      </w:r>
      <w:r>
        <w:rPr>
          <w:rFonts w:hint="eastAsia"/>
          <w:kern w:val="2"/>
          <w:sz w:val="30"/>
          <w:szCs w:val="24"/>
          <w:lang w:val="en-US" w:bidi="ar-SA"/>
        </w:rPr>
        <w:t>年</w:t>
      </w:r>
      <w:r>
        <w:rPr>
          <w:rFonts w:hint="eastAsia"/>
          <w:kern w:val="2"/>
          <w:sz w:val="30"/>
          <w:szCs w:val="24"/>
          <w:lang w:val="en-US" w:eastAsia="zh-CN" w:bidi="ar-SA"/>
        </w:rPr>
        <w:t>八</w:t>
      </w:r>
      <w:r>
        <w:rPr>
          <w:rFonts w:hint="eastAsia"/>
          <w:kern w:val="2"/>
          <w:sz w:val="30"/>
          <w:szCs w:val="24"/>
          <w:lang w:val="en-US" w:bidi="ar-SA"/>
        </w:rPr>
        <w:t>月</w:t>
      </w:r>
    </w:p>
    <w:p w14:paraId="0177678E">
      <w:pPr>
        <w:jc w:val="center"/>
        <w:rPr>
          <w:rFonts w:ascii="黑体" w:eastAsia="黑体"/>
          <w:sz w:val="28"/>
        </w:rPr>
        <w:sectPr>
          <w:headerReference r:id="rId4" w:type="first"/>
          <w:footerReference r:id="rId6" w:type="first"/>
          <w:headerReference r:id="rId3" w:type="default"/>
          <w:footerReference r:id="rId5" w:type="default"/>
          <w:pgSz w:w="12240" w:h="15840"/>
          <w:pgMar w:top="1440" w:right="1080" w:bottom="1440" w:left="1080" w:header="720" w:footer="720" w:gutter="0"/>
          <w:pgNumType w:fmt="decimal"/>
          <w:cols w:space="720" w:num="1"/>
        </w:sectPr>
      </w:pPr>
    </w:p>
    <w:sdt>
      <w:sdtPr>
        <w:rPr>
          <w:sz w:val="21"/>
          <w:szCs w:val="21"/>
        </w:rPr>
        <w:id w:val="147451770"/>
        <w:docPartObj>
          <w:docPartGallery w:val="Table of Contents"/>
          <w:docPartUnique/>
        </w:docPartObj>
      </w:sdtPr>
      <w:sdtEndPr>
        <w:rPr>
          <w:rFonts w:hint="eastAsia"/>
          <w:sz w:val="28"/>
          <w:szCs w:val="28"/>
        </w:rPr>
      </w:sdtEndPr>
      <w:sdtContent>
        <w:p w14:paraId="2CA7889F">
          <w:pPr>
            <w:spacing w:line="600" w:lineRule="auto"/>
            <w:jc w:val="center"/>
            <w:rPr>
              <w:b/>
              <w:bCs/>
            </w:rPr>
          </w:pPr>
          <w:r>
            <w:rPr>
              <w:b/>
              <w:bCs/>
              <w:sz w:val="36"/>
              <w:szCs w:val="40"/>
            </w:rPr>
            <w:t>目录</w:t>
          </w:r>
        </w:p>
        <w:p w14:paraId="60D67794">
          <w:pPr>
            <w:pStyle w:val="21"/>
            <w:tabs>
              <w:tab w:val="right" w:leader="dot" w:pos="9580"/>
            </w:tabs>
            <w:spacing w:line="360" w:lineRule="auto"/>
            <w:rPr>
              <w:sz w:val="28"/>
              <w:szCs w:val="28"/>
              <w:lang w:val="en-US"/>
            </w:rPr>
          </w:pPr>
          <w:r>
            <w:rPr>
              <w:rFonts w:hint="eastAsia"/>
              <w:sz w:val="28"/>
              <w:szCs w:val="28"/>
              <w:lang w:val="en-US"/>
            </w:rPr>
            <w:fldChar w:fldCharType="begin"/>
          </w:r>
          <w:r>
            <w:rPr>
              <w:rFonts w:hint="eastAsia"/>
              <w:sz w:val="28"/>
              <w:szCs w:val="28"/>
              <w:lang w:val="en-US"/>
            </w:rPr>
            <w:instrText xml:space="preserve">TOC \o "1-1" \h \u </w:instrText>
          </w:r>
          <w:r>
            <w:rPr>
              <w:rFonts w:hint="eastAsia"/>
              <w:sz w:val="28"/>
              <w:szCs w:val="28"/>
              <w:lang w:val="en-US"/>
            </w:rPr>
            <w:fldChar w:fldCharType="separate"/>
          </w:r>
          <w:r>
            <w:fldChar w:fldCharType="begin"/>
          </w:r>
          <w:r>
            <w:instrText xml:space="preserve"> HYPERLINK \l "_Toc6528" </w:instrText>
          </w:r>
          <w:r>
            <w:fldChar w:fldCharType="separate"/>
          </w:r>
          <w:r>
            <w:rPr>
              <w:rFonts w:hint="eastAsia"/>
              <w:sz w:val="28"/>
              <w:szCs w:val="28"/>
              <w:lang w:val="en-US"/>
            </w:rPr>
            <w:t>第一章 磋商公告</w:t>
          </w:r>
          <w:r>
            <w:rPr>
              <w:rFonts w:hint="eastAsia"/>
              <w:sz w:val="28"/>
              <w:szCs w:val="28"/>
              <w:lang w:val="en-US"/>
            </w:rPr>
            <w:tab/>
          </w:r>
          <w:r>
            <w:rPr>
              <w:rFonts w:hint="eastAsia"/>
              <w:sz w:val="28"/>
              <w:szCs w:val="28"/>
              <w:lang w:val="en-US" w:eastAsia="zh-CN"/>
            </w:rPr>
            <w:t>3</w:t>
          </w:r>
          <w:r>
            <w:rPr>
              <w:rFonts w:hint="eastAsia"/>
              <w:sz w:val="28"/>
              <w:szCs w:val="28"/>
              <w:lang w:val="en-US"/>
            </w:rPr>
            <w:fldChar w:fldCharType="end"/>
          </w:r>
        </w:p>
        <w:p w14:paraId="42102AA1">
          <w:pPr>
            <w:pStyle w:val="21"/>
            <w:tabs>
              <w:tab w:val="right" w:leader="dot" w:pos="9580"/>
            </w:tabs>
            <w:spacing w:line="360" w:lineRule="auto"/>
            <w:rPr>
              <w:sz w:val="28"/>
              <w:szCs w:val="28"/>
              <w:lang w:val="en-US"/>
            </w:rPr>
          </w:pPr>
          <w:r>
            <w:fldChar w:fldCharType="begin"/>
          </w:r>
          <w:r>
            <w:instrText xml:space="preserve"> HYPERLINK \l "_Toc5145" </w:instrText>
          </w:r>
          <w:r>
            <w:fldChar w:fldCharType="separate"/>
          </w:r>
          <w:r>
            <w:rPr>
              <w:rFonts w:hint="eastAsia"/>
              <w:sz w:val="28"/>
              <w:szCs w:val="28"/>
              <w:lang w:val="en-US"/>
            </w:rPr>
            <w:t>第二章 供应商须知</w:t>
          </w:r>
          <w:r>
            <w:rPr>
              <w:rFonts w:hint="eastAsia"/>
              <w:sz w:val="28"/>
              <w:szCs w:val="28"/>
              <w:lang w:val="en-US"/>
            </w:rPr>
            <w:tab/>
          </w:r>
          <w:r>
            <w:rPr>
              <w:rFonts w:hint="eastAsia"/>
              <w:sz w:val="28"/>
              <w:szCs w:val="28"/>
              <w:lang w:val="en-US" w:eastAsia="zh-CN"/>
            </w:rPr>
            <w:t>8</w:t>
          </w:r>
          <w:r>
            <w:rPr>
              <w:rFonts w:hint="eastAsia"/>
              <w:sz w:val="28"/>
              <w:szCs w:val="28"/>
              <w:lang w:val="en-US"/>
            </w:rPr>
            <w:fldChar w:fldCharType="end"/>
          </w:r>
        </w:p>
        <w:p w14:paraId="1DA25E85">
          <w:pPr>
            <w:pStyle w:val="21"/>
            <w:tabs>
              <w:tab w:val="right" w:leader="dot" w:pos="9580"/>
            </w:tabs>
            <w:spacing w:line="360" w:lineRule="auto"/>
            <w:rPr>
              <w:rFonts w:hint="eastAsia" w:eastAsia="宋体"/>
              <w:sz w:val="28"/>
              <w:szCs w:val="28"/>
              <w:lang w:val="en-US" w:eastAsia="zh-CN"/>
            </w:rPr>
          </w:pPr>
          <w:r>
            <w:fldChar w:fldCharType="begin"/>
          </w:r>
          <w:r>
            <w:instrText xml:space="preserve"> HYPERLINK \l "_Toc4996" </w:instrText>
          </w:r>
          <w:r>
            <w:fldChar w:fldCharType="separate"/>
          </w:r>
          <w:r>
            <w:rPr>
              <w:rFonts w:hint="eastAsia"/>
              <w:sz w:val="28"/>
              <w:szCs w:val="28"/>
              <w:lang w:val="en-US"/>
            </w:rPr>
            <w:t>第三章 评审办法（综合评分法）</w:t>
          </w:r>
          <w:r>
            <w:rPr>
              <w:rFonts w:hint="eastAsia"/>
              <w:sz w:val="28"/>
              <w:szCs w:val="28"/>
              <w:lang w:val="en-US"/>
            </w:rPr>
            <w:tab/>
          </w:r>
          <w:r>
            <w:rPr>
              <w:rFonts w:hint="eastAsia"/>
              <w:sz w:val="28"/>
              <w:szCs w:val="28"/>
              <w:lang w:val="en-US" w:eastAsia="zh-CN"/>
            </w:rPr>
            <w:t>2</w:t>
          </w:r>
          <w:r>
            <w:rPr>
              <w:rFonts w:hint="eastAsia"/>
              <w:sz w:val="28"/>
              <w:szCs w:val="28"/>
              <w:lang w:val="en-US"/>
            </w:rPr>
            <w:fldChar w:fldCharType="end"/>
          </w:r>
          <w:r>
            <w:rPr>
              <w:rFonts w:hint="eastAsia"/>
              <w:sz w:val="28"/>
              <w:szCs w:val="28"/>
              <w:lang w:val="en-US" w:eastAsia="zh-CN"/>
            </w:rPr>
            <w:t>8</w:t>
          </w:r>
        </w:p>
        <w:p w14:paraId="6F5F0824">
          <w:pPr>
            <w:pStyle w:val="21"/>
            <w:tabs>
              <w:tab w:val="right" w:leader="dot" w:pos="9580"/>
            </w:tabs>
            <w:spacing w:line="360" w:lineRule="auto"/>
            <w:rPr>
              <w:rFonts w:hint="eastAsia" w:eastAsia="宋体"/>
              <w:sz w:val="28"/>
              <w:szCs w:val="28"/>
              <w:lang w:val="en-US" w:eastAsia="zh-CN"/>
            </w:rPr>
          </w:pPr>
          <w:r>
            <w:fldChar w:fldCharType="begin"/>
          </w:r>
          <w:r>
            <w:instrText xml:space="preserve"> HYPERLINK \l "_Toc10126" </w:instrText>
          </w:r>
          <w:r>
            <w:fldChar w:fldCharType="separate"/>
          </w:r>
          <w:r>
            <w:rPr>
              <w:rFonts w:hint="eastAsia"/>
              <w:sz w:val="28"/>
              <w:szCs w:val="28"/>
              <w:lang w:val="en-US"/>
            </w:rPr>
            <w:t>第四章 合同条款及格式</w:t>
          </w:r>
          <w:r>
            <w:rPr>
              <w:rFonts w:hint="eastAsia"/>
              <w:sz w:val="28"/>
              <w:szCs w:val="28"/>
              <w:lang w:val="en-US"/>
            </w:rPr>
            <w:tab/>
          </w:r>
          <w:r>
            <w:rPr>
              <w:rFonts w:hint="eastAsia"/>
              <w:sz w:val="28"/>
              <w:szCs w:val="28"/>
              <w:lang w:val="en-US" w:eastAsia="zh-CN"/>
            </w:rPr>
            <w:t>3</w:t>
          </w:r>
          <w:r>
            <w:rPr>
              <w:rFonts w:hint="eastAsia"/>
              <w:sz w:val="28"/>
              <w:szCs w:val="28"/>
              <w:lang w:val="en-US"/>
            </w:rPr>
            <w:fldChar w:fldCharType="end"/>
          </w:r>
          <w:r>
            <w:rPr>
              <w:rFonts w:hint="eastAsia"/>
              <w:sz w:val="28"/>
              <w:szCs w:val="28"/>
              <w:lang w:val="en-US" w:eastAsia="zh-CN"/>
            </w:rPr>
            <w:t>6</w:t>
          </w:r>
        </w:p>
        <w:p w14:paraId="0AE93025">
          <w:pPr>
            <w:pStyle w:val="21"/>
            <w:tabs>
              <w:tab w:val="right" w:leader="dot" w:pos="9580"/>
            </w:tabs>
            <w:spacing w:line="360" w:lineRule="auto"/>
            <w:rPr>
              <w:rFonts w:hint="eastAsia" w:eastAsia="宋体"/>
              <w:sz w:val="28"/>
              <w:szCs w:val="28"/>
              <w:lang w:val="en-US" w:eastAsia="zh-CN"/>
            </w:rPr>
          </w:pPr>
          <w:r>
            <w:fldChar w:fldCharType="begin"/>
          </w:r>
          <w:r>
            <w:instrText xml:space="preserve"> HYPERLINK \l "_Toc21696" </w:instrText>
          </w:r>
          <w:r>
            <w:fldChar w:fldCharType="separate"/>
          </w:r>
          <w:r>
            <w:rPr>
              <w:rFonts w:hint="eastAsia"/>
              <w:sz w:val="28"/>
              <w:szCs w:val="28"/>
              <w:lang w:val="en-US"/>
            </w:rPr>
            <w:t>第五章 工程量清单（另附）</w:t>
          </w:r>
          <w:r>
            <w:rPr>
              <w:rFonts w:hint="eastAsia"/>
              <w:sz w:val="28"/>
              <w:szCs w:val="28"/>
              <w:lang w:val="en-US"/>
            </w:rPr>
            <w:tab/>
          </w:r>
          <w:r>
            <w:rPr>
              <w:rFonts w:hint="eastAsia"/>
              <w:sz w:val="28"/>
              <w:szCs w:val="28"/>
              <w:lang w:val="en-US" w:eastAsia="zh-CN"/>
            </w:rPr>
            <w:t>6</w:t>
          </w:r>
          <w:r>
            <w:rPr>
              <w:rFonts w:hint="eastAsia"/>
              <w:sz w:val="28"/>
              <w:szCs w:val="28"/>
              <w:lang w:val="en-US"/>
            </w:rPr>
            <w:fldChar w:fldCharType="end"/>
          </w:r>
          <w:r>
            <w:rPr>
              <w:rFonts w:hint="eastAsia"/>
              <w:sz w:val="28"/>
              <w:szCs w:val="28"/>
              <w:lang w:val="en-US" w:eastAsia="zh-CN"/>
            </w:rPr>
            <w:t>3</w:t>
          </w:r>
        </w:p>
        <w:p w14:paraId="1F8250E5">
          <w:pPr>
            <w:pStyle w:val="21"/>
            <w:tabs>
              <w:tab w:val="right" w:leader="dot" w:pos="9580"/>
            </w:tabs>
            <w:spacing w:line="360" w:lineRule="auto"/>
            <w:rPr>
              <w:rFonts w:hint="eastAsia" w:eastAsia="宋体"/>
              <w:sz w:val="28"/>
              <w:szCs w:val="28"/>
              <w:lang w:val="en-US" w:eastAsia="zh-CN"/>
            </w:rPr>
          </w:pPr>
          <w:r>
            <w:fldChar w:fldCharType="begin"/>
          </w:r>
          <w:r>
            <w:instrText xml:space="preserve"> HYPERLINK \l "_Toc28840" </w:instrText>
          </w:r>
          <w:r>
            <w:fldChar w:fldCharType="separate"/>
          </w:r>
          <w:r>
            <w:rPr>
              <w:rFonts w:hint="eastAsia"/>
              <w:sz w:val="28"/>
              <w:szCs w:val="28"/>
              <w:lang w:val="en-US"/>
            </w:rPr>
            <w:t>第六章 技术标准和要求</w:t>
          </w:r>
          <w:r>
            <w:rPr>
              <w:rFonts w:hint="eastAsia"/>
              <w:sz w:val="28"/>
              <w:szCs w:val="28"/>
              <w:lang w:val="en-US"/>
            </w:rPr>
            <w:tab/>
          </w:r>
          <w:r>
            <w:rPr>
              <w:rFonts w:hint="eastAsia"/>
              <w:sz w:val="28"/>
              <w:szCs w:val="28"/>
              <w:lang w:val="en-US" w:eastAsia="zh-CN"/>
            </w:rPr>
            <w:t>6</w:t>
          </w:r>
          <w:r>
            <w:rPr>
              <w:rFonts w:hint="eastAsia"/>
              <w:sz w:val="28"/>
              <w:szCs w:val="28"/>
              <w:lang w:val="en-US"/>
            </w:rPr>
            <w:fldChar w:fldCharType="end"/>
          </w:r>
          <w:r>
            <w:rPr>
              <w:rFonts w:hint="eastAsia"/>
              <w:sz w:val="28"/>
              <w:szCs w:val="28"/>
              <w:lang w:val="en-US" w:eastAsia="zh-CN"/>
            </w:rPr>
            <w:t>4</w:t>
          </w:r>
        </w:p>
        <w:p w14:paraId="24864263">
          <w:pPr>
            <w:pStyle w:val="21"/>
            <w:tabs>
              <w:tab w:val="right" w:leader="dot" w:pos="9580"/>
            </w:tabs>
            <w:spacing w:line="360" w:lineRule="auto"/>
            <w:rPr>
              <w:rFonts w:hint="eastAsia" w:eastAsia="宋体"/>
              <w:sz w:val="28"/>
              <w:szCs w:val="28"/>
              <w:lang w:val="en-US" w:eastAsia="zh-CN"/>
            </w:rPr>
          </w:pPr>
          <w:r>
            <w:fldChar w:fldCharType="begin"/>
          </w:r>
          <w:r>
            <w:instrText xml:space="preserve"> HYPERLINK \l "_Toc21545" </w:instrText>
          </w:r>
          <w:r>
            <w:fldChar w:fldCharType="separate"/>
          </w:r>
          <w:r>
            <w:rPr>
              <w:rFonts w:hint="eastAsia"/>
              <w:sz w:val="28"/>
              <w:szCs w:val="28"/>
              <w:lang w:val="en-US"/>
            </w:rPr>
            <w:t>第七章 响应文件格式</w:t>
          </w:r>
          <w:r>
            <w:rPr>
              <w:rFonts w:hint="eastAsia"/>
              <w:sz w:val="28"/>
              <w:szCs w:val="28"/>
              <w:lang w:val="en-US"/>
            </w:rPr>
            <w:tab/>
          </w:r>
          <w:r>
            <w:rPr>
              <w:rFonts w:hint="eastAsia"/>
              <w:sz w:val="28"/>
              <w:szCs w:val="28"/>
              <w:lang w:val="en-US" w:eastAsia="zh-CN"/>
            </w:rPr>
            <w:t>6</w:t>
          </w:r>
          <w:r>
            <w:rPr>
              <w:rFonts w:hint="eastAsia"/>
              <w:sz w:val="28"/>
              <w:szCs w:val="28"/>
              <w:lang w:val="en-US"/>
            </w:rPr>
            <w:fldChar w:fldCharType="end"/>
          </w:r>
          <w:r>
            <w:rPr>
              <w:rFonts w:hint="eastAsia"/>
              <w:sz w:val="28"/>
              <w:szCs w:val="28"/>
              <w:lang w:val="en-US" w:eastAsia="zh-CN"/>
            </w:rPr>
            <w:t>5</w:t>
          </w:r>
        </w:p>
        <w:p w14:paraId="72C3D8E3">
          <w:pPr>
            <w:pStyle w:val="21"/>
            <w:tabs>
              <w:tab w:val="right" w:leader="dot" w:pos="9580"/>
            </w:tabs>
            <w:spacing w:line="360" w:lineRule="auto"/>
            <w:rPr>
              <w:rFonts w:hint="eastAsia" w:eastAsia="宋体"/>
              <w:b/>
              <w:bCs/>
              <w:sz w:val="28"/>
              <w:szCs w:val="28"/>
              <w:lang w:val="en-US" w:eastAsia="zh-CN"/>
            </w:rPr>
          </w:pPr>
          <w:r>
            <w:fldChar w:fldCharType="begin"/>
          </w:r>
          <w:r>
            <w:instrText xml:space="preserve"> HYPERLINK \l "_Toc24295" </w:instrText>
          </w:r>
          <w:r>
            <w:fldChar w:fldCharType="separate"/>
          </w:r>
          <w:r>
            <w:rPr>
              <w:rFonts w:hint="eastAsia"/>
              <w:b/>
              <w:bCs/>
              <w:sz w:val="28"/>
              <w:szCs w:val="28"/>
              <w:lang w:val="en-US"/>
            </w:rPr>
            <w:t xml:space="preserve">附件1 </w:t>
          </w:r>
          <w:r>
            <w:rPr>
              <w:rFonts w:hint="eastAsia"/>
              <w:b/>
              <w:bCs/>
              <w:sz w:val="28"/>
              <w:szCs w:val="28"/>
              <w:lang w:val="en-US" w:eastAsia="zh-CN"/>
            </w:rPr>
            <w:t>竞争性磋商第</w:t>
          </w:r>
          <w:r>
            <w:rPr>
              <w:rFonts w:hint="eastAsia"/>
              <w:b/>
              <w:bCs/>
              <w:sz w:val="28"/>
              <w:szCs w:val="28"/>
              <w:lang w:val="en-US"/>
            </w:rPr>
            <w:t>二次（最终）报价函</w:t>
          </w:r>
          <w:r>
            <w:rPr>
              <w:rFonts w:hint="eastAsia"/>
              <w:b/>
              <w:bCs/>
              <w:sz w:val="28"/>
              <w:szCs w:val="28"/>
              <w:lang w:val="en-US"/>
            </w:rPr>
            <w:tab/>
          </w:r>
          <w:r>
            <w:rPr>
              <w:rFonts w:hint="eastAsia"/>
              <w:b/>
              <w:bCs/>
              <w:sz w:val="28"/>
              <w:szCs w:val="28"/>
              <w:lang w:val="en-US" w:eastAsia="zh-CN"/>
            </w:rPr>
            <w:t>8</w:t>
          </w:r>
          <w:r>
            <w:rPr>
              <w:rFonts w:hint="eastAsia"/>
              <w:b/>
              <w:bCs/>
              <w:sz w:val="28"/>
              <w:szCs w:val="28"/>
              <w:lang w:val="en-US"/>
            </w:rPr>
            <w:fldChar w:fldCharType="end"/>
          </w:r>
          <w:r>
            <w:rPr>
              <w:rFonts w:hint="eastAsia"/>
              <w:b/>
              <w:bCs/>
              <w:sz w:val="28"/>
              <w:szCs w:val="28"/>
              <w:lang w:val="en-US" w:eastAsia="zh-CN"/>
            </w:rPr>
            <w:t>9</w:t>
          </w:r>
        </w:p>
        <w:p w14:paraId="50EC8F7E">
          <w:pPr>
            <w:pStyle w:val="21"/>
            <w:tabs>
              <w:tab w:val="right" w:leader="dot" w:pos="9580"/>
            </w:tabs>
            <w:spacing w:line="360" w:lineRule="auto"/>
            <w:rPr>
              <w:rFonts w:hint="eastAsia" w:eastAsia="宋体"/>
              <w:lang w:val="en-US" w:eastAsia="zh-CN"/>
            </w:rPr>
          </w:pPr>
          <w:r>
            <w:fldChar w:fldCharType="begin"/>
          </w:r>
          <w:r>
            <w:instrText xml:space="preserve"> HYPERLINK \l "_Toc24295" </w:instrText>
          </w:r>
          <w:r>
            <w:fldChar w:fldCharType="separate"/>
          </w:r>
          <w:r>
            <w:rPr>
              <w:rFonts w:hint="eastAsia"/>
              <w:b/>
              <w:bCs/>
              <w:sz w:val="28"/>
              <w:szCs w:val="28"/>
              <w:lang w:val="en-US"/>
            </w:rPr>
            <w:t>附件</w:t>
          </w:r>
          <w:r>
            <w:rPr>
              <w:rFonts w:hint="eastAsia"/>
              <w:b/>
              <w:bCs/>
              <w:sz w:val="28"/>
              <w:szCs w:val="28"/>
              <w:lang w:val="en-US" w:eastAsia="zh-CN"/>
            </w:rPr>
            <w:t>2</w:t>
          </w:r>
          <w:r>
            <w:rPr>
              <w:rFonts w:hint="eastAsia"/>
              <w:b/>
              <w:bCs/>
              <w:sz w:val="28"/>
              <w:szCs w:val="28"/>
              <w:lang w:val="en-US"/>
            </w:rPr>
            <w:t xml:space="preserve"> 中小微企业声明函</w:t>
          </w:r>
          <w:r>
            <w:rPr>
              <w:rFonts w:hint="eastAsia"/>
              <w:b/>
              <w:bCs/>
              <w:sz w:val="28"/>
              <w:szCs w:val="28"/>
              <w:lang w:val="en-US"/>
            </w:rPr>
            <w:tab/>
          </w:r>
          <w:r>
            <w:rPr>
              <w:rFonts w:hint="eastAsia"/>
              <w:b/>
              <w:bCs/>
              <w:sz w:val="28"/>
              <w:szCs w:val="28"/>
              <w:lang w:val="en-US" w:eastAsia="zh-CN"/>
            </w:rPr>
            <w:t>9</w:t>
          </w:r>
          <w:r>
            <w:rPr>
              <w:rFonts w:hint="eastAsia"/>
              <w:b/>
              <w:bCs/>
              <w:sz w:val="28"/>
              <w:szCs w:val="28"/>
              <w:lang w:val="en-US"/>
            </w:rPr>
            <w:fldChar w:fldCharType="end"/>
          </w:r>
          <w:r>
            <w:rPr>
              <w:rFonts w:hint="eastAsia"/>
              <w:b/>
              <w:bCs/>
              <w:sz w:val="28"/>
              <w:szCs w:val="28"/>
              <w:lang w:val="en-US" w:eastAsia="zh-CN"/>
            </w:rPr>
            <w:t>0</w:t>
          </w:r>
        </w:p>
        <w:p w14:paraId="16445F93">
          <w:pPr>
            <w:pStyle w:val="21"/>
            <w:tabs>
              <w:tab w:val="right" w:leader="dot" w:pos="9580"/>
            </w:tabs>
            <w:spacing w:line="360" w:lineRule="auto"/>
            <w:rPr>
              <w:rFonts w:hint="eastAsia" w:eastAsia="宋体"/>
              <w:b/>
              <w:bCs/>
              <w:sz w:val="28"/>
              <w:szCs w:val="28"/>
              <w:lang w:val="en-US" w:eastAsia="zh-CN"/>
            </w:rPr>
          </w:pPr>
          <w:r>
            <w:fldChar w:fldCharType="begin"/>
          </w:r>
          <w:r>
            <w:instrText xml:space="preserve"> HYPERLINK \l "_Toc19992" </w:instrText>
          </w:r>
          <w:r>
            <w:fldChar w:fldCharType="separate"/>
          </w:r>
          <w:r>
            <w:rPr>
              <w:rFonts w:hint="eastAsia"/>
              <w:b/>
              <w:bCs/>
              <w:sz w:val="28"/>
              <w:szCs w:val="28"/>
              <w:lang w:val="en-US"/>
            </w:rPr>
            <w:t>附件</w:t>
          </w:r>
          <w:r>
            <w:rPr>
              <w:rFonts w:hint="eastAsia"/>
              <w:b/>
              <w:bCs/>
              <w:sz w:val="28"/>
              <w:szCs w:val="28"/>
              <w:lang w:val="en-US" w:eastAsia="zh-CN"/>
            </w:rPr>
            <w:t>3</w:t>
          </w:r>
          <w:r>
            <w:rPr>
              <w:rFonts w:hint="eastAsia"/>
              <w:b/>
              <w:bCs/>
              <w:sz w:val="28"/>
              <w:szCs w:val="28"/>
              <w:lang w:val="en-US"/>
            </w:rPr>
            <w:t xml:space="preserve"> 残疾人福利性单位声明函</w:t>
          </w:r>
          <w:r>
            <w:rPr>
              <w:rFonts w:hint="eastAsia"/>
              <w:b/>
              <w:bCs/>
              <w:sz w:val="28"/>
              <w:szCs w:val="28"/>
              <w:lang w:val="en-US"/>
            </w:rPr>
            <w:tab/>
          </w:r>
          <w:r>
            <w:rPr>
              <w:rFonts w:hint="eastAsia"/>
              <w:b/>
              <w:bCs/>
              <w:sz w:val="28"/>
              <w:szCs w:val="28"/>
              <w:lang w:val="en-US" w:eastAsia="zh-CN"/>
            </w:rPr>
            <w:t>9</w:t>
          </w:r>
          <w:r>
            <w:rPr>
              <w:rFonts w:hint="eastAsia"/>
              <w:b/>
              <w:bCs/>
              <w:sz w:val="28"/>
              <w:szCs w:val="28"/>
              <w:lang w:val="en-US"/>
            </w:rPr>
            <w:fldChar w:fldCharType="end"/>
          </w:r>
          <w:r>
            <w:rPr>
              <w:rFonts w:hint="eastAsia"/>
              <w:b/>
              <w:bCs/>
              <w:sz w:val="28"/>
              <w:szCs w:val="28"/>
              <w:lang w:val="en-US" w:eastAsia="zh-CN"/>
            </w:rPr>
            <w:t>1</w:t>
          </w:r>
        </w:p>
        <w:p w14:paraId="31FDDF22">
          <w:pPr>
            <w:pStyle w:val="21"/>
            <w:tabs>
              <w:tab w:val="right" w:leader="dot" w:pos="9580"/>
            </w:tabs>
            <w:spacing w:line="360" w:lineRule="auto"/>
            <w:rPr>
              <w:rFonts w:hint="eastAsia" w:eastAsia="宋体"/>
              <w:b/>
              <w:bCs/>
              <w:sz w:val="28"/>
              <w:szCs w:val="28"/>
              <w:lang w:val="en-US" w:eastAsia="zh-CN"/>
            </w:rPr>
          </w:pPr>
          <w:r>
            <w:fldChar w:fldCharType="begin"/>
          </w:r>
          <w:r>
            <w:instrText xml:space="preserve"> HYPERLINK \l "_Toc1208" </w:instrText>
          </w:r>
          <w:r>
            <w:fldChar w:fldCharType="separate"/>
          </w:r>
          <w:r>
            <w:rPr>
              <w:rFonts w:hint="eastAsia"/>
              <w:b/>
              <w:bCs/>
              <w:sz w:val="28"/>
              <w:szCs w:val="28"/>
              <w:lang w:val="en-US"/>
            </w:rPr>
            <w:t>附件</w:t>
          </w:r>
          <w:r>
            <w:rPr>
              <w:rFonts w:hint="eastAsia"/>
              <w:b/>
              <w:bCs/>
              <w:sz w:val="28"/>
              <w:szCs w:val="28"/>
              <w:lang w:val="en-US" w:eastAsia="zh-CN"/>
            </w:rPr>
            <w:t>4</w:t>
          </w:r>
          <w:r>
            <w:rPr>
              <w:rFonts w:hint="eastAsia"/>
              <w:b/>
              <w:bCs/>
              <w:sz w:val="28"/>
              <w:szCs w:val="28"/>
              <w:lang w:val="en-US"/>
            </w:rPr>
            <w:t xml:space="preserve"> 关于监狱企业证明</w:t>
          </w:r>
          <w:r>
            <w:rPr>
              <w:rFonts w:hint="eastAsia"/>
              <w:b/>
              <w:bCs/>
              <w:sz w:val="28"/>
              <w:szCs w:val="28"/>
              <w:lang w:val="en-US"/>
            </w:rPr>
            <w:tab/>
          </w:r>
          <w:r>
            <w:rPr>
              <w:rFonts w:hint="eastAsia"/>
              <w:b/>
              <w:bCs/>
              <w:sz w:val="28"/>
              <w:szCs w:val="28"/>
              <w:lang w:val="en-US" w:eastAsia="zh-CN"/>
            </w:rPr>
            <w:t>9</w:t>
          </w:r>
          <w:r>
            <w:rPr>
              <w:rFonts w:hint="eastAsia"/>
              <w:b/>
              <w:bCs/>
              <w:sz w:val="28"/>
              <w:szCs w:val="28"/>
              <w:lang w:val="en-US"/>
            </w:rPr>
            <w:fldChar w:fldCharType="end"/>
          </w:r>
          <w:r>
            <w:rPr>
              <w:rFonts w:hint="eastAsia"/>
              <w:b/>
              <w:bCs/>
              <w:sz w:val="28"/>
              <w:szCs w:val="28"/>
              <w:lang w:val="en-US" w:eastAsia="zh-CN"/>
            </w:rPr>
            <w:t>2</w:t>
          </w:r>
        </w:p>
        <w:p w14:paraId="695A1BD9">
          <w:pPr>
            <w:pStyle w:val="21"/>
            <w:tabs>
              <w:tab w:val="right" w:leader="dot" w:pos="9580"/>
            </w:tabs>
            <w:spacing w:line="360" w:lineRule="auto"/>
            <w:rPr>
              <w:rFonts w:hint="eastAsia" w:eastAsia="宋体"/>
              <w:b/>
              <w:bCs/>
              <w:sz w:val="28"/>
              <w:szCs w:val="28"/>
              <w:lang w:val="en-US" w:eastAsia="zh-CN"/>
            </w:rPr>
          </w:pPr>
          <w:r>
            <w:fldChar w:fldCharType="begin"/>
          </w:r>
          <w:r>
            <w:instrText xml:space="preserve"> HYPERLINK \l "_Toc31984" </w:instrText>
          </w:r>
          <w:r>
            <w:fldChar w:fldCharType="separate"/>
          </w:r>
          <w:r>
            <w:rPr>
              <w:rFonts w:hint="eastAsia"/>
              <w:b/>
              <w:bCs/>
              <w:sz w:val="28"/>
              <w:szCs w:val="28"/>
              <w:lang w:val="en-US"/>
            </w:rPr>
            <w:t>附件</w:t>
          </w:r>
          <w:r>
            <w:rPr>
              <w:rFonts w:hint="eastAsia"/>
              <w:b/>
              <w:bCs/>
              <w:sz w:val="28"/>
              <w:szCs w:val="28"/>
              <w:lang w:val="en-US" w:eastAsia="zh-CN"/>
            </w:rPr>
            <w:t>5</w:t>
          </w:r>
          <w:r>
            <w:rPr>
              <w:rFonts w:hint="eastAsia"/>
              <w:b/>
              <w:bCs/>
              <w:sz w:val="28"/>
              <w:szCs w:val="28"/>
              <w:lang w:val="en-US"/>
            </w:rPr>
            <w:t xml:space="preserve"> 河南省政府采购合同融资政策告知函</w:t>
          </w:r>
          <w:r>
            <w:rPr>
              <w:rFonts w:hint="eastAsia"/>
              <w:b/>
              <w:bCs/>
              <w:sz w:val="28"/>
              <w:szCs w:val="28"/>
              <w:lang w:val="en-US"/>
            </w:rPr>
            <w:tab/>
          </w:r>
          <w:r>
            <w:rPr>
              <w:rFonts w:hint="eastAsia"/>
              <w:b/>
              <w:bCs/>
              <w:sz w:val="28"/>
              <w:szCs w:val="28"/>
              <w:lang w:val="en-US" w:eastAsia="zh-CN"/>
            </w:rPr>
            <w:t>9</w:t>
          </w:r>
          <w:r>
            <w:rPr>
              <w:rFonts w:hint="eastAsia"/>
              <w:b/>
              <w:bCs/>
              <w:sz w:val="28"/>
              <w:szCs w:val="28"/>
              <w:lang w:val="en-US"/>
            </w:rPr>
            <w:fldChar w:fldCharType="end"/>
          </w:r>
          <w:r>
            <w:rPr>
              <w:rFonts w:hint="eastAsia"/>
              <w:b/>
              <w:bCs/>
              <w:sz w:val="28"/>
              <w:szCs w:val="28"/>
              <w:lang w:val="en-US" w:eastAsia="zh-CN"/>
            </w:rPr>
            <w:t>3</w:t>
          </w:r>
        </w:p>
        <w:p w14:paraId="110C58BD">
          <w:pPr>
            <w:pStyle w:val="21"/>
            <w:tabs>
              <w:tab w:val="right" w:leader="dot" w:pos="9580"/>
            </w:tabs>
            <w:spacing w:line="360" w:lineRule="auto"/>
            <w:rPr>
              <w:rFonts w:hint="eastAsia" w:eastAsia="宋体"/>
              <w:sz w:val="28"/>
              <w:szCs w:val="28"/>
              <w:lang w:val="en-US" w:eastAsia="zh-CN"/>
            </w:rPr>
          </w:pPr>
        </w:p>
        <w:p w14:paraId="478F7EFC">
          <w:pPr>
            <w:pStyle w:val="21"/>
            <w:tabs>
              <w:tab w:val="right" w:leader="dot" w:pos="9580"/>
            </w:tabs>
            <w:spacing w:line="360" w:lineRule="auto"/>
            <w:rPr>
              <w:sz w:val="28"/>
              <w:szCs w:val="28"/>
              <w:lang w:val="en-US"/>
            </w:rPr>
          </w:pPr>
          <w:r>
            <w:rPr>
              <w:rFonts w:hint="eastAsia"/>
              <w:sz w:val="28"/>
              <w:szCs w:val="28"/>
              <w:lang w:val="en-US"/>
            </w:rPr>
            <w:fldChar w:fldCharType="end"/>
          </w:r>
        </w:p>
      </w:sdtContent>
    </w:sdt>
    <w:p w14:paraId="78E7018E">
      <w:pPr>
        <w:pStyle w:val="12"/>
        <w:tabs>
          <w:tab w:val="left" w:pos="3217"/>
        </w:tabs>
        <w:rPr>
          <w:rFonts w:ascii="Calibri"/>
          <w:sz w:val="44"/>
        </w:rPr>
      </w:pPr>
      <w:r>
        <w:rPr>
          <w:rFonts w:hint="eastAsia" w:ascii="Calibri"/>
          <w:sz w:val="44"/>
        </w:rPr>
        <w:tab/>
      </w:r>
    </w:p>
    <w:p w14:paraId="342E452E">
      <w:pPr>
        <w:pStyle w:val="12"/>
        <w:tabs>
          <w:tab w:val="left" w:pos="3217"/>
        </w:tabs>
        <w:rPr>
          <w:rFonts w:ascii="Calibri"/>
          <w:sz w:val="44"/>
        </w:rPr>
      </w:pPr>
    </w:p>
    <w:p w14:paraId="4E2310AA">
      <w:pPr>
        <w:pStyle w:val="12"/>
        <w:tabs>
          <w:tab w:val="left" w:pos="3217"/>
        </w:tabs>
        <w:rPr>
          <w:rFonts w:ascii="Calibri"/>
          <w:sz w:val="44"/>
        </w:rPr>
      </w:pPr>
    </w:p>
    <w:p w14:paraId="1DF4CA9D">
      <w:pPr>
        <w:tabs>
          <w:tab w:val="left" w:pos="3803"/>
        </w:tabs>
        <w:jc w:val="both"/>
      </w:pPr>
      <w:bookmarkStart w:id="0" w:name="_TOC_250212"/>
      <w:bookmarkEnd w:id="0"/>
    </w:p>
    <w:p w14:paraId="22403B85">
      <w:pPr>
        <w:tabs>
          <w:tab w:val="left" w:pos="3701"/>
        </w:tabs>
        <w:sectPr>
          <w:footerReference r:id="rId7" w:type="default"/>
          <w:pgSz w:w="12240" w:h="15840"/>
          <w:pgMar w:top="1440" w:right="1080" w:bottom="1440" w:left="1080" w:header="0" w:footer="844" w:gutter="0"/>
          <w:pgNumType w:fmt="decimal"/>
          <w:cols w:space="720" w:num="1"/>
        </w:sectPr>
      </w:pPr>
    </w:p>
    <w:p w14:paraId="3FC6E497">
      <w:pPr>
        <w:pStyle w:val="2"/>
        <w:ind w:firstLine="3092" w:firstLineChars="700"/>
        <w:jc w:val="both"/>
      </w:pPr>
      <w:bookmarkStart w:id="1" w:name="_TOC_250211"/>
      <w:bookmarkEnd w:id="1"/>
      <w:bookmarkStart w:id="2" w:name="_Toc6528"/>
      <w:bookmarkStart w:id="3" w:name="_Toc5918"/>
      <w:r>
        <w:rPr>
          <w:rFonts w:hint="eastAsia"/>
        </w:rPr>
        <w:t xml:space="preserve">第一章 </w:t>
      </w:r>
      <w:r>
        <w:rPr>
          <w:rFonts w:hint="eastAsia"/>
          <w:lang w:val="en-US"/>
        </w:rPr>
        <w:t>磋商</w:t>
      </w:r>
      <w:r>
        <w:rPr>
          <w:rFonts w:hint="eastAsia"/>
        </w:rPr>
        <w:t>公告</w:t>
      </w:r>
      <w:bookmarkEnd w:id="2"/>
      <w:bookmarkEnd w:id="3"/>
    </w:p>
    <w:p w14:paraId="2A0E5128">
      <w:pPr>
        <w:tabs>
          <w:tab w:val="left" w:pos="4410"/>
        </w:tabs>
        <w:ind w:firstLine="660" w:firstLineChars="300"/>
        <w:jc w:val="center"/>
        <w:rPr>
          <w:szCs w:val="21"/>
        </w:rPr>
      </w:pPr>
    </w:p>
    <w:p w14:paraId="1656CDDD">
      <w:pPr>
        <w:pStyle w:val="12"/>
        <w:spacing w:line="360" w:lineRule="auto"/>
        <w:ind w:left="0" w:leftChars="0" w:firstLine="0" w:firstLineChars="0"/>
        <w:jc w:val="center"/>
        <w:rPr>
          <w:rFonts w:hint="eastAsia" w:ascii="宋体" w:hAnsi="宋体" w:eastAsia="宋体" w:cs="宋体"/>
          <w:b/>
          <w:bCs/>
          <w:sz w:val="32"/>
          <w:szCs w:val="32"/>
          <w:lang w:val="en-US" w:eastAsia="zh-CN" w:bidi="zh-CN"/>
        </w:rPr>
      </w:pPr>
      <w:r>
        <w:rPr>
          <w:rFonts w:hint="eastAsia" w:ascii="宋体" w:hAnsi="宋体" w:eastAsia="宋体" w:cs="宋体"/>
          <w:b/>
          <w:bCs/>
          <w:sz w:val="32"/>
          <w:szCs w:val="32"/>
          <w:lang w:val="en-US" w:eastAsia="zh-CN" w:bidi="zh-CN"/>
        </w:rPr>
        <w:t>商城县2026年鲇鱼山街道办事处</w:t>
      </w:r>
      <w:bookmarkStart w:id="848" w:name="_GoBack"/>
      <w:bookmarkEnd w:id="848"/>
      <w:r>
        <w:rPr>
          <w:rFonts w:hint="eastAsia" w:ascii="宋体" w:hAnsi="宋体" w:eastAsia="宋体" w:cs="宋体"/>
          <w:b/>
          <w:bCs/>
          <w:sz w:val="32"/>
          <w:szCs w:val="32"/>
          <w:lang w:val="en-US" w:eastAsia="zh-CN" w:bidi="zh-CN"/>
        </w:rPr>
        <w:t>财政常态化帮扶资金项目计划</w:t>
      </w:r>
    </w:p>
    <w:p w14:paraId="271BECD9">
      <w:pPr>
        <w:pStyle w:val="12"/>
        <w:spacing w:line="360" w:lineRule="auto"/>
        <w:ind w:left="0" w:leftChars="0" w:firstLine="0" w:firstLineChars="0"/>
        <w:jc w:val="center"/>
        <w:rPr>
          <w:b/>
          <w:bCs/>
          <w:sz w:val="32"/>
          <w:szCs w:val="32"/>
        </w:rPr>
      </w:pPr>
      <w:r>
        <w:rPr>
          <w:rFonts w:hint="eastAsia" w:ascii="宋体" w:hAnsi="宋体" w:eastAsia="宋体" w:cs="宋体"/>
          <w:b/>
          <w:bCs/>
          <w:sz w:val="32"/>
          <w:szCs w:val="32"/>
          <w:lang w:val="en-US" w:eastAsia="zh-CN" w:bidi="zh-CN"/>
        </w:rPr>
        <w:t>（第四批）基础设施项目</w:t>
      </w:r>
      <w:r>
        <w:rPr>
          <w:rFonts w:hint="eastAsia" w:ascii="宋体" w:hAnsi="宋体" w:eastAsia="宋体" w:cs="宋体"/>
          <w:b/>
          <w:bCs/>
          <w:sz w:val="32"/>
          <w:szCs w:val="32"/>
          <w:lang w:val="en-US" w:eastAsia="zh-CN"/>
        </w:rPr>
        <w:t>-</w:t>
      </w:r>
      <w:r>
        <w:rPr>
          <w:rFonts w:hint="eastAsia" w:cs="宋体"/>
          <w:b/>
          <w:bCs/>
          <w:sz w:val="32"/>
          <w:szCs w:val="32"/>
          <w:lang w:val="en-US" w:eastAsia="zh-CN"/>
        </w:rPr>
        <w:t>-竞争性</w:t>
      </w:r>
      <w:r>
        <w:rPr>
          <w:rFonts w:hint="eastAsia"/>
          <w:b/>
          <w:bCs/>
          <w:sz w:val="32"/>
          <w:szCs w:val="32"/>
          <w:lang w:val="en-US"/>
        </w:rPr>
        <w:t>磋商</w:t>
      </w:r>
      <w:r>
        <w:rPr>
          <w:rFonts w:hint="eastAsia"/>
          <w:b/>
          <w:bCs/>
          <w:sz w:val="32"/>
          <w:szCs w:val="32"/>
        </w:rPr>
        <w:t>公告</w:t>
      </w:r>
    </w:p>
    <w:p w14:paraId="30E843B0">
      <w:pPr>
        <w:widowControl/>
        <w:spacing w:line="360" w:lineRule="auto"/>
        <w:rPr>
          <w:b/>
          <w:bCs/>
          <w:color w:val="000000"/>
          <w:sz w:val="32"/>
          <w:szCs w:val="32"/>
        </w:rPr>
      </w:pPr>
      <w:bookmarkStart w:id="4" w:name="_Toc27465"/>
      <w:bookmarkStart w:id="5" w:name="_Toc21092"/>
    </w:p>
    <w:p w14:paraId="45FFD1D6">
      <w:pPr>
        <w:widowControl/>
        <w:spacing w:line="360" w:lineRule="auto"/>
        <w:rPr>
          <w:b/>
          <w:bCs/>
          <w:color w:val="000000"/>
          <w:sz w:val="28"/>
          <w:szCs w:val="28"/>
        </w:rPr>
      </w:pPr>
      <w:r>
        <w:rPr>
          <w:rFonts w:hint="eastAsia"/>
          <w:b/>
          <w:bCs/>
          <w:color w:val="000000"/>
          <w:sz w:val="28"/>
          <w:szCs w:val="28"/>
        </w:rPr>
        <w:t>项目概况</w:t>
      </w:r>
    </w:p>
    <w:p w14:paraId="54339BD6">
      <w:pPr>
        <w:pStyle w:val="12"/>
        <w:spacing w:line="360" w:lineRule="auto"/>
        <w:ind w:left="0" w:leftChars="0" w:firstLine="440" w:firstLineChars="200"/>
        <w:jc w:val="both"/>
        <w:rPr>
          <w:szCs w:val="21"/>
        </w:rPr>
      </w:pPr>
      <w:r>
        <w:rPr>
          <w:rFonts w:hint="eastAsia" w:ascii="宋体" w:hAnsi="宋体" w:eastAsia="宋体" w:cs="宋体"/>
          <w:sz w:val="22"/>
          <w:szCs w:val="21"/>
          <w:lang w:val="en-US" w:eastAsia="zh-CN" w:bidi="zh-CN"/>
        </w:rPr>
        <w:t>商城县2026年鲇鱼山街道办事处财政常态化帮扶资金项目计划（第四批）基础设施项目的潜在供应商应在“信阳市公共资源交易中心商城县分中心（https://ggzyjy.xinyang.gov.cn/shangcheng/）”获取磋商文件，并于 2026 年 8 月 24 日 09  时 30 分（北京时间）前提交响应文件。</w:t>
      </w:r>
    </w:p>
    <w:p w14:paraId="7D983506">
      <w:pPr>
        <w:adjustRightInd w:val="0"/>
        <w:snapToGrid w:val="0"/>
        <w:spacing w:line="360" w:lineRule="auto"/>
        <w:outlineLvl w:val="1"/>
        <w:rPr>
          <w:rFonts w:hint="eastAsia" w:ascii="宋体" w:hAnsi="宋体" w:eastAsia="宋体" w:cs="宋体"/>
          <w:sz w:val="22"/>
          <w:szCs w:val="21"/>
          <w:lang w:val="en-US" w:eastAsia="zh-CN" w:bidi="zh-CN"/>
        </w:rPr>
      </w:pPr>
      <w:bookmarkStart w:id="6" w:name="_TOC_250209"/>
      <w:bookmarkEnd w:id="6"/>
      <w:r>
        <w:rPr>
          <w:rFonts w:hint="eastAsia"/>
          <w:b/>
          <w:bCs/>
          <w:sz w:val="28"/>
          <w:szCs w:val="28"/>
        </w:rPr>
        <w:t>一、项目基本情况</w:t>
      </w:r>
    </w:p>
    <w:p w14:paraId="53600C35">
      <w:pPr>
        <w:widowControl/>
        <w:spacing w:line="360" w:lineRule="auto"/>
        <w:ind w:firstLine="440" w:firstLineChars="200"/>
        <w:rPr>
          <w:rFonts w:hint="eastAsia" w:ascii="宋体" w:hAnsi="宋体" w:eastAsia="宋体" w:cs="宋体"/>
          <w:color w:val="FF0000"/>
          <w:szCs w:val="21"/>
          <w:lang w:val="en-US" w:eastAsia="zh-CN"/>
        </w:rPr>
      </w:pPr>
      <w:r>
        <w:rPr>
          <w:rFonts w:hint="eastAsia"/>
          <w:szCs w:val="21"/>
        </w:rPr>
        <w:t>1、项目编号：</w:t>
      </w:r>
      <w:r>
        <w:rPr>
          <w:rFonts w:hint="eastAsia" w:ascii="宋体" w:hAnsi="宋体" w:eastAsia="宋体" w:cs="宋体"/>
          <w:sz w:val="22"/>
          <w:szCs w:val="21"/>
          <w:lang w:val="en-US" w:eastAsia="zh-CN" w:bidi="zh-CN"/>
        </w:rPr>
        <w:t>商财竞争性磋商-2026-26</w:t>
      </w:r>
    </w:p>
    <w:p w14:paraId="5E6D376C">
      <w:pPr>
        <w:widowControl/>
        <w:spacing w:line="360" w:lineRule="auto"/>
        <w:ind w:firstLine="440" w:firstLineChars="200"/>
        <w:rPr>
          <w:rFonts w:hint="eastAsia"/>
          <w:szCs w:val="21"/>
        </w:rPr>
      </w:pPr>
      <w:r>
        <w:rPr>
          <w:rFonts w:hint="eastAsia"/>
          <w:szCs w:val="21"/>
        </w:rPr>
        <w:t>2、项目名称：</w:t>
      </w:r>
      <w:r>
        <w:rPr>
          <w:rFonts w:hint="eastAsia" w:ascii="宋体" w:hAnsi="宋体" w:eastAsia="宋体" w:cs="宋体"/>
          <w:sz w:val="22"/>
          <w:szCs w:val="21"/>
          <w:lang w:val="en-US" w:eastAsia="zh-CN" w:bidi="zh-CN"/>
        </w:rPr>
        <w:t>商城县2026年鲇鱼山街道办事处财政常态化帮扶资金项目计划（第四批）基础设施项目</w:t>
      </w:r>
    </w:p>
    <w:p w14:paraId="622EF766">
      <w:pPr>
        <w:widowControl/>
        <w:spacing w:line="360" w:lineRule="auto"/>
        <w:ind w:firstLine="440" w:firstLineChars="200"/>
        <w:rPr>
          <w:rFonts w:hint="default" w:eastAsia="宋体"/>
          <w:szCs w:val="21"/>
          <w:lang w:val="en-US" w:eastAsia="zh-CN"/>
        </w:rPr>
      </w:pPr>
      <w:r>
        <w:rPr>
          <w:rFonts w:hint="eastAsia"/>
          <w:szCs w:val="21"/>
        </w:rPr>
        <w:t>3、采购方式：</w:t>
      </w:r>
      <w:r>
        <w:rPr>
          <w:rFonts w:hint="eastAsia"/>
          <w:szCs w:val="21"/>
          <w:lang w:val="en-US" w:eastAsia="zh-CN"/>
        </w:rPr>
        <w:t>竞争性磋商</w:t>
      </w:r>
    </w:p>
    <w:p w14:paraId="5A885693">
      <w:pPr>
        <w:widowControl/>
        <w:spacing w:line="360" w:lineRule="auto"/>
        <w:ind w:firstLine="440" w:firstLineChars="200"/>
        <w:rPr>
          <w:rFonts w:hint="eastAsia" w:ascii="宋体" w:hAnsi="宋体" w:eastAsia="宋体" w:cs="宋体"/>
          <w:szCs w:val="21"/>
          <w:lang w:val="en-US" w:eastAsia="zh-CN"/>
        </w:rPr>
      </w:pPr>
      <w:r>
        <w:rPr>
          <w:rFonts w:hint="eastAsia"/>
          <w:szCs w:val="21"/>
        </w:rPr>
        <w:t>4、</w:t>
      </w:r>
      <w:r>
        <w:rPr>
          <w:rFonts w:hint="eastAsia"/>
          <w:color w:val="auto"/>
          <w:szCs w:val="21"/>
        </w:rPr>
        <w:t>预算金额：</w:t>
      </w:r>
      <w:r>
        <w:rPr>
          <w:rFonts w:hint="eastAsia" w:ascii="宋体" w:hAnsi="宋体" w:eastAsia="宋体" w:cs="宋体"/>
          <w:szCs w:val="21"/>
          <w:lang w:val="en-US" w:eastAsia="zh-CN"/>
        </w:rPr>
        <w:t>1048875.01元</w:t>
      </w:r>
    </w:p>
    <w:p w14:paraId="12328063">
      <w:pPr>
        <w:widowControl/>
        <w:spacing w:line="360" w:lineRule="auto"/>
        <w:ind w:firstLine="44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最高限价：1048875.01元</w:t>
      </w:r>
    </w:p>
    <w:tbl>
      <w:tblPr>
        <w:tblStyle w:val="27"/>
        <w:tblpPr w:leftFromText="180" w:rightFromText="180" w:vertAnchor="text" w:horzAnchor="page" w:tblpX="1526" w:tblpY="217"/>
        <w:tblOverlap w:val="never"/>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701"/>
        <w:gridCol w:w="2268"/>
        <w:gridCol w:w="1418"/>
        <w:gridCol w:w="1417"/>
        <w:gridCol w:w="1134"/>
        <w:gridCol w:w="1418"/>
      </w:tblGrid>
      <w:tr w14:paraId="34CFF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675" w:type="dxa"/>
            <w:vAlign w:val="center"/>
          </w:tcPr>
          <w:p w14:paraId="5DC87D18">
            <w:pPr>
              <w:widowControl/>
              <w:spacing w:line="360" w:lineRule="auto"/>
              <w:jc w:val="center"/>
              <w:rPr>
                <w:szCs w:val="21"/>
              </w:rPr>
            </w:pPr>
            <w:r>
              <w:rPr>
                <w:rFonts w:hint="eastAsia"/>
                <w:szCs w:val="21"/>
              </w:rPr>
              <w:t>序号</w:t>
            </w:r>
          </w:p>
        </w:tc>
        <w:tc>
          <w:tcPr>
            <w:tcW w:w="1701" w:type="dxa"/>
            <w:vAlign w:val="center"/>
          </w:tcPr>
          <w:p w14:paraId="35A45F0C">
            <w:pPr>
              <w:widowControl/>
              <w:spacing w:line="360" w:lineRule="auto"/>
              <w:jc w:val="center"/>
              <w:rPr>
                <w:szCs w:val="21"/>
              </w:rPr>
            </w:pPr>
            <w:r>
              <w:rPr>
                <w:rFonts w:hint="eastAsia"/>
                <w:szCs w:val="21"/>
              </w:rPr>
              <w:t>包号</w:t>
            </w:r>
          </w:p>
        </w:tc>
        <w:tc>
          <w:tcPr>
            <w:tcW w:w="2268" w:type="dxa"/>
            <w:vAlign w:val="center"/>
          </w:tcPr>
          <w:p w14:paraId="3D937516">
            <w:pPr>
              <w:widowControl/>
              <w:spacing w:line="360" w:lineRule="auto"/>
              <w:ind w:firstLine="660" w:firstLineChars="300"/>
              <w:jc w:val="both"/>
              <w:rPr>
                <w:szCs w:val="21"/>
              </w:rPr>
            </w:pPr>
            <w:r>
              <w:rPr>
                <w:rFonts w:hint="eastAsia"/>
                <w:szCs w:val="21"/>
              </w:rPr>
              <w:t>包名称</w:t>
            </w:r>
          </w:p>
        </w:tc>
        <w:tc>
          <w:tcPr>
            <w:tcW w:w="1418" w:type="dxa"/>
            <w:vAlign w:val="center"/>
          </w:tcPr>
          <w:p w14:paraId="18A11A4E">
            <w:pPr>
              <w:widowControl/>
              <w:spacing w:line="360" w:lineRule="auto"/>
              <w:jc w:val="center"/>
              <w:rPr>
                <w:szCs w:val="21"/>
              </w:rPr>
            </w:pPr>
            <w:r>
              <w:rPr>
                <w:rFonts w:hint="eastAsia"/>
                <w:szCs w:val="21"/>
              </w:rPr>
              <w:t>包预算（元）</w:t>
            </w:r>
          </w:p>
        </w:tc>
        <w:tc>
          <w:tcPr>
            <w:tcW w:w="1417" w:type="dxa"/>
            <w:vAlign w:val="center"/>
          </w:tcPr>
          <w:p w14:paraId="2991E7FA">
            <w:pPr>
              <w:widowControl/>
              <w:spacing w:line="360" w:lineRule="auto"/>
              <w:jc w:val="center"/>
              <w:rPr>
                <w:szCs w:val="21"/>
              </w:rPr>
            </w:pPr>
            <w:r>
              <w:rPr>
                <w:rFonts w:hint="eastAsia"/>
                <w:szCs w:val="21"/>
              </w:rPr>
              <w:t>包最高限价（元）</w:t>
            </w:r>
          </w:p>
        </w:tc>
        <w:tc>
          <w:tcPr>
            <w:tcW w:w="1134" w:type="dxa"/>
            <w:vAlign w:val="center"/>
          </w:tcPr>
          <w:p w14:paraId="09B2D548">
            <w:pPr>
              <w:widowControl/>
              <w:spacing w:line="360" w:lineRule="auto"/>
              <w:jc w:val="center"/>
              <w:rPr>
                <w:szCs w:val="21"/>
              </w:rPr>
            </w:pPr>
            <w:r>
              <w:rPr>
                <w:rFonts w:hint="eastAsia"/>
                <w:szCs w:val="21"/>
              </w:rPr>
              <w:t>是否专门面向中小企业</w:t>
            </w:r>
          </w:p>
        </w:tc>
        <w:tc>
          <w:tcPr>
            <w:tcW w:w="1418" w:type="dxa"/>
            <w:vAlign w:val="center"/>
          </w:tcPr>
          <w:p w14:paraId="4F2A38A9">
            <w:pPr>
              <w:widowControl/>
              <w:spacing w:line="360" w:lineRule="auto"/>
              <w:jc w:val="center"/>
            </w:pPr>
            <w:r>
              <w:rPr>
                <w:rFonts w:hint="eastAsia"/>
              </w:rPr>
              <w:t>采购预留金额（元）</w:t>
            </w:r>
          </w:p>
        </w:tc>
      </w:tr>
      <w:tr w14:paraId="4C422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75" w:type="dxa"/>
            <w:vAlign w:val="center"/>
          </w:tcPr>
          <w:p w14:paraId="473A1FF6">
            <w:pPr>
              <w:widowControl/>
              <w:spacing w:line="360" w:lineRule="auto"/>
              <w:ind w:firstLine="220" w:firstLineChars="100"/>
              <w:rPr>
                <w:szCs w:val="21"/>
              </w:rPr>
            </w:pPr>
            <w:r>
              <w:rPr>
                <w:rFonts w:hint="eastAsia"/>
                <w:szCs w:val="21"/>
              </w:rPr>
              <w:t>1</w:t>
            </w:r>
          </w:p>
        </w:tc>
        <w:tc>
          <w:tcPr>
            <w:tcW w:w="1701" w:type="dxa"/>
            <w:vAlign w:val="center"/>
          </w:tcPr>
          <w:p w14:paraId="35319DD8">
            <w:pPr>
              <w:widowControl/>
              <w:spacing w:line="360" w:lineRule="auto"/>
              <w:rPr>
                <w:rFonts w:hint="default" w:eastAsia="宋体"/>
                <w:szCs w:val="21"/>
                <w:lang w:val="en-US" w:eastAsia="zh-CN"/>
              </w:rPr>
            </w:pPr>
            <w:r>
              <w:rPr>
                <w:rFonts w:hint="eastAsia" w:ascii="宋体" w:hAnsi="宋体" w:eastAsia="宋体" w:cs="宋体"/>
                <w:szCs w:val="21"/>
                <w:lang w:val="en-US"/>
              </w:rPr>
              <w:t>商财</w:t>
            </w:r>
            <w:r>
              <w:rPr>
                <w:rFonts w:hint="eastAsia" w:ascii="宋体" w:hAnsi="宋体" w:eastAsia="宋体" w:cs="宋体"/>
                <w:szCs w:val="21"/>
                <w:lang w:val="en-US" w:eastAsia="zh-CN"/>
              </w:rPr>
              <w:t>竞争性磋商</w:t>
            </w:r>
            <w:r>
              <w:rPr>
                <w:rFonts w:hint="eastAsia" w:ascii="宋体" w:hAnsi="宋体" w:eastAsia="宋体" w:cs="宋体"/>
                <w:sz w:val="22"/>
                <w:szCs w:val="21"/>
                <w:lang w:val="en-US" w:eastAsia="zh-CN" w:bidi="zh-CN"/>
              </w:rPr>
              <w:t>-2026-26</w:t>
            </w:r>
          </w:p>
        </w:tc>
        <w:tc>
          <w:tcPr>
            <w:tcW w:w="2268" w:type="dxa"/>
            <w:vAlign w:val="center"/>
          </w:tcPr>
          <w:p w14:paraId="30F735F4">
            <w:pPr>
              <w:widowControl/>
              <w:spacing w:line="360" w:lineRule="auto"/>
            </w:pPr>
            <w:r>
              <w:rPr>
                <w:rFonts w:hint="eastAsia" w:ascii="宋体" w:hAnsi="宋体" w:eastAsia="宋体" w:cs="宋体"/>
                <w:sz w:val="22"/>
                <w:szCs w:val="21"/>
                <w:lang w:val="en-US" w:eastAsia="zh-CN" w:bidi="zh-CN"/>
              </w:rPr>
              <w:t>商城县2026年鲇鱼山街道办事处财政常态化帮扶资金项目计划（第四批）基础设施项目</w:t>
            </w:r>
          </w:p>
        </w:tc>
        <w:tc>
          <w:tcPr>
            <w:tcW w:w="1418" w:type="dxa"/>
            <w:vAlign w:val="center"/>
          </w:tcPr>
          <w:p w14:paraId="37DFB040">
            <w:pPr>
              <w:widowControl/>
              <w:spacing w:line="360" w:lineRule="auto"/>
              <w:jc w:val="center"/>
              <w:rPr>
                <w:rFonts w:hint="default" w:eastAsia="宋体"/>
                <w:szCs w:val="21"/>
                <w:lang w:val="en-US" w:eastAsia="zh-CN"/>
              </w:rPr>
            </w:pPr>
            <w:r>
              <w:rPr>
                <w:rFonts w:hint="eastAsia" w:ascii="宋体" w:hAnsi="宋体" w:eastAsia="宋体" w:cs="宋体"/>
                <w:szCs w:val="21"/>
                <w:lang w:val="en-US" w:eastAsia="zh-CN"/>
              </w:rPr>
              <w:t>1048875.01</w:t>
            </w:r>
          </w:p>
        </w:tc>
        <w:tc>
          <w:tcPr>
            <w:tcW w:w="1417" w:type="dxa"/>
            <w:vAlign w:val="center"/>
          </w:tcPr>
          <w:p w14:paraId="7BD8F4EA">
            <w:pPr>
              <w:widowControl/>
              <w:spacing w:line="360" w:lineRule="auto"/>
              <w:jc w:val="center"/>
              <w:rPr>
                <w:rFonts w:hint="default" w:eastAsia="宋体"/>
                <w:szCs w:val="21"/>
                <w:lang w:val="en-US" w:eastAsia="zh-CN"/>
              </w:rPr>
            </w:pPr>
            <w:r>
              <w:rPr>
                <w:rFonts w:hint="eastAsia" w:ascii="宋体" w:hAnsi="宋体" w:eastAsia="宋体" w:cs="宋体"/>
                <w:szCs w:val="21"/>
                <w:lang w:val="en-US" w:eastAsia="zh-CN"/>
              </w:rPr>
              <w:t>1048875.01</w:t>
            </w:r>
          </w:p>
        </w:tc>
        <w:tc>
          <w:tcPr>
            <w:tcW w:w="1134" w:type="dxa"/>
            <w:vAlign w:val="center"/>
          </w:tcPr>
          <w:p w14:paraId="5C07AED2">
            <w:pPr>
              <w:widowControl/>
              <w:spacing w:line="360" w:lineRule="auto"/>
              <w:jc w:val="center"/>
              <w:rPr>
                <w:rFonts w:hint="eastAsia" w:eastAsia="宋体"/>
                <w:szCs w:val="21"/>
                <w:lang w:val="en-US" w:eastAsia="zh-CN"/>
              </w:rPr>
            </w:pPr>
            <w:r>
              <w:rPr>
                <w:rFonts w:hint="eastAsia"/>
                <w:szCs w:val="21"/>
                <w:lang w:val="en-US" w:eastAsia="zh-CN"/>
              </w:rPr>
              <w:t>是</w:t>
            </w:r>
          </w:p>
        </w:tc>
        <w:tc>
          <w:tcPr>
            <w:tcW w:w="1418" w:type="dxa"/>
            <w:vAlign w:val="center"/>
          </w:tcPr>
          <w:p w14:paraId="79209EE9">
            <w:pPr>
              <w:widowControl/>
              <w:spacing w:line="360" w:lineRule="auto"/>
              <w:jc w:val="center"/>
              <w:rPr>
                <w:rFonts w:hint="default" w:eastAsia="宋体"/>
                <w:szCs w:val="21"/>
                <w:lang w:val="en-US" w:eastAsia="zh-CN"/>
              </w:rPr>
            </w:pPr>
            <w:r>
              <w:rPr>
                <w:rFonts w:hint="eastAsia" w:ascii="宋体" w:hAnsi="宋体" w:eastAsia="宋体" w:cs="宋体"/>
                <w:szCs w:val="21"/>
                <w:lang w:val="en-US" w:eastAsia="zh-CN"/>
              </w:rPr>
              <w:t>1048875.01</w:t>
            </w:r>
          </w:p>
        </w:tc>
      </w:tr>
    </w:tbl>
    <w:p w14:paraId="78BBAD9E">
      <w:pPr>
        <w:widowControl/>
        <w:spacing w:before="120" w:beforeLines="50" w:line="360" w:lineRule="auto"/>
        <w:ind w:firstLine="440" w:firstLineChars="200"/>
        <w:rPr>
          <w:color w:val="000000"/>
          <w:szCs w:val="21"/>
        </w:rPr>
      </w:pPr>
      <w:r>
        <w:rPr>
          <w:rFonts w:hint="eastAsia"/>
          <w:color w:val="000000"/>
          <w:szCs w:val="21"/>
        </w:rPr>
        <w:t>5、采购需求</w:t>
      </w:r>
      <w:r>
        <w:rPr>
          <w:rFonts w:hint="eastAsia" w:ascii="宋体" w:hAnsi="宋体" w:eastAsia="宋体" w:cs="宋体"/>
          <w:sz w:val="22"/>
          <w:szCs w:val="21"/>
          <w:lang w:val="en-US" w:eastAsia="zh-CN" w:bidi="zh-CN"/>
        </w:rPr>
        <w:t>（包括但不限于标的的名称、数量、简要技术需求或服务要求等）：</w:t>
      </w:r>
    </w:p>
    <w:p w14:paraId="3D2A12D7">
      <w:pPr>
        <w:widowControl/>
        <w:spacing w:line="360" w:lineRule="auto"/>
        <w:ind w:firstLine="660" w:firstLineChars="300"/>
        <w:rPr>
          <w:szCs w:val="21"/>
          <w:lang w:val="en-US"/>
        </w:rPr>
      </w:pPr>
      <w:r>
        <w:rPr>
          <w:rFonts w:hint="eastAsia"/>
          <w:color w:val="000000"/>
          <w:szCs w:val="21"/>
        </w:rPr>
        <w:t>5.1.</w:t>
      </w:r>
      <w:r>
        <w:rPr>
          <w:rFonts w:hint="eastAsia"/>
          <w:color w:val="000000"/>
          <w:szCs w:val="21"/>
          <w:lang w:val="en-US"/>
        </w:rPr>
        <w:t>采购</w:t>
      </w:r>
      <w:r>
        <w:rPr>
          <w:rFonts w:hint="eastAsia"/>
          <w:color w:val="000000"/>
          <w:szCs w:val="21"/>
        </w:rPr>
        <w:t>内容：</w:t>
      </w:r>
      <w:r>
        <w:rPr>
          <w:rFonts w:hint="eastAsia" w:ascii="宋体" w:hAnsi="宋体" w:eastAsia="宋体" w:cs="宋体"/>
          <w:sz w:val="22"/>
          <w:szCs w:val="21"/>
          <w:lang w:val="en-US" w:eastAsia="zh-CN" w:bidi="zh-CN"/>
        </w:rPr>
        <w:t>商城县2026年鲇鱼山街道办事处财政常态化帮扶资金项目计划（第四批）基础设施项目，主要包括新建3.5m宽18cm厚混凝土村组道路3.22km等，</w:t>
      </w:r>
      <w:r>
        <w:rPr>
          <w:rFonts w:hint="eastAsia"/>
          <w:color w:val="000000"/>
          <w:szCs w:val="21"/>
          <w:lang w:val="en-US"/>
        </w:rPr>
        <w:t xml:space="preserve">具体详见施工图纸及工程量清单。                    </w:t>
      </w:r>
    </w:p>
    <w:p w14:paraId="591AF939">
      <w:pPr>
        <w:widowControl/>
        <w:spacing w:line="360" w:lineRule="auto"/>
        <w:ind w:firstLine="660" w:firstLineChars="300"/>
        <w:rPr>
          <w:rFonts w:hint="default"/>
          <w:color w:val="000000"/>
          <w:szCs w:val="21"/>
          <w:lang w:val="en-US" w:eastAsia="zh-CN"/>
        </w:rPr>
      </w:pPr>
      <w:r>
        <w:rPr>
          <w:rFonts w:hint="eastAsia"/>
          <w:color w:val="000000"/>
          <w:szCs w:val="21"/>
        </w:rPr>
        <w:t>5.2.资金来源：</w:t>
      </w:r>
      <w:r>
        <w:rPr>
          <w:rFonts w:hint="eastAsia"/>
          <w:color w:val="000000" w:themeColor="text1"/>
          <w:szCs w:val="21"/>
          <w14:textFill>
            <w14:solidFill>
              <w14:schemeClr w14:val="tx1"/>
            </w14:solidFill>
          </w14:textFill>
        </w:rPr>
        <w:t>财政资金</w:t>
      </w:r>
      <w:r>
        <w:rPr>
          <w:rFonts w:hint="eastAsia"/>
          <w:color w:val="000000" w:themeColor="text1"/>
          <w:szCs w:val="21"/>
          <w:lang w:eastAsia="zh-CN"/>
          <w14:textFill>
            <w14:solidFill>
              <w14:schemeClr w14:val="tx1"/>
            </w14:solidFill>
          </w14:textFill>
        </w:rPr>
        <w:t>，</w:t>
      </w:r>
      <w:r>
        <w:rPr>
          <w:rFonts w:hint="eastAsia"/>
          <w:color w:val="000000"/>
          <w:szCs w:val="21"/>
          <w:lang w:val="en-US" w:eastAsia="zh-CN"/>
        </w:rPr>
        <w:t>已落实；</w:t>
      </w:r>
    </w:p>
    <w:p w14:paraId="0BF72F4F">
      <w:pPr>
        <w:widowControl/>
        <w:spacing w:line="360" w:lineRule="auto"/>
        <w:ind w:firstLine="660" w:firstLineChars="300"/>
        <w:rPr>
          <w:rFonts w:hint="eastAsia" w:eastAsia="宋体"/>
          <w:szCs w:val="21"/>
          <w:lang w:eastAsia="zh-CN"/>
        </w:rPr>
      </w:pPr>
      <w:r>
        <w:rPr>
          <w:color w:val="000000"/>
          <w:szCs w:val="21"/>
        </w:rPr>
        <w:t>5.3</w:t>
      </w:r>
      <w:r>
        <w:rPr>
          <w:rFonts w:hint="eastAsia"/>
          <w:color w:val="000000"/>
          <w:szCs w:val="21"/>
        </w:rPr>
        <w:t>.</w:t>
      </w:r>
      <w:r>
        <w:rPr>
          <w:rFonts w:hint="eastAsia"/>
          <w:color w:val="000000"/>
          <w:szCs w:val="21"/>
          <w:lang w:val="en-US"/>
        </w:rPr>
        <w:t>计划工期</w:t>
      </w:r>
      <w:r>
        <w:rPr>
          <w:rFonts w:hint="eastAsia"/>
          <w:szCs w:val="21"/>
        </w:rPr>
        <w:t>：</w:t>
      </w:r>
      <w:r>
        <w:rPr>
          <w:rFonts w:hint="eastAsia"/>
          <w:color w:val="auto"/>
          <w:szCs w:val="21"/>
          <w:u w:val="single"/>
          <w:lang w:val="en-US" w:eastAsia="zh-CN"/>
        </w:rPr>
        <w:t>9</w:t>
      </w:r>
      <w:r>
        <w:rPr>
          <w:rFonts w:hint="eastAsia"/>
          <w:color w:val="auto"/>
          <w:szCs w:val="21"/>
          <w:u w:val="single"/>
          <w:lang w:val="en-US"/>
        </w:rPr>
        <w:t xml:space="preserve">0 </w:t>
      </w:r>
      <w:r>
        <w:rPr>
          <w:rFonts w:hint="eastAsia"/>
          <w:color w:val="auto"/>
          <w:szCs w:val="21"/>
        </w:rPr>
        <w:t>日历天</w:t>
      </w:r>
      <w:r>
        <w:rPr>
          <w:rFonts w:hint="eastAsia"/>
          <w:color w:val="auto"/>
          <w:szCs w:val="21"/>
          <w:lang w:eastAsia="zh-CN"/>
        </w:rPr>
        <w:t>；</w:t>
      </w:r>
    </w:p>
    <w:p w14:paraId="2E79BE78">
      <w:pPr>
        <w:widowControl/>
        <w:spacing w:line="360" w:lineRule="auto"/>
        <w:ind w:firstLine="660" w:firstLineChars="300"/>
        <w:rPr>
          <w:rFonts w:hint="eastAsia" w:eastAsia="宋体"/>
          <w:szCs w:val="21"/>
          <w:lang w:val="en-US" w:eastAsia="zh-CN"/>
        </w:rPr>
      </w:pPr>
      <w:r>
        <w:rPr>
          <w:szCs w:val="21"/>
        </w:rPr>
        <w:t>5.</w:t>
      </w:r>
      <w:r>
        <w:rPr>
          <w:rFonts w:hint="eastAsia"/>
          <w:szCs w:val="21"/>
          <w:lang w:val="en-US"/>
        </w:rPr>
        <w:t>4</w:t>
      </w:r>
      <w:r>
        <w:rPr>
          <w:rFonts w:hint="eastAsia"/>
          <w:szCs w:val="21"/>
        </w:rPr>
        <w:t>.质量要求：</w:t>
      </w:r>
      <w:r>
        <w:rPr>
          <w:rFonts w:hint="eastAsia"/>
          <w:szCs w:val="21"/>
          <w:lang w:val="en-US"/>
        </w:rPr>
        <w:t>合格，达到国家相关质量验收要求</w:t>
      </w:r>
      <w:r>
        <w:rPr>
          <w:rFonts w:hint="eastAsia"/>
          <w:szCs w:val="21"/>
          <w:lang w:val="en-US" w:eastAsia="zh-CN"/>
        </w:rPr>
        <w:t>；</w:t>
      </w:r>
    </w:p>
    <w:p w14:paraId="270EA2A4">
      <w:pPr>
        <w:widowControl/>
        <w:spacing w:line="360" w:lineRule="auto"/>
        <w:ind w:firstLine="660" w:firstLineChars="300"/>
        <w:rPr>
          <w:szCs w:val="21"/>
          <w:lang w:val="en-US"/>
        </w:rPr>
      </w:pPr>
      <w:r>
        <w:rPr>
          <w:szCs w:val="21"/>
        </w:rPr>
        <w:t>5.</w:t>
      </w:r>
      <w:r>
        <w:rPr>
          <w:rFonts w:hint="eastAsia"/>
          <w:szCs w:val="21"/>
          <w:lang w:val="en-US"/>
        </w:rPr>
        <w:t>5</w:t>
      </w:r>
      <w:r>
        <w:rPr>
          <w:rFonts w:hint="eastAsia"/>
          <w:szCs w:val="21"/>
        </w:rPr>
        <w:t>.</w:t>
      </w:r>
      <w:r>
        <w:rPr>
          <w:rFonts w:hint="eastAsia"/>
          <w:szCs w:val="21"/>
          <w:lang w:val="en-US"/>
        </w:rPr>
        <w:t>项目建设</w:t>
      </w:r>
      <w:r>
        <w:rPr>
          <w:rFonts w:hint="eastAsia"/>
          <w:szCs w:val="21"/>
        </w:rPr>
        <w:t>地点：</w:t>
      </w:r>
      <w:r>
        <w:rPr>
          <w:rFonts w:hint="eastAsia"/>
          <w:color w:val="000000" w:themeColor="text1"/>
          <w:szCs w:val="21"/>
          <w:lang w:val="en-US"/>
          <w14:textFill>
            <w14:solidFill>
              <w14:schemeClr w14:val="tx1"/>
            </w14:solidFill>
          </w14:textFill>
        </w:rPr>
        <w:t>商城县境内</w:t>
      </w:r>
    </w:p>
    <w:p w14:paraId="02ACEE32">
      <w:pPr>
        <w:widowControl/>
        <w:spacing w:line="360" w:lineRule="auto"/>
        <w:ind w:firstLine="660" w:firstLineChars="300"/>
        <w:rPr>
          <w:szCs w:val="21"/>
        </w:rPr>
      </w:pPr>
      <w:r>
        <w:rPr>
          <w:rFonts w:hint="eastAsia"/>
          <w:szCs w:val="21"/>
          <w:lang w:val="en-US"/>
        </w:rPr>
        <w:t>6、合同履行期限：</w:t>
      </w:r>
      <w:r>
        <w:rPr>
          <w:rFonts w:hint="eastAsia"/>
          <w:szCs w:val="21"/>
          <w:lang w:val="en-US" w:eastAsia="zh-CN"/>
        </w:rPr>
        <w:t>同工期及缺陷责任期</w:t>
      </w:r>
    </w:p>
    <w:p w14:paraId="470FE9DE">
      <w:pPr>
        <w:widowControl/>
        <w:spacing w:line="360" w:lineRule="auto"/>
        <w:ind w:firstLine="660" w:firstLineChars="300"/>
        <w:rPr>
          <w:szCs w:val="21"/>
        </w:rPr>
      </w:pPr>
      <w:r>
        <w:rPr>
          <w:rFonts w:hint="eastAsia"/>
          <w:szCs w:val="21"/>
        </w:rPr>
        <w:t>7、本项目是否接受联合体投标：否</w:t>
      </w:r>
    </w:p>
    <w:p w14:paraId="12DFA3E1">
      <w:pPr>
        <w:widowControl/>
        <w:spacing w:line="360" w:lineRule="auto"/>
        <w:ind w:firstLine="660" w:firstLineChars="300"/>
        <w:rPr>
          <w:szCs w:val="21"/>
        </w:rPr>
      </w:pPr>
      <w:r>
        <w:rPr>
          <w:rFonts w:hint="eastAsia"/>
          <w:szCs w:val="21"/>
        </w:rPr>
        <w:t>8、是否接受进口产品：否</w:t>
      </w:r>
    </w:p>
    <w:p w14:paraId="25D3CAE1">
      <w:pPr>
        <w:pStyle w:val="12"/>
        <w:spacing w:line="360" w:lineRule="auto"/>
        <w:ind w:firstLine="660" w:firstLineChars="300"/>
        <w:rPr>
          <w:sz w:val="22"/>
        </w:rPr>
      </w:pPr>
      <w:r>
        <w:rPr>
          <w:rFonts w:hint="eastAsia"/>
          <w:sz w:val="22"/>
        </w:rPr>
        <w:t>9、是否为只面向中小企业采购：是</w:t>
      </w:r>
    </w:p>
    <w:p w14:paraId="03CE7140">
      <w:pPr>
        <w:adjustRightInd w:val="0"/>
        <w:snapToGrid w:val="0"/>
        <w:spacing w:line="360" w:lineRule="auto"/>
        <w:outlineLvl w:val="1"/>
        <w:rPr>
          <w:b/>
          <w:bCs/>
          <w:color w:val="000000"/>
          <w:sz w:val="28"/>
          <w:szCs w:val="28"/>
        </w:rPr>
      </w:pPr>
      <w:r>
        <w:rPr>
          <w:rFonts w:hint="eastAsia"/>
          <w:b/>
          <w:bCs/>
          <w:color w:val="000000"/>
          <w:sz w:val="28"/>
          <w:szCs w:val="28"/>
        </w:rPr>
        <w:t>二、申请人资格要求</w:t>
      </w:r>
      <w:bookmarkEnd w:id="4"/>
      <w:bookmarkEnd w:id="5"/>
    </w:p>
    <w:p w14:paraId="1213933D">
      <w:pPr>
        <w:widowControl/>
        <w:spacing w:line="360" w:lineRule="auto"/>
        <w:ind w:firstLine="440" w:firstLineChars="200"/>
        <w:rPr>
          <w:rFonts w:hint="eastAsia"/>
          <w:szCs w:val="21"/>
        </w:rPr>
      </w:pPr>
      <w:r>
        <w:rPr>
          <w:rFonts w:hint="eastAsia"/>
          <w:szCs w:val="21"/>
        </w:rPr>
        <w:t>1、 满足《中华人民共和国政府采购法》第二十二条规定；</w:t>
      </w:r>
    </w:p>
    <w:p w14:paraId="7F74D347">
      <w:pPr>
        <w:widowControl/>
        <w:spacing w:line="360" w:lineRule="auto"/>
        <w:ind w:firstLine="440" w:firstLineChars="200"/>
        <w:rPr>
          <w:rFonts w:hint="eastAsia"/>
          <w:szCs w:val="21"/>
          <w:lang w:val="zh-CN" w:eastAsia="zh-CN"/>
        </w:rPr>
      </w:pPr>
      <w:r>
        <w:rPr>
          <w:rFonts w:hint="eastAsia"/>
          <w:szCs w:val="21"/>
          <w:lang w:val="zh-CN" w:eastAsia="zh-CN"/>
        </w:rPr>
        <w:t>2、落实政府采购政策满足的资格要求：</w:t>
      </w:r>
      <w:r>
        <w:rPr>
          <w:rFonts w:hint="eastAsia"/>
          <w:szCs w:val="21"/>
          <w:lang w:val="en-US" w:eastAsia="zh-CN"/>
        </w:rPr>
        <w:t>本项目为专门面向中小企业采购项目，</w:t>
      </w:r>
      <w:r>
        <w:rPr>
          <w:rFonts w:hint="eastAsia"/>
          <w:szCs w:val="21"/>
          <w:lang w:val="zh-CN" w:eastAsia="zh-CN"/>
        </w:rPr>
        <w:t>本项目落实节约能源、保护环境、扶持不发达地区和少数民族地区、促进中小微企业、监狱企业及残疾人福利性单位发展等政府采购政策。</w:t>
      </w:r>
    </w:p>
    <w:p w14:paraId="70D13AF7">
      <w:pPr>
        <w:widowControl/>
        <w:spacing w:line="360" w:lineRule="auto"/>
        <w:ind w:firstLine="440" w:firstLineChars="200"/>
        <w:rPr>
          <w:rFonts w:hint="eastAsia"/>
          <w:szCs w:val="21"/>
          <w:lang w:val="en-US" w:eastAsia="zh-CN"/>
        </w:rPr>
      </w:pPr>
      <w:r>
        <w:rPr>
          <w:rFonts w:hint="eastAsia"/>
          <w:szCs w:val="21"/>
          <w:lang w:val="zh-CN" w:eastAsia="zh-CN"/>
        </w:rPr>
        <w:t>3</w:t>
      </w:r>
      <w:r>
        <w:rPr>
          <w:rFonts w:hint="eastAsia"/>
          <w:szCs w:val="21"/>
          <w:lang w:val="en-US" w:eastAsia="zh-CN"/>
        </w:rPr>
        <w:t>、本项目的特定资格要求：</w:t>
      </w:r>
      <w:bookmarkStart w:id="7" w:name="_Toc12532"/>
      <w:bookmarkStart w:id="8" w:name="_Toc11913"/>
    </w:p>
    <w:p w14:paraId="5C74B63B">
      <w:pPr>
        <w:pStyle w:val="12"/>
        <w:spacing w:line="360" w:lineRule="auto"/>
        <w:ind w:firstLine="660" w:firstLineChars="300"/>
        <w:rPr>
          <w:rFonts w:hint="eastAsia" w:eastAsia="宋体"/>
          <w:color w:val="auto"/>
          <w:sz w:val="22"/>
          <w:lang w:val="en-US" w:eastAsia="zh-CN"/>
        </w:rPr>
      </w:pPr>
      <w:r>
        <w:rPr>
          <w:rFonts w:hint="eastAsia"/>
          <w:color w:val="000000"/>
          <w:sz w:val="22"/>
          <w:lang w:val="en-US"/>
        </w:rPr>
        <w:t>3.1</w:t>
      </w:r>
      <w:r>
        <w:rPr>
          <w:rFonts w:hint="eastAsia"/>
          <w:color w:val="000000"/>
          <w:sz w:val="22"/>
          <w:lang w:val="en-US" w:eastAsia="zh-CN"/>
        </w:rPr>
        <w:t>、</w:t>
      </w:r>
      <w:r>
        <w:rPr>
          <w:rFonts w:hint="eastAsia"/>
          <w:color w:val="auto"/>
          <w:sz w:val="22"/>
          <w:lang w:val="en-US"/>
        </w:rPr>
        <w:t>供应商须提供《中小企业声明函》或《残疾人福利性单位声明函》或《监狱企业证明文件》</w:t>
      </w:r>
      <w:r>
        <w:rPr>
          <w:rFonts w:hint="eastAsia"/>
          <w:color w:val="auto"/>
          <w:sz w:val="22"/>
          <w:lang w:val="en-US" w:eastAsia="zh-CN"/>
        </w:rPr>
        <w:t>；</w:t>
      </w:r>
    </w:p>
    <w:p w14:paraId="4505C8C2">
      <w:pPr>
        <w:widowControl/>
        <w:spacing w:line="360" w:lineRule="auto"/>
        <w:ind w:firstLine="660" w:firstLineChars="300"/>
        <w:rPr>
          <w:rFonts w:hint="eastAsia"/>
          <w:color w:val="000000"/>
          <w:szCs w:val="21"/>
          <w:lang w:val="en-US"/>
        </w:rPr>
      </w:pPr>
      <w:r>
        <w:rPr>
          <w:rFonts w:hint="eastAsia"/>
          <w:color w:val="000000"/>
          <w:szCs w:val="21"/>
          <w:lang w:val="en-US"/>
        </w:rPr>
        <w:t>3.2</w:t>
      </w:r>
      <w:r>
        <w:rPr>
          <w:rFonts w:hint="eastAsia"/>
          <w:color w:val="000000"/>
          <w:szCs w:val="21"/>
          <w:lang w:val="en-US" w:eastAsia="zh-CN"/>
        </w:rPr>
        <w:t>、</w:t>
      </w:r>
      <w:r>
        <w:rPr>
          <w:rFonts w:hint="eastAsia"/>
          <w:color w:val="000000"/>
          <w:szCs w:val="21"/>
          <w:lang w:val="en-US"/>
        </w:rPr>
        <w:t>供应商</w:t>
      </w:r>
      <w:r>
        <w:rPr>
          <w:rFonts w:hint="eastAsia"/>
          <w:color w:val="auto"/>
          <w:szCs w:val="21"/>
          <w:lang w:val="en-US"/>
        </w:rPr>
        <w:t>须具备</w:t>
      </w:r>
      <w:r>
        <w:rPr>
          <w:rFonts w:hint="eastAsia" w:ascii="宋体" w:hAnsi="宋体" w:cs="宋体"/>
          <w:szCs w:val="21"/>
        </w:rPr>
        <w:t>市政公用工程或公路工程</w:t>
      </w:r>
      <w:r>
        <w:rPr>
          <w:rFonts w:hint="eastAsia"/>
          <w:color w:val="auto"/>
          <w:szCs w:val="21"/>
          <w:lang w:val="en-US"/>
        </w:rPr>
        <w:t>施工总承包叁级及以上资质，并在人员配备、资金方面具备相应的施工能力，具备有效的安全生产许可证</w:t>
      </w:r>
      <w:r>
        <w:rPr>
          <w:rFonts w:hint="eastAsia"/>
          <w:color w:val="auto"/>
          <w:szCs w:val="21"/>
          <w:lang w:val="en-US" w:eastAsia="zh-CN"/>
        </w:rPr>
        <w:t>（必须在有效期内）</w:t>
      </w:r>
      <w:r>
        <w:rPr>
          <w:rFonts w:hint="eastAsia"/>
          <w:color w:val="auto"/>
          <w:szCs w:val="21"/>
          <w:lang w:val="en-US"/>
        </w:rPr>
        <w:t>；</w:t>
      </w:r>
      <w:r>
        <w:rPr>
          <w:rFonts w:hint="eastAsia"/>
          <w:color w:val="000000"/>
          <w:szCs w:val="21"/>
          <w:lang w:val="en-US" w:eastAsia="zh-CN"/>
        </w:rPr>
        <w:t>根据河南省住房和城乡建设厅《关于进一步规范建设工程企业资质管理的通知》建筑业企业不能使用标注异常资质承揽新的工程。</w:t>
      </w:r>
    </w:p>
    <w:p w14:paraId="47414D6E">
      <w:pPr>
        <w:widowControl/>
        <w:spacing w:line="360" w:lineRule="auto"/>
        <w:ind w:firstLine="660" w:firstLineChars="300"/>
        <w:rPr>
          <w:rFonts w:hint="default" w:eastAsia="宋体"/>
          <w:color w:val="FF0000"/>
          <w:szCs w:val="21"/>
          <w:lang w:val="en-US" w:eastAsia="zh-CN"/>
        </w:rPr>
      </w:pPr>
      <w:r>
        <w:rPr>
          <w:rFonts w:hint="eastAsia"/>
          <w:color w:val="auto"/>
          <w:szCs w:val="21"/>
          <w:lang w:val="en-US" w:eastAsia="zh-CN"/>
        </w:rPr>
        <w:t>3.3、供应商</w:t>
      </w:r>
      <w:r>
        <w:rPr>
          <w:rFonts w:hint="eastAsia"/>
          <w:color w:val="auto"/>
          <w:szCs w:val="21"/>
          <w:lang w:val="en-US"/>
        </w:rPr>
        <w:t>拟派项目经理应具备</w:t>
      </w:r>
      <w:r>
        <w:rPr>
          <w:rFonts w:hint="eastAsia" w:ascii="宋体" w:hAnsi="宋体" w:cs="宋体"/>
          <w:szCs w:val="21"/>
        </w:rPr>
        <w:t>市政公用工程或公路工程</w:t>
      </w:r>
      <w:r>
        <w:rPr>
          <w:rFonts w:hint="eastAsia"/>
          <w:color w:val="000000"/>
          <w:szCs w:val="21"/>
          <w:lang w:val="en-US"/>
        </w:rPr>
        <w:t>专业贰级及以上注册建造师执业资格和有效的安全生产考核合格证书，且未担任其他在建工程项目的项目经理（供应商自行</w:t>
      </w:r>
      <w:r>
        <w:rPr>
          <w:rFonts w:hint="eastAsia"/>
          <w:color w:val="000000"/>
          <w:szCs w:val="21"/>
          <w:lang w:val="en-US" w:eastAsia="zh-CN"/>
        </w:rPr>
        <w:t>承诺）</w:t>
      </w:r>
      <w:r>
        <w:rPr>
          <w:rFonts w:hint="eastAsia"/>
          <w:color w:val="000000"/>
          <w:szCs w:val="21"/>
          <w:lang w:val="en-US"/>
        </w:rPr>
        <w:t>；</w:t>
      </w:r>
    </w:p>
    <w:p w14:paraId="17C5DD21">
      <w:pPr>
        <w:widowControl/>
        <w:wordWrap w:val="0"/>
        <w:spacing w:line="360" w:lineRule="auto"/>
        <w:ind w:firstLine="660" w:firstLineChars="300"/>
        <w:rPr>
          <w:rFonts w:hint="eastAsia" w:cs="宋体"/>
          <w:szCs w:val="21"/>
          <w:lang w:eastAsia="zh-CN"/>
        </w:rPr>
      </w:pPr>
      <w:r>
        <w:rPr>
          <w:rFonts w:hint="eastAsia"/>
          <w:color w:val="000000"/>
          <w:szCs w:val="21"/>
        </w:rPr>
        <w:t>3.</w:t>
      </w:r>
      <w:r>
        <w:rPr>
          <w:rFonts w:hint="eastAsia"/>
          <w:color w:val="000000"/>
          <w:szCs w:val="21"/>
          <w:lang w:val="en-US" w:eastAsia="zh-CN"/>
        </w:rPr>
        <w:t>4、</w:t>
      </w:r>
      <w:r>
        <w:rPr>
          <w:rFonts w:hint="eastAsia"/>
          <w:color w:val="000000"/>
          <w:szCs w:val="21"/>
          <w:lang w:val="en-US"/>
        </w:rPr>
        <w:t>根据《关于在政府采购活动中查询及使用信用记录有关问题的通知》(财库[2016]125 号)及 《河南省财政厅关于转发财政部关于在政府采购活动中查询及使用信用记录有关问题的通知的通知》（豫财购〔2016〕15号）规定，</w:t>
      </w:r>
      <w:r>
        <w:rPr>
          <w:rFonts w:hint="eastAsia" w:ascii="宋体" w:hAnsi="宋体" w:eastAsia="宋体" w:cs="宋体"/>
          <w:szCs w:val="21"/>
        </w:rPr>
        <w:t>对被列入失信被执行人、重大税收违法失信主体、政府采购严重违法失信行为记录名单的</w:t>
      </w:r>
      <w:r>
        <w:rPr>
          <w:rFonts w:hint="eastAsia" w:ascii="宋体" w:hAnsi="宋体" w:eastAsia="宋体" w:cs="宋体"/>
          <w:szCs w:val="21"/>
          <w:lang w:val="en-US" w:eastAsia="zh-CN"/>
        </w:rPr>
        <w:t>供应商</w:t>
      </w:r>
      <w:r>
        <w:rPr>
          <w:rFonts w:hint="eastAsia" w:ascii="宋体" w:hAnsi="宋体" w:eastAsia="宋体" w:cs="宋体"/>
          <w:szCs w:val="21"/>
        </w:rPr>
        <w:t>，拒绝参与本项目的投标；【查询渠道：信用中国网站（www.creditchina.gov.cn）、中国执行信息公开网（http://zxgk.court.gov.cn）、中国政府采购网（www.ccgp.gov.c</w:t>
      </w:r>
      <w:r>
        <w:rPr>
          <w:rFonts w:hint="eastAsia" w:ascii="宋体" w:hAnsi="宋体" w:eastAsia="宋体" w:cs="宋体"/>
          <w:szCs w:val="21"/>
          <w:lang w:val="en-US" w:eastAsia="zh-CN"/>
        </w:rPr>
        <w:t>n</w:t>
      </w:r>
      <w:r>
        <w:rPr>
          <w:rFonts w:hint="eastAsia" w:ascii="宋体" w:hAnsi="宋体" w:eastAsia="宋体" w:cs="宋体"/>
          <w:szCs w:val="21"/>
        </w:rPr>
        <w:t>”】，查询主体（投标企业），提供查询结果截图并加盖单位公章（查询日期须在公告发布之日后）</w:t>
      </w:r>
      <w:r>
        <w:rPr>
          <w:rFonts w:hint="eastAsia" w:cs="宋体"/>
          <w:szCs w:val="21"/>
          <w:lang w:eastAsia="zh-CN"/>
        </w:rPr>
        <w:t>；</w:t>
      </w:r>
    </w:p>
    <w:p w14:paraId="0766F71B">
      <w:pPr>
        <w:widowControl/>
        <w:wordWrap w:val="0"/>
        <w:spacing w:line="360" w:lineRule="auto"/>
        <w:ind w:firstLine="660" w:firstLineChars="30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3.5、单位负责人为同一人或者存在直接控股、管理关系的不同单位，不得参加同一项目投标（提供加盖供应商公章的“国家企业信用信息公示系统”网页查询截图，</w:t>
      </w:r>
      <w:r>
        <w:rPr>
          <w:rFonts w:hint="eastAsia" w:ascii="宋体" w:hAnsi="宋体" w:eastAsia="宋体" w:cs="宋体"/>
          <w:szCs w:val="21"/>
        </w:rPr>
        <w:t>查询日期须在公告发布之日后</w:t>
      </w:r>
      <w:r>
        <w:rPr>
          <w:rFonts w:hint="eastAsia" w:ascii="宋体" w:hAnsi="宋体" w:eastAsia="宋体" w:cs="宋体"/>
          <w:color w:val="000000"/>
          <w:szCs w:val="21"/>
          <w:lang w:val="en-US" w:eastAsia="zh-CN"/>
        </w:rPr>
        <w:t>）。</w:t>
      </w:r>
    </w:p>
    <w:p w14:paraId="23CA526D">
      <w:pPr>
        <w:widowControl/>
        <w:spacing w:line="360" w:lineRule="auto"/>
        <w:ind w:firstLine="660" w:firstLineChars="300"/>
        <w:rPr>
          <w:color w:val="000000"/>
          <w:szCs w:val="21"/>
        </w:rPr>
      </w:pPr>
      <w:r>
        <w:rPr>
          <w:rFonts w:hint="eastAsia"/>
          <w:color w:val="000000"/>
          <w:szCs w:val="21"/>
        </w:rPr>
        <w:t>3.</w:t>
      </w:r>
      <w:r>
        <w:rPr>
          <w:rFonts w:hint="eastAsia"/>
          <w:color w:val="000000"/>
          <w:szCs w:val="21"/>
          <w:lang w:val="en-US" w:eastAsia="zh-CN"/>
        </w:rPr>
        <w:t>6、</w:t>
      </w:r>
      <w:r>
        <w:rPr>
          <w:rFonts w:hint="eastAsia"/>
          <w:color w:val="000000"/>
          <w:szCs w:val="21"/>
        </w:rPr>
        <w:t>本项目不接受联合体投标。</w:t>
      </w:r>
    </w:p>
    <w:bookmarkEnd w:id="7"/>
    <w:bookmarkEnd w:id="8"/>
    <w:p w14:paraId="26E665C0">
      <w:pPr>
        <w:adjustRightInd w:val="0"/>
        <w:snapToGrid w:val="0"/>
        <w:spacing w:line="360" w:lineRule="auto"/>
        <w:outlineLvl w:val="1"/>
        <w:rPr>
          <w:b/>
          <w:bCs/>
          <w:color w:val="000000"/>
          <w:sz w:val="28"/>
          <w:szCs w:val="28"/>
        </w:rPr>
      </w:pPr>
      <w:bookmarkStart w:id="9" w:name="_Toc20077"/>
      <w:bookmarkStart w:id="10" w:name="_Toc4907"/>
      <w:bookmarkStart w:id="11" w:name="_Toc6738"/>
      <w:bookmarkStart w:id="12" w:name="_Toc3397"/>
      <w:r>
        <w:rPr>
          <w:rFonts w:hint="eastAsia"/>
          <w:b/>
          <w:bCs/>
          <w:color w:val="000000"/>
          <w:sz w:val="28"/>
          <w:szCs w:val="28"/>
        </w:rPr>
        <w:t>三、</w:t>
      </w:r>
      <w:bookmarkEnd w:id="9"/>
      <w:bookmarkEnd w:id="10"/>
      <w:bookmarkEnd w:id="11"/>
      <w:bookmarkEnd w:id="12"/>
      <w:bookmarkStart w:id="13" w:name="_Toc399492996"/>
      <w:bookmarkStart w:id="14" w:name="_Toc7924"/>
      <w:bookmarkStart w:id="15" w:name="_Toc10439"/>
      <w:bookmarkStart w:id="16" w:name="_Toc10990"/>
      <w:bookmarkStart w:id="17" w:name="_Toc17398"/>
      <w:bookmarkStart w:id="18" w:name="_Toc428451189"/>
      <w:r>
        <w:rPr>
          <w:rFonts w:hint="eastAsia"/>
          <w:b/>
          <w:bCs/>
          <w:color w:val="000000"/>
          <w:sz w:val="28"/>
          <w:szCs w:val="28"/>
        </w:rPr>
        <w:t>获取采购文件</w:t>
      </w:r>
    </w:p>
    <w:p w14:paraId="50C8B842">
      <w:pPr>
        <w:widowControl/>
        <w:spacing w:line="360" w:lineRule="auto"/>
        <w:ind w:firstLine="440" w:firstLineChars="200"/>
        <w:rPr>
          <w:color w:val="000000"/>
          <w:szCs w:val="21"/>
        </w:rPr>
      </w:pPr>
      <w:r>
        <w:rPr>
          <w:rFonts w:hint="eastAsia"/>
          <w:color w:val="000000"/>
          <w:szCs w:val="21"/>
        </w:rPr>
        <w:t>1、时间</w:t>
      </w:r>
      <w:r>
        <w:rPr>
          <w:rFonts w:hint="eastAsia"/>
          <w:szCs w:val="21"/>
        </w:rPr>
        <w:t>:</w:t>
      </w:r>
      <w:r>
        <w:rPr>
          <w:rFonts w:hint="eastAsia"/>
          <w:color w:val="auto"/>
          <w:szCs w:val="21"/>
        </w:rPr>
        <w:t xml:space="preserve"> 202</w:t>
      </w:r>
      <w:r>
        <w:rPr>
          <w:rFonts w:hint="eastAsia"/>
          <w:color w:val="auto"/>
          <w:szCs w:val="21"/>
          <w:lang w:val="en-US" w:eastAsia="zh-CN"/>
        </w:rPr>
        <w:t>6</w:t>
      </w:r>
      <w:r>
        <w:rPr>
          <w:rFonts w:hint="eastAsia"/>
          <w:color w:val="auto"/>
          <w:szCs w:val="21"/>
        </w:rPr>
        <w:t xml:space="preserve"> 年 </w:t>
      </w:r>
      <w:r>
        <w:rPr>
          <w:rFonts w:hint="eastAsia"/>
          <w:color w:val="auto"/>
          <w:szCs w:val="21"/>
          <w:lang w:val="en-US" w:eastAsia="zh-CN"/>
        </w:rPr>
        <w:t>8</w:t>
      </w:r>
      <w:r>
        <w:rPr>
          <w:rFonts w:hint="eastAsia"/>
          <w:color w:val="auto"/>
          <w:szCs w:val="21"/>
          <w:lang w:val="en-US"/>
        </w:rPr>
        <w:t xml:space="preserve"> </w:t>
      </w:r>
      <w:r>
        <w:rPr>
          <w:rFonts w:hint="eastAsia"/>
          <w:color w:val="auto"/>
          <w:szCs w:val="21"/>
        </w:rPr>
        <w:t xml:space="preserve">月 </w:t>
      </w:r>
      <w:r>
        <w:rPr>
          <w:rFonts w:hint="eastAsia"/>
          <w:color w:val="auto"/>
          <w:szCs w:val="21"/>
          <w:lang w:val="en-US" w:eastAsia="zh-CN"/>
        </w:rPr>
        <w:t>14</w:t>
      </w:r>
      <w:r>
        <w:rPr>
          <w:rFonts w:hint="eastAsia"/>
          <w:color w:val="auto"/>
          <w:szCs w:val="21"/>
          <w:lang w:val="en-US"/>
        </w:rPr>
        <w:t xml:space="preserve"> </w:t>
      </w:r>
      <w:r>
        <w:rPr>
          <w:rFonts w:hint="eastAsia"/>
          <w:color w:val="auto"/>
          <w:szCs w:val="21"/>
        </w:rPr>
        <w:t>日至 202</w:t>
      </w:r>
      <w:r>
        <w:rPr>
          <w:rFonts w:hint="eastAsia"/>
          <w:color w:val="auto"/>
          <w:szCs w:val="21"/>
          <w:lang w:val="en-US" w:eastAsia="zh-CN"/>
        </w:rPr>
        <w:t>6</w:t>
      </w:r>
      <w:r>
        <w:rPr>
          <w:rFonts w:hint="eastAsia"/>
          <w:color w:val="auto"/>
          <w:szCs w:val="21"/>
        </w:rPr>
        <w:t xml:space="preserve"> 年</w:t>
      </w:r>
      <w:r>
        <w:rPr>
          <w:rFonts w:hint="eastAsia"/>
          <w:color w:val="auto"/>
          <w:szCs w:val="21"/>
          <w:lang w:val="en-US"/>
        </w:rPr>
        <w:t xml:space="preserve"> </w:t>
      </w:r>
      <w:r>
        <w:rPr>
          <w:rFonts w:hint="eastAsia"/>
          <w:color w:val="auto"/>
          <w:szCs w:val="21"/>
          <w:lang w:val="en-US" w:eastAsia="zh-CN"/>
        </w:rPr>
        <w:t>8</w:t>
      </w:r>
      <w:r>
        <w:rPr>
          <w:rFonts w:hint="eastAsia"/>
          <w:color w:val="auto"/>
          <w:szCs w:val="21"/>
        </w:rPr>
        <w:t xml:space="preserve"> 月 </w:t>
      </w:r>
      <w:r>
        <w:rPr>
          <w:rFonts w:hint="eastAsia"/>
          <w:color w:val="auto"/>
          <w:szCs w:val="21"/>
          <w:lang w:val="en-US" w:eastAsia="zh-CN"/>
        </w:rPr>
        <w:t xml:space="preserve">20 </w:t>
      </w:r>
      <w:r>
        <w:rPr>
          <w:rFonts w:hint="eastAsia"/>
          <w:color w:val="auto"/>
          <w:szCs w:val="21"/>
        </w:rPr>
        <w:t>日</w:t>
      </w:r>
      <w:r>
        <w:rPr>
          <w:rFonts w:hint="eastAsia"/>
          <w:szCs w:val="21"/>
        </w:rPr>
        <w:t>（每</w:t>
      </w:r>
      <w:r>
        <w:rPr>
          <w:rFonts w:hint="eastAsia"/>
          <w:color w:val="000000"/>
          <w:szCs w:val="21"/>
        </w:rPr>
        <w:t>日上午00：00-12：00，下午12：00-23：59，北京时间，法定节假日除外）</w:t>
      </w:r>
    </w:p>
    <w:p w14:paraId="1910652F">
      <w:pPr>
        <w:wordWrap w:val="0"/>
        <w:spacing w:line="360" w:lineRule="auto"/>
        <w:ind w:firstLine="440" w:firstLineChars="200"/>
        <w:rPr>
          <w:rFonts w:hint="eastAsia" w:ascii="宋体" w:hAnsi="宋体" w:eastAsia="宋体" w:cs="宋体"/>
          <w:color w:val="000000"/>
          <w:szCs w:val="21"/>
        </w:rPr>
      </w:pPr>
      <w:r>
        <w:rPr>
          <w:rFonts w:hint="eastAsia" w:ascii="宋体" w:hAnsi="宋体" w:eastAsia="宋体" w:cs="宋体"/>
          <w:szCs w:val="21"/>
        </w:rPr>
        <w:t>2、地点：登录“</w:t>
      </w:r>
      <w:r>
        <w:rPr>
          <w:rFonts w:hint="eastAsia" w:ascii="宋体" w:hAnsi="宋体" w:eastAsia="宋体" w:cs="宋体"/>
          <w:szCs w:val="21"/>
          <w:lang w:eastAsia="zh-CN"/>
        </w:rPr>
        <w:t>信阳市公共资源交易中心商城县分中心（https://ggzyjy.xinyang.gov.cn/shangcheng/）</w:t>
      </w:r>
      <w:r>
        <w:rPr>
          <w:rFonts w:hint="eastAsia" w:ascii="宋体" w:hAnsi="宋体" w:eastAsia="宋体" w:cs="宋体"/>
          <w:szCs w:val="21"/>
        </w:rPr>
        <w:t>”网站，凭办理的企业身份认证锁（CA数字证书）登录</w:t>
      </w:r>
      <w:r>
        <w:rPr>
          <w:rFonts w:hint="eastAsia" w:ascii="宋体" w:hAnsi="宋体" w:eastAsia="宋体" w:cs="宋体"/>
          <w:szCs w:val="21"/>
          <w:lang w:val="en-US" w:eastAsia="zh-CN"/>
        </w:rPr>
        <w:t>交易</w:t>
      </w:r>
      <w:r>
        <w:rPr>
          <w:rFonts w:hint="eastAsia" w:ascii="宋体" w:hAnsi="宋体" w:eastAsia="宋体" w:cs="宋体"/>
          <w:szCs w:val="21"/>
        </w:rPr>
        <w:t>系统获取</w:t>
      </w:r>
      <w:r>
        <w:rPr>
          <w:rFonts w:hint="eastAsia" w:ascii="宋体" w:hAnsi="宋体" w:eastAsia="宋体" w:cs="宋体"/>
          <w:szCs w:val="21"/>
          <w:lang w:val="en-US" w:eastAsia="zh-CN"/>
        </w:rPr>
        <w:t>采购</w:t>
      </w:r>
      <w:r>
        <w:rPr>
          <w:rFonts w:hint="eastAsia" w:ascii="宋体" w:hAnsi="宋体" w:eastAsia="宋体" w:cs="宋体"/>
          <w:szCs w:val="21"/>
        </w:rPr>
        <w:t>文件</w:t>
      </w:r>
      <w:r>
        <w:rPr>
          <w:rFonts w:hint="eastAsia" w:ascii="宋体" w:hAnsi="宋体" w:eastAsia="宋体" w:cs="宋体"/>
          <w:szCs w:val="21"/>
          <w:lang w:eastAsia="zh-CN"/>
        </w:rPr>
        <w:t>；</w:t>
      </w:r>
    </w:p>
    <w:bookmarkEnd w:id="13"/>
    <w:bookmarkEnd w:id="14"/>
    <w:bookmarkEnd w:id="15"/>
    <w:bookmarkEnd w:id="16"/>
    <w:bookmarkEnd w:id="17"/>
    <w:bookmarkEnd w:id="18"/>
    <w:p w14:paraId="70134524">
      <w:pPr>
        <w:wordWrap w:val="0"/>
        <w:spacing w:line="360" w:lineRule="auto"/>
        <w:ind w:firstLine="440" w:firstLineChars="200"/>
        <w:rPr>
          <w:rFonts w:hint="eastAsia" w:ascii="宋体" w:hAnsi="宋体" w:eastAsia="宋体" w:cs="宋体"/>
          <w:szCs w:val="21"/>
          <w:lang w:eastAsia="zh-CN"/>
        </w:rPr>
      </w:pPr>
      <w:r>
        <w:rPr>
          <w:rFonts w:hint="eastAsia" w:ascii="宋体" w:hAnsi="宋体" w:eastAsia="宋体" w:cs="宋体"/>
          <w:szCs w:val="21"/>
          <w:lang w:eastAsia="zh-CN"/>
        </w:rPr>
        <w:t>3.方式：</w:t>
      </w:r>
    </w:p>
    <w:p w14:paraId="25FEFAB5">
      <w:pPr>
        <w:wordWrap w:val="0"/>
        <w:spacing w:line="360" w:lineRule="auto"/>
        <w:ind w:firstLine="440" w:firstLineChars="200"/>
        <w:rPr>
          <w:rFonts w:hint="eastAsia" w:ascii="宋体" w:hAnsi="宋体" w:eastAsia="宋体" w:cs="宋体"/>
          <w:szCs w:val="21"/>
          <w:lang w:eastAsia="zh-CN"/>
        </w:rPr>
      </w:pPr>
      <w:r>
        <w:rPr>
          <w:rFonts w:hint="eastAsia" w:ascii="宋体" w:hAnsi="宋体" w:eastAsia="宋体" w:cs="宋体"/>
          <w:szCs w:val="21"/>
          <w:lang w:eastAsia="zh-CN"/>
        </w:rPr>
        <w:t>3.1.供应商注册：凡有意参加本项目的</w:t>
      </w:r>
      <w:r>
        <w:rPr>
          <w:rFonts w:hint="eastAsia" w:ascii="宋体" w:hAnsi="宋体" w:eastAsia="宋体" w:cs="宋体"/>
          <w:szCs w:val="21"/>
          <w:lang w:val="en-US" w:eastAsia="zh-CN"/>
        </w:rPr>
        <w:t>潜在</w:t>
      </w:r>
      <w:r>
        <w:rPr>
          <w:rFonts w:hint="eastAsia" w:ascii="宋体" w:hAnsi="宋体" w:eastAsia="宋体" w:cs="宋体"/>
          <w:szCs w:val="21"/>
          <w:lang w:eastAsia="zh-CN"/>
        </w:rPr>
        <w:t>供应商，请登</w:t>
      </w:r>
      <w:r>
        <w:rPr>
          <w:rFonts w:hint="eastAsia" w:ascii="宋体" w:hAnsi="宋体" w:eastAsia="宋体" w:cs="宋体"/>
          <w:szCs w:val="21"/>
          <w:lang w:val="en-US" w:eastAsia="zh-CN"/>
        </w:rPr>
        <w:t>录</w:t>
      </w:r>
      <w:r>
        <w:rPr>
          <w:rFonts w:hint="eastAsia" w:ascii="宋体" w:hAnsi="宋体" w:eastAsia="宋体" w:cs="宋体"/>
          <w:szCs w:val="21"/>
          <w:lang w:eastAsia="zh-CN"/>
        </w:rPr>
        <w:t>“全国公共资源交易平台（河南省·信阳市）（https://ggzyjy.xinyang.gov.cn</w:t>
      </w:r>
      <w:r>
        <w:rPr>
          <w:rFonts w:hint="eastAsia" w:ascii="宋体" w:hAnsi="宋体" w:eastAsia="宋体" w:cs="宋体"/>
          <w:szCs w:val="21"/>
          <w:lang w:val="en-US" w:eastAsia="zh-CN"/>
        </w:rPr>
        <w:t>/</w:t>
      </w:r>
      <w:r>
        <w:rPr>
          <w:rFonts w:hint="eastAsia" w:ascii="宋体" w:hAnsi="宋体" w:eastAsia="宋体" w:cs="宋体"/>
          <w:szCs w:val="21"/>
          <w:lang w:eastAsia="zh-CN"/>
        </w:rPr>
        <w:t>）”网站进行交易主体自主注册，按网站公告通知有关要求填报企业信息并上传有关原件扫描件至诚信库，不需携带原件到信阳市公共资源交易中心进行审核。供应商应对所上传材料的真实性、合法性、有效性负责，其上传信息将全部对外公示，接受社会监督；</w:t>
      </w:r>
    </w:p>
    <w:p w14:paraId="7D19BF40">
      <w:pPr>
        <w:wordWrap w:val="0"/>
        <w:spacing w:line="360" w:lineRule="auto"/>
        <w:ind w:firstLine="440" w:firstLineChars="200"/>
        <w:rPr>
          <w:rFonts w:hint="eastAsia" w:ascii="宋体" w:hAnsi="宋体" w:eastAsia="宋体" w:cs="宋体"/>
          <w:szCs w:val="21"/>
          <w:lang w:eastAsia="zh-CN"/>
        </w:rPr>
      </w:pPr>
      <w:r>
        <w:rPr>
          <w:rFonts w:hint="eastAsia" w:ascii="宋体" w:hAnsi="宋体" w:eastAsia="宋体" w:cs="宋体"/>
          <w:szCs w:val="21"/>
          <w:lang w:eastAsia="zh-CN"/>
        </w:rPr>
        <w:t>3.2.办理CA数字证书：完成企业诚信库注册后，必须办理CA数字证书方可在网上办理招投标相关业务。供应商根据信阳市公共资源交易网通知公告栏目中《关于信阳市公共资源交易平台数字证书（CA）互认系统正式上线运行的通知》要求，自行选择CA数字证书服务商，线上、线下办理CA数字证书。</w:t>
      </w:r>
    </w:p>
    <w:p w14:paraId="276FAC6E">
      <w:pPr>
        <w:wordWrap w:val="0"/>
        <w:spacing w:line="360" w:lineRule="auto"/>
        <w:ind w:firstLine="440" w:firstLineChars="200"/>
        <w:rPr>
          <w:rFonts w:hint="eastAsia" w:ascii="宋体" w:hAnsi="宋体" w:eastAsia="宋体" w:cs="宋体"/>
          <w:szCs w:val="21"/>
          <w:lang w:eastAsia="zh-CN"/>
        </w:rPr>
      </w:pPr>
      <w:r>
        <w:rPr>
          <w:rFonts w:hint="eastAsia" w:ascii="宋体" w:hAnsi="宋体" w:eastAsia="宋体" w:cs="宋体"/>
          <w:szCs w:val="21"/>
          <w:lang w:eastAsia="zh-CN"/>
        </w:rPr>
        <w:t>3.3.采购文件获取方式：供应商凭CA数字证书登</w:t>
      </w:r>
      <w:r>
        <w:rPr>
          <w:rFonts w:hint="eastAsia" w:ascii="宋体" w:hAnsi="宋体" w:eastAsia="宋体" w:cs="宋体"/>
          <w:szCs w:val="21"/>
          <w:lang w:val="en-US" w:eastAsia="zh-CN"/>
        </w:rPr>
        <w:t>录交易</w:t>
      </w:r>
      <w:r>
        <w:rPr>
          <w:rFonts w:hint="eastAsia" w:ascii="宋体" w:hAnsi="宋体" w:eastAsia="宋体" w:cs="宋体"/>
          <w:szCs w:val="21"/>
          <w:lang w:eastAsia="zh-CN"/>
        </w:rPr>
        <w:t>系统后，即可按网上提示免费下载采购文件及资料（操作程序详见“全国公共资源交易平台（河南省·信阳市）（https://ggzyjy.xinyang.gov.cn</w:t>
      </w:r>
      <w:r>
        <w:rPr>
          <w:rFonts w:hint="eastAsia" w:ascii="宋体" w:hAnsi="宋体" w:eastAsia="宋体" w:cs="宋体"/>
          <w:szCs w:val="21"/>
          <w:lang w:val="en-US" w:eastAsia="zh-CN"/>
        </w:rPr>
        <w:t>/</w:t>
      </w:r>
      <w:r>
        <w:rPr>
          <w:rFonts w:hint="eastAsia" w:ascii="宋体" w:hAnsi="宋体" w:eastAsia="宋体" w:cs="宋体"/>
          <w:szCs w:val="21"/>
          <w:lang w:eastAsia="zh-CN"/>
        </w:rPr>
        <w:t>）”网站下载</w:t>
      </w:r>
      <w:r>
        <w:rPr>
          <w:rFonts w:hint="eastAsia" w:ascii="宋体" w:hAnsi="宋体" w:eastAsia="宋体" w:cs="宋体"/>
          <w:szCs w:val="21"/>
          <w:lang w:val="en-US" w:eastAsia="zh-CN"/>
        </w:rPr>
        <w:t>专区</w:t>
      </w:r>
      <w:r>
        <w:rPr>
          <w:rFonts w:hint="eastAsia" w:ascii="宋体" w:hAnsi="宋体" w:eastAsia="宋体" w:cs="宋体"/>
          <w:szCs w:val="21"/>
          <w:lang w:eastAsia="zh-CN"/>
        </w:rPr>
        <w:t>栏目里供应商操作手册）。</w:t>
      </w:r>
      <w:r>
        <w:rPr>
          <w:rFonts w:hint="eastAsia" w:ascii="宋体" w:hAnsi="宋体" w:eastAsia="宋体" w:cs="宋体"/>
          <w:szCs w:val="21"/>
          <w:lang w:val="en-US" w:eastAsia="zh-CN"/>
        </w:rPr>
        <w:t>采购</w:t>
      </w:r>
      <w:r>
        <w:rPr>
          <w:rFonts w:hint="eastAsia" w:ascii="宋体" w:hAnsi="宋体" w:eastAsia="宋体" w:cs="宋体"/>
          <w:szCs w:val="21"/>
          <w:lang w:eastAsia="zh-CN"/>
        </w:rPr>
        <w:t>文件(*.XYZF格式)下载后需使用“信阳市投标文件制作工具软件”打开（该工具软件可在“全国公共资源交易平台（河南省·信阳市）（https://ggzyjy.xinyang.gov.cn</w:t>
      </w:r>
      <w:r>
        <w:rPr>
          <w:rFonts w:hint="eastAsia" w:ascii="宋体" w:hAnsi="宋体" w:eastAsia="宋体" w:cs="宋体"/>
          <w:szCs w:val="21"/>
          <w:lang w:val="en-US" w:eastAsia="zh-CN"/>
        </w:rPr>
        <w:t>/</w:t>
      </w:r>
      <w:r>
        <w:rPr>
          <w:rFonts w:hint="eastAsia" w:ascii="宋体" w:hAnsi="宋体" w:eastAsia="宋体" w:cs="宋体"/>
          <w:szCs w:val="21"/>
          <w:lang w:eastAsia="zh-CN"/>
        </w:rPr>
        <w:t>）”网站下载</w:t>
      </w:r>
      <w:r>
        <w:rPr>
          <w:rFonts w:hint="eastAsia" w:ascii="宋体" w:hAnsi="宋体" w:eastAsia="宋体" w:cs="宋体"/>
          <w:szCs w:val="21"/>
          <w:lang w:val="en-US" w:eastAsia="zh-CN"/>
        </w:rPr>
        <w:t>专区</w:t>
      </w:r>
      <w:r>
        <w:rPr>
          <w:rFonts w:hint="eastAsia" w:ascii="宋体" w:hAnsi="宋体" w:eastAsia="宋体" w:cs="宋体"/>
          <w:szCs w:val="21"/>
          <w:lang w:eastAsia="zh-CN"/>
        </w:rPr>
        <w:t>栏目内下载或在采购文件领取页面下载）；</w:t>
      </w:r>
    </w:p>
    <w:p w14:paraId="53C84B8F">
      <w:pPr>
        <w:wordWrap w:val="0"/>
        <w:spacing w:line="360" w:lineRule="auto"/>
        <w:ind w:firstLine="440" w:firstLineChars="200"/>
        <w:rPr>
          <w:rFonts w:hint="eastAsia" w:ascii="宋体" w:hAnsi="宋体" w:eastAsia="宋体" w:cs="宋体"/>
          <w:szCs w:val="21"/>
          <w:lang w:eastAsia="zh-CN"/>
        </w:rPr>
      </w:pPr>
      <w:r>
        <w:rPr>
          <w:rFonts w:hint="eastAsia" w:ascii="宋体" w:hAnsi="宋体" w:eastAsia="宋体" w:cs="宋体"/>
          <w:szCs w:val="21"/>
          <w:lang w:eastAsia="zh-CN"/>
        </w:rPr>
        <w:t>3.4.请供应商下载</w:t>
      </w:r>
      <w:r>
        <w:rPr>
          <w:rFonts w:hint="eastAsia" w:ascii="宋体" w:hAnsi="宋体" w:eastAsia="宋体" w:cs="宋体"/>
          <w:szCs w:val="21"/>
          <w:lang w:val="en-US" w:eastAsia="zh-CN"/>
        </w:rPr>
        <w:t>采购</w:t>
      </w:r>
      <w:r>
        <w:rPr>
          <w:rFonts w:hint="eastAsia" w:ascii="宋体" w:hAnsi="宋体" w:eastAsia="宋体" w:cs="宋体"/>
          <w:szCs w:val="21"/>
          <w:lang w:eastAsia="zh-CN"/>
        </w:rPr>
        <w:t>文件后，及时关注系统业务菜单（“答疑澄清文件领取”、“控制价文件领取”）内该项目是否有的新的答疑澄清文件或控制价文件。如有请直接下载，不再另行通知。</w:t>
      </w:r>
    </w:p>
    <w:p w14:paraId="07D2AD0B">
      <w:pPr>
        <w:wordWrap w:val="0"/>
        <w:spacing w:line="360" w:lineRule="auto"/>
        <w:ind w:firstLine="440" w:firstLineChars="200"/>
        <w:rPr>
          <w:rFonts w:hint="eastAsia" w:ascii="宋体" w:hAnsi="宋体" w:eastAsia="宋体" w:cs="宋体"/>
          <w:szCs w:val="21"/>
          <w:lang w:eastAsia="zh-CN"/>
        </w:rPr>
      </w:pPr>
      <w:r>
        <w:rPr>
          <w:rFonts w:hint="eastAsia" w:ascii="宋体" w:hAnsi="宋体" w:eastAsia="宋体" w:cs="宋体"/>
          <w:szCs w:val="21"/>
          <w:lang w:eastAsia="zh-CN"/>
        </w:rPr>
        <w:t>4</w:t>
      </w:r>
      <w:r>
        <w:rPr>
          <w:rFonts w:hint="eastAsia" w:ascii="宋体" w:hAnsi="宋体" w:eastAsia="宋体" w:cs="宋体"/>
          <w:szCs w:val="21"/>
          <w:lang w:val="en-US" w:eastAsia="zh-CN"/>
        </w:rPr>
        <w:t>.</w:t>
      </w:r>
      <w:r>
        <w:rPr>
          <w:rFonts w:hint="eastAsia" w:ascii="宋体" w:hAnsi="宋体" w:eastAsia="宋体" w:cs="宋体"/>
          <w:szCs w:val="21"/>
          <w:lang w:eastAsia="zh-CN"/>
        </w:rPr>
        <w:t>售价：0元。</w:t>
      </w:r>
    </w:p>
    <w:p w14:paraId="3B4815F3">
      <w:pPr>
        <w:adjustRightInd w:val="0"/>
        <w:snapToGrid w:val="0"/>
        <w:spacing w:line="360" w:lineRule="auto"/>
        <w:outlineLvl w:val="1"/>
        <w:rPr>
          <w:b/>
          <w:bCs/>
          <w:color w:val="000000"/>
          <w:sz w:val="28"/>
          <w:szCs w:val="28"/>
        </w:rPr>
      </w:pPr>
      <w:r>
        <w:rPr>
          <w:rFonts w:hint="eastAsia"/>
          <w:b/>
          <w:bCs/>
          <w:color w:val="000000"/>
          <w:sz w:val="28"/>
          <w:szCs w:val="28"/>
        </w:rPr>
        <w:t>四、响应文件提交</w:t>
      </w:r>
    </w:p>
    <w:p w14:paraId="5014107B">
      <w:pPr>
        <w:adjustRightInd w:val="0"/>
        <w:snapToGrid w:val="0"/>
        <w:spacing w:line="360" w:lineRule="auto"/>
        <w:ind w:firstLine="440" w:firstLineChars="200"/>
        <w:rPr>
          <w:szCs w:val="21"/>
        </w:rPr>
      </w:pPr>
      <w:bookmarkStart w:id="19" w:name="_Toc428451190"/>
      <w:bookmarkStart w:id="20" w:name="_Toc24948"/>
      <w:bookmarkStart w:id="21" w:name="_Toc15509"/>
      <w:bookmarkStart w:id="22" w:name="_Toc31903"/>
      <w:bookmarkStart w:id="23" w:name="_Toc399492997"/>
      <w:bookmarkStart w:id="24" w:name="_Toc29419"/>
      <w:r>
        <w:rPr>
          <w:rFonts w:hint="eastAsia"/>
          <w:szCs w:val="21"/>
        </w:rPr>
        <w:t>1、</w:t>
      </w:r>
      <w:r>
        <w:rPr>
          <w:rFonts w:hint="eastAsia"/>
          <w:szCs w:val="21"/>
          <w:lang w:val="en-US" w:eastAsia="zh-CN"/>
        </w:rPr>
        <w:t>截止</w:t>
      </w:r>
      <w:r>
        <w:rPr>
          <w:rFonts w:hint="eastAsia"/>
          <w:szCs w:val="21"/>
        </w:rPr>
        <w:t>时间</w:t>
      </w:r>
      <w:r>
        <w:rPr>
          <w:rFonts w:hint="eastAsia"/>
          <w:color w:val="auto"/>
          <w:szCs w:val="21"/>
        </w:rPr>
        <w:t>：</w:t>
      </w:r>
      <w:r>
        <w:rPr>
          <w:rFonts w:hint="eastAsia"/>
          <w:color w:val="auto"/>
          <w:szCs w:val="21"/>
          <w:lang w:val="en-US"/>
        </w:rPr>
        <w:t xml:space="preserve"> </w:t>
      </w:r>
      <w:r>
        <w:rPr>
          <w:rFonts w:hint="eastAsia"/>
          <w:color w:val="auto"/>
          <w:szCs w:val="21"/>
        </w:rPr>
        <w:t>202</w:t>
      </w:r>
      <w:r>
        <w:rPr>
          <w:rFonts w:hint="eastAsia"/>
          <w:color w:val="auto"/>
          <w:szCs w:val="21"/>
          <w:lang w:val="en-US" w:eastAsia="zh-CN"/>
        </w:rPr>
        <w:t>6</w:t>
      </w:r>
      <w:r>
        <w:rPr>
          <w:rFonts w:hint="eastAsia"/>
          <w:color w:val="auto"/>
          <w:szCs w:val="21"/>
        </w:rPr>
        <w:t xml:space="preserve"> 年 </w:t>
      </w:r>
      <w:r>
        <w:rPr>
          <w:rFonts w:hint="eastAsia"/>
          <w:color w:val="auto"/>
          <w:szCs w:val="21"/>
          <w:lang w:val="en-US" w:eastAsia="zh-CN"/>
        </w:rPr>
        <w:t>8</w:t>
      </w:r>
      <w:r>
        <w:rPr>
          <w:rFonts w:hint="eastAsia"/>
          <w:color w:val="auto"/>
          <w:szCs w:val="21"/>
          <w:lang w:val="en-US"/>
        </w:rPr>
        <w:t xml:space="preserve"> </w:t>
      </w:r>
      <w:r>
        <w:rPr>
          <w:rFonts w:hint="eastAsia"/>
          <w:color w:val="auto"/>
          <w:szCs w:val="21"/>
        </w:rPr>
        <w:t xml:space="preserve">月 </w:t>
      </w:r>
      <w:r>
        <w:rPr>
          <w:rFonts w:hint="eastAsia"/>
          <w:color w:val="auto"/>
          <w:szCs w:val="21"/>
          <w:lang w:val="en-US" w:eastAsia="zh-CN"/>
        </w:rPr>
        <w:t xml:space="preserve">24 </w:t>
      </w:r>
      <w:r>
        <w:rPr>
          <w:rFonts w:hint="eastAsia"/>
          <w:color w:val="auto"/>
          <w:szCs w:val="21"/>
        </w:rPr>
        <w:t xml:space="preserve"> 日 </w:t>
      </w:r>
      <w:r>
        <w:rPr>
          <w:rFonts w:hint="eastAsia"/>
          <w:color w:val="auto"/>
          <w:szCs w:val="21"/>
          <w:lang w:val="en-US"/>
        </w:rPr>
        <w:t xml:space="preserve"> </w:t>
      </w:r>
      <w:r>
        <w:rPr>
          <w:rFonts w:hint="eastAsia"/>
          <w:color w:val="auto"/>
          <w:szCs w:val="21"/>
          <w:lang w:val="en-US" w:eastAsia="zh-CN"/>
        </w:rPr>
        <w:t xml:space="preserve">09 </w:t>
      </w:r>
      <w:r>
        <w:rPr>
          <w:rFonts w:hint="eastAsia"/>
          <w:color w:val="auto"/>
          <w:szCs w:val="21"/>
        </w:rPr>
        <w:t xml:space="preserve"> 时 </w:t>
      </w:r>
      <w:r>
        <w:rPr>
          <w:rFonts w:hint="eastAsia"/>
          <w:color w:val="auto"/>
          <w:szCs w:val="21"/>
          <w:lang w:val="en-US" w:eastAsia="zh-CN"/>
        </w:rPr>
        <w:t xml:space="preserve">30 </w:t>
      </w:r>
      <w:r>
        <w:rPr>
          <w:rFonts w:hint="eastAsia"/>
          <w:color w:val="auto"/>
          <w:szCs w:val="21"/>
          <w:lang w:val="en-US"/>
        </w:rPr>
        <w:t xml:space="preserve"> </w:t>
      </w:r>
      <w:r>
        <w:rPr>
          <w:rFonts w:hint="eastAsia"/>
          <w:color w:val="auto"/>
          <w:szCs w:val="21"/>
        </w:rPr>
        <w:t>分</w:t>
      </w:r>
      <w:r>
        <w:rPr>
          <w:rFonts w:hint="eastAsia"/>
          <w:szCs w:val="21"/>
        </w:rPr>
        <w:t>（北京时间）；</w:t>
      </w:r>
    </w:p>
    <w:p w14:paraId="5ED5D56B">
      <w:pPr>
        <w:widowControl/>
        <w:spacing w:line="360" w:lineRule="auto"/>
        <w:ind w:firstLine="440" w:firstLineChars="200"/>
        <w:rPr>
          <w:szCs w:val="21"/>
        </w:rPr>
      </w:pPr>
      <w:r>
        <w:rPr>
          <w:rFonts w:hint="eastAsia"/>
          <w:szCs w:val="21"/>
        </w:rPr>
        <w:t>2、地点：</w:t>
      </w:r>
      <w:r>
        <w:rPr>
          <w:rFonts w:hint="eastAsia"/>
          <w:szCs w:val="21"/>
          <w:lang w:val="en-US"/>
        </w:rPr>
        <w:t>响应</w:t>
      </w:r>
      <w:r>
        <w:rPr>
          <w:rFonts w:hint="eastAsia"/>
          <w:szCs w:val="21"/>
        </w:rPr>
        <w:t>文件递交地点为</w:t>
      </w:r>
      <w:r>
        <w:rPr>
          <w:rFonts w:hint="eastAsia" w:ascii="宋体" w:hAnsi="宋体" w:eastAsia="宋体" w:cs="宋体"/>
          <w:szCs w:val="21"/>
        </w:rPr>
        <w:t>信阳市公共资源交易中心商城县分中心</w:t>
      </w:r>
      <w:r>
        <w:rPr>
          <w:rFonts w:hint="eastAsia" w:ascii="宋体" w:hAnsi="宋体" w:eastAsia="宋体" w:cs="宋体"/>
          <w:color w:val="000000"/>
          <w:szCs w:val="21"/>
        </w:rPr>
        <w:t>（https://ggzyjy.xinyang.gov.cn/shangcheng/）</w:t>
      </w:r>
      <w:r>
        <w:rPr>
          <w:rFonts w:hint="eastAsia"/>
          <w:szCs w:val="21"/>
        </w:rPr>
        <w:t>电子招投标平台</w:t>
      </w:r>
      <w:r>
        <w:rPr>
          <w:rFonts w:hint="eastAsia"/>
          <w:szCs w:val="21"/>
          <w:lang w:val="en-US"/>
        </w:rPr>
        <w:t>交易</w:t>
      </w:r>
      <w:r>
        <w:rPr>
          <w:rFonts w:hint="eastAsia"/>
          <w:szCs w:val="21"/>
        </w:rPr>
        <w:t>系统指定位置；</w:t>
      </w:r>
    </w:p>
    <w:p w14:paraId="6BA839C9">
      <w:pPr>
        <w:adjustRightInd w:val="0"/>
        <w:snapToGrid w:val="0"/>
        <w:spacing w:line="360" w:lineRule="auto"/>
        <w:ind w:firstLine="440" w:firstLineChars="200"/>
        <w:rPr>
          <w:szCs w:val="21"/>
        </w:rPr>
      </w:pPr>
      <w:r>
        <w:rPr>
          <w:rFonts w:hint="eastAsia"/>
          <w:szCs w:val="21"/>
        </w:rPr>
        <w:t>3、网上</w:t>
      </w:r>
      <w:r>
        <w:rPr>
          <w:rFonts w:hint="eastAsia"/>
          <w:szCs w:val="21"/>
          <w:lang w:val="en-US" w:eastAsia="zh-CN"/>
        </w:rPr>
        <w:t>递</w:t>
      </w:r>
      <w:r>
        <w:rPr>
          <w:rFonts w:hint="eastAsia"/>
          <w:szCs w:val="21"/>
        </w:rPr>
        <w:t>交：</w:t>
      </w:r>
      <w:r>
        <w:rPr>
          <w:rFonts w:hint="eastAsia"/>
          <w:szCs w:val="21"/>
          <w:lang w:val="en-US"/>
        </w:rPr>
        <w:t>供应商</w:t>
      </w:r>
      <w:r>
        <w:rPr>
          <w:rFonts w:hint="eastAsia"/>
          <w:szCs w:val="21"/>
        </w:rPr>
        <w:t>应当在</w:t>
      </w:r>
      <w:r>
        <w:rPr>
          <w:rFonts w:hint="eastAsia"/>
          <w:szCs w:val="21"/>
          <w:lang w:val="en-US" w:eastAsia="zh-CN"/>
        </w:rPr>
        <w:t>递</w:t>
      </w:r>
      <w:r>
        <w:rPr>
          <w:rFonts w:hint="eastAsia"/>
          <w:szCs w:val="21"/>
        </w:rPr>
        <w:t>交</w:t>
      </w:r>
      <w:r>
        <w:rPr>
          <w:rFonts w:hint="eastAsia"/>
          <w:szCs w:val="21"/>
          <w:lang w:val="en-US"/>
        </w:rPr>
        <w:t>响应</w:t>
      </w:r>
      <w:r>
        <w:rPr>
          <w:rFonts w:hint="eastAsia"/>
          <w:szCs w:val="21"/>
        </w:rPr>
        <w:t>文件截止时间前，通过互联网使用 CA 数字证书登录 “</w:t>
      </w:r>
      <w:r>
        <w:rPr>
          <w:rFonts w:hint="eastAsia" w:ascii="宋体" w:hAnsi="宋体" w:eastAsia="宋体" w:cs="宋体"/>
          <w:szCs w:val="21"/>
        </w:rPr>
        <w:t>信阳市公共资源交易中心商城县分中心</w:t>
      </w:r>
      <w:r>
        <w:rPr>
          <w:rFonts w:hint="eastAsia"/>
          <w:szCs w:val="21"/>
        </w:rPr>
        <w:t>”，将已加密电子响应文件上传，并确定已加密</w:t>
      </w:r>
      <w:r>
        <w:rPr>
          <w:rFonts w:hint="eastAsia"/>
          <w:szCs w:val="21"/>
          <w:lang w:val="en-US"/>
        </w:rPr>
        <w:t>响应</w:t>
      </w:r>
      <w:r>
        <w:rPr>
          <w:rFonts w:hint="eastAsia"/>
          <w:szCs w:val="21"/>
        </w:rPr>
        <w:t>文件保存上传成功。逾期未完成上传或未按规定加密的</w:t>
      </w:r>
      <w:r>
        <w:rPr>
          <w:rFonts w:hint="eastAsia"/>
          <w:szCs w:val="21"/>
          <w:lang w:val="en-US"/>
        </w:rPr>
        <w:t>响应</w:t>
      </w:r>
      <w:r>
        <w:rPr>
          <w:rFonts w:hint="eastAsia"/>
          <w:szCs w:val="21"/>
        </w:rPr>
        <w:t>文件，</w:t>
      </w:r>
      <w:r>
        <w:rPr>
          <w:rFonts w:hint="eastAsia"/>
          <w:szCs w:val="21"/>
          <w:lang w:val="en-US"/>
        </w:rPr>
        <w:t>采购人</w:t>
      </w:r>
      <w:r>
        <w:rPr>
          <w:rFonts w:hint="eastAsia"/>
          <w:szCs w:val="21"/>
        </w:rPr>
        <w:t>将拒收；</w:t>
      </w:r>
    </w:p>
    <w:p w14:paraId="398114B5">
      <w:pPr>
        <w:wordWrap w:val="0"/>
        <w:adjustRightInd w:val="0"/>
        <w:snapToGrid w:val="0"/>
        <w:spacing w:line="360" w:lineRule="auto"/>
        <w:ind w:firstLine="440" w:firstLineChars="200"/>
        <w:rPr>
          <w:szCs w:val="21"/>
        </w:rPr>
      </w:pPr>
      <w:r>
        <w:rPr>
          <w:rFonts w:hint="eastAsia"/>
          <w:szCs w:val="21"/>
        </w:rPr>
        <w:t>4、本项目采用“不见面开标”交易方式，</w:t>
      </w:r>
      <w:r>
        <w:rPr>
          <w:rFonts w:hint="eastAsia"/>
          <w:szCs w:val="21"/>
          <w:lang w:val="en-US"/>
        </w:rPr>
        <w:t>供应商</w:t>
      </w:r>
      <w:r>
        <w:rPr>
          <w:rFonts w:hint="eastAsia"/>
          <w:szCs w:val="21"/>
        </w:rPr>
        <w:t>无需寄送和递交非加密的电子</w:t>
      </w:r>
      <w:r>
        <w:rPr>
          <w:rFonts w:hint="eastAsia"/>
          <w:szCs w:val="21"/>
          <w:lang w:val="en-US"/>
        </w:rPr>
        <w:t>响应</w:t>
      </w:r>
      <w:r>
        <w:rPr>
          <w:rFonts w:hint="eastAsia"/>
          <w:szCs w:val="21"/>
        </w:rPr>
        <w:t>文件，无需到现场参加开启会议，无需到达现场提交原件资料；</w:t>
      </w:r>
    </w:p>
    <w:p w14:paraId="3A6A5D1E">
      <w:pPr>
        <w:adjustRightInd w:val="0"/>
        <w:snapToGrid w:val="0"/>
        <w:spacing w:line="360" w:lineRule="auto"/>
        <w:ind w:firstLine="440" w:firstLineChars="200"/>
        <w:rPr>
          <w:szCs w:val="21"/>
        </w:rPr>
      </w:pPr>
      <w:r>
        <w:rPr>
          <w:rFonts w:hint="eastAsia"/>
          <w:szCs w:val="21"/>
        </w:rPr>
        <w:t>5、</w:t>
      </w:r>
      <w:r>
        <w:rPr>
          <w:rFonts w:hint="eastAsia"/>
          <w:szCs w:val="21"/>
          <w:lang w:val="en-US"/>
        </w:rPr>
        <w:t>供应商</w:t>
      </w:r>
      <w:r>
        <w:rPr>
          <w:rFonts w:hint="eastAsia"/>
          <w:szCs w:val="21"/>
        </w:rPr>
        <w:t>应当在截止时间前，使用供应商CA数字证书登录不见面开标大厅，在线签到并准时参加开启活动，并在规定时间内完成</w:t>
      </w:r>
      <w:r>
        <w:rPr>
          <w:rFonts w:hint="eastAsia"/>
          <w:szCs w:val="21"/>
          <w:lang w:val="en-US"/>
        </w:rPr>
        <w:t>响应</w:t>
      </w:r>
      <w:r>
        <w:rPr>
          <w:rFonts w:hint="eastAsia"/>
          <w:szCs w:val="21"/>
        </w:rPr>
        <w:t>文件解密、答疑澄清等；</w:t>
      </w:r>
    </w:p>
    <w:p w14:paraId="22C475C1">
      <w:pPr>
        <w:adjustRightInd w:val="0"/>
        <w:snapToGrid w:val="0"/>
        <w:spacing w:line="360" w:lineRule="auto"/>
        <w:ind w:firstLine="440" w:firstLineChars="200"/>
        <w:rPr>
          <w:szCs w:val="21"/>
        </w:rPr>
      </w:pPr>
      <w:r>
        <w:rPr>
          <w:rFonts w:hint="eastAsia"/>
          <w:szCs w:val="21"/>
        </w:rPr>
        <w:t>6、逾期解密或者没有准时在线参加开启活动导致的一切后果</w:t>
      </w:r>
      <w:r>
        <w:rPr>
          <w:rFonts w:hint="eastAsia"/>
          <w:szCs w:val="21"/>
          <w:lang w:val="en-US"/>
        </w:rPr>
        <w:t>供应商</w:t>
      </w:r>
      <w:r>
        <w:rPr>
          <w:rFonts w:hint="eastAsia"/>
          <w:szCs w:val="21"/>
        </w:rPr>
        <w:t>自行承担；</w:t>
      </w:r>
    </w:p>
    <w:p w14:paraId="6E08A32D">
      <w:pPr>
        <w:adjustRightInd w:val="0"/>
        <w:snapToGrid w:val="0"/>
        <w:spacing w:line="360" w:lineRule="auto"/>
        <w:ind w:firstLine="440" w:firstLineChars="200"/>
        <w:rPr>
          <w:rFonts w:hint="eastAsia" w:ascii="宋体" w:hAnsi="宋体"/>
          <w:b w:val="0"/>
          <w:bCs w:val="0"/>
          <w:sz w:val="24"/>
        </w:rPr>
      </w:pPr>
      <w:r>
        <w:rPr>
          <w:rFonts w:hint="eastAsia"/>
          <w:szCs w:val="21"/>
        </w:rPr>
        <w:t>7、不见</w:t>
      </w:r>
      <w:r>
        <w:rPr>
          <w:rFonts w:hint="eastAsia" w:ascii="宋体" w:hAnsi="宋体" w:eastAsia="宋体" w:cs="宋体"/>
          <w:szCs w:val="21"/>
        </w:rPr>
        <w:t>面开标服务的具体事宜，</w:t>
      </w:r>
      <w:r>
        <w:rPr>
          <w:rFonts w:hint="eastAsia" w:ascii="宋体" w:hAnsi="宋体" w:eastAsia="宋体" w:cs="宋体"/>
          <w:szCs w:val="21"/>
          <w:lang w:eastAsia="zh-CN"/>
        </w:rPr>
        <w:t>请查阅“全国公共资源交易平台（河南省·信阳市）”网站首页—下载专区—信阳市不见面开标大厅系统操作手册</w:t>
      </w:r>
      <w:r>
        <w:rPr>
          <w:rFonts w:hint="eastAsia" w:ascii="宋体" w:hAnsi="宋体" w:eastAsia="宋体" w:cs="宋体"/>
          <w:szCs w:val="21"/>
        </w:rPr>
        <w:t>。</w:t>
      </w:r>
    </w:p>
    <w:p w14:paraId="4399AAF8">
      <w:pPr>
        <w:adjustRightInd w:val="0"/>
        <w:snapToGrid w:val="0"/>
        <w:spacing w:line="360" w:lineRule="auto"/>
        <w:ind w:firstLine="440" w:firstLineChars="200"/>
        <w:rPr>
          <w:rFonts w:hint="eastAsia" w:ascii="宋体" w:hAnsi="宋体"/>
          <w:b w:val="0"/>
          <w:bCs w:val="0"/>
          <w:sz w:val="24"/>
        </w:rPr>
      </w:pPr>
      <w:r>
        <w:rPr>
          <w:rFonts w:hint="eastAsia"/>
          <w:szCs w:val="21"/>
        </w:rPr>
        <w:t>8、特别</w:t>
      </w:r>
      <w:r>
        <w:rPr>
          <w:rFonts w:hint="eastAsia" w:ascii="宋体" w:hAnsi="宋体" w:eastAsia="宋体" w:cs="宋体"/>
          <w:szCs w:val="21"/>
          <w:lang w:eastAsia="zh-CN"/>
        </w:rPr>
        <w:t>提示：供应商在线签到时，应如实准确的填写授权委托人的联系电话，开标当天请务必保证电话保持畅通。供应商在评标过程中应当时刻关注评标进程，在短信提醒需要在线答疑澄清、二次报价时在规定时间内进行相关操作，未在规定时间内操作造成的一切后果由供应商自行承担。</w:t>
      </w:r>
    </w:p>
    <w:p w14:paraId="6C3DAE44">
      <w:pPr>
        <w:adjustRightInd w:val="0"/>
        <w:snapToGrid w:val="0"/>
        <w:spacing w:line="360" w:lineRule="auto"/>
        <w:ind w:firstLine="440" w:firstLineChars="200"/>
        <w:rPr>
          <w:szCs w:val="21"/>
        </w:rPr>
      </w:pPr>
      <w:r>
        <w:rPr>
          <w:rFonts w:hint="eastAsia"/>
          <w:szCs w:val="21"/>
        </w:rPr>
        <w:t>9、其他注意事项：</w:t>
      </w:r>
      <w:r>
        <w:rPr>
          <w:rFonts w:hint="eastAsia"/>
          <w:szCs w:val="21"/>
          <w:lang w:val="en-US"/>
        </w:rPr>
        <w:t>供应商</w:t>
      </w:r>
      <w:r>
        <w:rPr>
          <w:rFonts w:hint="eastAsia"/>
          <w:szCs w:val="21"/>
        </w:rPr>
        <w:t>编制</w:t>
      </w:r>
      <w:r>
        <w:rPr>
          <w:rFonts w:hint="eastAsia"/>
          <w:szCs w:val="21"/>
          <w:lang w:val="en-US"/>
        </w:rPr>
        <w:t>响应</w:t>
      </w:r>
      <w:r>
        <w:rPr>
          <w:rFonts w:hint="eastAsia"/>
          <w:szCs w:val="21"/>
        </w:rPr>
        <w:t>文件时，涉及营业执照、资质、业绩、获奖、人员、财务、社保、纳税、各类证书及证明文件等内容，须原件扫描编制在</w:t>
      </w:r>
      <w:r>
        <w:rPr>
          <w:rFonts w:hint="eastAsia"/>
          <w:szCs w:val="21"/>
          <w:lang w:val="en-US"/>
        </w:rPr>
        <w:t>响应</w:t>
      </w:r>
      <w:r>
        <w:rPr>
          <w:rFonts w:hint="eastAsia"/>
          <w:szCs w:val="21"/>
        </w:rPr>
        <w:t>文件内。</w:t>
      </w:r>
    </w:p>
    <w:p w14:paraId="5C710CEB">
      <w:pPr>
        <w:adjustRightInd w:val="0"/>
        <w:snapToGrid w:val="0"/>
        <w:spacing w:line="360" w:lineRule="auto"/>
        <w:outlineLvl w:val="1"/>
        <w:rPr>
          <w:b/>
          <w:bCs/>
          <w:color w:val="000000"/>
          <w:sz w:val="28"/>
          <w:szCs w:val="28"/>
        </w:rPr>
      </w:pPr>
      <w:r>
        <w:rPr>
          <w:rFonts w:hint="eastAsia"/>
          <w:b/>
          <w:bCs/>
          <w:color w:val="000000"/>
          <w:sz w:val="28"/>
          <w:szCs w:val="28"/>
        </w:rPr>
        <w:t>五、响应文件开启</w:t>
      </w:r>
    </w:p>
    <w:p w14:paraId="6ABFDD19">
      <w:pPr>
        <w:spacing w:line="360" w:lineRule="auto"/>
        <w:ind w:firstLine="440" w:firstLineChars="200"/>
        <w:rPr>
          <w:color w:val="000000"/>
          <w:szCs w:val="21"/>
        </w:rPr>
      </w:pPr>
      <w:r>
        <w:rPr>
          <w:rFonts w:hint="eastAsia"/>
          <w:color w:val="000000"/>
          <w:szCs w:val="21"/>
        </w:rPr>
        <w:t>1、开标时间：</w:t>
      </w:r>
      <w:r>
        <w:rPr>
          <w:rFonts w:hint="eastAsia"/>
          <w:color w:val="auto"/>
          <w:szCs w:val="21"/>
        </w:rPr>
        <w:t xml:space="preserve"> 202</w:t>
      </w:r>
      <w:r>
        <w:rPr>
          <w:rFonts w:hint="eastAsia"/>
          <w:color w:val="auto"/>
          <w:szCs w:val="21"/>
          <w:lang w:val="en-US" w:eastAsia="zh-CN"/>
        </w:rPr>
        <w:t>6</w:t>
      </w:r>
      <w:r>
        <w:rPr>
          <w:rFonts w:hint="eastAsia"/>
          <w:color w:val="auto"/>
          <w:szCs w:val="21"/>
        </w:rPr>
        <w:t xml:space="preserve"> 年 </w:t>
      </w:r>
      <w:r>
        <w:rPr>
          <w:rFonts w:hint="eastAsia"/>
          <w:color w:val="auto"/>
          <w:szCs w:val="21"/>
          <w:lang w:val="en-US"/>
        </w:rPr>
        <w:t xml:space="preserve"> </w:t>
      </w:r>
      <w:r>
        <w:rPr>
          <w:rFonts w:hint="eastAsia"/>
          <w:color w:val="auto"/>
          <w:szCs w:val="21"/>
          <w:lang w:val="en-US" w:eastAsia="zh-CN"/>
        </w:rPr>
        <w:t>8</w:t>
      </w:r>
      <w:r>
        <w:rPr>
          <w:rFonts w:hint="eastAsia"/>
          <w:color w:val="auto"/>
          <w:szCs w:val="21"/>
          <w:lang w:val="en-US"/>
        </w:rPr>
        <w:t xml:space="preserve">  </w:t>
      </w:r>
      <w:r>
        <w:rPr>
          <w:rFonts w:hint="eastAsia"/>
          <w:color w:val="auto"/>
          <w:szCs w:val="21"/>
        </w:rPr>
        <w:t>月</w:t>
      </w:r>
      <w:r>
        <w:rPr>
          <w:rFonts w:hint="eastAsia"/>
          <w:color w:val="auto"/>
          <w:szCs w:val="21"/>
          <w:lang w:val="en-US"/>
        </w:rPr>
        <w:t xml:space="preserve">  </w:t>
      </w:r>
      <w:r>
        <w:rPr>
          <w:rFonts w:hint="eastAsia"/>
          <w:color w:val="auto"/>
          <w:szCs w:val="21"/>
          <w:lang w:val="en-US" w:eastAsia="zh-CN"/>
        </w:rPr>
        <w:t>24</w:t>
      </w:r>
      <w:r>
        <w:rPr>
          <w:rFonts w:hint="eastAsia"/>
          <w:color w:val="auto"/>
          <w:szCs w:val="21"/>
          <w:lang w:val="en-US"/>
        </w:rPr>
        <w:t xml:space="preserve"> </w:t>
      </w:r>
      <w:r>
        <w:rPr>
          <w:rFonts w:hint="eastAsia"/>
          <w:color w:val="auto"/>
          <w:szCs w:val="21"/>
        </w:rPr>
        <w:t xml:space="preserve">日 </w:t>
      </w:r>
      <w:r>
        <w:rPr>
          <w:rFonts w:hint="eastAsia"/>
          <w:color w:val="auto"/>
          <w:szCs w:val="21"/>
          <w:lang w:val="en-US"/>
        </w:rPr>
        <w:t xml:space="preserve"> </w:t>
      </w:r>
      <w:r>
        <w:rPr>
          <w:rFonts w:hint="eastAsia"/>
          <w:color w:val="auto"/>
          <w:szCs w:val="21"/>
          <w:lang w:val="en-US" w:eastAsia="zh-CN"/>
        </w:rPr>
        <w:t>09</w:t>
      </w:r>
      <w:r>
        <w:rPr>
          <w:rFonts w:hint="eastAsia"/>
          <w:color w:val="auto"/>
          <w:szCs w:val="21"/>
          <w:lang w:val="en-US"/>
        </w:rPr>
        <w:t xml:space="preserve">  </w:t>
      </w:r>
      <w:r>
        <w:rPr>
          <w:rFonts w:hint="eastAsia"/>
          <w:color w:val="auto"/>
          <w:szCs w:val="21"/>
        </w:rPr>
        <w:t xml:space="preserve">时 </w:t>
      </w:r>
      <w:r>
        <w:rPr>
          <w:rFonts w:hint="eastAsia"/>
          <w:color w:val="auto"/>
          <w:szCs w:val="21"/>
          <w:lang w:val="en-US"/>
        </w:rPr>
        <w:t xml:space="preserve"> </w:t>
      </w:r>
      <w:r>
        <w:rPr>
          <w:rFonts w:hint="eastAsia"/>
          <w:color w:val="auto"/>
          <w:szCs w:val="21"/>
          <w:lang w:val="en-US" w:eastAsia="zh-CN"/>
        </w:rPr>
        <w:t xml:space="preserve">30 </w:t>
      </w:r>
      <w:r>
        <w:rPr>
          <w:rFonts w:hint="eastAsia"/>
          <w:color w:val="auto"/>
          <w:szCs w:val="21"/>
        </w:rPr>
        <w:t>分</w:t>
      </w:r>
      <w:r>
        <w:rPr>
          <w:rFonts w:hint="eastAsia"/>
          <w:szCs w:val="21"/>
        </w:rPr>
        <w:t>（</w:t>
      </w:r>
      <w:r>
        <w:rPr>
          <w:rFonts w:hint="eastAsia"/>
          <w:color w:val="000000"/>
          <w:szCs w:val="21"/>
        </w:rPr>
        <w:t>北京时间）；</w:t>
      </w:r>
    </w:p>
    <w:p w14:paraId="54A79074">
      <w:pPr>
        <w:wordWrap w:val="0"/>
        <w:spacing w:line="360" w:lineRule="auto"/>
        <w:ind w:firstLine="440" w:firstLineChars="200"/>
        <w:rPr>
          <w:color w:val="0000FF"/>
        </w:rPr>
      </w:pPr>
      <w:r>
        <w:rPr>
          <w:rFonts w:hint="eastAsia"/>
          <w:color w:val="000000"/>
          <w:szCs w:val="21"/>
        </w:rPr>
        <w:t>2、开标地点：</w:t>
      </w:r>
      <w:r>
        <w:rPr>
          <w:rFonts w:hint="eastAsia" w:ascii="宋体" w:hAnsi="宋体" w:eastAsia="宋体" w:cs="宋体"/>
          <w:szCs w:val="21"/>
        </w:rPr>
        <w:t>信阳市公共资源交易中心商城县分中心</w:t>
      </w:r>
      <w:r>
        <w:rPr>
          <w:rFonts w:hint="eastAsia"/>
          <w:color w:val="auto"/>
          <w:szCs w:val="21"/>
        </w:rPr>
        <w:t>不见面开标大厅</w:t>
      </w:r>
    </w:p>
    <w:p w14:paraId="029F71EB">
      <w:pPr>
        <w:adjustRightInd w:val="0"/>
        <w:snapToGrid w:val="0"/>
        <w:spacing w:line="360" w:lineRule="auto"/>
        <w:outlineLvl w:val="1"/>
        <w:rPr>
          <w:b/>
          <w:bCs/>
          <w:color w:val="000000"/>
          <w:sz w:val="28"/>
          <w:szCs w:val="28"/>
        </w:rPr>
      </w:pPr>
      <w:r>
        <w:rPr>
          <w:rFonts w:hint="eastAsia"/>
          <w:b/>
          <w:bCs/>
          <w:color w:val="000000"/>
          <w:sz w:val="28"/>
          <w:szCs w:val="28"/>
        </w:rPr>
        <w:t>六、发布公告的媒介</w:t>
      </w:r>
      <w:bookmarkEnd w:id="19"/>
      <w:bookmarkEnd w:id="20"/>
      <w:bookmarkEnd w:id="21"/>
      <w:bookmarkEnd w:id="22"/>
      <w:bookmarkEnd w:id="23"/>
      <w:bookmarkEnd w:id="24"/>
      <w:r>
        <w:rPr>
          <w:rFonts w:hint="eastAsia"/>
          <w:b/>
          <w:bCs/>
          <w:color w:val="000000"/>
          <w:sz w:val="28"/>
          <w:szCs w:val="28"/>
        </w:rPr>
        <w:t>及公告期限</w:t>
      </w:r>
    </w:p>
    <w:p w14:paraId="715B1BE4">
      <w:pPr>
        <w:wordWrap w:val="0"/>
        <w:spacing w:line="360" w:lineRule="auto"/>
        <w:ind w:firstLine="440" w:firstLineChars="200"/>
        <w:rPr>
          <w:rFonts w:hint="eastAsia" w:ascii="宋体" w:hAnsi="宋体" w:eastAsia="宋体" w:cs="宋体"/>
          <w:szCs w:val="21"/>
          <w:lang w:val="en-US"/>
        </w:rPr>
      </w:pPr>
      <w:bookmarkStart w:id="25" w:name="_Toc349894128"/>
      <w:bookmarkStart w:id="26" w:name="_Toc4221"/>
      <w:bookmarkStart w:id="27" w:name="_Toc8132"/>
      <w:bookmarkStart w:id="28" w:name="_Toc399492998"/>
      <w:bookmarkStart w:id="29" w:name="_Toc12305"/>
      <w:bookmarkStart w:id="30" w:name="_Toc2420"/>
      <w:bookmarkStart w:id="31" w:name="_Toc428451191"/>
      <w:bookmarkStart w:id="32" w:name="_Toc352658532"/>
      <w:r>
        <w:rPr>
          <w:rFonts w:hint="eastAsia" w:ascii="宋体" w:hAnsi="宋体" w:eastAsia="宋体" w:cs="宋体"/>
          <w:szCs w:val="21"/>
        </w:rPr>
        <w:t>本</w:t>
      </w:r>
      <w:r>
        <w:rPr>
          <w:rFonts w:hint="eastAsia" w:ascii="宋体" w:hAnsi="宋体" w:eastAsia="宋体" w:cs="宋体"/>
          <w:szCs w:val="21"/>
          <w:lang w:val="en-US"/>
        </w:rPr>
        <w:t>磋商</w:t>
      </w:r>
      <w:r>
        <w:rPr>
          <w:rFonts w:hint="eastAsia" w:ascii="宋体" w:hAnsi="宋体" w:eastAsia="宋体" w:cs="宋体"/>
          <w:szCs w:val="21"/>
        </w:rPr>
        <w:t>公告同时在《河南省政府采购网》、《中国招标投标公共服务平台》、《信阳市公共资源交易中心商城县分中心》平台上发布。公告期限</w:t>
      </w:r>
      <w:r>
        <w:rPr>
          <w:rFonts w:hint="eastAsia" w:ascii="宋体" w:hAnsi="宋体" w:eastAsia="宋体" w:cs="宋体"/>
          <w:szCs w:val="21"/>
          <w:lang w:eastAsia="zh-CN"/>
        </w:rPr>
        <w:t>为</w:t>
      </w:r>
      <w:r>
        <w:rPr>
          <w:rFonts w:hint="eastAsia" w:cs="宋体"/>
          <w:szCs w:val="21"/>
          <w:lang w:val="en-US" w:eastAsia="zh-CN"/>
        </w:rPr>
        <w:t>3</w:t>
      </w:r>
      <w:r>
        <w:rPr>
          <w:rFonts w:hint="eastAsia" w:ascii="宋体" w:hAnsi="宋体" w:eastAsia="宋体" w:cs="宋体"/>
          <w:szCs w:val="21"/>
        </w:rPr>
        <w:t>个工作日。</w:t>
      </w:r>
    </w:p>
    <w:p w14:paraId="49FF8764">
      <w:pPr>
        <w:adjustRightInd w:val="0"/>
        <w:snapToGrid w:val="0"/>
        <w:spacing w:line="360" w:lineRule="auto"/>
        <w:outlineLvl w:val="1"/>
        <w:rPr>
          <w:b/>
          <w:bCs/>
          <w:color w:val="000000"/>
          <w:sz w:val="28"/>
          <w:szCs w:val="28"/>
        </w:rPr>
      </w:pPr>
      <w:r>
        <w:rPr>
          <w:rFonts w:hint="eastAsia"/>
          <w:b/>
          <w:bCs/>
          <w:color w:val="000000"/>
          <w:sz w:val="28"/>
          <w:szCs w:val="28"/>
        </w:rPr>
        <w:t>七、其他补充事宜</w:t>
      </w:r>
    </w:p>
    <w:p w14:paraId="7ADBDCC4">
      <w:pPr>
        <w:wordWrap w:val="0"/>
        <w:spacing w:line="360" w:lineRule="auto"/>
        <w:ind w:firstLine="440" w:firstLineChars="200"/>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本项目落实的政府采购政策：</w:t>
      </w:r>
    </w:p>
    <w:p w14:paraId="581B6BE3">
      <w:pPr>
        <w:wordWrap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（1）《政府采购促进中小企业发展管理办法》｛财库〔2020〕46 号｝；</w:t>
      </w:r>
    </w:p>
    <w:p w14:paraId="309D8AD9">
      <w:pPr>
        <w:wordWrap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（2）《财政部、司法部关于政府采购支持监狱企业发展有关问题的通知》（财库[2014]68号）；</w:t>
      </w:r>
    </w:p>
    <w:bookmarkEnd w:id="25"/>
    <w:bookmarkEnd w:id="26"/>
    <w:bookmarkEnd w:id="27"/>
    <w:bookmarkEnd w:id="28"/>
    <w:bookmarkEnd w:id="29"/>
    <w:bookmarkEnd w:id="30"/>
    <w:bookmarkEnd w:id="31"/>
    <w:bookmarkEnd w:id="32"/>
    <w:p w14:paraId="05FF3261">
      <w:pPr>
        <w:wordWrap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（3）《三部门联合发布关于促进残疾人就业政府采购政策的通知》（财库[2017]141号）；</w:t>
      </w:r>
    </w:p>
    <w:p w14:paraId="36A77926">
      <w:pPr>
        <w:wordWrap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rPr>
        <w:t>4</w:t>
      </w:r>
      <w:r>
        <w:rPr>
          <w:rFonts w:hint="eastAsia" w:ascii="宋体" w:hAnsi="宋体" w:eastAsia="宋体" w:cs="宋体"/>
          <w:szCs w:val="21"/>
        </w:rPr>
        <w:t>）《河南省政府采购合同融资工作实施方案》（豫财购</w:t>
      </w:r>
      <w:r>
        <w:rPr>
          <w:rFonts w:hint="eastAsia" w:ascii="宋体" w:hAnsi="宋体" w:eastAsia="宋体" w:cs="宋体"/>
          <w:szCs w:val="21"/>
          <w:lang w:val="en-US"/>
        </w:rPr>
        <w:t>[</w:t>
      </w:r>
      <w:r>
        <w:rPr>
          <w:rFonts w:hint="eastAsia" w:ascii="宋体" w:hAnsi="宋体" w:eastAsia="宋体" w:cs="宋体"/>
          <w:szCs w:val="21"/>
        </w:rPr>
        <w:t>2017</w:t>
      </w:r>
      <w:r>
        <w:rPr>
          <w:rFonts w:hint="eastAsia" w:ascii="宋体" w:hAnsi="宋体" w:eastAsia="宋体" w:cs="宋体"/>
          <w:szCs w:val="21"/>
          <w:lang w:val="en-US"/>
        </w:rPr>
        <w:t>]</w:t>
      </w:r>
      <w:r>
        <w:rPr>
          <w:rFonts w:hint="eastAsia" w:ascii="宋体" w:hAnsi="宋体" w:eastAsia="宋体" w:cs="宋体"/>
          <w:szCs w:val="21"/>
        </w:rPr>
        <w:t>10号）；</w:t>
      </w:r>
    </w:p>
    <w:p w14:paraId="1053777C">
      <w:pPr>
        <w:wordWrap w:val="0"/>
        <w:spacing w:line="360" w:lineRule="auto"/>
        <w:ind w:firstLine="44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rPr>
        <w:t>5</w:t>
      </w:r>
      <w:r>
        <w:rPr>
          <w:rFonts w:hint="eastAsia" w:ascii="宋体" w:hAnsi="宋体" w:eastAsia="宋体" w:cs="宋体"/>
          <w:szCs w:val="21"/>
        </w:rPr>
        <w:t>）《</w:t>
      </w:r>
      <w:r>
        <w:rPr>
          <w:rFonts w:hint="eastAsia" w:ascii="宋体" w:hAnsi="宋体" w:eastAsia="宋体" w:cs="宋体"/>
          <w:szCs w:val="21"/>
          <w:lang w:val="en-US"/>
        </w:rPr>
        <w:t>关于进一步加大政府采购支持中小企业力度的通知</w:t>
      </w:r>
      <w:r>
        <w:rPr>
          <w:rFonts w:hint="eastAsia" w:ascii="宋体" w:hAnsi="宋体" w:eastAsia="宋体" w:cs="宋体"/>
          <w:szCs w:val="21"/>
        </w:rPr>
        <w:t>》（</w:t>
      </w:r>
      <w:r>
        <w:rPr>
          <w:rFonts w:hint="eastAsia" w:ascii="宋体" w:hAnsi="宋体" w:eastAsia="宋体" w:cs="宋体"/>
          <w:szCs w:val="21"/>
          <w:lang w:val="en-US"/>
        </w:rPr>
        <w:t>财库〔2022〕19号</w:t>
      </w:r>
      <w:r>
        <w:rPr>
          <w:rFonts w:hint="eastAsia" w:ascii="宋体" w:hAnsi="宋体" w:eastAsia="宋体" w:cs="宋体"/>
          <w:szCs w:val="21"/>
        </w:rPr>
        <w:t>）。</w:t>
      </w:r>
    </w:p>
    <w:p w14:paraId="202542B9">
      <w:pPr>
        <w:wordWrap w:val="0"/>
        <w:spacing w:line="360" w:lineRule="auto"/>
        <w:ind w:firstLine="440" w:firstLineChars="200"/>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监督部门：</w:t>
      </w:r>
    </w:p>
    <w:p w14:paraId="1E6A1D3C">
      <w:pPr>
        <w:wordWrap w:val="0"/>
        <w:spacing w:line="360" w:lineRule="auto"/>
        <w:ind w:firstLine="440" w:firstLineChars="200"/>
        <w:rPr>
          <w:rFonts w:hint="eastAsia" w:ascii="宋体" w:hAnsi="宋体" w:eastAsia="宋体" w:cs="宋体"/>
          <w:szCs w:val="21"/>
          <w:lang w:eastAsia="zh-CN"/>
        </w:rPr>
      </w:pPr>
      <w:r>
        <w:rPr>
          <w:rFonts w:hint="eastAsia" w:ascii="宋体" w:hAnsi="宋体" w:eastAsia="宋体" w:cs="宋体"/>
          <w:szCs w:val="21"/>
        </w:rPr>
        <w:t>联系人：</w:t>
      </w:r>
      <w:r>
        <w:rPr>
          <w:rFonts w:hint="eastAsia" w:ascii="宋体" w:hAnsi="宋体" w:eastAsia="宋体" w:cs="宋体"/>
          <w:szCs w:val="21"/>
          <w:lang w:eastAsia="zh-CN"/>
        </w:rPr>
        <w:t>商城县财政局</w:t>
      </w:r>
    </w:p>
    <w:p w14:paraId="50E3386D">
      <w:pPr>
        <w:wordWrap w:val="0"/>
        <w:spacing w:line="360" w:lineRule="auto"/>
        <w:ind w:firstLine="440" w:firstLineChars="200"/>
        <w:rPr>
          <w:rFonts w:hint="default" w:ascii="宋体" w:hAnsi="宋体" w:eastAsia="宋体" w:cs="宋体"/>
          <w:color w:val="FF0000"/>
          <w:szCs w:val="21"/>
          <w:lang w:val="en-US" w:eastAsia="zh-CN"/>
        </w:rPr>
      </w:pPr>
      <w:r>
        <w:rPr>
          <w:rFonts w:hint="eastAsia" w:ascii="宋体" w:hAnsi="宋体" w:eastAsia="宋体" w:cs="宋体"/>
          <w:szCs w:val="21"/>
        </w:rPr>
        <w:t>监督电</w:t>
      </w:r>
      <w:r>
        <w:rPr>
          <w:rFonts w:hint="eastAsia" w:ascii="宋体" w:hAnsi="宋体" w:eastAsia="宋体" w:cs="宋体"/>
          <w:color w:val="auto"/>
          <w:szCs w:val="21"/>
        </w:rPr>
        <w:t>话：0376-</w:t>
      </w:r>
      <w:r>
        <w:rPr>
          <w:rFonts w:hint="eastAsia" w:cs="宋体"/>
          <w:color w:val="auto"/>
          <w:szCs w:val="21"/>
          <w:lang w:val="en-US" w:eastAsia="zh-CN"/>
        </w:rPr>
        <w:t>7956695</w:t>
      </w:r>
    </w:p>
    <w:p w14:paraId="7D08CE84">
      <w:pPr>
        <w:wordWrap w:val="0"/>
        <w:spacing w:line="360" w:lineRule="auto"/>
        <w:ind w:firstLine="440" w:firstLineChars="200"/>
        <w:rPr>
          <w:rFonts w:hint="default" w:ascii="宋体" w:hAnsi="宋体" w:eastAsia="宋体" w:cs="宋体"/>
          <w:szCs w:val="21"/>
          <w:lang w:val="en-US" w:eastAsia="zh-CN"/>
        </w:rPr>
      </w:pPr>
      <w:r>
        <w:rPr>
          <w:rFonts w:hint="eastAsia" w:ascii="宋体" w:hAnsi="宋体" w:eastAsia="宋体" w:cs="宋体"/>
          <w:szCs w:val="21"/>
          <w:lang w:val="en-US" w:eastAsia="zh-CN"/>
        </w:rPr>
        <w:t>3、本项目按照《河南省招标代理服务收费指导意见》豫招协【2023】002号文件的规定收取代理费用，代理服务费金额为</w:t>
      </w:r>
      <w:r>
        <w:rPr>
          <w:rFonts w:hint="eastAsia" w:cs="宋体"/>
          <w:szCs w:val="21"/>
          <w:lang w:val="en-US" w:eastAsia="zh-CN"/>
        </w:rPr>
        <w:t>124</w:t>
      </w:r>
      <w:r>
        <w:rPr>
          <w:rFonts w:hint="eastAsia" w:ascii="宋体" w:hAnsi="宋体" w:eastAsia="宋体" w:cs="宋体"/>
          <w:szCs w:val="21"/>
          <w:lang w:val="en-US" w:eastAsia="zh-CN"/>
        </w:rPr>
        <w:t>00.00元。</w:t>
      </w:r>
    </w:p>
    <w:p w14:paraId="44BA998F">
      <w:pPr>
        <w:adjustRightInd w:val="0"/>
        <w:snapToGrid w:val="0"/>
        <w:spacing w:line="360" w:lineRule="auto"/>
        <w:outlineLvl w:val="1"/>
        <w:rPr>
          <w:b/>
          <w:bCs/>
          <w:color w:val="000000"/>
          <w:sz w:val="28"/>
          <w:szCs w:val="28"/>
        </w:rPr>
      </w:pPr>
      <w:r>
        <w:rPr>
          <w:rFonts w:hint="eastAsia"/>
          <w:b/>
          <w:bCs/>
          <w:color w:val="000000"/>
          <w:sz w:val="28"/>
          <w:szCs w:val="28"/>
        </w:rPr>
        <w:t>八、凡对本次采购提出询问，请按照以下方式联系</w:t>
      </w:r>
      <w:bookmarkStart w:id="33" w:name="_TOC_250203"/>
      <w:bookmarkEnd w:id="33"/>
    </w:p>
    <w:p w14:paraId="3DCA9C3F">
      <w:pPr>
        <w:wordWrap w:val="0"/>
        <w:spacing w:line="360" w:lineRule="auto"/>
        <w:ind w:firstLine="440" w:firstLineChars="200"/>
        <w:rPr>
          <w:szCs w:val="21"/>
        </w:rPr>
      </w:pPr>
      <w:r>
        <w:rPr>
          <w:rFonts w:hint="eastAsia"/>
          <w:szCs w:val="21"/>
        </w:rPr>
        <w:t>1、采购人信息</w:t>
      </w:r>
    </w:p>
    <w:p w14:paraId="5CCA2BE4">
      <w:pPr>
        <w:wordWrap w:val="0"/>
        <w:spacing w:line="360" w:lineRule="auto"/>
        <w:ind w:firstLine="660" w:firstLineChars="300"/>
        <w:rPr>
          <w:rFonts w:hint="eastAsia" w:ascii="宋体" w:hAnsi="宋体" w:eastAsia="宋体" w:cs="宋体"/>
          <w:color w:val="auto"/>
          <w:szCs w:val="21"/>
          <w:lang w:val="en-US" w:eastAsia="zh-CN"/>
        </w:rPr>
      </w:pPr>
      <w:r>
        <w:rPr>
          <w:rFonts w:hint="eastAsia"/>
          <w:color w:val="auto"/>
          <w:szCs w:val="21"/>
        </w:rPr>
        <w:t>名称</w:t>
      </w:r>
      <w:r>
        <w:rPr>
          <w:rFonts w:hint="eastAsia" w:ascii="宋体" w:hAnsi="宋体" w:eastAsia="宋体" w:cs="宋体"/>
          <w:color w:val="auto"/>
          <w:szCs w:val="21"/>
          <w:lang w:val="en-US" w:eastAsia="zh-CN"/>
        </w:rPr>
        <w:t>：商城县人民政府鲇鱼山街道办事处</w:t>
      </w:r>
    </w:p>
    <w:p w14:paraId="7F6B961F">
      <w:pPr>
        <w:wordWrap w:val="0"/>
        <w:spacing w:line="360" w:lineRule="auto"/>
        <w:ind w:firstLine="660" w:firstLineChars="300"/>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地址：商城县鲇鱼山街道美人岗路</w:t>
      </w:r>
    </w:p>
    <w:p w14:paraId="4BE63066">
      <w:pPr>
        <w:wordWrap w:val="0"/>
        <w:spacing w:line="360" w:lineRule="auto"/>
        <w:ind w:firstLine="660" w:firstLineChars="3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联系人：汤振东 </w:t>
      </w:r>
    </w:p>
    <w:p w14:paraId="4B58F380">
      <w:pPr>
        <w:wordWrap w:val="0"/>
        <w:spacing w:line="360" w:lineRule="auto"/>
        <w:ind w:firstLine="660" w:firstLineChars="300"/>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联系电话：18569815155</w:t>
      </w:r>
    </w:p>
    <w:p w14:paraId="7B371FC0">
      <w:pPr>
        <w:wordWrap w:val="0"/>
        <w:spacing w:line="360" w:lineRule="auto"/>
        <w:ind w:firstLine="440" w:firstLineChars="200"/>
        <w:rPr>
          <w:szCs w:val="21"/>
        </w:rPr>
      </w:pPr>
      <w:r>
        <w:rPr>
          <w:rFonts w:hint="eastAsia"/>
          <w:szCs w:val="21"/>
        </w:rPr>
        <w:t>2、采购代理机构信息</w:t>
      </w:r>
    </w:p>
    <w:p w14:paraId="45B8400C">
      <w:pPr>
        <w:wordWrap w:val="0"/>
        <w:spacing w:line="360" w:lineRule="auto"/>
        <w:ind w:firstLine="660" w:firstLineChars="300"/>
        <w:rPr>
          <w:szCs w:val="21"/>
        </w:rPr>
      </w:pPr>
      <w:r>
        <w:rPr>
          <w:rFonts w:hint="eastAsia"/>
          <w:szCs w:val="21"/>
        </w:rPr>
        <w:t>名称：</w:t>
      </w:r>
      <w:r>
        <w:rPr>
          <w:rFonts w:hint="eastAsia"/>
          <w:szCs w:val="21"/>
          <w:lang w:val="en-US"/>
        </w:rPr>
        <w:t>河南中正和工程管理</w:t>
      </w:r>
      <w:r>
        <w:rPr>
          <w:rFonts w:hint="eastAsia"/>
          <w:szCs w:val="21"/>
        </w:rPr>
        <w:t>有限公司</w:t>
      </w:r>
    </w:p>
    <w:p w14:paraId="14E38E7B">
      <w:pPr>
        <w:wordWrap w:val="0"/>
        <w:spacing w:line="360" w:lineRule="auto"/>
        <w:ind w:firstLine="660" w:firstLineChars="300"/>
        <w:rPr>
          <w:rFonts w:hint="eastAsia" w:ascii="宋体" w:hAnsi="宋体" w:eastAsia="宋体" w:cs="宋体"/>
          <w:szCs w:val="21"/>
          <w:lang w:val="en-US"/>
        </w:rPr>
      </w:pPr>
      <w:r>
        <w:rPr>
          <w:rFonts w:hint="eastAsia"/>
          <w:szCs w:val="21"/>
        </w:rPr>
        <w:t>地</w:t>
      </w:r>
      <w:r>
        <w:rPr>
          <w:rFonts w:hint="eastAsia" w:ascii="宋体" w:hAnsi="宋体" w:eastAsia="宋体" w:cs="宋体"/>
          <w:szCs w:val="21"/>
          <w:lang w:val="en-US"/>
        </w:rPr>
        <w:t>址：商城县城关镇兴盛街147号</w:t>
      </w:r>
    </w:p>
    <w:p w14:paraId="08EA18DE">
      <w:pPr>
        <w:wordWrap w:val="0"/>
        <w:spacing w:line="360" w:lineRule="auto"/>
        <w:ind w:firstLine="660" w:firstLineChars="300"/>
        <w:rPr>
          <w:rFonts w:hint="default" w:ascii="宋体" w:hAnsi="宋体" w:eastAsia="宋体" w:cs="宋体"/>
          <w:szCs w:val="21"/>
          <w:lang w:val="en-US"/>
        </w:rPr>
      </w:pPr>
      <w:r>
        <w:rPr>
          <w:rFonts w:hint="eastAsia" w:ascii="宋体" w:hAnsi="宋体" w:eastAsia="宋体" w:cs="宋体"/>
          <w:szCs w:val="21"/>
          <w:lang w:val="en-US"/>
        </w:rPr>
        <w:t>联系人：</w:t>
      </w:r>
      <w:r>
        <w:rPr>
          <w:rFonts w:hint="eastAsia" w:ascii="宋体" w:hAnsi="宋体" w:eastAsia="宋体" w:cs="宋体"/>
          <w:szCs w:val="21"/>
          <w:lang w:val="en-US" w:eastAsia="zh-CN"/>
        </w:rPr>
        <w:t>朱</w:t>
      </w:r>
      <w:r>
        <w:rPr>
          <w:rFonts w:hint="eastAsia" w:cs="宋体"/>
          <w:szCs w:val="21"/>
          <w:lang w:val="en-US" w:eastAsia="zh-CN"/>
        </w:rPr>
        <w:t>光</w:t>
      </w:r>
    </w:p>
    <w:p w14:paraId="71261B51">
      <w:pPr>
        <w:wordWrap w:val="0"/>
        <w:spacing w:line="360" w:lineRule="auto"/>
        <w:ind w:firstLine="660" w:firstLineChars="300"/>
        <w:rPr>
          <w:rFonts w:hint="eastAsia" w:ascii="宋体" w:hAnsi="宋体" w:eastAsia="宋体" w:cs="宋体"/>
          <w:szCs w:val="21"/>
          <w:lang w:val="en-US"/>
        </w:rPr>
      </w:pPr>
      <w:r>
        <w:rPr>
          <w:rFonts w:hint="eastAsia" w:ascii="宋体" w:hAnsi="宋体" w:eastAsia="宋体" w:cs="宋体"/>
          <w:szCs w:val="21"/>
          <w:lang w:val="en-US"/>
        </w:rPr>
        <w:t>联系电话：</w:t>
      </w:r>
      <w:bookmarkStart w:id="34" w:name="_TOC_250192"/>
      <w:bookmarkEnd w:id="34"/>
      <w:r>
        <w:rPr>
          <w:rFonts w:hint="eastAsia" w:ascii="宋体" w:hAnsi="宋体" w:eastAsia="宋体" w:cs="宋体"/>
          <w:szCs w:val="21"/>
          <w:lang w:val="en-US"/>
        </w:rPr>
        <w:t>19139335831</w:t>
      </w:r>
    </w:p>
    <w:p w14:paraId="67977F7F">
      <w:pPr>
        <w:wordWrap w:val="0"/>
        <w:spacing w:line="360" w:lineRule="auto"/>
        <w:ind w:firstLine="440" w:firstLineChars="200"/>
        <w:rPr>
          <w:rFonts w:hint="eastAsia" w:ascii="宋体" w:hAnsi="宋体" w:eastAsia="宋体" w:cs="宋体"/>
          <w:szCs w:val="21"/>
          <w:lang w:val="en-US"/>
        </w:rPr>
      </w:pPr>
      <w:r>
        <w:rPr>
          <w:rFonts w:hint="eastAsia" w:ascii="宋体" w:hAnsi="宋体" w:eastAsia="宋体" w:cs="宋体"/>
          <w:szCs w:val="21"/>
          <w:lang w:val="en-US"/>
        </w:rPr>
        <w:t>3、项目联系方式</w:t>
      </w:r>
    </w:p>
    <w:p w14:paraId="383C3D9C">
      <w:pPr>
        <w:wordWrap w:val="0"/>
        <w:spacing w:line="360" w:lineRule="auto"/>
        <w:ind w:firstLine="660" w:firstLineChars="300"/>
        <w:rPr>
          <w:rFonts w:hint="default" w:ascii="宋体" w:hAnsi="宋体" w:eastAsia="宋体" w:cs="宋体"/>
          <w:szCs w:val="21"/>
          <w:lang w:val="en-US"/>
        </w:rPr>
      </w:pPr>
      <w:r>
        <w:rPr>
          <w:rFonts w:hint="eastAsia" w:ascii="宋体" w:hAnsi="宋体" w:eastAsia="宋体" w:cs="宋体"/>
          <w:szCs w:val="21"/>
          <w:lang w:val="en-US"/>
        </w:rPr>
        <w:t>联系人：</w:t>
      </w:r>
      <w:r>
        <w:rPr>
          <w:rFonts w:hint="eastAsia" w:ascii="宋体" w:hAnsi="宋体" w:eastAsia="宋体" w:cs="宋体"/>
          <w:szCs w:val="21"/>
          <w:lang w:val="en-US" w:eastAsia="zh-CN"/>
        </w:rPr>
        <w:t>朱</w:t>
      </w:r>
      <w:r>
        <w:rPr>
          <w:rFonts w:hint="eastAsia" w:cs="宋体"/>
          <w:szCs w:val="21"/>
          <w:lang w:val="en-US" w:eastAsia="zh-CN"/>
        </w:rPr>
        <w:t>光</w:t>
      </w:r>
    </w:p>
    <w:p w14:paraId="1E9E8D82">
      <w:pPr>
        <w:wordWrap w:val="0"/>
        <w:spacing w:line="360" w:lineRule="auto"/>
        <w:ind w:firstLine="660" w:firstLineChars="300"/>
        <w:rPr>
          <w:rFonts w:hint="eastAsia" w:ascii="宋体" w:hAnsi="宋体" w:eastAsia="宋体" w:cs="宋体"/>
          <w:szCs w:val="21"/>
          <w:lang w:val="en-US"/>
        </w:rPr>
      </w:pPr>
      <w:r>
        <w:rPr>
          <w:rFonts w:hint="eastAsia" w:ascii="宋体" w:hAnsi="宋体" w:eastAsia="宋体" w:cs="宋体"/>
          <w:szCs w:val="21"/>
          <w:lang w:val="en-US"/>
        </w:rPr>
        <w:t>联系电话：19139335831</w:t>
      </w:r>
    </w:p>
    <w:p w14:paraId="29C87634">
      <w:pPr>
        <w:pStyle w:val="12"/>
        <w:ind w:firstLine="630" w:firstLineChars="300"/>
      </w:pPr>
      <w:r>
        <w:rPr>
          <w:rFonts w:hint="eastAsia"/>
        </w:rPr>
        <w:br w:type="page"/>
      </w:r>
    </w:p>
    <w:p w14:paraId="7881119B">
      <w:pPr>
        <w:pStyle w:val="2"/>
        <w:ind w:left="2796"/>
      </w:pPr>
      <w:bookmarkStart w:id="35" w:name="_Toc5145"/>
      <w:r>
        <w:t>第二章</w:t>
      </w:r>
      <w:r>
        <w:rPr>
          <w:rFonts w:hint="eastAsia"/>
          <w:lang w:val="en-US"/>
        </w:rPr>
        <w:t xml:space="preserve"> 供应商</w:t>
      </w:r>
      <w:r>
        <w:t>须知</w:t>
      </w:r>
      <w:bookmarkEnd w:id="35"/>
    </w:p>
    <w:p w14:paraId="099373F5">
      <w:pPr>
        <w:pStyle w:val="12"/>
        <w:spacing w:before="6"/>
        <w:rPr>
          <w:b/>
          <w:sz w:val="44"/>
        </w:rPr>
      </w:pPr>
    </w:p>
    <w:p w14:paraId="5C58937A">
      <w:pPr>
        <w:pStyle w:val="3"/>
        <w:ind w:left="240" w:firstLine="0"/>
        <w:rPr>
          <w:rFonts w:asciiTheme="majorEastAsia" w:hAnsiTheme="majorEastAsia" w:eastAsiaTheme="majorEastAsia"/>
        </w:rPr>
      </w:pPr>
      <w:bookmarkStart w:id="36" w:name="_TOC_250191"/>
      <w:bookmarkEnd w:id="36"/>
      <w:r>
        <w:rPr>
          <w:rFonts w:hint="eastAsia" w:asciiTheme="majorEastAsia" w:hAnsiTheme="majorEastAsia" w:eastAsiaTheme="majorEastAsia"/>
          <w:lang w:val="en-US"/>
        </w:rPr>
        <w:t>供应商</w:t>
      </w:r>
      <w:r>
        <w:rPr>
          <w:rFonts w:asciiTheme="majorEastAsia" w:hAnsiTheme="majorEastAsia" w:eastAsiaTheme="majorEastAsia"/>
        </w:rPr>
        <w:t>须知前附表</w:t>
      </w:r>
    </w:p>
    <w:p w14:paraId="23D3112B">
      <w:pPr>
        <w:pStyle w:val="12"/>
        <w:rPr>
          <w:rFonts w:ascii="黑体"/>
          <w:b/>
          <w:sz w:val="20"/>
        </w:rPr>
      </w:pPr>
    </w:p>
    <w:tbl>
      <w:tblPr>
        <w:tblStyle w:val="27"/>
        <w:tblW w:w="9955"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4"/>
        <w:gridCol w:w="2376"/>
        <w:gridCol w:w="6115"/>
      </w:tblGrid>
      <w:tr w14:paraId="39D4C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3FAEB25E">
            <w:pPr>
              <w:jc w:val="center"/>
              <w:rPr>
                <w:b/>
                <w:bCs/>
                <w:sz w:val="21"/>
                <w:szCs w:val="21"/>
              </w:rPr>
            </w:pPr>
            <w:r>
              <w:rPr>
                <w:rFonts w:hint="eastAsia"/>
                <w:b/>
                <w:bCs/>
                <w:sz w:val="21"/>
                <w:szCs w:val="21"/>
              </w:rPr>
              <w:t>条款号</w:t>
            </w:r>
          </w:p>
        </w:tc>
        <w:tc>
          <w:tcPr>
            <w:tcW w:w="2376" w:type="dxa"/>
            <w:vAlign w:val="center"/>
          </w:tcPr>
          <w:p w14:paraId="25FB444A">
            <w:pPr>
              <w:jc w:val="center"/>
              <w:rPr>
                <w:b/>
                <w:bCs/>
                <w:sz w:val="21"/>
                <w:szCs w:val="21"/>
              </w:rPr>
            </w:pPr>
            <w:r>
              <w:rPr>
                <w:rFonts w:hint="eastAsia"/>
                <w:b/>
                <w:bCs/>
                <w:sz w:val="21"/>
                <w:szCs w:val="21"/>
              </w:rPr>
              <w:t>条款名称</w:t>
            </w:r>
          </w:p>
        </w:tc>
        <w:tc>
          <w:tcPr>
            <w:tcW w:w="6115" w:type="dxa"/>
            <w:vAlign w:val="center"/>
          </w:tcPr>
          <w:p w14:paraId="0790879C">
            <w:pPr>
              <w:jc w:val="center"/>
              <w:rPr>
                <w:b/>
                <w:bCs/>
                <w:sz w:val="21"/>
                <w:szCs w:val="21"/>
              </w:rPr>
            </w:pPr>
            <w:r>
              <w:rPr>
                <w:rFonts w:hint="eastAsia"/>
                <w:b/>
                <w:bCs/>
                <w:sz w:val="21"/>
                <w:szCs w:val="21"/>
              </w:rPr>
              <w:t>编列内容</w:t>
            </w:r>
          </w:p>
        </w:tc>
      </w:tr>
      <w:tr w14:paraId="0FBBA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4" w:type="dxa"/>
            <w:vAlign w:val="center"/>
          </w:tcPr>
          <w:p w14:paraId="5EE195D8">
            <w:pPr>
              <w:wordWrap w:val="0"/>
              <w:spacing w:line="360" w:lineRule="auto"/>
              <w:jc w:val="center"/>
              <w:rPr>
                <w:rFonts w:hint="eastAsia"/>
                <w:szCs w:val="21"/>
                <w:lang w:val="en-US" w:eastAsia="zh-CN"/>
              </w:rPr>
            </w:pPr>
            <w:r>
              <w:rPr>
                <w:rFonts w:hint="eastAsia"/>
                <w:szCs w:val="21"/>
                <w:lang w:val="en-US" w:eastAsia="zh-CN"/>
              </w:rPr>
              <w:t>1.1.2</w:t>
            </w:r>
          </w:p>
        </w:tc>
        <w:tc>
          <w:tcPr>
            <w:tcW w:w="2376" w:type="dxa"/>
            <w:vAlign w:val="center"/>
          </w:tcPr>
          <w:p w14:paraId="074B2F37">
            <w:pPr>
              <w:wordWrap w:val="0"/>
              <w:spacing w:line="360" w:lineRule="auto"/>
              <w:jc w:val="center"/>
              <w:rPr>
                <w:rFonts w:hint="eastAsia"/>
                <w:szCs w:val="21"/>
                <w:lang w:val="en-US" w:eastAsia="zh-CN"/>
              </w:rPr>
            </w:pPr>
            <w:r>
              <w:rPr>
                <w:rFonts w:hint="eastAsia"/>
                <w:szCs w:val="21"/>
                <w:lang w:val="en-US" w:eastAsia="zh-CN"/>
              </w:rPr>
              <w:t>采购人</w:t>
            </w:r>
          </w:p>
        </w:tc>
        <w:tc>
          <w:tcPr>
            <w:tcW w:w="6115" w:type="dxa"/>
            <w:vAlign w:val="center"/>
          </w:tcPr>
          <w:p w14:paraId="472FB888">
            <w:pPr>
              <w:wordWrap w:val="0"/>
              <w:spacing w:line="360" w:lineRule="auto"/>
              <w:rPr>
                <w:rFonts w:hint="eastAsia" w:ascii="宋体" w:hAnsi="宋体" w:eastAsia="宋体" w:cs="宋体"/>
                <w:color w:val="auto"/>
                <w:szCs w:val="21"/>
                <w:lang w:val="en-US" w:eastAsia="zh-CN"/>
              </w:rPr>
            </w:pPr>
            <w:r>
              <w:rPr>
                <w:rFonts w:hint="eastAsia"/>
                <w:color w:val="auto"/>
                <w:szCs w:val="21"/>
              </w:rPr>
              <w:t>名称</w:t>
            </w:r>
            <w:r>
              <w:rPr>
                <w:rFonts w:hint="eastAsia" w:ascii="宋体" w:hAnsi="宋体" w:eastAsia="宋体" w:cs="宋体"/>
                <w:color w:val="auto"/>
                <w:szCs w:val="21"/>
                <w:lang w:val="en-US" w:eastAsia="zh-CN"/>
              </w:rPr>
              <w:t>：商城县人民政府鲇鱼山街道办事处</w:t>
            </w:r>
          </w:p>
          <w:p w14:paraId="477AE0B6">
            <w:pPr>
              <w:wordWrap w:val="0"/>
              <w:spacing w:line="360" w:lineRule="auto"/>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地址：商城县鲇鱼山街道美人岗路</w:t>
            </w:r>
          </w:p>
          <w:p w14:paraId="0370B8E7">
            <w:pPr>
              <w:wordWrap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联系人：汤振东 </w:t>
            </w:r>
          </w:p>
          <w:p w14:paraId="5A92A0C3">
            <w:pPr>
              <w:wordWrap w:val="0"/>
              <w:spacing w:line="360" w:lineRule="auto"/>
              <w:rPr>
                <w:lang w:val="en-US"/>
              </w:rPr>
            </w:pPr>
            <w:r>
              <w:rPr>
                <w:rFonts w:hint="eastAsia" w:ascii="宋体" w:hAnsi="宋体" w:eastAsia="宋体" w:cs="宋体"/>
                <w:color w:val="auto"/>
                <w:szCs w:val="21"/>
                <w:lang w:val="en-US" w:eastAsia="zh-CN"/>
              </w:rPr>
              <w:t>联系电话：18569815155</w:t>
            </w:r>
          </w:p>
        </w:tc>
      </w:tr>
      <w:tr w14:paraId="7009B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625D22F1">
            <w:pPr>
              <w:wordWrap w:val="0"/>
              <w:spacing w:line="360" w:lineRule="auto"/>
              <w:jc w:val="center"/>
              <w:rPr>
                <w:rFonts w:hint="eastAsia"/>
                <w:szCs w:val="21"/>
                <w:lang w:val="en-US" w:eastAsia="zh-CN"/>
              </w:rPr>
            </w:pPr>
            <w:r>
              <w:rPr>
                <w:rFonts w:hint="eastAsia"/>
                <w:szCs w:val="21"/>
                <w:lang w:val="en-US" w:eastAsia="zh-CN"/>
              </w:rPr>
              <w:t>1.1.3</w:t>
            </w:r>
          </w:p>
        </w:tc>
        <w:tc>
          <w:tcPr>
            <w:tcW w:w="2376" w:type="dxa"/>
            <w:vAlign w:val="center"/>
          </w:tcPr>
          <w:p w14:paraId="212770E1">
            <w:pPr>
              <w:wordWrap w:val="0"/>
              <w:spacing w:line="360" w:lineRule="auto"/>
              <w:jc w:val="center"/>
              <w:rPr>
                <w:rFonts w:hint="eastAsia"/>
                <w:szCs w:val="21"/>
                <w:lang w:val="en-US" w:eastAsia="zh-CN"/>
              </w:rPr>
            </w:pPr>
            <w:r>
              <w:rPr>
                <w:rFonts w:hint="eastAsia"/>
                <w:szCs w:val="21"/>
                <w:lang w:val="en-US" w:eastAsia="zh-CN"/>
              </w:rPr>
              <w:t>采购代理机构</w:t>
            </w:r>
          </w:p>
        </w:tc>
        <w:tc>
          <w:tcPr>
            <w:tcW w:w="6115" w:type="dxa"/>
            <w:vAlign w:val="center"/>
          </w:tcPr>
          <w:p w14:paraId="23F1BA63">
            <w:pPr>
              <w:wordWrap w:val="0"/>
              <w:spacing w:line="360" w:lineRule="auto"/>
              <w:rPr>
                <w:lang w:val="en-US"/>
              </w:rPr>
            </w:pPr>
            <w:r>
              <w:rPr>
                <w:rFonts w:hint="eastAsia"/>
                <w:lang w:val="en-US"/>
              </w:rPr>
              <w:t>采购代理机构：河南中正和工程管理有限公司</w:t>
            </w:r>
          </w:p>
          <w:p w14:paraId="599BEA04">
            <w:pPr>
              <w:wordWrap w:val="0"/>
              <w:spacing w:line="360" w:lineRule="auto"/>
              <w:rPr>
                <w:rFonts w:hint="default" w:ascii="宋体" w:hAnsi="宋体" w:eastAsia="宋体" w:cs="宋体"/>
                <w:szCs w:val="21"/>
                <w:lang w:val="en-US"/>
              </w:rPr>
            </w:pPr>
            <w:r>
              <w:rPr>
                <w:rFonts w:hint="eastAsia" w:ascii="宋体" w:hAnsi="宋体" w:eastAsia="宋体" w:cs="宋体"/>
                <w:szCs w:val="21"/>
                <w:lang w:val="en-US"/>
              </w:rPr>
              <w:t>联系人：</w:t>
            </w:r>
            <w:r>
              <w:rPr>
                <w:rFonts w:hint="eastAsia" w:ascii="宋体" w:hAnsi="宋体" w:eastAsia="宋体" w:cs="宋体"/>
                <w:szCs w:val="21"/>
                <w:lang w:val="en-US" w:eastAsia="zh-CN"/>
              </w:rPr>
              <w:t>朱</w:t>
            </w:r>
            <w:r>
              <w:rPr>
                <w:rFonts w:hint="eastAsia" w:cs="宋体"/>
                <w:szCs w:val="21"/>
                <w:lang w:val="en-US" w:eastAsia="zh-CN"/>
              </w:rPr>
              <w:t>光</w:t>
            </w:r>
          </w:p>
          <w:p w14:paraId="44F30A71">
            <w:pPr>
              <w:wordWrap w:val="0"/>
              <w:spacing w:line="360" w:lineRule="auto"/>
              <w:rPr>
                <w:rFonts w:hint="eastAsia" w:ascii="宋体" w:hAnsi="宋体" w:eastAsia="宋体" w:cs="宋体"/>
                <w:szCs w:val="21"/>
                <w:lang w:val="en-US"/>
              </w:rPr>
            </w:pPr>
            <w:r>
              <w:rPr>
                <w:rFonts w:hint="eastAsia" w:ascii="宋体" w:hAnsi="宋体" w:eastAsia="宋体" w:cs="宋体"/>
                <w:szCs w:val="21"/>
                <w:lang w:val="en-US"/>
              </w:rPr>
              <w:t>联系电话：19139335831</w:t>
            </w:r>
          </w:p>
          <w:p w14:paraId="6FEFC0CC">
            <w:pPr>
              <w:wordWrap w:val="0"/>
              <w:spacing w:line="360" w:lineRule="auto"/>
              <w:rPr>
                <w:lang w:val="en-US"/>
              </w:rPr>
            </w:pPr>
            <w:r>
              <w:rPr>
                <w:rFonts w:hint="eastAsia"/>
                <w:lang w:val="en-US"/>
              </w:rPr>
              <w:t>地址：商城县城关镇兴盛街147号</w:t>
            </w:r>
          </w:p>
          <w:p w14:paraId="2747994E">
            <w:pPr>
              <w:wordWrap w:val="0"/>
              <w:spacing w:line="360" w:lineRule="auto"/>
              <w:rPr>
                <w:lang w:val="en-US"/>
              </w:rPr>
            </w:pPr>
            <w:r>
              <w:rPr>
                <w:rFonts w:hint="eastAsia"/>
                <w:lang w:val="en-US"/>
              </w:rPr>
              <w:t>电子邮件：hnzzhgcgl@163.com</w:t>
            </w:r>
          </w:p>
        </w:tc>
      </w:tr>
      <w:tr w14:paraId="5384C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2725F07A">
            <w:pPr>
              <w:wordWrap w:val="0"/>
              <w:spacing w:line="360" w:lineRule="auto"/>
              <w:jc w:val="center"/>
              <w:rPr>
                <w:rFonts w:hint="eastAsia"/>
                <w:szCs w:val="21"/>
                <w:lang w:val="en-US" w:eastAsia="zh-CN"/>
              </w:rPr>
            </w:pPr>
            <w:r>
              <w:rPr>
                <w:rFonts w:hint="eastAsia"/>
                <w:szCs w:val="21"/>
                <w:lang w:val="en-US" w:eastAsia="zh-CN"/>
              </w:rPr>
              <w:t>1.1.4</w:t>
            </w:r>
          </w:p>
        </w:tc>
        <w:tc>
          <w:tcPr>
            <w:tcW w:w="2376" w:type="dxa"/>
            <w:vAlign w:val="center"/>
          </w:tcPr>
          <w:p w14:paraId="24C4B228">
            <w:pPr>
              <w:wordWrap w:val="0"/>
              <w:spacing w:line="360" w:lineRule="auto"/>
              <w:jc w:val="center"/>
              <w:rPr>
                <w:rFonts w:hint="eastAsia"/>
                <w:szCs w:val="21"/>
                <w:lang w:val="en-US" w:eastAsia="zh-CN"/>
              </w:rPr>
            </w:pPr>
            <w:r>
              <w:rPr>
                <w:rFonts w:hint="eastAsia"/>
                <w:szCs w:val="21"/>
                <w:lang w:val="en-US" w:eastAsia="zh-CN"/>
              </w:rPr>
              <w:t>采购项目名称</w:t>
            </w:r>
          </w:p>
        </w:tc>
        <w:tc>
          <w:tcPr>
            <w:tcW w:w="6115" w:type="dxa"/>
            <w:vAlign w:val="center"/>
          </w:tcPr>
          <w:p w14:paraId="51B799CA">
            <w:pPr>
              <w:wordWrap w:val="0"/>
              <w:spacing w:line="360" w:lineRule="auto"/>
              <w:rPr>
                <w:bCs/>
                <w:sz w:val="21"/>
                <w:szCs w:val="21"/>
                <w:lang w:val="en-US"/>
              </w:rPr>
            </w:pPr>
            <w:r>
              <w:rPr>
                <w:rFonts w:hint="eastAsia" w:ascii="宋体" w:hAnsi="宋体" w:eastAsia="宋体" w:cs="宋体"/>
                <w:sz w:val="22"/>
                <w:szCs w:val="21"/>
                <w:lang w:val="en-US" w:eastAsia="zh-CN" w:bidi="zh-CN"/>
              </w:rPr>
              <w:t>商城县2026年</w:t>
            </w:r>
            <w:r>
              <w:rPr>
                <w:rFonts w:hint="eastAsia" w:ascii="宋体" w:hAnsi="宋体" w:eastAsia="宋体" w:cs="宋体"/>
                <w:color w:val="auto"/>
                <w:szCs w:val="21"/>
                <w:lang w:val="en-US" w:eastAsia="zh-CN"/>
              </w:rPr>
              <w:t>鲇鱼山街道办事处</w:t>
            </w:r>
            <w:r>
              <w:rPr>
                <w:rFonts w:hint="eastAsia" w:ascii="宋体" w:hAnsi="宋体" w:eastAsia="宋体" w:cs="宋体"/>
                <w:sz w:val="22"/>
                <w:szCs w:val="21"/>
                <w:lang w:val="en-US" w:eastAsia="zh-CN" w:bidi="zh-CN"/>
              </w:rPr>
              <w:t>财政常态化帮扶资金项目计划（第四批）基础设施项目</w:t>
            </w:r>
          </w:p>
        </w:tc>
      </w:tr>
      <w:tr w14:paraId="2BDA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464" w:type="dxa"/>
            <w:vAlign w:val="center"/>
          </w:tcPr>
          <w:p w14:paraId="55A62F34">
            <w:pPr>
              <w:jc w:val="center"/>
              <w:rPr>
                <w:sz w:val="21"/>
                <w:szCs w:val="21"/>
              </w:rPr>
            </w:pPr>
            <w:r>
              <w:rPr>
                <w:rFonts w:hint="eastAsia"/>
                <w:sz w:val="21"/>
                <w:szCs w:val="21"/>
                <w:lang w:val="en-US"/>
              </w:rPr>
              <w:t>1.1.5</w:t>
            </w:r>
          </w:p>
        </w:tc>
        <w:tc>
          <w:tcPr>
            <w:tcW w:w="2376" w:type="dxa"/>
            <w:vAlign w:val="center"/>
          </w:tcPr>
          <w:p w14:paraId="228E32AB">
            <w:pPr>
              <w:pStyle w:val="38"/>
              <w:spacing w:before="107" w:line="362" w:lineRule="auto"/>
              <w:ind w:left="103" w:right="96"/>
              <w:jc w:val="center"/>
              <w:rPr>
                <w:rFonts w:hint="eastAsia" w:ascii="宋体" w:hAnsi="宋体" w:eastAsia="宋体" w:cs="宋体"/>
                <w:color w:val="000000"/>
                <w:sz w:val="22"/>
                <w:szCs w:val="21"/>
                <w:lang w:val="en-US" w:eastAsia="zh-CN" w:bidi="zh-CN"/>
              </w:rPr>
            </w:pPr>
            <w:r>
              <w:rPr>
                <w:rFonts w:hint="eastAsia" w:ascii="宋体" w:hAnsi="宋体" w:eastAsia="宋体" w:cs="宋体"/>
                <w:color w:val="000000"/>
                <w:sz w:val="22"/>
                <w:szCs w:val="21"/>
                <w:lang w:val="en-US" w:eastAsia="zh-CN" w:bidi="zh-CN"/>
              </w:rPr>
              <w:t>建设地点</w:t>
            </w:r>
          </w:p>
        </w:tc>
        <w:tc>
          <w:tcPr>
            <w:tcW w:w="6115" w:type="dxa"/>
            <w:vAlign w:val="center"/>
          </w:tcPr>
          <w:p w14:paraId="1F334892">
            <w:pPr>
              <w:widowControl/>
              <w:autoSpaceDE/>
              <w:autoSpaceDN/>
              <w:rPr>
                <w:rFonts w:hint="eastAsia" w:ascii="宋体" w:hAnsi="宋体" w:eastAsia="宋体" w:cs="宋体"/>
                <w:color w:val="000000"/>
                <w:sz w:val="22"/>
                <w:szCs w:val="21"/>
                <w:lang w:val="en-US" w:eastAsia="zh-CN" w:bidi="zh-CN"/>
              </w:rPr>
            </w:pPr>
            <w:r>
              <w:rPr>
                <w:rFonts w:hint="eastAsia" w:ascii="宋体" w:hAnsi="宋体" w:eastAsia="宋体" w:cs="宋体"/>
                <w:color w:val="000000"/>
                <w:sz w:val="22"/>
                <w:szCs w:val="21"/>
                <w:lang w:val="en-US" w:eastAsia="zh-CN" w:bidi="zh-CN"/>
              </w:rPr>
              <w:t>商城县境内</w:t>
            </w:r>
          </w:p>
        </w:tc>
      </w:tr>
      <w:tr w14:paraId="78EB9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464" w:type="dxa"/>
          </w:tcPr>
          <w:p w14:paraId="35B3B5A1">
            <w:pPr>
              <w:pStyle w:val="38"/>
              <w:spacing w:before="13"/>
              <w:rPr>
                <w:rFonts w:ascii="微软雅黑"/>
                <w:b/>
                <w:sz w:val="10"/>
              </w:rPr>
            </w:pPr>
          </w:p>
          <w:p w14:paraId="6E22210E">
            <w:pPr>
              <w:pStyle w:val="38"/>
              <w:ind w:right="237"/>
              <w:jc w:val="center"/>
              <w:rPr>
                <w:sz w:val="21"/>
                <w:szCs w:val="21"/>
                <w:lang w:val="en-US"/>
              </w:rPr>
            </w:pPr>
            <w:r>
              <w:rPr>
                <w:rFonts w:hint="eastAsia"/>
                <w:sz w:val="21"/>
                <w:lang w:val="en-US"/>
              </w:rPr>
              <w:t xml:space="preserve">  </w:t>
            </w:r>
            <w:r>
              <w:rPr>
                <w:sz w:val="21"/>
              </w:rPr>
              <w:t xml:space="preserve">1.1.6 </w:t>
            </w:r>
          </w:p>
        </w:tc>
        <w:tc>
          <w:tcPr>
            <w:tcW w:w="2376" w:type="dxa"/>
          </w:tcPr>
          <w:p w14:paraId="33199617">
            <w:pPr>
              <w:pStyle w:val="38"/>
              <w:spacing w:before="13"/>
              <w:rPr>
                <w:rFonts w:hint="eastAsia" w:ascii="宋体" w:hAnsi="宋体" w:eastAsia="宋体" w:cs="宋体"/>
                <w:color w:val="000000"/>
                <w:sz w:val="22"/>
                <w:szCs w:val="21"/>
                <w:lang w:val="en-US" w:eastAsia="zh-CN" w:bidi="zh-CN"/>
              </w:rPr>
            </w:pPr>
          </w:p>
          <w:p w14:paraId="62912C55">
            <w:pPr>
              <w:pStyle w:val="38"/>
              <w:ind w:left="436"/>
              <w:rPr>
                <w:rFonts w:hint="eastAsia" w:ascii="宋体" w:hAnsi="宋体" w:eastAsia="宋体" w:cs="宋体"/>
                <w:color w:val="000000"/>
                <w:sz w:val="22"/>
                <w:szCs w:val="21"/>
                <w:lang w:val="en-US" w:eastAsia="zh-CN" w:bidi="zh-CN"/>
              </w:rPr>
            </w:pPr>
            <w:r>
              <w:rPr>
                <w:rFonts w:hint="eastAsia" w:ascii="宋体" w:hAnsi="宋体" w:eastAsia="宋体" w:cs="宋体"/>
                <w:color w:val="000000"/>
                <w:sz w:val="22"/>
                <w:szCs w:val="21"/>
                <w:lang w:val="en-US" w:eastAsia="zh-CN" w:bidi="zh-CN"/>
              </w:rPr>
              <w:t xml:space="preserve">采购项目属性 </w:t>
            </w:r>
          </w:p>
        </w:tc>
        <w:tc>
          <w:tcPr>
            <w:tcW w:w="6115" w:type="dxa"/>
          </w:tcPr>
          <w:p w14:paraId="49FFECA9">
            <w:pPr>
              <w:pStyle w:val="38"/>
              <w:spacing w:before="130"/>
              <w:ind w:left="40"/>
              <w:rPr>
                <w:rFonts w:hint="eastAsia" w:ascii="宋体" w:hAnsi="宋体" w:eastAsia="宋体" w:cs="宋体"/>
                <w:color w:val="000000"/>
                <w:sz w:val="22"/>
                <w:szCs w:val="21"/>
                <w:lang w:val="en-US" w:eastAsia="zh-CN" w:bidi="zh-CN"/>
              </w:rPr>
            </w:pPr>
            <w:r>
              <w:rPr>
                <w:rFonts w:hint="eastAsia" w:ascii="宋体" w:hAnsi="宋体" w:eastAsia="宋体" w:cs="宋体"/>
                <w:color w:val="000000"/>
                <w:sz w:val="22"/>
                <w:szCs w:val="21"/>
                <w:lang w:val="en-US" w:eastAsia="zh-CN" w:bidi="zh-CN"/>
              </w:rPr>
              <w:t xml:space="preserve">工程 </w:t>
            </w:r>
          </w:p>
        </w:tc>
      </w:tr>
      <w:tr w14:paraId="1CE16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464" w:type="dxa"/>
          </w:tcPr>
          <w:p w14:paraId="6902AE60">
            <w:pPr>
              <w:pStyle w:val="38"/>
              <w:spacing w:before="2"/>
              <w:rPr>
                <w:rFonts w:ascii="微软雅黑"/>
                <w:b/>
                <w:sz w:val="11"/>
              </w:rPr>
            </w:pPr>
          </w:p>
          <w:p w14:paraId="4673155F">
            <w:pPr>
              <w:pStyle w:val="38"/>
              <w:ind w:right="237"/>
              <w:jc w:val="center"/>
              <w:rPr>
                <w:sz w:val="21"/>
                <w:szCs w:val="21"/>
                <w:lang w:val="en-US"/>
              </w:rPr>
            </w:pPr>
            <w:r>
              <w:rPr>
                <w:rFonts w:hint="eastAsia"/>
                <w:sz w:val="21"/>
                <w:lang w:val="en-US"/>
              </w:rPr>
              <w:t xml:space="preserve">  </w:t>
            </w:r>
            <w:r>
              <w:rPr>
                <w:sz w:val="21"/>
              </w:rPr>
              <w:t xml:space="preserve">1.1.7 </w:t>
            </w:r>
          </w:p>
        </w:tc>
        <w:tc>
          <w:tcPr>
            <w:tcW w:w="2376" w:type="dxa"/>
          </w:tcPr>
          <w:p w14:paraId="76B18A05">
            <w:pPr>
              <w:pStyle w:val="38"/>
              <w:spacing w:before="2"/>
              <w:rPr>
                <w:rFonts w:hint="eastAsia" w:ascii="宋体" w:hAnsi="宋体" w:eastAsia="宋体" w:cs="宋体"/>
                <w:color w:val="000000"/>
                <w:sz w:val="22"/>
                <w:szCs w:val="21"/>
                <w:lang w:val="en-US" w:eastAsia="zh-CN" w:bidi="zh-CN"/>
              </w:rPr>
            </w:pPr>
          </w:p>
          <w:p w14:paraId="515BAC65">
            <w:pPr>
              <w:pStyle w:val="38"/>
              <w:ind w:left="331"/>
              <w:rPr>
                <w:rFonts w:hint="eastAsia" w:ascii="宋体" w:hAnsi="宋体" w:eastAsia="宋体" w:cs="宋体"/>
                <w:color w:val="000000"/>
                <w:sz w:val="22"/>
                <w:szCs w:val="21"/>
                <w:lang w:val="en-US" w:eastAsia="zh-CN" w:bidi="zh-CN"/>
              </w:rPr>
            </w:pPr>
            <w:r>
              <w:rPr>
                <w:rFonts w:hint="eastAsia" w:ascii="宋体" w:hAnsi="宋体" w:eastAsia="宋体" w:cs="宋体"/>
                <w:color w:val="000000"/>
                <w:sz w:val="22"/>
                <w:szCs w:val="21"/>
                <w:lang w:val="en-US" w:eastAsia="zh-CN" w:bidi="zh-CN"/>
              </w:rPr>
              <w:t xml:space="preserve">标的物所属行业 </w:t>
            </w:r>
          </w:p>
        </w:tc>
        <w:tc>
          <w:tcPr>
            <w:tcW w:w="6115" w:type="dxa"/>
          </w:tcPr>
          <w:p w14:paraId="2F86E109">
            <w:pPr>
              <w:pStyle w:val="38"/>
              <w:spacing w:before="1"/>
              <w:ind w:left="40" w:right="-15"/>
              <w:rPr>
                <w:rFonts w:hint="eastAsia" w:ascii="宋体" w:hAnsi="宋体" w:eastAsia="宋体" w:cs="宋体"/>
                <w:color w:val="000000"/>
                <w:sz w:val="22"/>
                <w:szCs w:val="21"/>
                <w:lang w:val="en-US" w:eastAsia="zh-CN" w:bidi="zh-CN"/>
              </w:rPr>
            </w:pPr>
            <w:r>
              <w:rPr>
                <w:rFonts w:hint="eastAsia" w:ascii="宋体" w:hAnsi="宋体" w:eastAsia="宋体" w:cs="宋体"/>
                <w:color w:val="000000"/>
                <w:sz w:val="22"/>
                <w:szCs w:val="21"/>
                <w:lang w:val="en-US" w:eastAsia="zh-CN" w:bidi="zh-CN"/>
              </w:rPr>
              <w:t xml:space="preserve">根据“工信部联企业[2011]300 号”文件的划型标准，本次招标的标的物所属行业为：建筑业 </w:t>
            </w:r>
          </w:p>
        </w:tc>
      </w:tr>
      <w:tr w14:paraId="0CCCB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1464" w:type="dxa"/>
            <w:vAlign w:val="center"/>
          </w:tcPr>
          <w:p w14:paraId="7287FD8D">
            <w:pPr>
              <w:jc w:val="center"/>
              <w:rPr>
                <w:sz w:val="21"/>
                <w:szCs w:val="21"/>
              </w:rPr>
            </w:pPr>
            <w:r>
              <w:rPr>
                <w:rFonts w:hint="eastAsia"/>
                <w:sz w:val="21"/>
                <w:szCs w:val="21"/>
                <w:lang w:val="en-US"/>
              </w:rPr>
              <w:t>1.2.1</w:t>
            </w:r>
          </w:p>
        </w:tc>
        <w:tc>
          <w:tcPr>
            <w:tcW w:w="2376" w:type="dxa"/>
            <w:vAlign w:val="center"/>
          </w:tcPr>
          <w:p w14:paraId="026FCA7F">
            <w:pPr>
              <w:pStyle w:val="38"/>
              <w:jc w:val="center"/>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资金来源</w:t>
            </w:r>
          </w:p>
        </w:tc>
        <w:tc>
          <w:tcPr>
            <w:tcW w:w="6115" w:type="dxa"/>
            <w:vAlign w:val="center"/>
          </w:tcPr>
          <w:p w14:paraId="4B570304">
            <w:pPr>
              <w:pStyle w:val="38"/>
              <w:tabs>
                <w:tab w:val="left" w:pos="1680"/>
              </w:tabs>
              <w:rPr>
                <w:rFonts w:hint="eastAsia" w:ascii="宋体" w:hAnsi="宋体" w:eastAsia="宋体" w:cs="宋体"/>
                <w:sz w:val="22"/>
                <w:szCs w:val="22"/>
                <w:lang w:val="en-US" w:eastAsia="zh-CN" w:bidi="zh-CN"/>
              </w:rPr>
            </w:pPr>
            <w:r>
              <w:rPr>
                <w:rFonts w:hint="eastAsia" w:ascii="宋体" w:hAnsi="宋体" w:eastAsia="宋体" w:cs="宋体"/>
                <w:color w:val="auto"/>
                <w:sz w:val="22"/>
                <w:szCs w:val="22"/>
                <w:lang w:val="en-US" w:eastAsia="zh-CN" w:bidi="zh-CN"/>
              </w:rPr>
              <w:t xml:space="preserve">财政资金  </w:t>
            </w:r>
          </w:p>
        </w:tc>
      </w:tr>
      <w:tr w14:paraId="23508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7F2E1E93">
            <w:pPr>
              <w:jc w:val="center"/>
              <w:rPr>
                <w:sz w:val="21"/>
                <w:szCs w:val="21"/>
              </w:rPr>
            </w:pPr>
            <w:r>
              <w:rPr>
                <w:rFonts w:hint="eastAsia"/>
                <w:sz w:val="21"/>
                <w:szCs w:val="21"/>
                <w:lang w:val="en-US"/>
              </w:rPr>
              <w:t>1.2.2</w:t>
            </w:r>
          </w:p>
        </w:tc>
        <w:tc>
          <w:tcPr>
            <w:tcW w:w="2376" w:type="dxa"/>
            <w:vAlign w:val="center"/>
          </w:tcPr>
          <w:p w14:paraId="5C28FFB5">
            <w:pPr>
              <w:pStyle w:val="38"/>
              <w:spacing w:before="107"/>
              <w:ind w:right="1"/>
              <w:jc w:val="center"/>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资金落实情况</w:t>
            </w:r>
          </w:p>
        </w:tc>
        <w:tc>
          <w:tcPr>
            <w:tcW w:w="6115" w:type="dxa"/>
            <w:vAlign w:val="center"/>
          </w:tcPr>
          <w:p w14:paraId="2AECE3ED">
            <w:pPr>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已落实</w:t>
            </w:r>
          </w:p>
        </w:tc>
      </w:tr>
      <w:tr w14:paraId="0F2B4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4D88CC15">
            <w:pPr>
              <w:jc w:val="center"/>
              <w:rPr>
                <w:sz w:val="21"/>
                <w:szCs w:val="21"/>
                <w:lang w:val="en-US"/>
              </w:rPr>
            </w:pPr>
            <w:r>
              <w:rPr>
                <w:rFonts w:hint="eastAsia"/>
                <w:sz w:val="21"/>
                <w:szCs w:val="21"/>
                <w:lang w:val="en-US"/>
              </w:rPr>
              <w:t>1.2.3</w:t>
            </w:r>
          </w:p>
        </w:tc>
        <w:tc>
          <w:tcPr>
            <w:tcW w:w="2376" w:type="dxa"/>
            <w:vAlign w:val="center"/>
          </w:tcPr>
          <w:p w14:paraId="53BA1E11">
            <w:pPr>
              <w:pStyle w:val="38"/>
              <w:spacing w:before="107"/>
              <w:ind w:right="1"/>
              <w:jc w:val="center"/>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付款方式</w:t>
            </w:r>
          </w:p>
        </w:tc>
        <w:tc>
          <w:tcPr>
            <w:tcW w:w="6115" w:type="dxa"/>
            <w:vAlign w:val="center"/>
          </w:tcPr>
          <w:p w14:paraId="7AA1263C">
            <w:pPr>
              <w:jc w:val="both"/>
              <w:rPr>
                <w:rFonts w:hint="eastAsia" w:ascii="宋体" w:hAnsi="宋体" w:eastAsia="宋体" w:cs="宋体"/>
                <w:sz w:val="22"/>
                <w:szCs w:val="22"/>
                <w:lang w:val="en-US" w:eastAsia="zh-CN" w:bidi="zh-CN"/>
              </w:rPr>
            </w:pPr>
            <w:r>
              <w:rPr>
                <w:rFonts w:hint="eastAsia" w:cs="宋体"/>
                <w:sz w:val="22"/>
                <w:szCs w:val="22"/>
                <w:lang w:val="en-US" w:eastAsia="zh-CN" w:bidi="zh-CN"/>
              </w:rPr>
              <w:t>按采购人与成交人通过协商一致签订的合同执行</w:t>
            </w:r>
          </w:p>
        </w:tc>
      </w:tr>
      <w:tr w14:paraId="092B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603CFF13">
            <w:pPr>
              <w:jc w:val="center"/>
              <w:rPr>
                <w:sz w:val="21"/>
                <w:szCs w:val="21"/>
              </w:rPr>
            </w:pPr>
            <w:r>
              <w:rPr>
                <w:rFonts w:hint="eastAsia"/>
                <w:sz w:val="21"/>
                <w:szCs w:val="21"/>
                <w:lang w:val="en-US"/>
              </w:rPr>
              <w:t>1.3.1</w:t>
            </w:r>
          </w:p>
        </w:tc>
        <w:tc>
          <w:tcPr>
            <w:tcW w:w="2376" w:type="dxa"/>
            <w:vAlign w:val="center"/>
          </w:tcPr>
          <w:p w14:paraId="776B46F6">
            <w:pPr>
              <w:pStyle w:val="38"/>
              <w:spacing w:before="107"/>
              <w:ind w:right="1"/>
              <w:jc w:val="center"/>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采购范围</w:t>
            </w:r>
          </w:p>
        </w:tc>
        <w:tc>
          <w:tcPr>
            <w:tcW w:w="6115" w:type="dxa"/>
            <w:vAlign w:val="center"/>
          </w:tcPr>
          <w:p w14:paraId="3CE75811">
            <w:pPr>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本项目施工图纸及工程量清单内包含的所有内容</w:t>
            </w:r>
          </w:p>
        </w:tc>
      </w:tr>
      <w:tr w14:paraId="1DC4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6655D1C5">
            <w:pPr>
              <w:jc w:val="center"/>
              <w:rPr>
                <w:sz w:val="21"/>
                <w:szCs w:val="21"/>
                <w:lang w:val="en-US"/>
              </w:rPr>
            </w:pPr>
            <w:r>
              <w:rPr>
                <w:rFonts w:hint="eastAsia"/>
                <w:sz w:val="21"/>
                <w:szCs w:val="21"/>
                <w:lang w:val="en-US"/>
              </w:rPr>
              <w:t>1.3.2</w:t>
            </w:r>
          </w:p>
        </w:tc>
        <w:tc>
          <w:tcPr>
            <w:tcW w:w="2376" w:type="dxa"/>
            <w:vAlign w:val="center"/>
          </w:tcPr>
          <w:p w14:paraId="3910BD2D">
            <w:pPr>
              <w:pStyle w:val="38"/>
              <w:spacing w:before="107"/>
              <w:ind w:right="1"/>
              <w:jc w:val="center"/>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计划工期</w:t>
            </w:r>
          </w:p>
        </w:tc>
        <w:tc>
          <w:tcPr>
            <w:tcW w:w="6115" w:type="dxa"/>
            <w:vAlign w:val="center"/>
          </w:tcPr>
          <w:p w14:paraId="2636EB03">
            <w:pPr>
              <w:rPr>
                <w:rFonts w:hint="eastAsia" w:ascii="宋体" w:hAnsi="宋体" w:eastAsia="宋体" w:cs="宋体"/>
                <w:sz w:val="22"/>
                <w:szCs w:val="22"/>
                <w:lang w:val="en-US" w:eastAsia="zh-CN" w:bidi="zh-CN"/>
              </w:rPr>
            </w:pPr>
            <w:r>
              <w:rPr>
                <w:rFonts w:hint="eastAsia" w:ascii="宋体" w:hAnsi="宋体" w:eastAsia="宋体" w:cs="宋体"/>
                <w:color w:val="auto"/>
                <w:sz w:val="22"/>
                <w:szCs w:val="22"/>
                <w:u w:val="single"/>
                <w:lang w:val="en-US" w:eastAsia="zh-CN" w:bidi="zh-CN"/>
              </w:rPr>
              <w:t xml:space="preserve"> 90 </w:t>
            </w:r>
            <w:r>
              <w:rPr>
                <w:rFonts w:hint="eastAsia" w:ascii="宋体" w:hAnsi="宋体" w:eastAsia="宋体" w:cs="宋体"/>
                <w:color w:val="auto"/>
                <w:sz w:val="22"/>
                <w:szCs w:val="22"/>
                <w:lang w:val="en-US" w:eastAsia="zh-CN" w:bidi="zh-CN"/>
              </w:rPr>
              <w:t>日历天</w:t>
            </w:r>
          </w:p>
        </w:tc>
      </w:tr>
      <w:tr w14:paraId="4155D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76001243">
            <w:pPr>
              <w:jc w:val="center"/>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1.3.3</w:t>
            </w:r>
          </w:p>
        </w:tc>
        <w:tc>
          <w:tcPr>
            <w:tcW w:w="2376" w:type="dxa"/>
            <w:vAlign w:val="center"/>
          </w:tcPr>
          <w:p w14:paraId="62F62FC7">
            <w:pPr>
              <w:jc w:val="center"/>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合同履行期限</w:t>
            </w:r>
          </w:p>
        </w:tc>
        <w:tc>
          <w:tcPr>
            <w:tcW w:w="6115" w:type="dxa"/>
            <w:vAlign w:val="center"/>
          </w:tcPr>
          <w:p w14:paraId="67B07BAB">
            <w:pPr>
              <w:rPr>
                <w:rFonts w:hint="default" w:ascii="宋体" w:hAnsi="宋体" w:eastAsia="宋体" w:cs="宋体"/>
                <w:sz w:val="22"/>
                <w:szCs w:val="22"/>
                <w:lang w:eastAsia="zh-CN" w:bidi="zh-CN"/>
              </w:rPr>
            </w:pPr>
            <w:r>
              <w:rPr>
                <w:rFonts w:hint="default" w:cs="宋体"/>
                <w:sz w:val="22"/>
                <w:szCs w:val="22"/>
                <w:lang w:eastAsia="zh-CN" w:bidi="zh-CN"/>
              </w:rPr>
              <w:t>同工期及缺陷责任期</w:t>
            </w:r>
          </w:p>
        </w:tc>
      </w:tr>
      <w:tr w14:paraId="11394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49B4E901">
            <w:pPr>
              <w:jc w:val="center"/>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1.3.4</w:t>
            </w:r>
          </w:p>
        </w:tc>
        <w:tc>
          <w:tcPr>
            <w:tcW w:w="2376" w:type="dxa"/>
            <w:vAlign w:val="center"/>
          </w:tcPr>
          <w:p w14:paraId="4287642E">
            <w:pPr>
              <w:jc w:val="center"/>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质量要求</w:t>
            </w:r>
          </w:p>
        </w:tc>
        <w:tc>
          <w:tcPr>
            <w:tcW w:w="6115" w:type="dxa"/>
            <w:vAlign w:val="center"/>
          </w:tcPr>
          <w:p w14:paraId="3083B927">
            <w:pPr>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合格，达到国家相关质量验收要求</w:t>
            </w:r>
          </w:p>
        </w:tc>
      </w:tr>
      <w:tr w14:paraId="2E18E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4" w:type="dxa"/>
            <w:vAlign w:val="center"/>
          </w:tcPr>
          <w:p w14:paraId="4B6EC648">
            <w:pPr>
              <w:jc w:val="center"/>
              <w:rPr>
                <w:sz w:val="21"/>
                <w:szCs w:val="21"/>
              </w:rPr>
            </w:pPr>
            <w:r>
              <w:rPr>
                <w:rFonts w:hint="eastAsia"/>
                <w:sz w:val="21"/>
                <w:szCs w:val="21"/>
              </w:rPr>
              <w:t>1.4.</w:t>
            </w:r>
            <w:r>
              <w:rPr>
                <w:rFonts w:hint="eastAsia"/>
                <w:sz w:val="21"/>
                <w:szCs w:val="21"/>
                <w:lang w:val="en-US"/>
              </w:rPr>
              <w:t>1</w:t>
            </w:r>
          </w:p>
        </w:tc>
        <w:tc>
          <w:tcPr>
            <w:tcW w:w="2376" w:type="dxa"/>
            <w:vAlign w:val="center"/>
          </w:tcPr>
          <w:p w14:paraId="12E4D33B">
            <w:pPr>
              <w:jc w:val="center"/>
              <w:rPr>
                <w:sz w:val="21"/>
                <w:szCs w:val="21"/>
                <w:lang w:val="en-US"/>
              </w:rPr>
            </w:pPr>
            <w:r>
              <w:rPr>
                <w:rFonts w:hint="eastAsia"/>
                <w:sz w:val="21"/>
                <w:szCs w:val="21"/>
                <w:lang w:val="en-US"/>
              </w:rPr>
              <w:t>供应商资格要求</w:t>
            </w:r>
          </w:p>
        </w:tc>
        <w:tc>
          <w:tcPr>
            <w:tcW w:w="6115" w:type="dxa"/>
            <w:vAlign w:val="center"/>
          </w:tcPr>
          <w:p w14:paraId="638F3CE2">
            <w:pPr>
              <w:numPr>
                <w:ilvl w:val="0"/>
                <w:numId w:val="1"/>
              </w:numPr>
              <w:wordWrap w:val="0"/>
              <w:rPr>
                <w:rFonts w:hint="eastAsia" w:ascii="宋体" w:hAnsi="宋体" w:eastAsia="宋体" w:cs="宋体"/>
                <w:b/>
                <w:bCs/>
                <w:szCs w:val="21"/>
                <w:lang w:val="en-US"/>
              </w:rPr>
            </w:pPr>
            <w:r>
              <w:rPr>
                <w:rFonts w:hint="eastAsia" w:ascii="宋体" w:hAnsi="宋体" w:eastAsia="宋体" w:cs="宋体"/>
                <w:b/>
                <w:bCs/>
                <w:szCs w:val="21"/>
                <w:lang w:val="en-US"/>
              </w:rPr>
              <w:t>供应商基本要求：</w:t>
            </w:r>
          </w:p>
          <w:p w14:paraId="0CF075A3">
            <w:pPr>
              <w:numPr>
                <w:ilvl w:val="0"/>
                <w:numId w:val="0"/>
              </w:numPr>
              <w:wordWrap w:val="0"/>
              <w:rPr>
                <w:rFonts w:hint="eastAsia" w:ascii="宋体" w:hAnsi="宋体" w:eastAsia="宋体" w:cs="宋体"/>
                <w:szCs w:val="21"/>
                <w:lang w:val="en-US"/>
              </w:rPr>
            </w:pPr>
            <w:r>
              <w:rPr>
                <w:rFonts w:hint="eastAsia" w:ascii="宋体" w:hAnsi="宋体" w:eastAsia="宋体" w:cs="宋体"/>
                <w:szCs w:val="21"/>
                <w:lang w:val="en-US"/>
              </w:rPr>
              <w:t>满足《中华人民共和国政府采购法》第二十二条规定：</w:t>
            </w:r>
          </w:p>
          <w:p w14:paraId="03CE6BDC">
            <w:pPr>
              <w:wordWrap w:val="0"/>
              <w:rPr>
                <w:rFonts w:hint="eastAsia"/>
                <w:color w:val="auto"/>
                <w:szCs w:val="21"/>
                <w:lang w:val="en-US"/>
              </w:rPr>
            </w:pPr>
            <w:r>
              <w:rPr>
                <w:rFonts w:hint="eastAsia"/>
                <w:color w:val="auto"/>
                <w:szCs w:val="21"/>
                <w:lang w:val="en-US"/>
              </w:rPr>
              <w:t>1、具有独立承担民事责任的能力</w:t>
            </w:r>
            <w:r>
              <w:rPr>
                <w:rFonts w:hint="eastAsia"/>
                <w:color w:val="auto"/>
                <w:szCs w:val="21"/>
                <w:lang w:val="en-US" w:eastAsia="zh-CN"/>
              </w:rPr>
              <w:t>，提供有效的三证合一的营业执照或其他相关证明材料；</w:t>
            </w:r>
          </w:p>
          <w:p w14:paraId="480A2471">
            <w:pPr>
              <w:keepNext w:val="0"/>
              <w:keepLines w:val="0"/>
              <w:widowControl/>
              <w:suppressLineNumbers w:val="0"/>
              <w:jc w:val="left"/>
              <w:rPr>
                <w:rFonts w:hint="eastAsia"/>
                <w:color w:val="000000"/>
                <w:szCs w:val="21"/>
              </w:rPr>
            </w:pPr>
            <w:r>
              <w:rPr>
                <w:rFonts w:hint="eastAsia"/>
                <w:color w:val="auto"/>
                <w:szCs w:val="21"/>
                <w:lang w:val="en-US"/>
              </w:rPr>
              <w:t>2、</w:t>
            </w:r>
            <w:r>
              <w:rPr>
                <w:rFonts w:hint="eastAsia"/>
                <w:color w:val="000000"/>
                <w:szCs w:val="21"/>
              </w:rPr>
              <w:t>具有良好的商业信誉和健全的财务会计制度，提供20</w:t>
            </w:r>
            <w:r>
              <w:rPr>
                <w:rFonts w:hint="eastAsia"/>
                <w:color w:val="000000"/>
                <w:szCs w:val="21"/>
                <w:lang w:val="en-US"/>
              </w:rPr>
              <w:t>2</w:t>
            </w:r>
            <w:r>
              <w:rPr>
                <w:rFonts w:hint="eastAsia"/>
                <w:color w:val="000000"/>
                <w:szCs w:val="21"/>
                <w:lang w:val="en-US" w:eastAsia="zh-CN"/>
              </w:rPr>
              <w:t>4</w:t>
            </w:r>
            <w:r>
              <w:rPr>
                <w:rFonts w:hint="eastAsia"/>
                <w:color w:val="000000"/>
                <w:szCs w:val="21"/>
              </w:rPr>
              <w:t>年</w:t>
            </w:r>
            <w:r>
              <w:rPr>
                <w:rFonts w:hint="eastAsia"/>
                <w:color w:val="000000"/>
                <w:szCs w:val="21"/>
                <w:lang w:eastAsia="zh-CN"/>
              </w:rPr>
              <w:t>或</w:t>
            </w:r>
            <w:r>
              <w:rPr>
                <w:rFonts w:hint="eastAsia"/>
                <w:color w:val="000000"/>
                <w:szCs w:val="21"/>
              </w:rPr>
              <w:t>202</w:t>
            </w:r>
            <w:r>
              <w:rPr>
                <w:rFonts w:hint="eastAsia"/>
                <w:color w:val="000000"/>
                <w:szCs w:val="21"/>
                <w:lang w:val="en-US" w:eastAsia="zh-CN"/>
              </w:rPr>
              <w:t>5</w:t>
            </w:r>
            <w:r>
              <w:rPr>
                <w:rFonts w:hint="eastAsia"/>
                <w:color w:val="000000"/>
                <w:szCs w:val="21"/>
              </w:rPr>
              <w:t>年经会计师事务所或审计机构审计出具的财务审计报告（新成立的企业提供银行出具的资信证明或企业近三个月财务报表</w:t>
            </w:r>
            <w:r>
              <w:rPr>
                <w:rFonts w:hint="eastAsia"/>
                <w:color w:val="000000"/>
                <w:szCs w:val="21"/>
                <w:lang w:val="en-US" w:eastAsia="zh-CN"/>
              </w:rPr>
              <w:t xml:space="preserve">或财政部门认可的政府采购专业担保机构出具的投 </w:t>
            </w:r>
          </w:p>
          <w:p w14:paraId="7FD6A6FB">
            <w:pPr>
              <w:keepNext w:val="0"/>
              <w:keepLines w:val="0"/>
              <w:widowControl/>
              <w:suppressLineNumbers w:val="0"/>
              <w:jc w:val="left"/>
              <w:rPr>
                <w:rFonts w:hint="eastAsia"/>
                <w:color w:val="000000"/>
                <w:szCs w:val="21"/>
              </w:rPr>
            </w:pPr>
            <w:r>
              <w:rPr>
                <w:rFonts w:hint="eastAsia"/>
                <w:color w:val="000000"/>
                <w:szCs w:val="21"/>
                <w:lang w:val="en-US" w:eastAsia="zh-CN"/>
              </w:rPr>
              <w:t>标担保函</w:t>
            </w:r>
            <w:r>
              <w:rPr>
                <w:rFonts w:hint="eastAsia"/>
                <w:color w:val="000000"/>
                <w:szCs w:val="21"/>
              </w:rPr>
              <w:t>）；</w:t>
            </w:r>
          </w:p>
          <w:p w14:paraId="688FA312">
            <w:pPr>
              <w:keepNext w:val="0"/>
              <w:keepLines w:val="0"/>
              <w:widowControl/>
              <w:suppressLineNumbers w:val="0"/>
              <w:jc w:val="left"/>
              <w:rPr>
                <w:rFonts w:hint="eastAsia" w:ascii="宋体" w:hAnsi="宋体" w:eastAsia="宋体" w:cs="宋体"/>
                <w:szCs w:val="21"/>
                <w:lang w:val="en-US"/>
              </w:rPr>
            </w:pPr>
            <w:r>
              <w:rPr>
                <w:rFonts w:hint="eastAsia"/>
                <w:color w:val="000000"/>
                <w:szCs w:val="21"/>
                <w:lang w:val="en-US" w:eastAsia="zh-CN"/>
              </w:rPr>
              <w:t>3、</w:t>
            </w:r>
            <w:r>
              <w:rPr>
                <w:rFonts w:hint="eastAsia" w:ascii="宋体" w:hAnsi="宋体" w:eastAsia="宋体" w:cs="宋体"/>
                <w:szCs w:val="21"/>
                <w:lang w:val="en-US"/>
              </w:rPr>
              <w:t>有依法缴纳税收和社会保障资金的良好记录</w:t>
            </w:r>
            <w:r>
              <w:rPr>
                <w:rFonts w:hint="eastAsia" w:cs="宋体"/>
                <w:szCs w:val="21"/>
                <w:lang w:val="en-US" w:eastAsia="zh-CN"/>
              </w:rPr>
              <w:t>，</w:t>
            </w:r>
            <w:r>
              <w:rPr>
                <w:rFonts w:hint="eastAsia"/>
                <w:color w:val="auto"/>
                <w:szCs w:val="21"/>
              </w:rPr>
              <w:t>提供202</w:t>
            </w:r>
            <w:r>
              <w:rPr>
                <w:rFonts w:hint="eastAsia"/>
                <w:color w:val="auto"/>
                <w:szCs w:val="21"/>
                <w:lang w:val="en-US" w:eastAsia="zh-CN"/>
              </w:rPr>
              <w:t>5</w:t>
            </w:r>
            <w:r>
              <w:rPr>
                <w:rFonts w:hint="eastAsia"/>
                <w:color w:val="auto"/>
                <w:szCs w:val="21"/>
              </w:rPr>
              <w:t>年</w:t>
            </w:r>
            <w:r>
              <w:rPr>
                <w:rFonts w:hint="eastAsia"/>
                <w:color w:val="auto"/>
                <w:szCs w:val="21"/>
                <w:lang w:val="en-US" w:eastAsia="zh-CN"/>
              </w:rPr>
              <w:t>8</w:t>
            </w:r>
            <w:r>
              <w:rPr>
                <w:rFonts w:hint="eastAsia"/>
                <w:color w:val="auto"/>
                <w:szCs w:val="21"/>
                <w:lang w:val="en-US"/>
              </w:rPr>
              <w:t>月</w:t>
            </w:r>
            <w:r>
              <w:rPr>
                <w:rFonts w:hint="eastAsia"/>
                <w:color w:val="auto"/>
                <w:szCs w:val="21"/>
                <w:lang w:val="en-US" w:eastAsia="zh-CN"/>
              </w:rPr>
              <w:t>1日</w:t>
            </w:r>
            <w:r>
              <w:rPr>
                <w:rFonts w:hint="eastAsia"/>
                <w:color w:val="auto"/>
                <w:szCs w:val="21"/>
              </w:rPr>
              <w:t>以来任意</w:t>
            </w:r>
            <w:r>
              <w:rPr>
                <w:rFonts w:hint="eastAsia"/>
                <w:color w:val="auto"/>
                <w:szCs w:val="21"/>
                <w:lang w:eastAsia="zh-CN"/>
              </w:rPr>
              <w:t>连续</w:t>
            </w:r>
            <w:r>
              <w:rPr>
                <w:rFonts w:hint="eastAsia"/>
                <w:color w:val="auto"/>
                <w:szCs w:val="21"/>
              </w:rPr>
              <w:t>三个月依法缴纳税收和社会保障资金的证明材料（备注：</w:t>
            </w:r>
            <w:r>
              <w:rPr>
                <w:rFonts w:hint="eastAsia" w:ascii="宋体" w:hAnsi="宋体" w:eastAsia="宋体" w:cs="宋体"/>
                <w:szCs w:val="21"/>
                <w:lang w:val="en-US" w:eastAsia="zh-CN"/>
              </w:rPr>
              <w:t>新成立公司不足3个月的按已缴纳月份提供，依法免税或不需要缴纳社会保障资金的投标人，应提供相应证明文件</w:t>
            </w:r>
            <w:r>
              <w:rPr>
                <w:rFonts w:hint="eastAsia" w:ascii="宋体" w:hAnsi="宋体" w:eastAsia="宋体" w:cs="宋体"/>
                <w:szCs w:val="21"/>
                <w:lang w:val="en-US"/>
              </w:rPr>
              <w:t>）；</w:t>
            </w:r>
          </w:p>
          <w:p w14:paraId="6EFBC7C7">
            <w:pPr>
              <w:wordWrap w:val="0"/>
              <w:rPr>
                <w:rFonts w:hint="eastAsia" w:ascii="宋体" w:hAnsi="宋体" w:eastAsia="宋体" w:cs="宋体"/>
                <w:szCs w:val="21"/>
                <w:lang w:val="en-US"/>
              </w:rPr>
            </w:pPr>
            <w:r>
              <w:rPr>
                <w:rFonts w:hint="eastAsia" w:cs="宋体"/>
                <w:szCs w:val="21"/>
                <w:lang w:val="en-US" w:eastAsia="zh-CN"/>
              </w:rPr>
              <w:t>4</w:t>
            </w:r>
            <w:r>
              <w:rPr>
                <w:rFonts w:hint="eastAsia" w:ascii="宋体" w:hAnsi="宋体" w:eastAsia="宋体" w:cs="宋体"/>
                <w:szCs w:val="21"/>
                <w:lang w:val="en-US"/>
              </w:rPr>
              <w:t>、具有履行合同所必需的设备和专业技术能力（供应商自行承诺）；</w:t>
            </w:r>
          </w:p>
          <w:p w14:paraId="7AD0E52B">
            <w:pPr>
              <w:wordWrap w:val="0"/>
              <w:rPr>
                <w:rFonts w:hint="eastAsia" w:ascii="宋体" w:hAnsi="宋体" w:eastAsia="宋体" w:cs="宋体"/>
                <w:szCs w:val="21"/>
                <w:lang w:val="en-US"/>
              </w:rPr>
            </w:pPr>
            <w:r>
              <w:rPr>
                <w:rFonts w:hint="eastAsia" w:ascii="宋体" w:hAnsi="宋体" w:eastAsia="宋体" w:cs="宋体"/>
                <w:szCs w:val="21"/>
                <w:lang w:val="en-US"/>
              </w:rPr>
              <w:t>5、参加政府采购活动前三年内，在经营活动中没有重大违法记录（供应商</w:t>
            </w:r>
            <w:r>
              <w:rPr>
                <w:rFonts w:hint="eastAsia" w:cs="宋体"/>
                <w:szCs w:val="21"/>
                <w:lang w:val="en-US" w:eastAsia="zh-CN"/>
              </w:rPr>
              <w:t>提供书面声明</w:t>
            </w:r>
            <w:r>
              <w:rPr>
                <w:rFonts w:hint="eastAsia" w:ascii="宋体" w:hAnsi="宋体" w:eastAsia="宋体" w:cs="宋体"/>
                <w:szCs w:val="21"/>
                <w:lang w:val="en-US"/>
              </w:rPr>
              <w:t>）；</w:t>
            </w:r>
          </w:p>
          <w:p w14:paraId="045BC139">
            <w:pPr>
              <w:wordWrap w:val="0"/>
              <w:rPr>
                <w:rFonts w:hint="eastAsia" w:ascii="宋体" w:hAnsi="宋体" w:eastAsia="宋体" w:cs="宋体"/>
                <w:szCs w:val="21"/>
                <w:lang w:val="en-US"/>
              </w:rPr>
            </w:pPr>
            <w:r>
              <w:rPr>
                <w:rFonts w:hint="eastAsia" w:ascii="宋体" w:hAnsi="宋体" w:eastAsia="宋体" w:cs="宋体"/>
                <w:szCs w:val="21"/>
                <w:lang w:val="en-US"/>
              </w:rPr>
              <w:t>6、法律、行政法规规定的其他条件。</w:t>
            </w:r>
          </w:p>
          <w:p w14:paraId="75535BE1">
            <w:pPr>
              <w:wordWrap w:val="0"/>
              <w:rPr>
                <w:rFonts w:hint="eastAsia" w:ascii="宋体" w:hAnsi="宋体" w:eastAsia="宋体" w:cs="宋体"/>
                <w:b/>
                <w:bCs/>
                <w:szCs w:val="21"/>
                <w:lang w:val="zh-CN" w:eastAsia="zh-CN"/>
              </w:rPr>
            </w:pPr>
            <w:r>
              <w:rPr>
                <w:rFonts w:hint="eastAsia" w:ascii="宋体" w:hAnsi="宋体" w:eastAsia="宋体" w:cs="宋体"/>
                <w:b/>
                <w:bCs/>
                <w:szCs w:val="21"/>
                <w:lang w:val="en-US" w:eastAsia="zh-CN"/>
              </w:rPr>
              <w:t>(2)</w:t>
            </w:r>
            <w:r>
              <w:rPr>
                <w:rFonts w:hint="eastAsia" w:ascii="宋体" w:hAnsi="宋体" w:eastAsia="宋体" w:cs="宋体"/>
                <w:b/>
                <w:bCs/>
                <w:szCs w:val="21"/>
                <w:lang w:val="zh-CN" w:eastAsia="zh-CN"/>
              </w:rPr>
              <w:t>落实政府采购政策满足的资格要求：</w:t>
            </w:r>
          </w:p>
          <w:p w14:paraId="69DC86FD">
            <w:pPr>
              <w:wordWrap w:val="0"/>
              <w:rPr>
                <w:rFonts w:hint="eastAsia" w:ascii="宋体" w:hAnsi="宋体" w:eastAsia="宋体" w:cs="宋体"/>
                <w:szCs w:val="21"/>
                <w:lang w:val="en-US"/>
              </w:rPr>
            </w:pPr>
            <w:r>
              <w:rPr>
                <w:rFonts w:hint="eastAsia" w:ascii="宋体" w:hAnsi="宋体" w:eastAsia="宋体" w:cs="宋体"/>
                <w:szCs w:val="21"/>
                <w:lang w:val="en-US"/>
              </w:rPr>
              <w:t>本项目为专门面向中小企业采购项目，供应商应为中小微企业或监狱企业或残疾人福利性单位，提供《中小企业声明函》或《残疾人福利性单位声明函》或《监狱企业证明文件》。</w:t>
            </w:r>
          </w:p>
          <w:p w14:paraId="3A77A0AB">
            <w:pPr>
              <w:wordWrap w:val="0"/>
              <w:rPr>
                <w:rFonts w:hint="eastAsia" w:ascii="宋体" w:hAnsi="宋体" w:eastAsia="宋体" w:cs="宋体"/>
                <w:b/>
                <w:bCs/>
                <w:szCs w:val="21"/>
              </w:rPr>
            </w:pPr>
            <w:r>
              <w:rPr>
                <w:rFonts w:hint="eastAsia" w:ascii="宋体" w:hAnsi="宋体" w:eastAsia="宋体" w:cs="宋体"/>
                <w:b/>
                <w:bCs/>
                <w:szCs w:val="21"/>
              </w:rPr>
              <w:t>（</w:t>
            </w:r>
            <w:r>
              <w:rPr>
                <w:rFonts w:hint="eastAsia" w:cs="宋体"/>
                <w:b/>
                <w:bCs/>
                <w:szCs w:val="21"/>
                <w:lang w:val="en-US" w:eastAsia="zh-CN"/>
              </w:rPr>
              <w:t>3</w:t>
            </w:r>
            <w:r>
              <w:rPr>
                <w:rFonts w:hint="eastAsia" w:ascii="宋体" w:hAnsi="宋体" w:eastAsia="宋体" w:cs="宋体"/>
                <w:b/>
                <w:bCs/>
                <w:szCs w:val="21"/>
              </w:rPr>
              <w:t>）资质能力及项目经理要求：</w:t>
            </w:r>
          </w:p>
          <w:p w14:paraId="41BA9CFA">
            <w:pPr>
              <w:wordWrap w:val="0"/>
              <w:rPr>
                <w:rFonts w:hint="eastAsia" w:ascii="宋体" w:hAnsi="宋体" w:eastAsia="宋体" w:cs="宋体"/>
                <w:szCs w:val="21"/>
                <w:lang w:val="en-US"/>
              </w:rPr>
            </w:pPr>
            <w:r>
              <w:rPr>
                <w:rFonts w:hint="eastAsia" w:ascii="宋体" w:hAnsi="宋体" w:eastAsia="宋体" w:cs="宋体"/>
                <w:szCs w:val="21"/>
                <w:lang w:val="en-US"/>
              </w:rPr>
              <w:t>1、</w:t>
            </w:r>
            <w:r>
              <w:rPr>
                <w:rFonts w:hint="eastAsia" w:ascii="宋体" w:hAnsi="宋体" w:eastAsia="宋体" w:cs="宋体"/>
                <w:color w:val="auto"/>
                <w:szCs w:val="21"/>
                <w:lang w:val="en-US"/>
              </w:rPr>
              <w:t>供应商须具备有效的营业执照、资质证书副本、安全生产许可证；</w:t>
            </w:r>
          </w:p>
          <w:p w14:paraId="5B7B0E2D">
            <w:pPr>
              <w:wordWrap w:val="0"/>
              <w:rPr>
                <w:rFonts w:hint="eastAsia" w:ascii="宋体" w:hAnsi="宋体" w:eastAsia="宋体" w:cs="宋体"/>
                <w:szCs w:val="21"/>
                <w:lang w:val="en-US"/>
              </w:rPr>
            </w:pPr>
            <w:r>
              <w:rPr>
                <w:rFonts w:hint="eastAsia" w:ascii="宋体" w:hAnsi="宋体" w:eastAsia="宋体" w:cs="宋体"/>
                <w:szCs w:val="21"/>
                <w:lang w:val="en-US"/>
              </w:rPr>
              <w:t>2、供应商须具备</w:t>
            </w:r>
            <w:r>
              <w:rPr>
                <w:rFonts w:hint="eastAsia" w:ascii="宋体" w:hAnsi="宋体" w:cs="宋体"/>
                <w:szCs w:val="21"/>
              </w:rPr>
              <w:t>市政公用工程或公路</w:t>
            </w:r>
            <w:r>
              <w:rPr>
                <w:rFonts w:hint="eastAsia"/>
                <w:color w:val="auto"/>
                <w:szCs w:val="21"/>
                <w:lang w:val="en-US" w:eastAsia="zh-CN"/>
              </w:rPr>
              <w:t>工程</w:t>
            </w:r>
            <w:r>
              <w:rPr>
                <w:rFonts w:hint="eastAsia" w:ascii="宋体" w:hAnsi="宋体" w:eastAsia="宋体" w:cs="宋体"/>
                <w:szCs w:val="21"/>
                <w:lang w:val="en-US"/>
              </w:rPr>
              <w:t>施工总承包叁级及以上资质，并在人员配备、资金方面具备相应的施工能力，具备有效的安全生产许可证</w:t>
            </w:r>
            <w:r>
              <w:rPr>
                <w:rFonts w:hint="eastAsia" w:cs="宋体"/>
                <w:szCs w:val="21"/>
                <w:lang w:val="en-US" w:eastAsia="zh-CN"/>
              </w:rPr>
              <w:t>（必须在有效期内），</w:t>
            </w:r>
            <w:r>
              <w:rPr>
                <w:rFonts w:hint="eastAsia"/>
                <w:color w:val="000000"/>
                <w:szCs w:val="21"/>
                <w:lang w:val="en-US" w:eastAsia="zh-CN"/>
              </w:rPr>
              <w:t xml:space="preserve">根据河南省住房和城乡建设厅《关于进一步规范建设工程企业资质管理的通知》建筑业企业不能使用标注异常资质承揽新的工程 </w:t>
            </w:r>
            <w:r>
              <w:rPr>
                <w:rFonts w:hint="eastAsia" w:ascii="宋体" w:hAnsi="宋体" w:eastAsia="宋体" w:cs="宋体"/>
                <w:szCs w:val="21"/>
                <w:lang w:val="en-US"/>
              </w:rPr>
              <w:t>；拟派项目经理应具备</w:t>
            </w:r>
            <w:r>
              <w:rPr>
                <w:rFonts w:hint="eastAsia" w:ascii="宋体" w:hAnsi="宋体" w:cs="宋体"/>
                <w:szCs w:val="21"/>
              </w:rPr>
              <w:t>市政公用工程或公路</w:t>
            </w:r>
            <w:r>
              <w:rPr>
                <w:rFonts w:hint="eastAsia"/>
                <w:color w:val="auto"/>
                <w:szCs w:val="21"/>
                <w:lang w:val="en-US" w:eastAsia="zh-CN"/>
              </w:rPr>
              <w:t>工程</w:t>
            </w:r>
            <w:r>
              <w:rPr>
                <w:rFonts w:hint="eastAsia" w:ascii="宋体" w:hAnsi="宋体" w:eastAsia="宋体" w:cs="宋体"/>
                <w:szCs w:val="21"/>
                <w:lang w:val="en-US"/>
              </w:rPr>
              <w:t>专业贰级及以上注册建造师执业资格和有效的安全生产考核合格证书，且未担任其他在建工程项目的项目经理（供应商自行承诺）；</w:t>
            </w:r>
          </w:p>
          <w:p w14:paraId="67804535">
            <w:pPr>
              <w:wordWrap w:val="0"/>
              <w:rPr>
                <w:rFonts w:hint="eastAsia"/>
                <w:color w:val="000000" w:themeColor="text1"/>
                <w:sz w:val="21"/>
                <w:szCs w:val="21"/>
                <w14:textFill>
                  <w14:solidFill>
                    <w14:schemeClr w14:val="tx1"/>
                  </w14:solidFill>
                </w14:textFill>
              </w:rPr>
            </w:pPr>
            <w:r>
              <w:rPr>
                <w:rFonts w:hint="eastAsia" w:ascii="宋体" w:hAnsi="宋体" w:eastAsia="宋体" w:cs="宋体"/>
                <w:b/>
                <w:bCs/>
                <w:szCs w:val="21"/>
              </w:rPr>
              <w:t>（</w:t>
            </w:r>
            <w:r>
              <w:rPr>
                <w:rFonts w:hint="eastAsia" w:cs="宋体"/>
                <w:b/>
                <w:bCs/>
                <w:szCs w:val="21"/>
                <w:lang w:val="en-US" w:eastAsia="zh-CN"/>
              </w:rPr>
              <w:t>4</w:t>
            </w:r>
            <w:r>
              <w:rPr>
                <w:rFonts w:hint="eastAsia" w:ascii="宋体" w:hAnsi="宋体" w:eastAsia="宋体" w:cs="宋体"/>
                <w:b/>
                <w:bCs/>
                <w:szCs w:val="21"/>
              </w:rPr>
              <w:t>）信誉要求：</w:t>
            </w:r>
            <w:r>
              <w:rPr>
                <w:rFonts w:hint="eastAsia" w:cs="宋体"/>
                <w:b/>
                <w:bCs/>
                <w:szCs w:val="21"/>
                <w:lang w:val="en-US" w:eastAsia="zh-CN"/>
              </w:rPr>
              <w:t>1、</w:t>
            </w:r>
            <w:r>
              <w:rPr>
                <w:rFonts w:hint="eastAsia" w:ascii="宋体" w:hAnsi="宋体" w:eastAsia="宋体" w:cs="宋体"/>
                <w:szCs w:val="21"/>
              </w:rPr>
              <w:t>根据《关于在政府采购活动中查询及使用信用记录有关问题的通知》(财库[2016]125 号)及 《河南省财政厅关于转发财政部关于在政府采购活动中查询及使用信用记录有关问题的通知的通知》（豫财购〔2016〕15号）规定，对被列入失信被执行人、重大税收违法失信主体、政府采购严重违法失信行为记录名单的</w:t>
            </w:r>
            <w:r>
              <w:rPr>
                <w:rFonts w:hint="eastAsia" w:ascii="宋体" w:hAnsi="宋体" w:eastAsia="宋体" w:cs="宋体"/>
                <w:szCs w:val="21"/>
                <w:lang w:val="en-US" w:eastAsia="zh-CN"/>
              </w:rPr>
              <w:t>供应商</w:t>
            </w:r>
            <w:r>
              <w:rPr>
                <w:rFonts w:hint="eastAsia" w:ascii="宋体" w:hAnsi="宋体" w:eastAsia="宋体" w:cs="宋体"/>
                <w:szCs w:val="21"/>
              </w:rPr>
              <w:t>，拒绝参与本项目的投标；【查询渠道：信用中国网站（www.creditchina.gov.cn）、中国执行信息公开网（http://zxgk.court.gov.cn）、中国政府采购网（www.ccgp.gov.cn）”】，查询主体（投标企业），提供查询结果截图并加盖单位公章（查询日期须在公告发布之日后）</w:t>
            </w:r>
            <w:r>
              <w:rPr>
                <w:rFonts w:hint="eastAsia"/>
                <w:color w:val="000000" w:themeColor="text1"/>
                <w:sz w:val="21"/>
                <w:szCs w:val="21"/>
                <w14:textFill>
                  <w14:solidFill>
                    <w14:schemeClr w14:val="tx1"/>
                  </w14:solidFill>
                </w14:textFill>
              </w:rPr>
              <w:t>；</w:t>
            </w:r>
          </w:p>
          <w:p w14:paraId="7FC5C0EE">
            <w:pPr>
              <w:wordWrap w:val="0"/>
              <w:rPr>
                <w:rFonts w:hint="eastAsia"/>
                <w:color w:val="000000" w:themeColor="text1"/>
                <w:sz w:val="21"/>
                <w:szCs w:val="21"/>
                <w14:textFill>
                  <w14:solidFill>
                    <w14:schemeClr w14:val="tx1"/>
                  </w14:solidFill>
                </w14:textFill>
              </w:rPr>
            </w:pPr>
            <w:r>
              <w:rPr>
                <w:rFonts w:hint="eastAsia" w:ascii="宋体" w:hAnsi="宋体" w:eastAsia="宋体" w:cs="宋体"/>
                <w:color w:val="000000"/>
                <w:szCs w:val="21"/>
                <w:lang w:val="en-US" w:eastAsia="zh-CN"/>
              </w:rPr>
              <w:t>2、单位负责人为同一人或者存在直接控股、管理关系的不同单位，不得参加同一项目投标（提供加盖供应商公章的“国家企业信用信息公示系统”网页查询截图，</w:t>
            </w:r>
            <w:r>
              <w:rPr>
                <w:rFonts w:hint="eastAsia" w:ascii="宋体" w:hAnsi="宋体" w:eastAsia="宋体" w:cs="宋体"/>
                <w:szCs w:val="21"/>
              </w:rPr>
              <w:t>查询日期须在公告发布之日后</w:t>
            </w:r>
            <w:r>
              <w:rPr>
                <w:rFonts w:hint="eastAsia" w:ascii="宋体" w:hAnsi="宋体" w:eastAsia="宋体" w:cs="宋体"/>
                <w:color w:val="000000"/>
                <w:szCs w:val="21"/>
                <w:lang w:val="en-US" w:eastAsia="zh-CN"/>
              </w:rPr>
              <w:t>）。</w:t>
            </w:r>
          </w:p>
          <w:p w14:paraId="1D8FE09D">
            <w:pPr>
              <w:rPr>
                <w:sz w:val="21"/>
                <w:szCs w:val="21"/>
                <w:lang w:val="en-US"/>
              </w:rPr>
            </w:pPr>
            <w:r>
              <w:rPr>
                <w:rFonts w:hint="eastAsia" w:ascii="宋体" w:hAnsi="宋体" w:eastAsia="宋体" w:cs="宋体"/>
                <w:b/>
                <w:bCs/>
                <w:szCs w:val="21"/>
              </w:rPr>
              <w:t>（</w:t>
            </w:r>
            <w:r>
              <w:rPr>
                <w:rFonts w:hint="eastAsia" w:cs="宋体"/>
                <w:b/>
                <w:bCs/>
                <w:szCs w:val="21"/>
                <w:lang w:val="en-US" w:eastAsia="zh-CN"/>
              </w:rPr>
              <w:t>5</w:t>
            </w:r>
            <w:r>
              <w:rPr>
                <w:rFonts w:hint="eastAsia" w:ascii="宋体" w:hAnsi="宋体" w:eastAsia="宋体" w:cs="宋体"/>
                <w:b/>
                <w:bCs/>
                <w:szCs w:val="21"/>
              </w:rPr>
              <w:t>）其他要求：</w:t>
            </w:r>
            <w:r>
              <w:rPr>
                <w:rFonts w:hint="eastAsia" w:ascii="宋体" w:hAnsi="宋体" w:eastAsia="宋体" w:cs="宋体"/>
                <w:szCs w:val="21"/>
              </w:rPr>
              <w:t>本项目不接受联合体投标。</w:t>
            </w:r>
          </w:p>
        </w:tc>
      </w:tr>
      <w:tr w14:paraId="79A5B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742BA96B">
            <w:pPr>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1.4.2</w:t>
            </w:r>
          </w:p>
        </w:tc>
        <w:tc>
          <w:tcPr>
            <w:tcW w:w="2376" w:type="dxa"/>
            <w:vAlign w:val="center"/>
          </w:tcPr>
          <w:p w14:paraId="42FC8232">
            <w:pPr>
              <w:jc w:val="center"/>
              <w:rPr>
                <w:rFonts w:hint="eastAsia"/>
                <w:szCs w:val="21"/>
                <w:lang w:val="en-US"/>
              </w:rPr>
            </w:pPr>
            <w:r>
              <w:rPr>
                <w:rFonts w:hint="eastAsia"/>
                <w:szCs w:val="21"/>
                <w:lang w:val="en-US"/>
              </w:rPr>
              <w:t>是否接受联合体投标</w:t>
            </w:r>
          </w:p>
        </w:tc>
        <w:tc>
          <w:tcPr>
            <w:tcW w:w="6115" w:type="dxa"/>
            <w:vAlign w:val="center"/>
          </w:tcPr>
          <w:p w14:paraId="5A1A6B46">
            <w:pPr>
              <w:rPr>
                <w:rFonts w:hint="eastAsia"/>
                <w:szCs w:val="21"/>
                <w:lang w:val="en-US"/>
              </w:rPr>
            </w:pPr>
            <w:r>
              <w:rPr>
                <w:rFonts w:hint="eastAsia"/>
                <w:szCs w:val="21"/>
                <w:lang w:val="en-US"/>
              </w:rPr>
              <w:t>☑不接受</w:t>
            </w:r>
          </w:p>
        </w:tc>
      </w:tr>
      <w:tr w14:paraId="26A30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3F36553D">
            <w:pPr>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1.4.3</w:t>
            </w:r>
          </w:p>
        </w:tc>
        <w:tc>
          <w:tcPr>
            <w:tcW w:w="2376" w:type="dxa"/>
            <w:vAlign w:val="center"/>
          </w:tcPr>
          <w:p w14:paraId="3F84129B">
            <w:pPr>
              <w:jc w:val="center"/>
              <w:rPr>
                <w:rFonts w:hint="eastAsia"/>
                <w:szCs w:val="21"/>
                <w:lang w:val="en-US"/>
              </w:rPr>
            </w:pPr>
            <w:r>
              <w:rPr>
                <w:rFonts w:hint="eastAsia"/>
                <w:szCs w:val="21"/>
                <w:lang w:val="en-US"/>
              </w:rPr>
              <w:t>是否为只面向中小企业采购</w:t>
            </w:r>
          </w:p>
        </w:tc>
        <w:tc>
          <w:tcPr>
            <w:tcW w:w="6115" w:type="dxa"/>
            <w:vAlign w:val="center"/>
          </w:tcPr>
          <w:p w14:paraId="6EAB83A6">
            <w:pPr>
              <w:rPr>
                <w:rFonts w:hint="eastAsia"/>
                <w:szCs w:val="21"/>
                <w:lang w:val="en-US"/>
              </w:rPr>
            </w:pPr>
            <w:r>
              <w:rPr>
                <w:rFonts w:hint="eastAsia"/>
                <w:szCs w:val="21"/>
                <w:lang w:val="en-US"/>
              </w:rPr>
              <w:t>☑是</w:t>
            </w:r>
          </w:p>
        </w:tc>
      </w:tr>
      <w:tr w14:paraId="32BFD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2A35E1EC">
            <w:pPr>
              <w:adjustRightInd w:val="0"/>
              <w:snapToGrid w:val="0"/>
              <w:ind w:left="208" w:right="196"/>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1.9.1</w:t>
            </w:r>
          </w:p>
        </w:tc>
        <w:tc>
          <w:tcPr>
            <w:tcW w:w="2376" w:type="dxa"/>
            <w:vAlign w:val="center"/>
          </w:tcPr>
          <w:p w14:paraId="35269335">
            <w:pPr>
              <w:jc w:val="center"/>
              <w:rPr>
                <w:rFonts w:hint="eastAsia"/>
                <w:szCs w:val="21"/>
                <w:lang w:val="en-US"/>
              </w:rPr>
            </w:pPr>
            <w:r>
              <w:rPr>
                <w:rFonts w:hint="eastAsia"/>
                <w:szCs w:val="21"/>
                <w:lang w:val="en-US"/>
              </w:rPr>
              <w:t>勘察现场</w:t>
            </w:r>
          </w:p>
        </w:tc>
        <w:tc>
          <w:tcPr>
            <w:tcW w:w="6115" w:type="dxa"/>
            <w:vAlign w:val="center"/>
          </w:tcPr>
          <w:p w14:paraId="750F6A17">
            <w:pPr>
              <w:rPr>
                <w:rFonts w:hint="eastAsia"/>
                <w:szCs w:val="21"/>
                <w:lang w:val="en-US"/>
              </w:rPr>
            </w:pPr>
            <w:r>
              <w:rPr>
                <w:rFonts w:hint="eastAsia"/>
                <w:szCs w:val="21"/>
                <w:lang w:val="en-US"/>
              </w:rPr>
              <w:t>☑不组织</w:t>
            </w:r>
          </w:p>
        </w:tc>
      </w:tr>
      <w:tr w14:paraId="36E0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1464" w:type="dxa"/>
            <w:vAlign w:val="center"/>
          </w:tcPr>
          <w:p w14:paraId="0131738F">
            <w:pPr>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1.10.1</w:t>
            </w:r>
          </w:p>
        </w:tc>
        <w:tc>
          <w:tcPr>
            <w:tcW w:w="2376" w:type="dxa"/>
            <w:vAlign w:val="center"/>
          </w:tcPr>
          <w:p w14:paraId="176EEC05">
            <w:pPr>
              <w:jc w:val="center"/>
              <w:rPr>
                <w:rFonts w:hint="eastAsia"/>
                <w:szCs w:val="21"/>
                <w:lang w:val="en-US"/>
              </w:rPr>
            </w:pPr>
            <w:r>
              <w:rPr>
                <w:rFonts w:hint="eastAsia"/>
                <w:szCs w:val="21"/>
                <w:lang w:val="en-US"/>
              </w:rPr>
              <w:t>投标预备会</w:t>
            </w:r>
          </w:p>
        </w:tc>
        <w:tc>
          <w:tcPr>
            <w:tcW w:w="6115" w:type="dxa"/>
            <w:vAlign w:val="center"/>
          </w:tcPr>
          <w:p w14:paraId="15C97720">
            <w:pPr>
              <w:rPr>
                <w:rFonts w:hint="eastAsia"/>
                <w:szCs w:val="21"/>
                <w:lang w:val="en-US"/>
              </w:rPr>
            </w:pPr>
            <w:r>
              <w:rPr>
                <w:rFonts w:hint="eastAsia"/>
                <w:szCs w:val="21"/>
                <w:lang w:val="en-US"/>
              </w:rPr>
              <w:t>☑不召开</w:t>
            </w:r>
          </w:p>
        </w:tc>
      </w:tr>
      <w:tr w14:paraId="65DB3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662F67C9">
            <w:pPr>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1.11.1</w:t>
            </w:r>
          </w:p>
        </w:tc>
        <w:tc>
          <w:tcPr>
            <w:tcW w:w="2376" w:type="dxa"/>
            <w:vAlign w:val="center"/>
          </w:tcPr>
          <w:p w14:paraId="7D333661">
            <w:pPr>
              <w:jc w:val="center"/>
              <w:rPr>
                <w:rFonts w:hint="eastAsia"/>
                <w:szCs w:val="21"/>
                <w:lang w:val="en-US"/>
              </w:rPr>
            </w:pPr>
            <w:r>
              <w:rPr>
                <w:rFonts w:hint="eastAsia"/>
                <w:szCs w:val="21"/>
                <w:lang w:val="en-US"/>
              </w:rPr>
              <w:t>分包</w:t>
            </w:r>
          </w:p>
        </w:tc>
        <w:tc>
          <w:tcPr>
            <w:tcW w:w="6115" w:type="dxa"/>
            <w:vAlign w:val="center"/>
          </w:tcPr>
          <w:p w14:paraId="79A06CD9">
            <w:pPr>
              <w:rPr>
                <w:rFonts w:hint="eastAsia"/>
                <w:szCs w:val="21"/>
                <w:lang w:val="en-US"/>
              </w:rPr>
            </w:pPr>
            <w:r>
              <w:rPr>
                <w:rFonts w:hint="eastAsia"/>
                <w:szCs w:val="21"/>
                <w:lang w:val="en-US"/>
              </w:rPr>
              <w:t>☑不允许</w:t>
            </w:r>
          </w:p>
        </w:tc>
      </w:tr>
      <w:tr w14:paraId="3E0A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7E8CE96E">
            <w:pPr>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1.12.3</w:t>
            </w:r>
          </w:p>
        </w:tc>
        <w:tc>
          <w:tcPr>
            <w:tcW w:w="2376" w:type="dxa"/>
            <w:vAlign w:val="center"/>
          </w:tcPr>
          <w:p w14:paraId="18F20AFF">
            <w:pPr>
              <w:jc w:val="center"/>
              <w:rPr>
                <w:rFonts w:hint="eastAsia"/>
                <w:szCs w:val="21"/>
                <w:lang w:val="en-US"/>
              </w:rPr>
            </w:pPr>
            <w:r>
              <w:rPr>
                <w:rFonts w:hint="eastAsia"/>
                <w:szCs w:val="21"/>
                <w:lang w:val="en-US"/>
              </w:rPr>
              <w:t>偏差</w:t>
            </w:r>
          </w:p>
        </w:tc>
        <w:tc>
          <w:tcPr>
            <w:tcW w:w="6115" w:type="dxa"/>
            <w:vAlign w:val="center"/>
          </w:tcPr>
          <w:p w14:paraId="650224BC">
            <w:pPr>
              <w:rPr>
                <w:rFonts w:hint="eastAsia"/>
                <w:szCs w:val="21"/>
                <w:lang w:val="en-US"/>
              </w:rPr>
            </w:pPr>
            <w:r>
              <w:rPr>
                <w:rFonts w:hint="eastAsia"/>
                <w:szCs w:val="21"/>
                <w:lang w:val="en-US"/>
              </w:rPr>
              <w:t>☑不允许</w:t>
            </w:r>
          </w:p>
        </w:tc>
      </w:tr>
      <w:tr w14:paraId="6DEF1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42F51D05">
            <w:pPr>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2.1</w:t>
            </w:r>
          </w:p>
        </w:tc>
        <w:tc>
          <w:tcPr>
            <w:tcW w:w="2376" w:type="dxa"/>
            <w:vAlign w:val="center"/>
          </w:tcPr>
          <w:p w14:paraId="5F0E996A">
            <w:pPr>
              <w:jc w:val="center"/>
              <w:rPr>
                <w:rFonts w:hint="eastAsia"/>
                <w:szCs w:val="21"/>
                <w:lang w:val="en-US"/>
              </w:rPr>
            </w:pPr>
            <w:r>
              <w:rPr>
                <w:rFonts w:hint="eastAsia"/>
                <w:szCs w:val="21"/>
                <w:lang w:val="en-US"/>
              </w:rPr>
              <w:t>构成磋商文件的其他资料</w:t>
            </w:r>
          </w:p>
        </w:tc>
        <w:tc>
          <w:tcPr>
            <w:tcW w:w="6115" w:type="dxa"/>
            <w:vAlign w:val="center"/>
          </w:tcPr>
          <w:p w14:paraId="2AAA4814">
            <w:pPr>
              <w:rPr>
                <w:rFonts w:hint="eastAsia"/>
                <w:szCs w:val="21"/>
                <w:lang w:val="en-US"/>
              </w:rPr>
            </w:pPr>
            <w:r>
              <w:rPr>
                <w:rFonts w:hint="eastAsia"/>
                <w:szCs w:val="21"/>
              </w:rPr>
              <w:t>工程量清单、招标控制价及</w:t>
            </w:r>
            <w:r>
              <w:rPr>
                <w:rFonts w:hint="eastAsia"/>
                <w:szCs w:val="21"/>
                <w:lang w:val="en-US"/>
              </w:rPr>
              <w:t>发出的补充文件、澄清及修改等</w:t>
            </w:r>
          </w:p>
        </w:tc>
      </w:tr>
      <w:tr w14:paraId="27ADD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657C3AC3">
            <w:pPr>
              <w:jc w:val="center"/>
              <w:rPr>
                <w:rFonts w:cs="Times New Roman"/>
                <w:b/>
                <w:bCs/>
                <w:color w:val="000000" w:themeColor="text1"/>
                <w:sz w:val="21"/>
                <w:szCs w:val="21"/>
                <w:lang w:val="en-US" w:bidi="ar-SA"/>
                <w14:textFill>
                  <w14:solidFill>
                    <w14:schemeClr w14:val="tx1"/>
                  </w14:solidFill>
                </w14:textFill>
              </w:rPr>
            </w:pPr>
            <w:r>
              <w:rPr>
                <w:rFonts w:hint="eastAsia" w:cs="Times New Roman"/>
                <w:bCs/>
                <w:color w:val="000000" w:themeColor="text1"/>
                <w:sz w:val="21"/>
                <w:szCs w:val="21"/>
                <w:lang w:val="en-US" w:bidi="ar-SA"/>
                <w14:textFill>
                  <w14:solidFill>
                    <w14:schemeClr w14:val="tx1"/>
                  </w14:solidFill>
                </w14:textFill>
              </w:rPr>
              <w:t>2.1.1</w:t>
            </w:r>
          </w:p>
        </w:tc>
        <w:tc>
          <w:tcPr>
            <w:tcW w:w="2376" w:type="dxa"/>
            <w:vAlign w:val="center"/>
          </w:tcPr>
          <w:p w14:paraId="6C339722">
            <w:pPr>
              <w:rPr>
                <w:rFonts w:cs="Times New Roman"/>
                <w:bCs/>
                <w:color w:val="000000" w:themeColor="text1"/>
                <w:sz w:val="21"/>
                <w:szCs w:val="21"/>
                <w:lang w:val="en-US" w:bidi="ar-SA"/>
                <w14:textFill>
                  <w14:solidFill>
                    <w14:schemeClr w14:val="tx1"/>
                  </w14:solidFill>
                </w14:textFill>
              </w:rPr>
            </w:pPr>
            <w:r>
              <w:rPr>
                <w:rFonts w:hint="eastAsia"/>
                <w:szCs w:val="21"/>
              </w:rPr>
              <w:t>磋商文件的澄清或变更发布方式</w:t>
            </w:r>
          </w:p>
        </w:tc>
        <w:tc>
          <w:tcPr>
            <w:tcW w:w="6115" w:type="dxa"/>
            <w:vAlign w:val="center"/>
          </w:tcPr>
          <w:p w14:paraId="540E0CD8">
            <w:pPr>
              <w:rPr>
                <w:rFonts w:cs="Times New Roman"/>
                <w:bCs/>
                <w:color w:val="000000" w:themeColor="text1"/>
                <w:sz w:val="21"/>
                <w:szCs w:val="21"/>
                <w:lang w:val="en-US" w:bidi="ar-SA"/>
                <w14:textFill>
                  <w14:solidFill>
                    <w14:schemeClr w14:val="tx1"/>
                  </w14:solidFill>
                </w14:textFill>
              </w:rPr>
            </w:pPr>
            <w:r>
              <w:rPr>
                <w:rFonts w:hint="eastAsia"/>
                <w:color w:val="auto"/>
                <w:szCs w:val="21"/>
              </w:rPr>
              <w:t>在《信阳市公共资源交易中心商城县分中心》、《河南省政府采购网》、《中国招标投标公共服务平台》同时发布</w:t>
            </w:r>
          </w:p>
        </w:tc>
      </w:tr>
      <w:tr w14:paraId="17C3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1464" w:type="dxa"/>
            <w:vAlign w:val="center"/>
          </w:tcPr>
          <w:p w14:paraId="37869024">
            <w:pPr>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2.1.2</w:t>
            </w:r>
          </w:p>
        </w:tc>
        <w:tc>
          <w:tcPr>
            <w:tcW w:w="2376" w:type="dxa"/>
            <w:vAlign w:val="center"/>
          </w:tcPr>
          <w:p w14:paraId="6778A1B4">
            <w:pPr>
              <w:rPr>
                <w:rFonts w:cs="Times New Roman"/>
                <w:color w:val="000000" w:themeColor="text1"/>
                <w:sz w:val="21"/>
                <w:szCs w:val="21"/>
                <w:lang w:val="en-US" w:bidi="ar-SA"/>
                <w14:textFill>
                  <w14:solidFill>
                    <w14:schemeClr w14:val="tx1"/>
                  </w14:solidFill>
                </w14:textFill>
              </w:rPr>
            </w:pPr>
            <w:r>
              <w:rPr>
                <w:rFonts w:hint="eastAsia"/>
                <w:szCs w:val="21"/>
              </w:rPr>
              <w:t>磋商文件的澄清或变更发布时间</w:t>
            </w:r>
          </w:p>
        </w:tc>
        <w:tc>
          <w:tcPr>
            <w:tcW w:w="6115" w:type="dxa"/>
            <w:vAlign w:val="center"/>
          </w:tcPr>
          <w:p w14:paraId="57CF8E66">
            <w:pPr>
              <w:rPr>
                <w:rFonts w:cs="Times New Roman"/>
                <w:color w:val="000000" w:themeColor="text1"/>
                <w:sz w:val="21"/>
                <w:szCs w:val="21"/>
                <w:lang w:val="en-US" w:bidi="ar-SA"/>
                <w14:textFill>
                  <w14:solidFill>
                    <w14:schemeClr w14:val="tx1"/>
                  </w14:solidFill>
                </w14:textFill>
              </w:rPr>
            </w:pPr>
            <w:r>
              <w:rPr>
                <w:rFonts w:hint="eastAsia"/>
                <w:szCs w:val="21"/>
              </w:rPr>
              <w:t>如果澄清或变更发出的时间距响应文件递交截止时间不足5天，并且澄清或变更内容对供应商编制响应文件有实质性影响的，相应延长响应文件递交截止时间</w:t>
            </w:r>
          </w:p>
        </w:tc>
      </w:tr>
      <w:tr w14:paraId="7AC61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1464" w:type="dxa"/>
            <w:vAlign w:val="center"/>
          </w:tcPr>
          <w:p w14:paraId="66E4AE43">
            <w:pPr>
              <w:jc w:val="center"/>
              <w:rPr>
                <w:rFonts w:hint="default" w:eastAsia="宋体" w:cs="Times New Roman"/>
                <w:color w:val="auto"/>
                <w:sz w:val="21"/>
                <w:szCs w:val="21"/>
                <w:lang w:val="en-US" w:eastAsia="zh-CN" w:bidi="ar-SA"/>
              </w:rPr>
            </w:pPr>
            <w:r>
              <w:rPr>
                <w:rFonts w:hint="eastAsia" w:cs="Times New Roman"/>
                <w:color w:val="auto"/>
                <w:sz w:val="21"/>
                <w:szCs w:val="21"/>
                <w:lang w:val="en-US" w:eastAsia="zh-CN" w:bidi="ar-SA"/>
              </w:rPr>
              <w:t>2.1.3</w:t>
            </w:r>
          </w:p>
        </w:tc>
        <w:tc>
          <w:tcPr>
            <w:tcW w:w="2376" w:type="dxa"/>
            <w:vAlign w:val="center"/>
          </w:tcPr>
          <w:p w14:paraId="458F403C">
            <w:pPr>
              <w:rPr>
                <w:rFonts w:hint="default" w:eastAsia="宋体"/>
                <w:color w:val="auto"/>
                <w:szCs w:val="21"/>
                <w:lang w:val="en-US" w:eastAsia="zh-CN"/>
              </w:rPr>
            </w:pPr>
            <w:r>
              <w:rPr>
                <w:rFonts w:hint="eastAsia"/>
                <w:color w:val="auto"/>
                <w:szCs w:val="21"/>
                <w:lang w:val="en-US" w:eastAsia="zh-CN"/>
              </w:rPr>
              <w:t>供应商确认收到磋商文件澄清的时间</w:t>
            </w:r>
          </w:p>
        </w:tc>
        <w:tc>
          <w:tcPr>
            <w:tcW w:w="6115" w:type="dxa"/>
            <w:vAlign w:val="center"/>
          </w:tcPr>
          <w:p w14:paraId="1B6D3CF5">
            <w:pPr>
              <w:rPr>
                <w:rFonts w:hint="default" w:eastAsia="宋体"/>
                <w:color w:val="auto"/>
                <w:szCs w:val="21"/>
                <w:lang w:val="en-US" w:eastAsia="zh-CN"/>
              </w:rPr>
            </w:pPr>
            <w:r>
              <w:rPr>
                <w:rFonts w:hint="eastAsia"/>
                <w:color w:val="auto"/>
                <w:szCs w:val="21"/>
                <w:lang w:val="en-US" w:eastAsia="zh-CN"/>
              </w:rPr>
              <w:t>在收到相应澄清文件后24小时内</w:t>
            </w:r>
          </w:p>
        </w:tc>
      </w:tr>
      <w:tr w14:paraId="7AA83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464" w:type="dxa"/>
            <w:vAlign w:val="center"/>
          </w:tcPr>
          <w:p w14:paraId="06EC101A">
            <w:pPr>
              <w:jc w:val="center"/>
              <w:rPr>
                <w:rFonts w:hint="default" w:cs="Times New Roman"/>
                <w:color w:val="auto"/>
                <w:sz w:val="21"/>
                <w:szCs w:val="21"/>
                <w:lang w:val="en-US" w:eastAsia="zh-CN" w:bidi="ar-SA"/>
              </w:rPr>
            </w:pPr>
            <w:r>
              <w:rPr>
                <w:rFonts w:hint="eastAsia" w:cs="Times New Roman"/>
                <w:color w:val="auto"/>
                <w:sz w:val="21"/>
                <w:szCs w:val="21"/>
                <w:lang w:val="en-US" w:eastAsia="zh-CN" w:bidi="ar-SA"/>
              </w:rPr>
              <w:t>2.1.4</w:t>
            </w:r>
          </w:p>
        </w:tc>
        <w:tc>
          <w:tcPr>
            <w:tcW w:w="2376" w:type="dxa"/>
            <w:vAlign w:val="center"/>
          </w:tcPr>
          <w:p w14:paraId="068763E1">
            <w:pPr>
              <w:rPr>
                <w:rFonts w:hint="default"/>
                <w:color w:val="auto"/>
                <w:szCs w:val="21"/>
                <w:lang w:val="en-US" w:eastAsia="zh-CN"/>
              </w:rPr>
            </w:pPr>
            <w:r>
              <w:rPr>
                <w:rFonts w:hint="eastAsia"/>
                <w:color w:val="auto"/>
                <w:szCs w:val="21"/>
                <w:lang w:val="en-US" w:eastAsia="zh-CN"/>
              </w:rPr>
              <w:t>供应商提出问题的截止时间</w:t>
            </w:r>
          </w:p>
        </w:tc>
        <w:tc>
          <w:tcPr>
            <w:tcW w:w="6115" w:type="dxa"/>
            <w:vAlign w:val="center"/>
          </w:tcPr>
          <w:p w14:paraId="3DA7C2F7">
            <w:pPr>
              <w:rPr>
                <w:rFonts w:hint="default"/>
                <w:color w:val="auto"/>
                <w:szCs w:val="21"/>
                <w:lang w:val="en-US" w:eastAsia="zh-CN"/>
              </w:rPr>
            </w:pPr>
            <w:r>
              <w:rPr>
                <w:rFonts w:hint="eastAsia"/>
                <w:color w:val="auto"/>
                <w:szCs w:val="21"/>
                <w:lang w:val="en-US" w:eastAsia="zh-CN"/>
              </w:rPr>
              <w:t>递交响应文件截止之日5天前</w:t>
            </w:r>
          </w:p>
        </w:tc>
      </w:tr>
      <w:tr w14:paraId="192EB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4F184859">
            <w:pPr>
              <w:tabs>
                <w:tab w:val="left" w:pos="316"/>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3.1.1</w:t>
            </w:r>
          </w:p>
        </w:tc>
        <w:tc>
          <w:tcPr>
            <w:tcW w:w="2376" w:type="dxa"/>
            <w:vAlign w:val="center"/>
          </w:tcPr>
          <w:p w14:paraId="095695BF">
            <w:pPr>
              <w:rPr>
                <w:rFonts w:hint="eastAsia"/>
                <w:color w:val="auto"/>
                <w:szCs w:val="21"/>
                <w:lang w:val="en-US" w:eastAsia="zh-CN"/>
              </w:rPr>
            </w:pPr>
            <w:r>
              <w:rPr>
                <w:rFonts w:hint="eastAsia"/>
                <w:color w:val="auto"/>
                <w:szCs w:val="21"/>
                <w:lang w:val="en-US" w:eastAsia="zh-CN"/>
              </w:rPr>
              <w:t>构成响应文件的其他资料</w:t>
            </w:r>
          </w:p>
        </w:tc>
        <w:tc>
          <w:tcPr>
            <w:tcW w:w="6115" w:type="dxa"/>
            <w:vAlign w:val="center"/>
          </w:tcPr>
          <w:p w14:paraId="6BD06340">
            <w:pPr>
              <w:rPr>
                <w:rFonts w:hint="eastAsia"/>
                <w:color w:val="auto"/>
                <w:szCs w:val="21"/>
                <w:lang w:val="en-US" w:eastAsia="zh-CN"/>
              </w:rPr>
            </w:pPr>
            <w:r>
              <w:rPr>
                <w:rFonts w:hint="eastAsia"/>
                <w:color w:val="auto"/>
                <w:szCs w:val="21"/>
                <w:lang w:val="en-US" w:eastAsia="zh-CN"/>
              </w:rPr>
              <w:t>供应商认为有利于投标的其它资料</w:t>
            </w:r>
          </w:p>
        </w:tc>
      </w:tr>
      <w:tr w14:paraId="35F9D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42D4CF54">
            <w:pPr>
              <w:jc w:val="center"/>
              <w:rPr>
                <w:rFonts w:hint="eastAsia"/>
                <w:color w:val="auto"/>
                <w:szCs w:val="21"/>
                <w:lang w:val="en-US" w:eastAsia="zh-CN"/>
              </w:rPr>
            </w:pPr>
            <w:r>
              <w:rPr>
                <w:rFonts w:hint="eastAsia"/>
                <w:color w:val="auto"/>
                <w:szCs w:val="21"/>
                <w:lang w:val="en-US" w:eastAsia="zh-CN"/>
              </w:rPr>
              <w:t>3.1.2</w:t>
            </w:r>
          </w:p>
        </w:tc>
        <w:tc>
          <w:tcPr>
            <w:tcW w:w="2376" w:type="dxa"/>
            <w:vAlign w:val="center"/>
          </w:tcPr>
          <w:p w14:paraId="6812238C">
            <w:pPr>
              <w:jc w:val="both"/>
              <w:rPr>
                <w:rFonts w:hint="eastAsia"/>
                <w:color w:val="auto"/>
                <w:szCs w:val="21"/>
                <w:lang w:val="en-US" w:eastAsia="zh-CN"/>
              </w:rPr>
            </w:pPr>
            <w:r>
              <w:rPr>
                <w:rFonts w:hint="eastAsia"/>
                <w:color w:val="auto"/>
                <w:szCs w:val="21"/>
                <w:lang w:val="en-US" w:eastAsia="zh-CN"/>
              </w:rPr>
              <w:t>近年财务状况的年份要求</w:t>
            </w:r>
          </w:p>
        </w:tc>
        <w:tc>
          <w:tcPr>
            <w:tcW w:w="6115" w:type="dxa"/>
            <w:vAlign w:val="center"/>
          </w:tcPr>
          <w:p w14:paraId="126D8431">
            <w:pPr>
              <w:rPr>
                <w:rFonts w:cs="Times New Roman"/>
                <w:color w:val="000000" w:themeColor="text1"/>
                <w:sz w:val="21"/>
                <w:szCs w:val="21"/>
                <w:highlight w:val="yellow"/>
                <w:lang w:val="en-US" w:bidi="ar-SA"/>
                <w14:textFill>
                  <w14:solidFill>
                    <w14:schemeClr w14:val="tx1"/>
                  </w14:solidFill>
                </w14:textFill>
              </w:rPr>
            </w:pPr>
            <w:r>
              <w:rPr>
                <w:rFonts w:hint="eastAsia"/>
                <w:color w:val="auto"/>
                <w:szCs w:val="21"/>
                <w:lang w:val="en-US" w:eastAsia="zh-CN"/>
              </w:rPr>
              <w:t>2024年或2025年任意一年的财务审计报告</w:t>
            </w:r>
          </w:p>
        </w:tc>
      </w:tr>
      <w:tr w14:paraId="77F11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4B5C9BBC">
            <w:pPr>
              <w:tabs>
                <w:tab w:val="left" w:pos="316"/>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3.1.3</w:t>
            </w:r>
          </w:p>
        </w:tc>
        <w:tc>
          <w:tcPr>
            <w:tcW w:w="2376" w:type="dxa"/>
          </w:tcPr>
          <w:p w14:paraId="725DC26A">
            <w:pPr>
              <w:rPr>
                <w:rFonts w:cs="Times New Roman"/>
                <w:color w:val="000000" w:themeColor="text1"/>
                <w:sz w:val="21"/>
                <w:szCs w:val="21"/>
                <w:lang w:val="en-US" w:bidi="ar-SA"/>
                <w14:textFill>
                  <w14:solidFill>
                    <w14:schemeClr w14:val="tx1"/>
                  </w14:solidFill>
                </w14:textFill>
              </w:rPr>
            </w:pPr>
            <w:r>
              <w:rPr>
                <w:rFonts w:hint="eastAsia"/>
                <w:szCs w:val="21"/>
              </w:rPr>
              <w:t>近年发生诉讼及仲裁情况的年份要求</w:t>
            </w:r>
          </w:p>
        </w:tc>
        <w:tc>
          <w:tcPr>
            <w:tcW w:w="6115" w:type="dxa"/>
            <w:vAlign w:val="center"/>
          </w:tcPr>
          <w:p w14:paraId="4AA4FDFD">
            <w:pPr>
              <w:rPr>
                <w:rFonts w:cs="Times New Roman"/>
                <w:color w:val="000000" w:themeColor="text1"/>
                <w:sz w:val="21"/>
                <w:szCs w:val="21"/>
                <w:highlight w:val="yellow"/>
                <w:lang w:val="en-US" w:bidi="ar-SA"/>
                <w14:textFill>
                  <w14:solidFill>
                    <w14:schemeClr w14:val="tx1"/>
                  </w14:solidFill>
                </w14:textFill>
              </w:rPr>
            </w:pPr>
            <w:r>
              <w:rPr>
                <w:rFonts w:hint="eastAsia"/>
                <w:szCs w:val="21"/>
              </w:rPr>
              <w:t>近三年（20</w:t>
            </w:r>
            <w:r>
              <w:rPr>
                <w:rFonts w:hint="eastAsia"/>
                <w:szCs w:val="21"/>
                <w:lang w:val="en-US"/>
              </w:rPr>
              <w:t>2</w:t>
            </w:r>
            <w:r>
              <w:rPr>
                <w:rFonts w:hint="eastAsia"/>
                <w:szCs w:val="21"/>
                <w:lang w:val="en-US" w:eastAsia="zh-CN"/>
              </w:rPr>
              <w:t>3</w:t>
            </w:r>
            <w:r>
              <w:rPr>
                <w:rFonts w:hint="eastAsia"/>
                <w:szCs w:val="21"/>
              </w:rPr>
              <w:t>年</w:t>
            </w:r>
            <w:r>
              <w:rPr>
                <w:rFonts w:hint="eastAsia"/>
                <w:szCs w:val="21"/>
                <w:lang w:val="en-US" w:eastAsia="zh-CN"/>
              </w:rPr>
              <w:t>8</w:t>
            </w:r>
            <w:r>
              <w:rPr>
                <w:rFonts w:hint="eastAsia"/>
                <w:szCs w:val="21"/>
              </w:rPr>
              <w:t>月1日以来）</w:t>
            </w:r>
          </w:p>
        </w:tc>
      </w:tr>
      <w:tr w14:paraId="14FAB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464" w:type="dxa"/>
            <w:vAlign w:val="center"/>
          </w:tcPr>
          <w:p w14:paraId="03D75767">
            <w:pPr>
              <w:tabs>
                <w:tab w:val="left" w:pos="316"/>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3.3</w:t>
            </w:r>
          </w:p>
        </w:tc>
        <w:tc>
          <w:tcPr>
            <w:tcW w:w="2376" w:type="dxa"/>
            <w:vAlign w:val="center"/>
          </w:tcPr>
          <w:p w14:paraId="49097240">
            <w:pPr>
              <w:pStyle w:val="25"/>
              <w:ind w:firstLine="0" w:firstLineChars="0"/>
              <w:rPr>
                <w:rFonts w:cs="Times New Roman"/>
                <w:b/>
                <w:color w:val="auto"/>
                <w:lang w:val="en-US" w:bidi="ar-SA"/>
              </w:rPr>
            </w:pPr>
            <w:r>
              <w:rPr>
                <w:rFonts w:hint="eastAsia" w:cs="Times New Roman"/>
                <w:b/>
                <w:color w:val="auto"/>
                <w:lang w:val="en-US" w:bidi="ar-SA"/>
              </w:rPr>
              <w:t>采购预算价（最高限价）</w:t>
            </w:r>
          </w:p>
        </w:tc>
        <w:tc>
          <w:tcPr>
            <w:tcW w:w="6115" w:type="dxa"/>
            <w:vAlign w:val="center"/>
          </w:tcPr>
          <w:p w14:paraId="27F55621">
            <w:pPr>
              <w:rPr>
                <w:b/>
                <w:bCs/>
                <w:color w:val="auto"/>
                <w:lang w:val="en-US"/>
              </w:rPr>
            </w:pPr>
            <w:r>
              <w:rPr>
                <w:rFonts w:hint="eastAsia"/>
                <w:b/>
                <w:bCs/>
                <w:color w:val="auto"/>
                <w:u w:val="single"/>
                <w:lang w:val="en-US" w:eastAsia="zh-CN"/>
              </w:rPr>
              <w:t>1048875.01</w:t>
            </w:r>
            <w:r>
              <w:rPr>
                <w:rFonts w:hint="eastAsia"/>
                <w:b/>
                <w:bCs/>
                <w:color w:val="auto"/>
                <w:lang w:val="en-US"/>
              </w:rPr>
              <w:t>元</w:t>
            </w:r>
          </w:p>
          <w:p w14:paraId="0B7FA03C">
            <w:pPr>
              <w:rPr>
                <w:color w:val="auto"/>
                <w:lang w:val="en-US"/>
              </w:rPr>
            </w:pPr>
            <w:r>
              <w:rPr>
                <w:rFonts w:hint="eastAsia"/>
                <w:b/>
                <w:bCs/>
                <w:color w:val="auto"/>
                <w:lang w:val="en-US"/>
              </w:rPr>
              <w:t>各供应商投标报价不得超过采购预算价，否则按废标处理</w:t>
            </w:r>
          </w:p>
        </w:tc>
      </w:tr>
      <w:tr w14:paraId="40337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63091053">
            <w:pPr>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3.3.1</w:t>
            </w:r>
          </w:p>
        </w:tc>
        <w:tc>
          <w:tcPr>
            <w:tcW w:w="2376" w:type="dxa"/>
            <w:vAlign w:val="center"/>
          </w:tcPr>
          <w:p w14:paraId="1C974FBC">
            <w:pPr>
              <w:jc w:val="center"/>
              <w:rPr>
                <w:rFonts w:hint="eastAsia"/>
                <w:szCs w:val="21"/>
                <w:lang w:val="en-US"/>
              </w:rPr>
            </w:pPr>
            <w:r>
              <w:rPr>
                <w:rFonts w:hint="eastAsia"/>
                <w:szCs w:val="21"/>
                <w:lang w:val="en-US"/>
              </w:rPr>
              <w:t>投标有效期</w:t>
            </w:r>
          </w:p>
        </w:tc>
        <w:tc>
          <w:tcPr>
            <w:tcW w:w="6115" w:type="dxa"/>
            <w:vAlign w:val="center"/>
          </w:tcPr>
          <w:p w14:paraId="3E5D08BA">
            <w:pPr>
              <w:jc w:val="left"/>
              <w:rPr>
                <w:rFonts w:hint="eastAsia"/>
                <w:szCs w:val="21"/>
                <w:lang w:val="en-US"/>
              </w:rPr>
            </w:pPr>
            <w:r>
              <w:rPr>
                <w:rFonts w:hint="eastAsia"/>
                <w:szCs w:val="21"/>
                <w:lang w:val="en-US"/>
              </w:rPr>
              <w:t>60日历天（投标截止之日起）</w:t>
            </w:r>
          </w:p>
        </w:tc>
      </w:tr>
      <w:tr w14:paraId="4BDEA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7E54666C">
            <w:pPr>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3.5.1</w:t>
            </w:r>
          </w:p>
        </w:tc>
        <w:tc>
          <w:tcPr>
            <w:tcW w:w="2376" w:type="dxa"/>
            <w:vAlign w:val="center"/>
          </w:tcPr>
          <w:p w14:paraId="3BE004B6">
            <w:pPr>
              <w:jc w:val="center"/>
              <w:rPr>
                <w:rFonts w:hint="eastAsia"/>
                <w:szCs w:val="21"/>
                <w:lang w:val="en-US"/>
              </w:rPr>
            </w:pPr>
            <w:r>
              <w:rPr>
                <w:rFonts w:hint="eastAsia"/>
                <w:szCs w:val="21"/>
                <w:lang w:val="en-US"/>
              </w:rPr>
              <w:t>是否允许递交备选投标方案</w:t>
            </w:r>
          </w:p>
        </w:tc>
        <w:tc>
          <w:tcPr>
            <w:tcW w:w="6115" w:type="dxa"/>
            <w:vAlign w:val="center"/>
          </w:tcPr>
          <w:p w14:paraId="358500FA">
            <w:pPr>
              <w:jc w:val="left"/>
              <w:rPr>
                <w:rFonts w:hint="eastAsia"/>
                <w:szCs w:val="21"/>
                <w:lang w:val="en-US"/>
              </w:rPr>
            </w:pPr>
            <w:r>
              <w:rPr>
                <w:rFonts w:hint="eastAsia"/>
                <w:szCs w:val="21"/>
                <w:lang w:val="en-US"/>
              </w:rPr>
              <w:t>☑不允许</w:t>
            </w:r>
          </w:p>
        </w:tc>
      </w:tr>
      <w:tr w14:paraId="3D8AE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08813921">
            <w:pPr>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3.6.1</w:t>
            </w:r>
          </w:p>
        </w:tc>
        <w:tc>
          <w:tcPr>
            <w:tcW w:w="2376" w:type="dxa"/>
            <w:vAlign w:val="center"/>
          </w:tcPr>
          <w:p w14:paraId="0780AFBC">
            <w:pPr>
              <w:jc w:val="center"/>
              <w:rPr>
                <w:rFonts w:cs="Times New Roman"/>
                <w:color w:val="000000" w:themeColor="text1"/>
                <w:sz w:val="21"/>
                <w:szCs w:val="21"/>
                <w:lang w:val="en-US" w:bidi="ar-SA"/>
                <w14:textFill>
                  <w14:solidFill>
                    <w14:schemeClr w14:val="tx1"/>
                  </w14:solidFill>
                </w14:textFill>
              </w:rPr>
            </w:pPr>
            <w:r>
              <w:rPr>
                <w:rFonts w:hint="eastAsia"/>
                <w:szCs w:val="21"/>
                <w:lang w:val="en-US"/>
              </w:rPr>
              <w:t>签字或盖章要求</w:t>
            </w:r>
          </w:p>
        </w:tc>
        <w:tc>
          <w:tcPr>
            <w:tcW w:w="6115" w:type="dxa"/>
            <w:vAlign w:val="center"/>
          </w:tcPr>
          <w:p w14:paraId="618E1D49">
            <w:pPr>
              <w:pStyle w:val="11"/>
              <w:topLinePunct/>
              <w:spacing w:line="400" w:lineRule="exact"/>
              <w:rPr>
                <w:rFonts w:hint="eastAsia" w:ascii="宋体" w:hAnsi="宋体" w:eastAsia="宋体" w:cs="宋体"/>
                <w:b/>
                <w:bCs/>
                <w:sz w:val="22"/>
                <w:szCs w:val="22"/>
                <w:lang w:val="zh-CN" w:eastAsia="zh-CN" w:bidi="zh-CN"/>
              </w:rPr>
            </w:pPr>
            <w:r>
              <w:rPr>
                <w:rFonts w:hint="eastAsia" w:ascii="宋体" w:hAnsi="宋体" w:eastAsia="宋体" w:cs="宋体"/>
                <w:b/>
                <w:bCs/>
                <w:sz w:val="22"/>
                <w:szCs w:val="22"/>
                <w:lang w:val="zh-CN" w:eastAsia="zh-CN" w:bidi="zh-CN"/>
              </w:rPr>
              <w:t>1、</w:t>
            </w:r>
            <w:r>
              <w:rPr>
                <w:rFonts w:hint="eastAsia" w:ascii="宋体" w:hAnsi="宋体" w:eastAsia="宋体" w:cs="宋体"/>
                <w:b/>
                <w:bCs/>
                <w:sz w:val="22"/>
                <w:szCs w:val="22"/>
                <w:lang w:val="en-US" w:eastAsia="zh-CN" w:bidi="zh-CN"/>
              </w:rPr>
              <w:t>响应</w:t>
            </w:r>
            <w:r>
              <w:rPr>
                <w:rFonts w:hint="eastAsia" w:ascii="宋体" w:hAnsi="宋体" w:eastAsia="宋体" w:cs="宋体"/>
                <w:b/>
                <w:bCs/>
                <w:sz w:val="22"/>
                <w:szCs w:val="22"/>
                <w:lang w:val="zh-CN" w:eastAsia="zh-CN" w:bidi="zh-CN"/>
              </w:rPr>
              <w:t>文件格式中标明盖章或签字的位置，应按要求盖章或签字。</w:t>
            </w:r>
          </w:p>
          <w:p w14:paraId="6D0A2A6F">
            <w:pPr>
              <w:adjustRightInd w:val="0"/>
              <w:snapToGrid w:val="0"/>
              <w:spacing w:line="360" w:lineRule="auto"/>
              <w:jc w:val="left"/>
              <w:rPr>
                <w:rFonts w:hint="eastAsia" w:ascii="宋体" w:hAnsi="宋体" w:eastAsia="宋体" w:cs="宋体"/>
                <w:b/>
                <w:bCs/>
                <w:sz w:val="22"/>
                <w:szCs w:val="22"/>
                <w:lang w:val="zh-CN" w:eastAsia="zh-CN" w:bidi="zh-CN"/>
              </w:rPr>
            </w:pPr>
            <w:r>
              <w:rPr>
                <w:rFonts w:hint="eastAsia" w:ascii="宋体" w:hAnsi="宋体" w:eastAsia="宋体" w:cs="宋体"/>
                <w:b/>
                <w:bCs/>
                <w:sz w:val="22"/>
                <w:szCs w:val="22"/>
                <w:lang w:val="zh-CN" w:eastAsia="zh-CN" w:bidi="zh-CN"/>
              </w:rPr>
              <w:t>2、电子</w:t>
            </w:r>
            <w:r>
              <w:rPr>
                <w:rFonts w:hint="eastAsia" w:ascii="宋体" w:hAnsi="宋体" w:eastAsia="宋体" w:cs="宋体"/>
                <w:b/>
                <w:bCs/>
                <w:sz w:val="22"/>
                <w:szCs w:val="22"/>
                <w:lang w:val="en-US" w:eastAsia="zh-CN" w:bidi="zh-CN"/>
              </w:rPr>
              <w:t>响应</w:t>
            </w:r>
            <w:r>
              <w:rPr>
                <w:rFonts w:hint="eastAsia" w:ascii="宋体" w:hAnsi="宋体" w:eastAsia="宋体" w:cs="宋体"/>
                <w:b/>
                <w:bCs/>
                <w:sz w:val="22"/>
                <w:szCs w:val="22"/>
                <w:lang w:val="zh-CN" w:eastAsia="zh-CN" w:bidi="zh-CN"/>
              </w:rPr>
              <w:t>文件</w:t>
            </w:r>
          </w:p>
          <w:p w14:paraId="39AB321D">
            <w:pPr>
              <w:adjustRightInd w:val="0"/>
              <w:snapToGrid w:val="0"/>
              <w:spacing w:line="360" w:lineRule="auto"/>
              <w:ind w:left="-132" w:leftChars="-60" w:firstLine="110" w:firstLineChars="50"/>
              <w:jc w:val="left"/>
              <w:rPr>
                <w:rFonts w:hint="eastAsia" w:ascii="宋体" w:hAnsi="宋体" w:cs="宋体"/>
                <w:b/>
                <w:bCs/>
              </w:rPr>
            </w:pPr>
            <w:r>
              <w:rPr>
                <w:rFonts w:hint="eastAsia" w:ascii="宋体" w:hAnsi="宋体" w:cs="宋体"/>
                <w:b/>
                <w:bCs/>
              </w:rPr>
              <w:t>（1）所有要求</w:t>
            </w:r>
            <w:r>
              <w:rPr>
                <w:rFonts w:hint="eastAsia" w:ascii="宋体" w:hAnsi="宋体" w:cs="宋体"/>
                <w:b/>
                <w:bCs/>
                <w:lang w:val="en-US" w:eastAsia="zh-CN"/>
              </w:rPr>
              <w:t>供应商</w:t>
            </w:r>
            <w:r>
              <w:rPr>
                <w:rFonts w:hint="eastAsia" w:ascii="宋体" w:hAnsi="宋体" w:cs="宋体"/>
                <w:b/>
                <w:bCs/>
              </w:rPr>
              <w:t>加盖单位公章的地方都须加盖</w:t>
            </w:r>
            <w:r>
              <w:rPr>
                <w:rFonts w:hint="eastAsia" w:ascii="宋体" w:hAnsi="宋体" w:cs="宋体"/>
                <w:b/>
                <w:bCs/>
                <w:lang w:val="en-US" w:eastAsia="zh-CN"/>
              </w:rPr>
              <w:t>供应商</w:t>
            </w:r>
            <w:r>
              <w:rPr>
                <w:rFonts w:hint="eastAsia" w:ascii="宋体" w:hAnsi="宋体" w:cs="宋体"/>
                <w:b/>
                <w:bCs/>
              </w:rPr>
              <w:t>的单位电子CA 印章。</w:t>
            </w:r>
          </w:p>
          <w:p w14:paraId="3199EA60">
            <w:pPr>
              <w:adjustRightInd w:val="0"/>
              <w:snapToGrid w:val="0"/>
              <w:spacing w:line="360" w:lineRule="auto"/>
              <w:ind w:left="-132" w:leftChars="-60" w:firstLine="110" w:firstLineChars="50"/>
              <w:jc w:val="left"/>
              <w:rPr>
                <w:rFonts w:hint="eastAsia" w:ascii="宋体" w:hAnsi="宋体" w:cs="宋体"/>
                <w:b/>
                <w:bCs/>
              </w:rPr>
            </w:pPr>
            <w:r>
              <w:rPr>
                <w:rFonts w:hint="eastAsia" w:ascii="宋体" w:hAnsi="宋体" w:cs="宋体"/>
                <w:b/>
                <w:bCs/>
              </w:rPr>
              <w:t>（2）所有要求法定代表人或其委托代理人签署的地方：若体现法定代表人姓名，加盖法定代表人的电子CA 印章或电子签名，两种方式均可；若体现委托代理人姓名，手写签字扫描上传或电子签名，两种方式均可。</w:t>
            </w:r>
          </w:p>
          <w:p w14:paraId="2E56698C">
            <w:pPr>
              <w:adjustRightInd w:val="0"/>
              <w:snapToGrid w:val="0"/>
              <w:spacing w:line="360" w:lineRule="auto"/>
              <w:ind w:left="-132" w:leftChars="-60" w:firstLine="110" w:firstLineChars="50"/>
              <w:jc w:val="left"/>
              <w:rPr>
                <w:rFonts w:hint="eastAsia" w:ascii="宋体" w:hAnsi="宋体" w:cs="宋体"/>
                <w:b/>
                <w:bCs/>
              </w:rPr>
            </w:pPr>
            <w:r>
              <w:rPr>
                <w:rFonts w:hint="eastAsia" w:ascii="宋体" w:hAnsi="宋体" w:cs="宋体"/>
                <w:b/>
                <w:bCs/>
              </w:rPr>
              <w:t>（3）要求项目经理签署的地方：手写签字扫描上传或电子签名，两种方式均可。</w:t>
            </w:r>
          </w:p>
          <w:p w14:paraId="45402184">
            <w:pPr>
              <w:adjustRightInd w:val="0"/>
              <w:snapToGrid w:val="0"/>
              <w:spacing w:line="360" w:lineRule="auto"/>
              <w:rPr>
                <w:rFonts w:cs="Times New Roman"/>
                <w:color w:val="000000" w:themeColor="text1"/>
                <w:lang w:val="en-US" w:bidi="ar-SA"/>
                <w14:textFill>
                  <w14:solidFill>
                    <w14:schemeClr w14:val="tx1"/>
                  </w14:solidFill>
                </w14:textFill>
              </w:rPr>
            </w:pPr>
            <w:r>
              <w:rPr>
                <w:rFonts w:hint="eastAsia" w:ascii="宋体" w:hAnsi="宋体" w:cs="宋体"/>
                <w:b/>
                <w:bCs/>
              </w:rPr>
              <w:t>（4）工程量清单报价封面的签字、盖章要求：采用电子版工程量清单报价的清单封面须加盖</w:t>
            </w:r>
            <w:r>
              <w:rPr>
                <w:rFonts w:hint="eastAsia" w:ascii="宋体" w:hAnsi="宋体" w:cs="宋体"/>
                <w:b/>
                <w:bCs/>
                <w:lang w:val="en-US" w:eastAsia="zh-CN"/>
              </w:rPr>
              <w:t>供应商</w:t>
            </w:r>
            <w:r>
              <w:rPr>
                <w:rFonts w:hint="eastAsia" w:ascii="宋体" w:hAnsi="宋体" w:cs="宋体"/>
                <w:b/>
                <w:bCs/>
              </w:rPr>
              <w:t>单位电子CA印章、法定代表人的电子CA印章（电子签名也可）或其委托代理人手写签字（电子签名也可）及造价人员手写签字（电子签名也可）和盖执业章（造价人员手写签字和盖执业章可以通过扫描上传完成；</w:t>
            </w:r>
            <w:r>
              <w:rPr>
                <w:rFonts w:hint="eastAsia"/>
                <w:b/>
                <w:bCs/>
                <w:color w:val="000000"/>
                <w:szCs w:val="21"/>
              </w:rPr>
              <w:t>造价员印章过期的提供相关部门出具的时效性证明</w:t>
            </w:r>
            <w:r>
              <w:rPr>
                <w:rFonts w:hint="eastAsia" w:ascii="宋体" w:hAnsi="宋体" w:cs="宋体"/>
                <w:b/>
                <w:bCs/>
              </w:rPr>
              <w:t>）。</w:t>
            </w:r>
          </w:p>
        </w:tc>
      </w:tr>
      <w:tr w14:paraId="6C73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1D63F1B1">
            <w:pPr>
              <w:tabs>
                <w:tab w:val="left" w:pos="202"/>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3.7.1</w:t>
            </w:r>
          </w:p>
        </w:tc>
        <w:tc>
          <w:tcPr>
            <w:tcW w:w="2376" w:type="dxa"/>
            <w:vAlign w:val="center"/>
          </w:tcPr>
          <w:p w14:paraId="143BFEEA">
            <w:pPr>
              <w:adjustRightInd w:val="0"/>
              <w:snapToGrid w:val="0"/>
              <w:spacing w:line="400" w:lineRule="exact"/>
              <w:jc w:val="center"/>
              <w:rPr>
                <w:rFonts w:hint="eastAsia"/>
                <w:szCs w:val="21"/>
                <w:lang w:val="en-US"/>
              </w:rPr>
            </w:pPr>
            <w:r>
              <w:rPr>
                <w:rFonts w:hint="eastAsia"/>
                <w:szCs w:val="21"/>
                <w:lang w:val="en-US"/>
              </w:rPr>
              <w:t>（首次）响应文件份数及要求</w:t>
            </w:r>
          </w:p>
        </w:tc>
        <w:tc>
          <w:tcPr>
            <w:tcW w:w="6115" w:type="dxa"/>
            <w:vAlign w:val="center"/>
          </w:tcPr>
          <w:p w14:paraId="7296844D">
            <w:pPr>
              <w:adjustRightInd w:val="0"/>
              <w:snapToGrid w:val="0"/>
              <w:spacing w:line="400" w:lineRule="exact"/>
              <w:rPr>
                <w:rFonts w:hint="eastAsia"/>
                <w:szCs w:val="21"/>
                <w:lang w:val="en-US"/>
              </w:rPr>
            </w:pPr>
            <w:r>
              <w:rPr>
                <w:rFonts w:hint="eastAsia"/>
                <w:szCs w:val="21"/>
                <w:lang w:val="en-US"/>
              </w:rPr>
              <w:t>已加密的电子响应文件一份（网上递交）</w:t>
            </w:r>
          </w:p>
        </w:tc>
      </w:tr>
      <w:tr w14:paraId="1A434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5" w:hRule="atLeast"/>
        </w:trPr>
        <w:tc>
          <w:tcPr>
            <w:tcW w:w="1464" w:type="dxa"/>
            <w:vAlign w:val="center"/>
          </w:tcPr>
          <w:p w14:paraId="4391C63F">
            <w:pPr>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4.1.2</w:t>
            </w:r>
          </w:p>
        </w:tc>
        <w:tc>
          <w:tcPr>
            <w:tcW w:w="2376" w:type="dxa"/>
            <w:vAlign w:val="center"/>
          </w:tcPr>
          <w:p w14:paraId="76F6770A">
            <w:pPr>
              <w:adjustRightInd w:val="0"/>
              <w:snapToGrid w:val="0"/>
              <w:spacing w:line="400" w:lineRule="exact"/>
              <w:jc w:val="center"/>
              <w:rPr>
                <w:rFonts w:hint="eastAsia"/>
                <w:szCs w:val="21"/>
                <w:lang w:val="en-US"/>
              </w:rPr>
            </w:pPr>
            <w:r>
              <w:rPr>
                <w:rFonts w:hint="eastAsia"/>
                <w:szCs w:val="21"/>
                <w:lang w:val="en-US"/>
              </w:rPr>
              <w:t>（首次）响应文件的递交</w:t>
            </w:r>
          </w:p>
        </w:tc>
        <w:tc>
          <w:tcPr>
            <w:tcW w:w="6115" w:type="dxa"/>
            <w:vAlign w:val="center"/>
          </w:tcPr>
          <w:p w14:paraId="4EC41DBC">
            <w:pPr>
              <w:adjustRightInd w:val="0"/>
              <w:snapToGrid w:val="0"/>
              <w:spacing w:line="400" w:lineRule="exact"/>
              <w:rPr>
                <w:rFonts w:hint="eastAsia"/>
                <w:szCs w:val="21"/>
                <w:lang w:val="en-US"/>
              </w:rPr>
            </w:pPr>
            <w:r>
              <w:rPr>
                <w:rFonts w:hint="eastAsia"/>
                <w:szCs w:val="21"/>
                <w:lang w:val="en-US"/>
              </w:rPr>
              <w:t xml:space="preserve">1、加密的电子响应文件的递交 </w:t>
            </w:r>
          </w:p>
          <w:p w14:paraId="79EB1AF3">
            <w:pPr>
              <w:adjustRightInd w:val="0"/>
              <w:snapToGrid w:val="0"/>
              <w:spacing w:line="400" w:lineRule="exact"/>
              <w:rPr>
                <w:rFonts w:hint="eastAsia"/>
                <w:szCs w:val="21"/>
                <w:lang w:val="en-US"/>
              </w:rPr>
            </w:pPr>
            <w:r>
              <w:rPr>
                <w:rFonts w:hint="eastAsia"/>
                <w:szCs w:val="21"/>
                <w:lang w:val="en-US"/>
              </w:rPr>
              <w:t xml:space="preserve">各供应商应在投标截止时间前上传加密的电子响应文件到交易系统的指定位置。上传时必须得到电脑 “上传成功”的确认回复后方为上传成功。请供应商在上传前务必认真检查上传响应文件是否完整、正确。 </w:t>
            </w:r>
          </w:p>
          <w:p w14:paraId="0471822E">
            <w:pPr>
              <w:adjustRightInd w:val="0"/>
              <w:snapToGrid w:val="0"/>
              <w:spacing w:line="400" w:lineRule="exact"/>
              <w:rPr>
                <w:rFonts w:hint="eastAsia"/>
                <w:szCs w:val="21"/>
                <w:lang w:val="en-US"/>
              </w:rPr>
            </w:pPr>
            <w:r>
              <w:rPr>
                <w:rFonts w:hint="eastAsia"/>
                <w:szCs w:val="21"/>
                <w:lang w:val="en-US"/>
              </w:rPr>
              <w:t>2、本项目采用“不见面开标”交易方式，供应商无需寄送和递交非加密的电子响应文件，无需到现场参加开标会议，无需到达现场提交原件资料及纸质版响应文件。</w:t>
            </w:r>
          </w:p>
        </w:tc>
      </w:tr>
      <w:tr w14:paraId="2D300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273E6145">
            <w:pPr>
              <w:tabs>
                <w:tab w:val="left" w:pos="337"/>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4.2.1</w:t>
            </w:r>
          </w:p>
        </w:tc>
        <w:tc>
          <w:tcPr>
            <w:tcW w:w="2376" w:type="dxa"/>
            <w:vAlign w:val="center"/>
          </w:tcPr>
          <w:p w14:paraId="48821BC7">
            <w:pPr>
              <w:jc w:val="center"/>
              <w:rPr>
                <w:rFonts w:cs="Times New Roman"/>
                <w:b/>
                <w:color w:val="000000" w:themeColor="text1"/>
                <w:sz w:val="21"/>
                <w:szCs w:val="21"/>
                <w:lang w:val="en-US" w:bidi="ar-SA"/>
                <w14:textFill>
                  <w14:solidFill>
                    <w14:schemeClr w14:val="tx1"/>
                  </w14:solidFill>
                </w14:textFill>
              </w:rPr>
            </w:pPr>
            <w:r>
              <w:rPr>
                <w:rFonts w:hint="eastAsia" w:cs="Times New Roman"/>
                <w:b/>
                <w:color w:val="000000" w:themeColor="text1"/>
                <w:sz w:val="21"/>
                <w:szCs w:val="21"/>
                <w:lang w:val="en-US" w:eastAsia="zh-CN" w:bidi="ar-SA"/>
                <w14:textFill>
                  <w14:solidFill>
                    <w14:schemeClr w14:val="tx1"/>
                  </w14:solidFill>
                </w14:textFill>
              </w:rPr>
              <w:t>响应文件递交</w:t>
            </w:r>
            <w:r>
              <w:rPr>
                <w:rFonts w:hint="eastAsia" w:cs="Times New Roman"/>
                <w:b/>
                <w:color w:val="000000" w:themeColor="text1"/>
                <w:sz w:val="21"/>
                <w:szCs w:val="21"/>
                <w:lang w:val="en-US" w:bidi="ar-SA"/>
                <w14:textFill>
                  <w14:solidFill>
                    <w14:schemeClr w14:val="tx1"/>
                  </w14:solidFill>
                </w14:textFill>
              </w:rPr>
              <w:t>截止时间</w:t>
            </w:r>
          </w:p>
        </w:tc>
        <w:tc>
          <w:tcPr>
            <w:tcW w:w="6115" w:type="dxa"/>
            <w:vAlign w:val="center"/>
          </w:tcPr>
          <w:p w14:paraId="1ACD03E9">
            <w:pPr>
              <w:jc w:val="both"/>
              <w:rPr>
                <w:rFonts w:cs="Times New Roman"/>
                <w:color w:val="FF0000"/>
                <w:sz w:val="21"/>
                <w:szCs w:val="21"/>
                <w:lang w:val="en-US" w:bidi="ar-SA"/>
              </w:rPr>
            </w:pPr>
            <w:r>
              <w:rPr>
                <w:rFonts w:hint="eastAsia" w:cs="Times New Roman"/>
                <w:color w:val="auto"/>
                <w:sz w:val="21"/>
                <w:szCs w:val="21"/>
                <w:lang w:val="en-US" w:bidi="ar-SA"/>
              </w:rPr>
              <w:t xml:space="preserve"> </w:t>
            </w:r>
            <w:r>
              <w:rPr>
                <w:rFonts w:hint="eastAsia" w:cs="Times New Roman"/>
                <w:b/>
                <w:bCs/>
                <w:color w:val="auto"/>
                <w:sz w:val="21"/>
                <w:szCs w:val="21"/>
                <w:u w:val="single"/>
                <w:lang w:val="en-US" w:bidi="ar-SA"/>
              </w:rPr>
              <w:t>202</w:t>
            </w:r>
            <w:r>
              <w:rPr>
                <w:rFonts w:hint="eastAsia" w:cs="Times New Roman"/>
                <w:b/>
                <w:bCs/>
                <w:color w:val="auto"/>
                <w:sz w:val="21"/>
                <w:szCs w:val="21"/>
                <w:u w:val="single"/>
                <w:lang w:val="en-US" w:eastAsia="zh-CN" w:bidi="ar-SA"/>
              </w:rPr>
              <w:t>6</w:t>
            </w:r>
            <w:r>
              <w:rPr>
                <w:rFonts w:hint="eastAsia" w:cs="Times New Roman"/>
                <w:b/>
                <w:bCs/>
                <w:color w:val="auto"/>
                <w:sz w:val="21"/>
                <w:szCs w:val="21"/>
                <w:u w:val="single"/>
                <w:lang w:val="en-US" w:bidi="ar-SA"/>
              </w:rPr>
              <w:t xml:space="preserve"> </w:t>
            </w:r>
            <w:r>
              <w:rPr>
                <w:rFonts w:hint="eastAsia" w:cs="Times New Roman"/>
                <w:b/>
                <w:bCs/>
                <w:color w:val="auto"/>
                <w:sz w:val="21"/>
                <w:szCs w:val="21"/>
                <w:lang w:val="en-US" w:bidi="ar-SA"/>
              </w:rPr>
              <w:t>年</w:t>
            </w:r>
            <w:r>
              <w:rPr>
                <w:rFonts w:hint="eastAsia" w:cs="Times New Roman"/>
                <w:b/>
                <w:bCs/>
                <w:color w:val="auto"/>
                <w:sz w:val="21"/>
                <w:szCs w:val="21"/>
                <w:u w:val="single"/>
                <w:lang w:val="en-US" w:bidi="ar-SA"/>
              </w:rPr>
              <w:t xml:space="preserve">  </w:t>
            </w:r>
            <w:r>
              <w:rPr>
                <w:rFonts w:hint="eastAsia" w:cs="Times New Roman"/>
                <w:b/>
                <w:bCs/>
                <w:color w:val="auto"/>
                <w:sz w:val="21"/>
                <w:szCs w:val="21"/>
                <w:u w:val="single"/>
                <w:lang w:val="en-US" w:eastAsia="zh-CN" w:bidi="ar-SA"/>
              </w:rPr>
              <w:t xml:space="preserve">8 </w:t>
            </w:r>
            <w:r>
              <w:rPr>
                <w:rFonts w:hint="eastAsia" w:cs="Times New Roman"/>
                <w:b/>
                <w:bCs/>
                <w:color w:val="auto"/>
                <w:sz w:val="21"/>
                <w:szCs w:val="21"/>
                <w:u w:val="single"/>
                <w:lang w:val="en-US" w:bidi="ar-SA"/>
              </w:rPr>
              <w:t xml:space="preserve"> </w:t>
            </w:r>
            <w:r>
              <w:rPr>
                <w:rFonts w:hint="eastAsia" w:cs="Times New Roman"/>
                <w:b/>
                <w:bCs/>
                <w:color w:val="auto"/>
                <w:sz w:val="21"/>
                <w:szCs w:val="21"/>
                <w:lang w:val="en-US" w:bidi="ar-SA"/>
              </w:rPr>
              <w:t xml:space="preserve">月 </w:t>
            </w:r>
            <w:r>
              <w:rPr>
                <w:rFonts w:hint="eastAsia" w:cs="Times New Roman"/>
                <w:b/>
                <w:bCs/>
                <w:color w:val="auto"/>
                <w:sz w:val="21"/>
                <w:szCs w:val="21"/>
                <w:u w:val="single"/>
                <w:lang w:val="en-US" w:bidi="ar-SA"/>
              </w:rPr>
              <w:t xml:space="preserve">  </w:t>
            </w:r>
            <w:r>
              <w:rPr>
                <w:rFonts w:hint="eastAsia" w:cs="Times New Roman"/>
                <w:b/>
                <w:bCs/>
                <w:color w:val="auto"/>
                <w:sz w:val="21"/>
                <w:szCs w:val="21"/>
                <w:u w:val="single"/>
                <w:lang w:val="en-US" w:eastAsia="zh-CN" w:bidi="ar-SA"/>
              </w:rPr>
              <w:t>24</w:t>
            </w:r>
            <w:r>
              <w:rPr>
                <w:rFonts w:hint="eastAsia" w:cs="Times New Roman"/>
                <w:b/>
                <w:bCs/>
                <w:color w:val="auto"/>
                <w:sz w:val="21"/>
                <w:szCs w:val="21"/>
                <w:u w:val="single"/>
                <w:lang w:val="en-US" w:bidi="ar-SA"/>
              </w:rPr>
              <w:t xml:space="preserve">  </w:t>
            </w:r>
            <w:r>
              <w:rPr>
                <w:rFonts w:hint="eastAsia" w:cs="Times New Roman"/>
                <w:b/>
                <w:bCs/>
                <w:color w:val="auto"/>
                <w:sz w:val="21"/>
                <w:szCs w:val="21"/>
                <w:lang w:val="en-US" w:bidi="ar-SA"/>
              </w:rPr>
              <w:t>日</w:t>
            </w:r>
            <w:r>
              <w:rPr>
                <w:rFonts w:hint="eastAsia" w:cs="Times New Roman"/>
                <w:b/>
                <w:bCs/>
                <w:color w:val="auto"/>
                <w:sz w:val="21"/>
                <w:szCs w:val="21"/>
                <w:u w:val="single"/>
                <w:lang w:val="en-US" w:bidi="ar-SA"/>
              </w:rPr>
              <w:t xml:space="preserve">  </w:t>
            </w:r>
            <w:r>
              <w:rPr>
                <w:rFonts w:hint="eastAsia" w:cs="Times New Roman"/>
                <w:b/>
                <w:bCs/>
                <w:color w:val="auto"/>
                <w:sz w:val="21"/>
                <w:szCs w:val="21"/>
                <w:u w:val="single"/>
                <w:lang w:val="en-US" w:eastAsia="zh-CN" w:bidi="ar-SA"/>
              </w:rPr>
              <w:t>09</w:t>
            </w:r>
            <w:r>
              <w:rPr>
                <w:rFonts w:hint="eastAsia" w:cs="Times New Roman"/>
                <w:b/>
                <w:bCs/>
                <w:color w:val="auto"/>
                <w:sz w:val="21"/>
                <w:szCs w:val="21"/>
                <w:u w:val="single"/>
                <w:lang w:val="en-US" w:bidi="ar-SA"/>
              </w:rPr>
              <w:t xml:space="preserve">  </w:t>
            </w:r>
            <w:r>
              <w:rPr>
                <w:rFonts w:hint="eastAsia" w:cs="Times New Roman"/>
                <w:b/>
                <w:bCs/>
                <w:color w:val="auto"/>
                <w:sz w:val="21"/>
                <w:szCs w:val="21"/>
                <w:lang w:val="en-US" w:bidi="ar-SA"/>
              </w:rPr>
              <w:t xml:space="preserve">时 </w:t>
            </w:r>
            <w:r>
              <w:rPr>
                <w:rFonts w:hint="eastAsia" w:cs="Times New Roman"/>
                <w:b/>
                <w:bCs/>
                <w:color w:val="auto"/>
                <w:sz w:val="21"/>
                <w:szCs w:val="21"/>
                <w:u w:val="single"/>
                <w:lang w:val="en-US" w:bidi="ar-SA"/>
              </w:rPr>
              <w:t xml:space="preserve">  </w:t>
            </w:r>
            <w:r>
              <w:rPr>
                <w:rFonts w:hint="eastAsia" w:cs="Times New Roman"/>
                <w:b/>
                <w:bCs/>
                <w:color w:val="auto"/>
                <w:sz w:val="21"/>
                <w:szCs w:val="21"/>
                <w:u w:val="single"/>
                <w:lang w:val="en-US" w:eastAsia="zh-CN" w:bidi="ar-SA"/>
              </w:rPr>
              <w:t>30</w:t>
            </w:r>
            <w:r>
              <w:rPr>
                <w:rFonts w:hint="eastAsia" w:cs="Times New Roman"/>
                <w:b/>
                <w:bCs/>
                <w:color w:val="auto"/>
                <w:sz w:val="21"/>
                <w:szCs w:val="21"/>
                <w:u w:val="single"/>
                <w:lang w:val="en-US" w:bidi="ar-SA"/>
              </w:rPr>
              <w:t xml:space="preserve">  </w:t>
            </w:r>
            <w:r>
              <w:rPr>
                <w:rFonts w:hint="eastAsia" w:cs="Times New Roman"/>
                <w:b/>
                <w:bCs/>
                <w:color w:val="auto"/>
                <w:sz w:val="21"/>
                <w:szCs w:val="21"/>
                <w:lang w:val="en-US" w:bidi="ar-SA"/>
              </w:rPr>
              <w:t xml:space="preserve">分 </w:t>
            </w:r>
          </w:p>
        </w:tc>
      </w:tr>
      <w:tr w14:paraId="43C14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53F04BCB">
            <w:pPr>
              <w:tabs>
                <w:tab w:val="left" w:pos="337"/>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4.2.2</w:t>
            </w:r>
          </w:p>
        </w:tc>
        <w:tc>
          <w:tcPr>
            <w:tcW w:w="2376" w:type="dxa"/>
            <w:vAlign w:val="center"/>
          </w:tcPr>
          <w:p w14:paraId="35774964">
            <w:pPr>
              <w:adjustRightInd w:val="0"/>
              <w:snapToGrid w:val="0"/>
              <w:spacing w:line="400" w:lineRule="exact"/>
              <w:jc w:val="center"/>
              <w:rPr>
                <w:rFonts w:hint="eastAsia"/>
                <w:szCs w:val="21"/>
                <w:lang w:val="en-US"/>
              </w:rPr>
            </w:pPr>
            <w:r>
              <w:rPr>
                <w:rFonts w:hint="eastAsia"/>
                <w:szCs w:val="21"/>
                <w:lang w:val="en-US"/>
              </w:rPr>
              <w:t>递交（首次）响应文件地点</w:t>
            </w:r>
          </w:p>
        </w:tc>
        <w:tc>
          <w:tcPr>
            <w:tcW w:w="6115" w:type="dxa"/>
            <w:vAlign w:val="center"/>
          </w:tcPr>
          <w:p w14:paraId="5FB1EB6C">
            <w:pPr>
              <w:adjustRightInd w:val="0"/>
              <w:snapToGrid w:val="0"/>
              <w:spacing w:line="400" w:lineRule="exact"/>
              <w:rPr>
                <w:rFonts w:hint="eastAsia"/>
                <w:szCs w:val="21"/>
                <w:lang w:val="en-US"/>
              </w:rPr>
            </w:pPr>
            <w:r>
              <w:rPr>
                <w:rFonts w:hint="eastAsia"/>
                <w:szCs w:val="21"/>
                <w:lang w:val="en-US"/>
              </w:rPr>
              <w:t>信阳市公共资源交易中心商城县分中心电子招投标平台交易系统指定位置</w:t>
            </w:r>
          </w:p>
        </w:tc>
      </w:tr>
      <w:tr w14:paraId="4C367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158BDC2C">
            <w:pPr>
              <w:tabs>
                <w:tab w:val="left" w:pos="337"/>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4.2.3</w:t>
            </w:r>
          </w:p>
        </w:tc>
        <w:tc>
          <w:tcPr>
            <w:tcW w:w="2376" w:type="dxa"/>
            <w:vAlign w:val="center"/>
          </w:tcPr>
          <w:p w14:paraId="57669364">
            <w:pPr>
              <w:adjustRightInd w:val="0"/>
              <w:snapToGrid w:val="0"/>
              <w:spacing w:line="400" w:lineRule="exact"/>
              <w:jc w:val="center"/>
              <w:rPr>
                <w:rFonts w:hint="eastAsia"/>
                <w:szCs w:val="21"/>
                <w:lang w:val="en-US"/>
              </w:rPr>
            </w:pPr>
            <w:r>
              <w:rPr>
                <w:rFonts w:hint="eastAsia"/>
                <w:szCs w:val="21"/>
                <w:lang w:val="en-US"/>
              </w:rPr>
              <w:t>响应文件是否退还</w:t>
            </w:r>
          </w:p>
        </w:tc>
        <w:tc>
          <w:tcPr>
            <w:tcW w:w="6115" w:type="dxa"/>
            <w:vAlign w:val="center"/>
          </w:tcPr>
          <w:p w14:paraId="640CF1FE">
            <w:pPr>
              <w:adjustRightInd w:val="0"/>
              <w:snapToGrid w:val="0"/>
              <w:spacing w:line="400" w:lineRule="exact"/>
              <w:rPr>
                <w:rFonts w:hint="eastAsia"/>
                <w:szCs w:val="21"/>
                <w:lang w:val="en-US"/>
              </w:rPr>
            </w:pPr>
            <w:r>
              <w:rPr>
                <w:rFonts w:hint="eastAsia"/>
                <w:szCs w:val="21"/>
                <w:lang w:val="en-US"/>
              </w:rPr>
              <w:t>☑否</w:t>
            </w:r>
          </w:p>
        </w:tc>
      </w:tr>
      <w:tr w14:paraId="3B4C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1464" w:type="dxa"/>
            <w:vAlign w:val="center"/>
          </w:tcPr>
          <w:p w14:paraId="29808B89">
            <w:pPr>
              <w:tabs>
                <w:tab w:val="left" w:pos="337"/>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5.1</w:t>
            </w:r>
          </w:p>
        </w:tc>
        <w:tc>
          <w:tcPr>
            <w:tcW w:w="2376" w:type="dxa"/>
            <w:vAlign w:val="center"/>
          </w:tcPr>
          <w:p w14:paraId="505BF9AF">
            <w:pPr>
              <w:adjustRightInd w:val="0"/>
              <w:snapToGrid w:val="0"/>
              <w:spacing w:line="400" w:lineRule="exact"/>
              <w:jc w:val="center"/>
              <w:rPr>
                <w:rFonts w:hint="eastAsia"/>
                <w:szCs w:val="21"/>
                <w:lang w:val="en-US"/>
              </w:rPr>
            </w:pPr>
            <w:r>
              <w:rPr>
                <w:rFonts w:hint="eastAsia"/>
                <w:szCs w:val="21"/>
                <w:lang w:val="en-US"/>
              </w:rPr>
              <w:t>开标时间和地点</w:t>
            </w:r>
          </w:p>
        </w:tc>
        <w:tc>
          <w:tcPr>
            <w:tcW w:w="6115" w:type="dxa"/>
            <w:vAlign w:val="center"/>
          </w:tcPr>
          <w:p w14:paraId="262BBB4E">
            <w:pPr>
              <w:adjustRightInd w:val="0"/>
              <w:snapToGrid w:val="0"/>
              <w:spacing w:line="400" w:lineRule="exact"/>
              <w:rPr>
                <w:rFonts w:hint="eastAsia"/>
                <w:szCs w:val="21"/>
                <w:lang w:val="en-US"/>
              </w:rPr>
            </w:pPr>
            <w:r>
              <w:rPr>
                <w:rFonts w:hint="eastAsia"/>
                <w:szCs w:val="21"/>
                <w:lang w:val="en-US"/>
              </w:rPr>
              <w:t>开标时间：同</w:t>
            </w:r>
            <w:r>
              <w:rPr>
                <w:rFonts w:hint="eastAsia"/>
                <w:szCs w:val="21"/>
                <w:lang w:val="en-US" w:eastAsia="zh-CN"/>
              </w:rPr>
              <w:t>响应文件递交</w:t>
            </w:r>
            <w:r>
              <w:rPr>
                <w:rFonts w:hint="eastAsia"/>
                <w:szCs w:val="21"/>
                <w:lang w:val="en-US"/>
              </w:rPr>
              <w:t>截止时间</w:t>
            </w:r>
          </w:p>
          <w:p w14:paraId="49EA818B">
            <w:pPr>
              <w:adjustRightInd w:val="0"/>
              <w:snapToGrid w:val="0"/>
              <w:spacing w:line="400" w:lineRule="exact"/>
              <w:rPr>
                <w:rFonts w:hint="eastAsia"/>
                <w:szCs w:val="21"/>
                <w:lang w:val="en-US"/>
              </w:rPr>
            </w:pPr>
            <w:r>
              <w:rPr>
                <w:rFonts w:hint="eastAsia"/>
                <w:szCs w:val="21"/>
                <w:lang w:val="en-US"/>
              </w:rPr>
              <w:t>开标地点：信阳市公共资源交易中心商城县分中心不见面开标大厅</w:t>
            </w:r>
          </w:p>
        </w:tc>
      </w:tr>
      <w:tr w14:paraId="6901E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8" w:hRule="atLeast"/>
        </w:trPr>
        <w:tc>
          <w:tcPr>
            <w:tcW w:w="1464" w:type="dxa"/>
            <w:vAlign w:val="center"/>
          </w:tcPr>
          <w:p w14:paraId="48858929">
            <w:pPr>
              <w:tabs>
                <w:tab w:val="left" w:pos="337"/>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6.1.1</w:t>
            </w:r>
          </w:p>
        </w:tc>
        <w:tc>
          <w:tcPr>
            <w:tcW w:w="2376" w:type="dxa"/>
            <w:vAlign w:val="center"/>
          </w:tcPr>
          <w:p w14:paraId="44C5A027">
            <w:pPr>
              <w:adjustRightInd w:val="0"/>
              <w:snapToGrid w:val="0"/>
              <w:spacing w:line="400" w:lineRule="exact"/>
              <w:jc w:val="center"/>
              <w:rPr>
                <w:rFonts w:hint="eastAsia"/>
                <w:szCs w:val="21"/>
                <w:lang w:val="en-US"/>
              </w:rPr>
            </w:pPr>
            <w:r>
              <w:rPr>
                <w:rFonts w:hint="eastAsia"/>
                <w:szCs w:val="21"/>
                <w:lang w:val="en-US"/>
              </w:rPr>
              <w:t>磋商小组的组建</w:t>
            </w:r>
          </w:p>
        </w:tc>
        <w:tc>
          <w:tcPr>
            <w:tcW w:w="6115" w:type="dxa"/>
            <w:vAlign w:val="center"/>
          </w:tcPr>
          <w:p w14:paraId="608484D3">
            <w:pPr>
              <w:adjustRightInd w:val="0"/>
              <w:snapToGrid w:val="0"/>
              <w:spacing w:line="400" w:lineRule="exact"/>
              <w:rPr>
                <w:rFonts w:hint="eastAsia"/>
                <w:szCs w:val="21"/>
              </w:rPr>
            </w:pPr>
            <w:r>
              <w:rPr>
                <w:rFonts w:hint="eastAsia"/>
                <w:szCs w:val="21"/>
                <w:lang w:val="en-US"/>
              </w:rPr>
              <w:t>磋商小组构成：</w:t>
            </w:r>
            <w:r>
              <w:rPr>
                <w:rFonts w:hint="eastAsia"/>
                <w:szCs w:val="21"/>
              </w:rPr>
              <w:t>由经济、技术</w:t>
            </w:r>
            <w:r>
              <w:rPr>
                <w:rFonts w:hint="eastAsia"/>
                <w:szCs w:val="21"/>
                <w:lang w:val="en-US"/>
              </w:rPr>
              <w:t>专家</w:t>
            </w:r>
            <w:r>
              <w:rPr>
                <w:rFonts w:hint="eastAsia"/>
                <w:szCs w:val="21"/>
              </w:rPr>
              <w:t>和采购人代表（采购人委托的业主评委）共</w:t>
            </w:r>
            <w:r>
              <w:rPr>
                <w:rFonts w:hint="eastAsia"/>
                <w:szCs w:val="21"/>
                <w:lang w:val="en-US"/>
              </w:rPr>
              <w:t>3</w:t>
            </w:r>
            <w:r>
              <w:rPr>
                <w:rFonts w:hint="eastAsia"/>
                <w:szCs w:val="21"/>
              </w:rPr>
              <w:t>人组成，其中：</w:t>
            </w:r>
          </w:p>
          <w:p w14:paraId="653A4775">
            <w:pPr>
              <w:adjustRightInd w:val="0"/>
              <w:snapToGrid w:val="0"/>
              <w:spacing w:line="400" w:lineRule="exact"/>
              <w:rPr>
                <w:rFonts w:hint="eastAsia"/>
                <w:szCs w:val="21"/>
              </w:rPr>
            </w:pPr>
            <w:r>
              <w:rPr>
                <w:rFonts w:hint="eastAsia"/>
                <w:szCs w:val="21"/>
              </w:rPr>
              <w:t>（1）采购人代表</w:t>
            </w:r>
            <w:r>
              <w:rPr>
                <w:rFonts w:hint="eastAsia"/>
                <w:szCs w:val="21"/>
                <w:lang w:val="en-US"/>
              </w:rPr>
              <w:t>(业主评委）</w:t>
            </w:r>
            <w:r>
              <w:rPr>
                <w:rFonts w:hint="eastAsia"/>
                <w:szCs w:val="21"/>
              </w:rPr>
              <w:t>1人；</w:t>
            </w:r>
          </w:p>
          <w:p w14:paraId="20CE07D2">
            <w:pPr>
              <w:adjustRightInd w:val="0"/>
              <w:snapToGrid w:val="0"/>
              <w:spacing w:line="400" w:lineRule="exact"/>
              <w:rPr>
                <w:rFonts w:hint="eastAsia"/>
                <w:szCs w:val="21"/>
                <w:lang w:val="en-US"/>
              </w:rPr>
            </w:pPr>
            <w:r>
              <w:rPr>
                <w:rFonts w:hint="eastAsia"/>
                <w:szCs w:val="21"/>
              </w:rPr>
              <w:t>（2）其余经济、技术类评标专家</w:t>
            </w:r>
            <w:r>
              <w:rPr>
                <w:rFonts w:hint="eastAsia"/>
                <w:szCs w:val="21"/>
                <w:lang w:val="en-US"/>
              </w:rPr>
              <w:t>2</w:t>
            </w:r>
            <w:r>
              <w:rPr>
                <w:rFonts w:hint="eastAsia"/>
                <w:szCs w:val="21"/>
              </w:rPr>
              <w:t>人；</w:t>
            </w:r>
          </w:p>
          <w:p w14:paraId="1BB7D5D1">
            <w:pPr>
              <w:adjustRightInd w:val="0"/>
              <w:snapToGrid w:val="0"/>
              <w:spacing w:line="400" w:lineRule="exact"/>
              <w:rPr>
                <w:rFonts w:hint="eastAsia"/>
                <w:szCs w:val="21"/>
                <w:lang w:val="en-US"/>
              </w:rPr>
            </w:pPr>
            <w:r>
              <w:rPr>
                <w:rFonts w:hint="eastAsia"/>
                <w:szCs w:val="21"/>
                <w:lang w:val="en-US"/>
              </w:rPr>
              <w:t>磋商小组评审专家抽取方式：从政府依法组建的省级及以上政府采购专家库中随机抽取确定。</w:t>
            </w:r>
          </w:p>
        </w:tc>
      </w:tr>
      <w:tr w14:paraId="1A44C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trPr>
        <w:tc>
          <w:tcPr>
            <w:tcW w:w="1464" w:type="dxa"/>
            <w:vAlign w:val="center"/>
          </w:tcPr>
          <w:p w14:paraId="34C0A93A">
            <w:pPr>
              <w:tabs>
                <w:tab w:val="left" w:pos="337"/>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6.3.2</w:t>
            </w:r>
          </w:p>
        </w:tc>
        <w:tc>
          <w:tcPr>
            <w:tcW w:w="2376" w:type="dxa"/>
            <w:vAlign w:val="center"/>
          </w:tcPr>
          <w:p w14:paraId="504702FB">
            <w:pPr>
              <w:adjustRightInd w:val="0"/>
              <w:snapToGrid w:val="0"/>
              <w:spacing w:line="400" w:lineRule="exact"/>
              <w:jc w:val="center"/>
              <w:rPr>
                <w:rFonts w:hint="eastAsia"/>
                <w:szCs w:val="21"/>
                <w:lang w:val="en-US"/>
              </w:rPr>
            </w:pPr>
            <w:r>
              <w:rPr>
                <w:rFonts w:hint="eastAsia"/>
                <w:szCs w:val="21"/>
                <w:lang w:val="en-US"/>
              </w:rPr>
              <w:t>是否授权磋商小组确定成交供应商</w:t>
            </w:r>
          </w:p>
        </w:tc>
        <w:tc>
          <w:tcPr>
            <w:tcW w:w="6115" w:type="dxa"/>
            <w:vAlign w:val="center"/>
          </w:tcPr>
          <w:p w14:paraId="496052B0">
            <w:pPr>
              <w:adjustRightInd w:val="0"/>
              <w:snapToGrid w:val="0"/>
              <w:spacing w:line="400" w:lineRule="exact"/>
              <w:rPr>
                <w:rFonts w:hint="eastAsia"/>
                <w:szCs w:val="21"/>
                <w:lang w:val="en-US"/>
              </w:rPr>
            </w:pPr>
            <w:r>
              <w:rPr>
                <w:rFonts w:hint="eastAsia"/>
                <w:szCs w:val="21"/>
                <w:lang w:val="en-US"/>
              </w:rPr>
              <w:t>否，磋商小组按综合得分由高到低依次推荐3名成交候选供应商</w:t>
            </w:r>
          </w:p>
        </w:tc>
      </w:tr>
      <w:tr w14:paraId="7D920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464" w:type="dxa"/>
            <w:vAlign w:val="center"/>
          </w:tcPr>
          <w:p w14:paraId="17A44C9B">
            <w:pPr>
              <w:tabs>
                <w:tab w:val="left" w:pos="337"/>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7.1</w:t>
            </w:r>
          </w:p>
        </w:tc>
        <w:tc>
          <w:tcPr>
            <w:tcW w:w="2376" w:type="dxa"/>
            <w:vAlign w:val="center"/>
          </w:tcPr>
          <w:p w14:paraId="559AC359">
            <w:pPr>
              <w:adjustRightInd w:val="0"/>
              <w:snapToGrid w:val="0"/>
              <w:spacing w:line="400" w:lineRule="exact"/>
              <w:jc w:val="center"/>
              <w:rPr>
                <w:rFonts w:hint="eastAsia" w:eastAsia="宋体"/>
                <w:szCs w:val="21"/>
                <w:lang w:val="en-US" w:eastAsia="zh-CN"/>
              </w:rPr>
            </w:pPr>
            <w:r>
              <w:rPr>
                <w:rFonts w:hint="eastAsia"/>
                <w:szCs w:val="21"/>
                <w:lang w:val="en-US"/>
              </w:rPr>
              <w:t>成交结果公告</w:t>
            </w:r>
            <w:r>
              <w:rPr>
                <w:rFonts w:hint="eastAsia"/>
                <w:szCs w:val="21"/>
                <w:lang w:val="en-US" w:eastAsia="zh-CN"/>
              </w:rPr>
              <w:t>及成交通知书</w:t>
            </w:r>
          </w:p>
        </w:tc>
        <w:tc>
          <w:tcPr>
            <w:tcW w:w="6115" w:type="dxa"/>
            <w:vAlign w:val="center"/>
          </w:tcPr>
          <w:p w14:paraId="64C3D5E2">
            <w:pPr>
              <w:adjustRightInd w:val="0"/>
              <w:snapToGrid w:val="0"/>
              <w:spacing w:line="400" w:lineRule="exact"/>
              <w:rPr>
                <w:rFonts w:hint="eastAsia" w:eastAsia="宋体"/>
                <w:szCs w:val="21"/>
                <w:lang w:val="en-US" w:eastAsia="zh-CN"/>
              </w:rPr>
            </w:pPr>
            <w:r>
              <w:rPr>
                <w:rFonts w:hint="eastAsia"/>
                <w:szCs w:val="21"/>
                <w:lang w:val="en-US"/>
              </w:rPr>
              <w:t>成交结果</w:t>
            </w:r>
            <w:r>
              <w:rPr>
                <w:rFonts w:hint="eastAsia"/>
                <w:szCs w:val="21"/>
                <w:lang w:val="en-US" w:eastAsia="zh-CN"/>
              </w:rPr>
              <w:t>公告</w:t>
            </w:r>
            <w:r>
              <w:rPr>
                <w:rFonts w:hint="eastAsia"/>
                <w:szCs w:val="21"/>
                <w:lang w:val="en-US"/>
              </w:rPr>
              <w:t>将在成交供应商确定之日起</w:t>
            </w:r>
            <w:r>
              <w:rPr>
                <w:rFonts w:hint="eastAsia" w:ascii="宋体" w:hAnsi="宋体" w:eastAsia="宋体" w:cs="宋体"/>
                <w:szCs w:val="21"/>
                <w:lang w:val="en-US" w:eastAsia="zh-CN"/>
              </w:rPr>
              <w:t>2</w:t>
            </w:r>
            <w:r>
              <w:rPr>
                <w:rFonts w:hint="eastAsia"/>
                <w:szCs w:val="21"/>
                <w:lang w:val="en-US"/>
              </w:rPr>
              <w:t>个工作日内，在竞争性磋商公告所述媒介公示1个工作日</w:t>
            </w:r>
            <w:r>
              <w:rPr>
                <w:rFonts w:hint="eastAsia"/>
                <w:szCs w:val="21"/>
                <w:lang w:val="en-US" w:eastAsia="zh-CN"/>
              </w:rPr>
              <w:t>，并同时向成交供应商发出成交通知书</w:t>
            </w:r>
          </w:p>
        </w:tc>
      </w:tr>
      <w:tr w14:paraId="2070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464" w:type="dxa"/>
            <w:vAlign w:val="center"/>
          </w:tcPr>
          <w:p w14:paraId="7CADD11D">
            <w:pPr>
              <w:tabs>
                <w:tab w:val="left" w:pos="337"/>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7.2</w:t>
            </w:r>
          </w:p>
        </w:tc>
        <w:tc>
          <w:tcPr>
            <w:tcW w:w="2376" w:type="dxa"/>
            <w:vAlign w:val="center"/>
          </w:tcPr>
          <w:p w14:paraId="1DAFC673">
            <w:pPr>
              <w:adjustRightInd w:val="0"/>
              <w:snapToGrid w:val="0"/>
              <w:spacing w:line="400" w:lineRule="exact"/>
              <w:jc w:val="center"/>
              <w:rPr>
                <w:rFonts w:hint="eastAsia"/>
                <w:szCs w:val="21"/>
                <w:lang w:val="en-US"/>
              </w:rPr>
            </w:pPr>
            <w:r>
              <w:rPr>
                <w:rFonts w:hint="eastAsia"/>
                <w:szCs w:val="21"/>
                <w:lang w:val="en-US"/>
              </w:rPr>
              <w:t>技术成果经济补偿</w:t>
            </w:r>
          </w:p>
        </w:tc>
        <w:tc>
          <w:tcPr>
            <w:tcW w:w="6115" w:type="dxa"/>
            <w:vAlign w:val="center"/>
          </w:tcPr>
          <w:p w14:paraId="3B7654BE">
            <w:pPr>
              <w:adjustRightInd w:val="0"/>
              <w:snapToGrid w:val="0"/>
              <w:spacing w:line="400" w:lineRule="exact"/>
              <w:rPr>
                <w:rFonts w:hint="eastAsia"/>
                <w:szCs w:val="21"/>
                <w:lang w:val="en-US"/>
              </w:rPr>
            </w:pPr>
            <w:r>
              <w:rPr>
                <w:rFonts w:hint="eastAsia"/>
                <w:szCs w:val="21"/>
                <w:lang w:val="en-US"/>
              </w:rPr>
              <w:t>☑否，不补偿</w:t>
            </w:r>
          </w:p>
        </w:tc>
      </w:tr>
      <w:tr w14:paraId="024B6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1464" w:type="dxa"/>
            <w:vAlign w:val="center"/>
          </w:tcPr>
          <w:p w14:paraId="631A0F6D">
            <w:pPr>
              <w:adjustRightInd w:val="0"/>
              <w:snapToGrid w:val="0"/>
              <w:spacing w:line="400" w:lineRule="exact"/>
              <w:jc w:val="center"/>
              <w:rPr>
                <w:rFonts w:cs="Times New Roman"/>
                <w:color w:val="000000" w:themeColor="text1"/>
                <w:sz w:val="21"/>
                <w:szCs w:val="21"/>
                <w:lang w:val="en-US" w:bidi="ar-SA"/>
                <w14:textFill>
                  <w14:solidFill>
                    <w14:schemeClr w14:val="tx1"/>
                  </w14:solidFill>
                </w14:textFill>
              </w:rPr>
            </w:pPr>
            <w:r>
              <w:rPr>
                <w:rFonts w:hint="eastAsia"/>
                <w:szCs w:val="21"/>
              </w:rPr>
              <w:t>7.3</w:t>
            </w:r>
          </w:p>
        </w:tc>
        <w:tc>
          <w:tcPr>
            <w:tcW w:w="2376" w:type="dxa"/>
            <w:vAlign w:val="center"/>
          </w:tcPr>
          <w:p w14:paraId="57F53955">
            <w:pPr>
              <w:adjustRightInd w:val="0"/>
              <w:snapToGrid w:val="0"/>
              <w:spacing w:line="400" w:lineRule="exact"/>
              <w:jc w:val="center"/>
              <w:rPr>
                <w:rFonts w:hint="eastAsia"/>
                <w:szCs w:val="21"/>
                <w:lang w:val="en-US"/>
              </w:rPr>
            </w:pPr>
            <w:r>
              <w:rPr>
                <w:rFonts w:hint="eastAsia"/>
                <w:szCs w:val="21"/>
              </w:rPr>
              <w:t>履约担保</w:t>
            </w:r>
          </w:p>
        </w:tc>
        <w:tc>
          <w:tcPr>
            <w:tcW w:w="6115" w:type="dxa"/>
            <w:vAlign w:val="center"/>
          </w:tcPr>
          <w:p w14:paraId="0283415C">
            <w:pPr>
              <w:adjustRightInd w:val="0"/>
              <w:snapToGrid w:val="0"/>
              <w:spacing w:line="400" w:lineRule="exact"/>
              <w:rPr>
                <w:rFonts w:hint="eastAsia"/>
                <w:szCs w:val="21"/>
              </w:rPr>
            </w:pPr>
            <w:r>
              <w:rPr>
                <w:rFonts w:hint="eastAsia"/>
                <w:szCs w:val="21"/>
              </w:rPr>
              <w:t>履约担保的形式：/</w:t>
            </w:r>
          </w:p>
          <w:p w14:paraId="427D0E97">
            <w:pPr>
              <w:adjustRightInd w:val="0"/>
              <w:snapToGrid w:val="0"/>
              <w:spacing w:line="400" w:lineRule="exact"/>
              <w:rPr>
                <w:rFonts w:hint="eastAsia"/>
                <w:szCs w:val="21"/>
                <w:lang w:val="en-US"/>
              </w:rPr>
            </w:pPr>
            <w:r>
              <w:rPr>
                <w:rFonts w:hint="eastAsia"/>
                <w:szCs w:val="21"/>
              </w:rPr>
              <w:t>履约担保的金额：/</w:t>
            </w:r>
          </w:p>
        </w:tc>
      </w:tr>
      <w:tr w14:paraId="6E449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464" w:type="dxa"/>
          </w:tcPr>
          <w:p w14:paraId="06E92871">
            <w:pPr>
              <w:pStyle w:val="38"/>
              <w:spacing w:before="49"/>
              <w:ind w:left="455"/>
              <w:rPr>
                <w:szCs w:val="21"/>
              </w:rPr>
            </w:pPr>
            <w:r>
              <w:rPr>
                <w:rFonts w:hint="eastAsia"/>
                <w:sz w:val="21"/>
                <w:lang w:val="en-US"/>
              </w:rPr>
              <w:t>7.4</w:t>
            </w:r>
            <w:r>
              <w:rPr>
                <w:sz w:val="21"/>
              </w:rPr>
              <w:t xml:space="preserve"> </w:t>
            </w:r>
          </w:p>
        </w:tc>
        <w:tc>
          <w:tcPr>
            <w:tcW w:w="2376" w:type="dxa"/>
          </w:tcPr>
          <w:p w14:paraId="41163E47">
            <w:pPr>
              <w:pStyle w:val="38"/>
              <w:spacing w:before="49"/>
              <w:ind w:left="38" w:firstLine="660" w:firstLineChars="300"/>
              <w:jc w:val="both"/>
              <w:rPr>
                <w:rFonts w:hint="eastAsia" w:ascii="宋体" w:hAnsi="宋体" w:eastAsia="宋体" w:cs="宋体"/>
                <w:color w:val="auto"/>
                <w:sz w:val="22"/>
                <w:szCs w:val="21"/>
                <w:lang w:val="zh-CN" w:eastAsia="zh-CN" w:bidi="zh-CN"/>
              </w:rPr>
            </w:pPr>
            <w:r>
              <w:rPr>
                <w:rFonts w:hint="eastAsia" w:ascii="宋体" w:hAnsi="宋体" w:eastAsia="宋体" w:cs="宋体"/>
                <w:color w:val="auto"/>
                <w:sz w:val="22"/>
                <w:szCs w:val="21"/>
                <w:lang w:val="zh-CN" w:eastAsia="zh-CN" w:bidi="zh-CN"/>
              </w:rPr>
              <w:t>预付款</w:t>
            </w:r>
          </w:p>
          <w:p w14:paraId="2CF8C65F">
            <w:pPr>
              <w:pStyle w:val="38"/>
              <w:spacing w:before="49"/>
              <w:ind w:left="38" w:firstLine="660" w:firstLineChars="300"/>
              <w:jc w:val="both"/>
              <w:rPr>
                <w:rFonts w:hint="default" w:ascii="宋体" w:hAnsi="宋体" w:eastAsia="宋体" w:cs="宋体"/>
                <w:color w:val="auto"/>
                <w:sz w:val="22"/>
                <w:szCs w:val="21"/>
                <w:lang w:val="en-US" w:eastAsia="zh-CN" w:bidi="zh-CN"/>
              </w:rPr>
            </w:pPr>
          </w:p>
        </w:tc>
        <w:tc>
          <w:tcPr>
            <w:tcW w:w="6115" w:type="dxa"/>
          </w:tcPr>
          <w:p w14:paraId="6D7DFBB2">
            <w:pPr>
              <w:pStyle w:val="38"/>
              <w:spacing w:before="49"/>
              <w:ind w:left="40"/>
              <w:rPr>
                <w:rFonts w:hint="default" w:cs="宋体"/>
                <w:color w:val="auto"/>
                <w:sz w:val="22"/>
                <w:szCs w:val="21"/>
                <w:u w:val="single"/>
                <w:lang w:val="en-US" w:eastAsia="zh-CN" w:bidi="zh-CN"/>
              </w:rPr>
            </w:pPr>
            <w:r>
              <w:rPr>
                <w:rFonts w:hint="eastAsia" w:ascii="宋体" w:hAnsi="宋体" w:eastAsia="宋体" w:cs="宋体"/>
                <w:color w:val="auto"/>
                <w:sz w:val="22"/>
                <w:szCs w:val="21"/>
                <w:lang w:val="zh-CN" w:eastAsia="zh-CN" w:bidi="zh-CN"/>
              </w:rPr>
              <w:t xml:space="preserve">预付款比例为： </w:t>
            </w:r>
            <w:r>
              <w:rPr>
                <w:rFonts w:hint="eastAsia" w:cs="宋体"/>
                <w:color w:val="auto"/>
                <w:sz w:val="22"/>
                <w:szCs w:val="21"/>
                <w:u w:val="single"/>
                <w:lang w:val="en-US" w:eastAsia="zh-CN" w:bidi="zh-CN"/>
              </w:rPr>
              <w:t xml:space="preserve">   /   </w:t>
            </w:r>
          </w:p>
        </w:tc>
      </w:tr>
      <w:tr w14:paraId="667F8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8" w:hRule="atLeast"/>
        </w:trPr>
        <w:tc>
          <w:tcPr>
            <w:tcW w:w="1464" w:type="dxa"/>
            <w:vAlign w:val="center"/>
          </w:tcPr>
          <w:p w14:paraId="33B8118F">
            <w:pPr>
              <w:tabs>
                <w:tab w:val="left" w:pos="337"/>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8.1</w:t>
            </w:r>
          </w:p>
        </w:tc>
        <w:tc>
          <w:tcPr>
            <w:tcW w:w="2376" w:type="dxa"/>
            <w:vAlign w:val="center"/>
          </w:tcPr>
          <w:p w14:paraId="5D45DC65">
            <w:pPr>
              <w:adjustRightInd w:val="0"/>
              <w:snapToGrid w:val="0"/>
              <w:spacing w:line="400" w:lineRule="exact"/>
              <w:jc w:val="center"/>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监督部门</w:t>
            </w:r>
          </w:p>
        </w:tc>
        <w:tc>
          <w:tcPr>
            <w:tcW w:w="6115" w:type="dxa"/>
            <w:vAlign w:val="center"/>
          </w:tcPr>
          <w:p w14:paraId="1471DD37">
            <w:pPr>
              <w:adjustRightInd w:val="0"/>
              <w:snapToGrid w:val="0"/>
              <w:spacing w:line="400" w:lineRule="exact"/>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本项目的政府采购活动及其相关当事人应当接受有管辖权的行政监督部门依法实施的监督。</w:t>
            </w:r>
          </w:p>
          <w:p w14:paraId="29798502">
            <w:pPr>
              <w:adjustRightInd w:val="0"/>
              <w:snapToGrid w:val="0"/>
              <w:spacing w:line="400" w:lineRule="exact"/>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监督部门：商城县</w:t>
            </w:r>
            <w:r>
              <w:rPr>
                <w:rFonts w:hint="eastAsia" w:cs="宋体"/>
                <w:sz w:val="22"/>
                <w:szCs w:val="21"/>
                <w:lang w:val="en-US" w:eastAsia="zh-CN" w:bidi="zh-CN"/>
              </w:rPr>
              <w:t>财政局</w:t>
            </w:r>
            <w:r>
              <w:rPr>
                <w:rFonts w:hint="eastAsia" w:ascii="宋体" w:hAnsi="宋体" w:eastAsia="宋体" w:cs="宋体"/>
                <w:sz w:val="22"/>
                <w:szCs w:val="21"/>
                <w:lang w:val="en-US" w:eastAsia="zh-CN" w:bidi="zh-CN"/>
              </w:rPr>
              <w:t xml:space="preserve">  </w:t>
            </w:r>
          </w:p>
        </w:tc>
      </w:tr>
      <w:tr w14:paraId="7C895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2" w:hRule="atLeast"/>
        </w:trPr>
        <w:tc>
          <w:tcPr>
            <w:tcW w:w="1464" w:type="dxa"/>
          </w:tcPr>
          <w:p w14:paraId="36A68C8B">
            <w:pPr>
              <w:pStyle w:val="38"/>
              <w:spacing w:before="3"/>
              <w:ind w:left="455"/>
              <w:rPr>
                <w:rFonts w:hint="eastAsia"/>
                <w:sz w:val="21"/>
                <w:lang w:val="en-US"/>
              </w:rPr>
            </w:pPr>
          </w:p>
          <w:p w14:paraId="49E4BC7A">
            <w:pPr>
              <w:pStyle w:val="38"/>
              <w:spacing w:before="3"/>
              <w:ind w:left="455"/>
              <w:rPr>
                <w:rFonts w:hint="eastAsia"/>
                <w:sz w:val="21"/>
                <w:lang w:val="en-US"/>
              </w:rPr>
            </w:pPr>
          </w:p>
          <w:p w14:paraId="55A4DF33">
            <w:pPr>
              <w:pStyle w:val="38"/>
              <w:spacing w:before="3"/>
              <w:ind w:left="455"/>
              <w:rPr>
                <w:rFonts w:hint="eastAsia"/>
                <w:sz w:val="21"/>
                <w:lang w:val="en-US"/>
              </w:rPr>
            </w:pPr>
          </w:p>
          <w:p w14:paraId="2E44876D">
            <w:pPr>
              <w:pStyle w:val="38"/>
              <w:spacing w:before="3"/>
              <w:ind w:left="455"/>
              <w:rPr>
                <w:rFonts w:hint="eastAsia"/>
                <w:sz w:val="21"/>
                <w:lang w:val="en-US"/>
              </w:rPr>
            </w:pPr>
          </w:p>
          <w:p w14:paraId="66191765">
            <w:pPr>
              <w:pStyle w:val="38"/>
              <w:spacing w:before="3"/>
              <w:ind w:left="455"/>
              <w:rPr>
                <w:rFonts w:hint="eastAsia"/>
                <w:sz w:val="21"/>
                <w:lang w:val="en-US"/>
              </w:rPr>
            </w:pPr>
          </w:p>
          <w:p w14:paraId="3A9EF692">
            <w:pPr>
              <w:pStyle w:val="38"/>
              <w:spacing w:before="3"/>
              <w:ind w:left="455"/>
              <w:rPr>
                <w:rFonts w:hint="eastAsia"/>
                <w:sz w:val="21"/>
                <w:lang w:val="en-US"/>
              </w:rPr>
            </w:pPr>
          </w:p>
          <w:p w14:paraId="4406A677">
            <w:pPr>
              <w:pStyle w:val="38"/>
              <w:spacing w:before="3"/>
              <w:ind w:left="455"/>
              <w:rPr>
                <w:rFonts w:hint="eastAsia"/>
                <w:sz w:val="21"/>
                <w:lang w:val="en-US"/>
              </w:rPr>
            </w:pPr>
          </w:p>
          <w:p w14:paraId="7AFB29E3">
            <w:pPr>
              <w:pStyle w:val="38"/>
              <w:spacing w:before="3"/>
              <w:ind w:left="455"/>
              <w:rPr>
                <w:rFonts w:hint="eastAsia"/>
                <w:sz w:val="21"/>
                <w:lang w:val="en-US"/>
              </w:rPr>
            </w:pPr>
          </w:p>
          <w:p w14:paraId="4309BDAB">
            <w:pPr>
              <w:pStyle w:val="38"/>
              <w:spacing w:before="3"/>
              <w:ind w:left="455"/>
              <w:rPr>
                <w:rFonts w:hint="eastAsia"/>
                <w:sz w:val="21"/>
                <w:lang w:val="en-US"/>
              </w:rPr>
            </w:pPr>
          </w:p>
          <w:p w14:paraId="61D10794">
            <w:pPr>
              <w:pStyle w:val="38"/>
              <w:spacing w:before="3"/>
              <w:ind w:left="455"/>
              <w:rPr>
                <w:rFonts w:hint="eastAsia"/>
                <w:sz w:val="21"/>
                <w:lang w:val="en-US"/>
              </w:rPr>
            </w:pPr>
          </w:p>
          <w:p w14:paraId="2CFCEA4F">
            <w:pPr>
              <w:pStyle w:val="38"/>
              <w:spacing w:before="3"/>
              <w:ind w:left="455"/>
              <w:rPr>
                <w:rFonts w:hint="eastAsia"/>
                <w:sz w:val="21"/>
                <w:lang w:val="en-US"/>
              </w:rPr>
            </w:pPr>
          </w:p>
          <w:p w14:paraId="1DCD8205">
            <w:pPr>
              <w:pStyle w:val="38"/>
              <w:spacing w:before="3"/>
              <w:ind w:left="455"/>
              <w:rPr>
                <w:rFonts w:hint="eastAsia"/>
                <w:sz w:val="21"/>
                <w:lang w:val="en-US"/>
              </w:rPr>
            </w:pPr>
          </w:p>
          <w:p w14:paraId="4B9B7DFA">
            <w:pPr>
              <w:pStyle w:val="38"/>
              <w:spacing w:before="3"/>
              <w:ind w:left="455"/>
              <w:rPr>
                <w:rFonts w:hint="eastAsia"/>
                <w:sz w:val="21"/>
                <w:lang w:val="en-US"/>
              </w:rPr>
            </w:pPr>
            <w:r>
              <w:rPr>
                <w:rFonts w:hint="eastAsia"/>
                <w:sz w:val="21"/>
                <w:lang w:val="en-US"/>
              </w:rPr>
              <w:t>8.2</w:t>
            </w:r>
            <w:r>
              <w:rPr>
                <w:sz w:val="21"/>
              </w:rPr>
              <w:t xml:space="preserve"> </w:t>
            </w:r>
          </w:p>
          <w:p w14:paraId="3F41D3A6">
            <w:pPr>
              <w:pStyle w:val="38"/>
              <w:spacing w:before="10"/>
              <w:rPr>
                <w:sz w:val="27"/>
              </w:rPr>
            </w:pPr>
          </w:p>
          <w:p w14:paraId="1A09A0AE">
            <w:pPr>
              <w:pStyle w:val="38"/>
              <w:spacing w:before="1"/>
              <w:ind w:left="455"/>
              <w:rPr>
                <w:sz w:val="21"/>
                <w:lang w:val="en-US"/>
              </w:rPr>
            </w:pPr>
          </w:p>
        </w:tc>
        <w:tc>
          <w:tcPr>
            <w:tcW w:w="2376" w:type="dxa"/>
          </w:tcPr>
          <w:p w14:paraId="3D43EA72">
            <w:pPr>
              <w:adjustRightInd w:val="0"/>
              <w:snapToGrid w:val="0"/>
              <w:spacing w:line="400" w:lineRule="exact"/>
              <w:rPr>
                <w:rFonts w:hint="eastAsia" w:ascii="宋体" w:hAnsi="宋体" w:eastAsia="宋体" w:cs="宋体"/>
                <w:sz w:val="22"/>
                <w:szCs w:val="21"/>
                <w:lang w:val="zh-CN" w:eastAsia="zh-CN" w:bidi="zh-CN"/>
              </w:rPr>
            </w:pPr>
          </w:p>
          <w:p w14:paraId="1D9E0420">
            <w:pPr>
              <w:adjustRightInd w:val="0"/>
              <w:snapToGrid w:val="0"/>
              <w:spacing w:line="400" w:lineRule="exact"/>
              <w:ind w:firstLine="660" w:firstLineChars="300"/>
              <w:rPr>
                <w:rFonts w:hint="eastAsia" w:ascii="宋体" w:hAnsi="宋体" w:eastAsia="宋体" w:cs="宋体"/>
                <w:sz w:val="22"/>
                <w:szCs w:val="21"/>
                <w:lang w:val="zh-CN" w:eastAsia="zh-CN" w:bidi="zh-CN"/>
              </w:rPr>
            </w:pPr>
          </w:p>
          <w:p w14:paraId="3FAB3BE7">
            <w:pPr>
              <w:adjustRightInd w:val="0"/>
              <w:snapToGrid w:val="0"/>
              <w:spacing w:line="400" w:lineRule="exact"/>
              <w:ind w:firstLine="660" w:firstLineChars="300"/>
              <w:rPr>
                <w:rFonts w:hint="eastAsia" w:ascii="宋体" w:hAnsi="宋体" w:eastAsia="宋体" w:cs="宋体"/>
                <w:sz w:val="22"/>
                <w:szCs w:val="21"/>
                <w:lang w:val="zh-CN" w:eastAsia="zh-CN" w:bidi="zh-CN"/>
              </w:rPr>
            </w:pPr>
          </w:p>
          <w:p w14:paraId="627F1C35">
            <w:pPr>
              <w:adjustRightInd w:val="0"/>
              <w:snapToGrid w:val="0"/>
              <w:spacing w:line="400" w:lineRule="exact"/>
              <w:ind w:firstLine="660" w:firstLineChars="300"/>
              <w:rPr>
                <w:rFonts w:hint="eastAsia" w:ascii="宋体" w:hAnsi="宋体" w:eastAsia="宋体" w:cs="宋体"/>
                <w:sz w:val="22"/>
                <w:szCs w:val="21"/>
                <w:lang w:val="zh-CN" w:eastAsia="zh-CN" w:bidi="zh-CN"/>
              </w:rPr>
            </w:pPr>
          </w:p>
          <w:p w14:paraId="17A38039">
            <w:pPr>
              <w:adjustRightInd w:val="0"/>
              <w:snapToGrid w:val="0"/>
              <w:spacing w:line="400" w:lineRule="exact"/>
              <w:ind w:firstLine="660" w:firstLineChars="300"/>
              <w:rPr>
                <w:rFonts w:hint="eastAsia" w:ascii="宋体" w:hAnsi="宋体" w:eastAsia="宋体" w:cs="宋体"/>
                <w:sz w:val="22"/>
                <w:szCs w:val="21"/>
                <w:lang w:val="zh-CN" w:eastAsia="zh-CN" w:bidi="zh-CN"/>
              </w:rPr>
            </w:pPr>
          </w:p>
          <w:p w14:paraId="6F5A940A">
            <w:pPr>
              <w:adjustRightInd w:val="0"/>
              <w:snapToGrid w:val="0"/>
              <w:spacing w:line="400" w:lineRule="exact"/>
              <w:ind w:firstLine="660" w:firstLineChars="300"/>
              <w:rPr>
                <w:rFonts w:hint="eastAsia" w:ascii="宋体" w:hAnsi="宋体" w:eastAsia="宋体" w:cs="宋体"/>
                <w:sz w:val="22"/>
                <w:szCs w:val="21"/>
                <w:lang w:val="zh-CN" w:eastAsia="zh-CN" w:bidi="zh-CN"/>
              </w:rPr>
            </w:pPr>
          </w:p>
          <w:p w14:paraId="2FEC8322">
            <w:pPr>
              <w:adjustRightInd w:val="0"/>
              <w:snapToGrid w:val="0"/>
              <w:spacing w:line="400" w:lineRule="exact"/>
              <w:ind w:firstLine="660" w:firstLineChars="300"/>
              <w:rPr>
                <w:rFonts w:hint="eastAsia" w:ascii="宋体" w:hAnsi="宋体" w:eastAsia="宋体" w:cs="宋体"/>
                <w:sz w:val="22"/>
                <w:szCs w:val="21"/>
                <w:lang w:val="zh-CN" w:eastAsia="zh-CN" w:bidi="zh-CN"/>
              </w:rPr>
            </w:pPr>
          </w:p>
          <w:p w14:paraId="5297CA6A">
            <w:pPr>
              <w:adjustRightInd w:val="0"/>
              <w:snapToGrid w:val="0"/>
              <w:spacing w:line="400" w:lineRule="exact"/>
              <w:ind w:firstLine="660" w:firstLineChars="300"/>
              <w:rPr>
                <w:rFonts w:hint="eastAsia" w:ascii="宋体" w:hAnsi="宋体" w:eastAsia="宋体" w:cs="宋体"/>
                <w:sz w:val="22"/>
                <w:szCs w:val="21"/>
                <w:lang w:val="zh-CN" w:eastAsia="zh-CN" w:bidi="zh-CN"/>
              </w:rPr>
            </w:pPr>
          </w:p>
          <w:p w14:paraId="31557B45">
            <w:pPr>
              <w:adjustRightInd w:val="0"/>
              <w:snapToGrid w:val="0"/>
              <w:spacing w:line="400" w:lineRule="exact"/>
              <w:ind w:firstLine="660" w:firstLineChars="300"/>
              <w:rPr>
                <w:rFonts w:hint="eastAsia" w:ascii="宋体" w:hAnsi="宋体" w:eastAsia="宋体" w:cs="宋体"/>
                <w:sz w:val="22"/>
                <w:szCs w:val="21"/>
                <w:lang w:val="zh-CN" w:eastAsia="zh-CN" w:bidi="zh-CN"/>
              </w:rPr>
            </w:pPr>
            <w:r>
              <w:rPr>
                <w:rFonts w:hint="eastAsia" w:ascii="宋体" w:hAnsi="宋体" w:eastAsia="宋体" w:cs="宋体"/>
                <w:sz w:val="22"/>
                <w:szCs w:val="21"/>
                <w:lang w:val="zh-CN" w:eastAsia="zh-CN" w:bidi="zh-CN"/>
              </w:rPr>
              <w:t>质疑</w:t>
            </w:r>
          </w:p>
        </w:tc>
        <w:tc>
          <w:tcPr>
            <w:tcW w:w="6115" w:type="dxa"/>
          </w:tcPr>
          <w:p w14:paraId="4B1D0575">
            <w:pPr>
              <w:adjustRightInd w:val="0"/>
              <w:snapToGrid w:val="0"/>
              <w:spacing w:line="400" w:lineRule="exact"/>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 xml:space="preserve">参与本次采购活动的供应商如有异议，可在各环节法定质疑期内向采购代理机构一次性提出针对该采购程序环节的书面质疑函，书面原件送达至磋商文件列示的采购代理机构及采购单位联系人处；依据法规规定，质疑函应当有明确的请求和必要的证明材料，应当包括下列内容：   </w:t>
            </w:r>
          </w:p>
          <w:p w14:paraId="370655ED">
            <w:pPr>
              <w:adjustRightInd w:val="0"/>
              <w:snapToGrid w:val="0"/>
              <w:spacing w:line="400" w:lineRule="exact"/>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1、供应商的姓名或者名称、地址、邮编、联系人及联系电话；</w:t>
            </w:r>
          </w:p>
          <w:p w14:paraId="5745B5C3">
            <w:pPr>
              <w:adjustRightInd w:val="0"/>
              <w:snapToGrid w:val="0"/>
              <w:spacing w:line="400" w:lineRule="exact"/>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 xml:space="preserve">2、质疑项目的名称、编号；                  </w:t>
            </w:r>
          </w:p>
          <w:p w14:paraId="23B56921">
            <w:pPr>
              <w:adjustRightInd w:val="0"/>
              <w:snapToGrid w:val="0"/>
              <w:spacing w:line="400" w:lineRule="exact"/>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3、具体、明确的质疑事项和与质疑事项相关的请求；</w:t>
            </w:r>
          </w:p>
          <w:p w14:paraId="34CE1FA1">
            <w:pPr>
              <w:adjustRightInd w:val="0"/>
              <w:snapToGrid w:val="0"/>
              <w:spacing w:line="400" w:lineRule="exact"/>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4、事实依据；</w:t>
            </w:r>
          </w:p>
          <w:p w14:paraId="7BA24493">
            <w:pPr>
              <w:adjustRightInd w:val="0"/>
              <w:snapToGrid w:val="0"/>
              <w:spacing w:line="400" w:lineRule="exact"/>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5、必要的法律依据；</w:t>
            </w:r>
          </w:p>
          <w:p w14:paraId="057B7E04">
            <w:pPr>
              <w:adjustRightInd w:val="0"/>
              <w:snapToGrid w:val="0"/>
              <w:spacing w:line="400" w:lineRule="exact"/>
              <w:rPr>
                <w:rFonts w:hint="eastAsia" w:ascii="宋体" w:hAnsi="宋体" w:eastAsia="宋体" w:cs="宋体"/>
                <w:sz w:val="22"/>
                <w:szCs w:val="21"/>
                <w:lang w:val="zh-CN" w:eastAsia="zh-CN" w:bidi="zh-CN"/>
              </w:rPr>
            </w:pPr>
            <w:r>
              <w:rPr>
                <w:rFonts w:hint="eastAsia" w:ascii="宋体" w:hAnsi="宋体" w:eastAsia="宋体" w:cs="宋体"/>
                <w:sz w:val="22"/>
                <w:szCs w:val="21"/>
                <w:lang w:val="en-US" w:eastAsia="zh-CN" w:bidi="zh-CN"/>
              </w:rPr>
              <w:t>6、提出质疑的日期。供应商为自然人的，应当由本人签字；供应商为法人或者其他组织的，应当由法定代表人、主要负责人，或者其授权代表签字或者盖章，并加盖公章。如对采购代理机构的答复仍有异议的，可向同级财政局政府采购监督管理办公室提出书面投诉。（具体程序按照《政府采购质疑和投诉办法》执行）。</w:t>
            </w:r>
          </w:p>
        </w:tc>
      </w:tr>
      <w:tr w14:paraId="5C7B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9955" w:type="dxa"/>
            <w:gridSpan w:val="3"/>
            <w:vAlign w:val="center"/>
          </w:tcPr>
          <w:p w14:paraId="7F08663F">
            <w:pPr>
              <w:adjustRightInd w:val="0"/>
              <w:snapToGrid w:val="0"/>
              <w:spacing w:line="400" w:lineRule="exact"/>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需要补充的其他内容</w:t>
            </w:r>
          </w:p>
        </w:tc>
      </w:tr>
      <w:tr w14:paraId="1A87F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698D9F38">
            <w:pPr>
              <w:tabs>
                <w:tab w:val="left" w:pos="337"/>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10.1</w:t>
            </w:r>
          </w:p>
        </w:tc>
        <w:tc>
          <w:tcPr>
            <w:tcW w:w="2376" w:type="dxa"/>
            <w:vAlign w:val="center"/>
          </w:tcPr>
          <w:p w14:paraId="55941603">
            <w:pPr>
              <w:adjustRightInd w:val="0"/>
              <w:snapToGrid w:val="0"/>
              <w:spacing w:line="400" w:lineRule="exact"/>
              <w:jc w:val="center"/>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知识产权</w:t>
            </w:r>
          </w:p>
        </w:tc>
        <w:tc>
          <w:tcPr>
            <w:tcW w:w="6115" w:type="dxa"/>
            <w:vAlign w:val="center"/>
          </w:tcPr>
          <w:p w14:paraId="70B6E47D">
            <w:pPr>
              <w:adjustRightInd w:val="0"/>
              <w:snapToGrid w:val="0"/>
              <w:spacing w:line="400" w:lineRule="exact"/>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构成本磋商文件各个组成部分的文件，未经采购人书面同意，供应商不得擅自复印和用于非本招标项目所需的其他目的。采购人全部或者部分使用未成交供应商响应文件中的技术成果或技术方案时，需征得其书面同意，并不得擅自复印或提供给第三人。</w:t>
            </w:r>
          </w:p>
        </w:tc>
      </w:tr>
      <w:tr w14:paraId="6308A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0B971722">
            <w:pPr>
              <w:tabs>
                <w:tab w:val="left" w:pos="337"/>
                <w:tab w:val="center" w:pos="548"/>
              </w:tabs>
              <w:jc w:val="center"/>
              <w:rPr>
                <w:rFonts w:cs="Times New Roman"/>
                <w:color w:val="000000" w:themeColor="text1"/>
                <w:sz w:val="21"/>
                <w:szCs w:val="21"/>
                <w:lang w:val="en-US"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10.2</w:t>
            </w:r>
          </w:p>
        </w:tc>
        <w:tc>
          <w:tcPr>
            <w:tcW w:w="2376" w:type="dxa"/>
            <w:vAlign w:val="center"/>
          </w:tcPr>
          <w:p w14:paraId="7EA90097">
            <w:pPr>
              <w:adjustRightInd w:val="0"/>
              <w:snapToGrid w:val="0"/>
              <w:spacing w:line="400" w:lineRule="exact"/>
              <w:jc w:val="center"/>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采购代理服务费</w:t>
            </w:r>
          </w:p>
        </w:tc>
        <w:tc>
          <w:tcPr>
            <w:tcW w:w="6115" w:type="dxa"/>
            <w:vAlign w:val="center"/>
          </w:tcPr>
          <w:p w14:paraId="4A7FD800">
            <w:pPr>
              <w:adjustRightInd w:val="0"/>
              <w:snapToGrid w:val="0"/>
              <w:spacing w:line="400" w:lineRule="exact"/>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本项目代理服务费由成交供应商在领取成交通知书时向代理机构支付</w:t>
            </w:r>
            <w:r>
              <w:rPr>
                <w:rFonts w:hint="eastAsia" w:cs="宋体"/>
                <w:sz w:val="22"/>
                <w:szCs w:val="21"/>
                <w:lang w:val="en-US" w:eastAsia="zh-CN" w:bidi="zh-CN"/>
              </w:rPr>
              <w:t>，一次性付清</w:t>
            </w:r>
            <w:r>
              <w:rPr>
                <w:rFonts w:hint="eastAsia" w:ascii="宋体" w:hAnsi="宋体" w:eastAsia="宋体" w:cs="宋体"/>
                <w:sz w:val="22"/>
                <w:szCs w:val="21"/>
                <w:lang w:val="en-US" w:eastAsia="zh-CN" w:bidi="zh-CN"/>
              </w:rPr>
              <w:t>。中标服务费根据《河南省招标代理服务收费指导意见》（豫招协【2023】002号）文件相关规定收取。</w:t>
            </w:r>
          </w:p>
        </w:tc>
      </w:tr>
      <w:tr w14:paraId="00165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7AFBB898">
            <w:pPr>
              <w:adjustRightInd w:val="0"/>
              <w:snapToGrid w:val="0"/>
              <w:spacing w:line="400" w:lineRule="exact"/>
              <w:jc w:val="center"/>
              <w:rPr>
                <w:rFonts w:hint="default" w:ascii="宋体" w:hAnsi="宋体" w:eastAsia="宋体" w:cs="宋体"/>
                <w:sz w:val="22"/>
                <w:szCs w:val="21"/>
                <w:lang w:val="en-US" w:eastAsia="zh-CN" w:bidi="zh-CN"/>
              </w:rPr>
            </w:pPr>
            <w:r>
              <w:rPr>
                <w:rFonts w:hint="eastAsia" w:ascii="宋体" w:hAnsi="宋体" w:eastAsia="宋体" w:cs="宋体"/>
                <w:sz w:val="22"/>
                <w:szCs w:val="21"/>
                <w:lang w:val="en-US" w:eastAsia="zh-CN" w:bidi="zh-CN"/>
              </w:rPr>
              <w:t>10.</w:t>
            </w:r>
            <w:r>
              <w:rPr>
                <w:rFonts w:hint="eastAsia" w:cs="宋体"/>
                <w:sz w:val="22"/>
                <w:szCs w:val="21"/>
                <w:lang w:val="en-US" w:eastAsia="zh-CN" w:bidi="zh-CN"/>
              </w:rPr>
              <w:t>3</w:t>
            </w:r>
          </w:p>
        </w:tc>
        <w:tc>
          <w:tcPr>
            <w:tcW w:w="2376" w:type="dxa"/>
            <w:vAlign w:val="center"/>
          </w:tcPr>
          <w:p w14:paraId="51A3014A">
            <w:pPr>
              <w:adjustRightInd w:val="0"/>
              <w:snapToGrid w:val="0"/>
              <w:spacing w:line="400" w:lineRule="exact"/>
              <w:jc w:val="center"/>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解释权</w:t>
            </w:r>
          </w:p>
        </w:tc>
        <w:tc>
          <w:tcPr>
            <w:tcW w:w="6115" w:type="dxa"/>
            <w:vAlign w:val="center"/>
          </w:tcPr>
          <w:p w14:paraId="59C5D39B">
            <w:pPr>
              <w:adjustRightInd w:val="0"/>
              <w:snapToGrid w:val="0"/>
              <w:spacing w:line="400" w:lineRule="exact"/>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构成本磋商文件的各个组成文件互为解释，互为说明；如有不明确或不一致，构成合同文件组成内容的，以合同文件约定内容为准，且以专用合同条款约定的合同文件优先顺序解释；除磋商文件中有特别规定外，仅适用于招标投标阶段的规定，按磋商公告（磋商邀请书）、供应商须知、评标办法、响应文件格式先后顺序解释；同一组成文件中就同一事项的规定或约定不一致的，以编排顺序在后者为准；同一组成文件不同版本之间有不一致的，以形成时间在后者为准。按本款前述规定仍不能形成结论的，由采购人和采购代理机构负责解释</w:t>
            </w:r>
          </w:p>
        </w:tc>
      </w:tr>
      <w:tr w14:paraId="3C791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5BB18102">
            <w:pPr>
              <w:tabs>
                <w:tab w:val="left" w:pos="337"/>
                <w:tab w:val="center" w:pos="548"/>
              </w:tabs>
              <w:jc w:val="center"/>
              <w:rPr>
                <w:rFonts w:hint="default" w:eastAsia="宋体" w:cs="Times New Roman"/>
                <w:color w:val="000000" w:themeColor="text1"/>
                <w:sz w:val="21"/>
                <w:szCs w:val="21"/>
                <w:lang w:val="en-US" w:eastAsia="zh-CN" w:bidi="ar-SA"/>
                <w14:textFill>
                  <w14:solidFill>
                    <w14:schemeClr w14:val="tx1"/>
                  </w14:solidFill>
                </w14:textFill>
              </w:rPr>
            </w:pPr>
            <w:r>
              <w:rPr>
                <w:rFonts w:hint="eastAsia" w:cs="Times New Roman"/>
                <w:color w:val="000000" w:themeColor="text1"/>
                <w:sz w:val="21"/>
                <w:szCs w:val="21"/>
                <w:lang w:val="en-US" w:eastAsia="zh-CN" w:bidi="ar-SA"/>
                <w14:textFill>
                  <w14:solidFill>
                    <w14:schemeClr w14:val="tx1"/>
                  </w14:solidFill>
                </w14:textFill>
              </w:rPr>
              <w:t>10.4</w:t>
            </w:r>
          </w:p>
        </w:tc>
        <w:tc>
          <w:tcPr>
            <w:tcW w:w="2376" w:type="dxa"/>
            <w:vAlign w:val="center"/>
          </w:tcPr>
          <w:p w14:paraId="34C1CF37">
            <w:pPr>
              <w:jc w:val="center"/>
              <w:rPr>
                <w:rFonts w:hint="eastAsia" w:eastAsia="宋体" w:cs="Times New Roman"/>
                <w:color w:val="000000" w:themeColor="text1"/>
                <w:sz w:val="21"/>
                <w:szCs w:val="21"/>
                <w:lang w:val="en-US" w:eastAsia="zh-CN" w:bidi="ar-SA"/>
                <w14:textFill>
                  <w14:solidFill>
                    <w14:schemeClr w14:val="tx1"/>
                  </w14:solidFill>
                </w14:textFill>
              </w:rPr>
            </w:pPr>
            <w:r>
              <w:rPr>
                <w:rFonts w:hint="eastAsia"/>
                <w:szCs w:val="21"/>
                <w:lang w:val="en-US" w:eastAsia="zh-CN"/>
              </w:rPr>
              <w:t>词语定义</w:t>
            </w:r>
          </w:p>
        </w:tc>
        <w:tc>
          <w:tcPr>
            <w:tcW w:w="6115" w:type="dxa"/>
            <w:vAlign w:val="center"/>
          </w:tcPr>
          <w:p w14:paraId="01DA6666">
            <w:pPr>
              <w:jc w:val="both"/>
              <w:rPr>
                <w:rFonts w:hint="eastAsia" w:ascii="宋体" w:hAnsi="宋体" w:cs="宋体"/>
                <w:szCs w:val="21"/>
                <w:lang w:eastAsia="zh-CN"/>
              </w:rPr>
            </w:pPr>
            <w:r>
              <w:rPr>
                <w:rFonts w:hint="eastAsia" w:cs="宋体"/>
                <w:szCs w:val="21"/>
                <w:lang w:eastAsia="zh-CN"/>
              </w:rPr>
              <w:t>（</w:t>
            </w:r>
            <w:r>
              <w:rPr>
                <w:rFonts w:hint="eastAsia" w:cs="宋体"/>
                <w:szCs w:val="21"/>
                <w:lang w:val="en-US" w:eastAsia="zh-CN"/>
              </w:rPr>
              <w:t>1</w:t>
            </w:r>
            <w:r>
              <w:rPr>
                <w:rFonts w:hint="eastAsia" w:cs="宋体"/>
                <w:szCs w:val="21"/>
                <w:lang w:eastAsia="zh-CN"/>
              </w:rPr>
              <w:t>）</w:t>
            </w:r>
            <w:r>
              <w:rPr>
                <w:rFonts w:hint="eastAsia" w:ascii="宋体" w:hAnsi="宋体" w:cs="宋体"/>
                <w:szCs w:val="21"/>
              </w:rPr>
              <w:t>类似项目</w:t>
            </w:r>
            <w:r>
              <w:rPr>
                <w:rFonts w:hint="eastAsia" w:ascii="宋体" w:hAnsi="宋体" w:cs="宋体"/>
                <w:szCs w:val="21"/>
                <w:lang w:eastAsia="zh-CN"/>
              </w:rPr>
              <w:t>（企业业绩）是指：</w:t>
            </w:r>
            <w:bookmarkStart w:id="37" w:name="_Toc221949613"/>
            <w:r>
              <w:rPr>
                <w:rFonts w:hint="eastAsia" w:ascii="宋体" w:hAnsi="宋体" w:cs="宋体"/>
                <w:szCs w:val="21"/>
                <w:lang w:eastAsia="zh-CN"/>
              </w:rPr>
              <w:t>近年承担</w:t>
            </w:r>
            <w:bookmarkEnd w:id="37"/>
            <w:r>
              <w:rPr>
                <w:rFonts w:hint="eastAsia" w:ascii="宋体" w:hAnsi="宋体" w:cs="宋体"/>
                <w:szCs w:val="21"/>
                <w:lang w:eastAsia="zh-CN"/>
              </w:rPr>
              <w:t>的类似项目业绩（投标人提供的业绩证明材料中体现的项目主要实施内容只要与本工程主要实施内容相似，均可视为类似项目）。</w:t>
            </w:r>
          </w:p>
          <w:p w14:paraId="6C2D8D3D">
            <w:pPr>
              <w:jc w:val="both"/>
              <w:rPr>
                <w:rFonts w:hint="eastAsia" w:cs="Times New Roman"/>
                <w:color w:val="000000" w:themeColor="text1"/>
                <w:sz w:val="21"/>
                <w:szCs w:val="21"/>
                <w:lang w:val="en-US" w:bidi="ar-SA"/>
                <w14:textFill>
                  <w14:solidFill>
                    <w14:schemeClr w14:val="tx1"/>
                  </w14:solidFill>
                </w14:textFill>
              </w:rPr>
            </w:pPr>
            <w:r>
              <w:rPr>
                <w:rFonts w:hint="eastAsia" w:ascii="宋体" w:hAnsi="宋体" w:cs="宋体"/>
                <w:szCs w:val="21"/>
              </w:rPr>
              <w:t>（2）不良行为记录：指建筑市场各方主体在工程建设过程中违反有关工程建设的法律、法规、规章或强制性标准和执业行为规范， 经县级以上建设行政主管部门或其委托的执法监督机构查实和行政处罚，形成的不良行为记录，且在行政处罚期内。</w:t>
            </w:r>
          </w:p>
        </w:tc>
      </w:tr>
      <w:tr w14:paraId="0AE00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64" w:type="dxa"/>
            <w:vAlign w:val="center"/>
          </w:tcPr>
          <w:p w14:paraId="1286639E">
            <w:pPr>
              <w:tabs>
                <w:tab w:val="left" w:pos="337"/>
                <w:tab w:val="center" w:pos="548"/>
              </w:tabs>
              <w:jc w:val="center"/>
              <w:rPr>
                <w:rFonts w:hint="eastAsia" w:eastAsia="宋体" w:cs="Times New Roman"/>
                <w:color w:val="000000" w:themeColor="text1"/>
                <w:sz w:val="21"/>
                <w:szCs w:val="21"/>
                <w:lang w:val="en-US" w:eastAsia="zh-CN" w:bidi="ar-SA"/>
                <w14:textFill>
                  <w14:solidFill>
                    <w14:schemeClr w14:val="tx1"/>
                  </w14:solidFill>
                </w14:textFill>
              </w:rPr>
            </w:pPr>
            <w:r>
              <w:rPr>
                <w:rFonts w:hint="eastAsia" w:cs="Times New Roman"/>
                <w:color w:val="000000" w:themeColor="text1"/>
                <w:sz w:val="21"/>
                <w:szCs w:val="21"/>
                <w:lang w:val="en-US" w:bidi="ar-SA"/>
                <w14:textFill>
                  <w14:solidFill>
                    <w14:schemeClr w14:val="tx1"/>
                  </w14:solidFill>
                </w14:textFill>
              </w:rPr>
              <w:t>10.</w:t>
            </w:r>
            <w:r>
              <w:rPr>
                <w:rFonts w:hint="eastAsia" w:cs="Times New Roman"/>
                <w:color w:val="000000" w:themeColor="text1"/>
                <w:sz w:val="21"/>
                <w:szCs w:val="21"/>
                <w:lang w:val="en-US" w:eastAsia="zh-CN" w:bidi="ar-SA"/>
                <w14:textFill>
                  <w14:solidFill>
                    <w14:schemeClr w14:val="tx1"/>
                  </w14:solidFill>
                </w14:textFill>
              </w:rPr>
              <w:t>5</w:t>
            </w:r>
          </w:p>
        </w:tc>
        <w:tc>
          <w:tcPr>
            <w:tcW w:w="2376" w:type="dxa"/>
            <w:vAlign w:val="center"/>
          </w:tcPr>
          <w:p w14:paraId="794943ED">
            <w:pPr>
              <w:jc w:val="center"/>
              <w:rPr>
                <w:rFonts w:cs="Times New Roman"/>
                <w:color w:val="000000" w:themeColor="text1"/>
                <w:sz w:val="21"/>
                <w:szCs w:val="21"/>
                <w:lang w:val="en-US" w:bidi="ar-SA"/>
                <w14:textFill>
                  <w14:solidFill>
                    <w14:schemeClr w14:val="tx1"/>
                  </w14:solidFill>
                </w14:textFill>
              </w:rPr>
            </w:pPr>
            <w:r>
              <w:rPr>
                <w:rFonts w:hint="eastAsia"/>
                <w:szCs w:val="21"/>
                <w:lang w:val="en-US"/>
              </w:rPr>
              <w:t>其他</w:t>
            </w:r>
          </w:p>
        </w:tc>
        <w:tc>
          <w:tcPr>
            <w:tcW w:w="6115" w:type="dxa"/>
            <w:vAlign w:val="center"/>
          </w:tcPr>
          <w:p w14:paraId="3CAAF1CF">
            <w:pPr>
              <w:jc w:val="both"/>
              <w:rPr>
                <w:rFonts w:cs="Times New Roman"/>
                <w:color w:val="000000" w:themeColor="text1"/>
                <w:sz w:val="21"/>
                <w:szCs w:val="21"/>
                <w:lang w:val="en-US" w:bidi="ar-SA"/>
                <w14:textFill>
                  <w14:solidFill>
                    <w14:schemeClr w14:val="tx1"/>
                  </w14:solidFill>
                </w14:textFill>
              </w:rPr>
            </w:pPr>
            <w:r>
              <w:rPr>
                <w:rFonts w:hint="eastAsia"/>
                <w:szCs w:val="21"/>
              </w:rPr>
              <w:t>本项目采购所涉及的证明、证件等相关资料在响应文件中均需附相应原件的扫描件；磋商文件的最终解释权归采购人，其它未尽事宜，按国家有关法律、法规执行。</w:t>
            </w:r>
          </w:p>
        </w:tc>
      </w:tr>
    </w:tbl>
    <w:p w14:paraId="3B3EFDD5">
      <w:pPr>
        <w:pStyle w:val="3"/>
        <w:numPr>
          <w:ilvl w:val="0"/>
          <w:numId w:val="2"/>
        </w:numPr>
        <w:tabs>
          <w:tab w:val="left" w:pos="640"/>
        </w:tabs>
        <w:spacing w:before="65"/>
        <w:ind w:hanging="399"/>
        <w:rPr>
          <w:rFonts w:ascii="宋体" w:hAnsi="宋体" w:eastAsia="宋体" w:cs="Times New Roman"/>
          <w:color w:val="000000" w:themeColor="text1"/>
          <w:lang w:val="en-US" w:bidi="ar-SA"/>
          <w14:textFill>
            <w14:solidFill>
              <w14:schemeClr w14:val="tx1"/>
            </w14:solidFill>
          </w14:textFill>
        </w:rPr>
      </w:pPr>
      <w:bookmarkStart w:id="38" w:name="_TOC_250190"/>
      <w:bookmarkEnd w:id="38"/>
      <w:r>
        <w:rPr>
          <w:rFonts w:hint="eastAsia" w:ascii="宋体" w:hAnsi="宋体" w:eastAsia="宋体" w:cs="Times New Roman"/>
          <w:color w:val="000000" w:themeColor="text1"/>
          <w:lang w:val="en-US" w:bidi="ar-SA"/>
          <w14:textFill>
            <w14:solidFill>
              <w14:schemeClr w14:val="tx1"/>
            </w14:solidFill>
          </w14:textFill>
        </w:rPr>
        <w:t>总则</w:t>
      </w:r>
    </w:p>
    <w:p w14:paraId="720EF75B">
      <w:pPr>
        <w:pStyle w:val="12"/>
        <w:spacing w:before="12"/>
        <w:rPr>
          <w:rFonts w:cs="Times New Roman"/>
          <w:color w:val="000000" w:themeColor="text1"/>
          <w:lang w:val="en-US" w:bidi="ar-SA"/>
          <w14:textFill>
            <w14:solidFill>
              <w14:schemeClr w14:val="tx1"/>
            </w14:solidFill>
          </w14:textFill>
        </w:rPr>
      </w:pPr>
    </w:p>
    <w:p w14:paraId="1F2E0FE9">
      <w:pPr>
        <w:pStyle w:val="4"/>
        <w:numPr>
          <w:ilvl w:val="1"/>
          <w:numId w:val="2"/>
        </w:numPr>
        <w:tabs>
          <w:tab w:val="left" w:pos="867"/>
        </w:tabs>
        <w:rPr>
          <w:rFonts w:asciiTheme="majorEastAsia" w:hAnsiTheme="majorEastAsia" w:eastAsiaTheme="majorEastAsia"/>
          <w:b/>
        </w:rPr>
      </w:pPr>
      <w:bookmarkStart w:id="39" w:name="_TOC_250189"/>
      <w:bookmarkEnd w:id="39"/>
      <w:r>
        <w:rPr>
          <w:rFonts w:hint="eastAsia" w:asciiTheme="majorEastAsia" w:hAnsiTheme="majorEastAsia" w:eastAsiaTheme="majorEastAsia"/>
          <w:b/>
        </w:rPr>
        <w:t xml:space="preserve"> </w:t>
      </w:r>
      <w:r>
        <w:rPr>
          <w:rFonts w:hint="eastAsia" w:asciiTheme="majorEastAsia" w:hAnsiTheme="majorEastAsia" w:eastAsiaTheme="majorEastAsia"/>
          <w:b/>
          <w:lang w:val="en-US"/>
        </w:rPr>
        <w:t>采购</w:t>
      </w:r>
      <w:r>
        <w:rPr>
          <w:rFonts w:asciiTheme="majorEastAsia" w:hAnsiTheme="majorEastAsia" w:eastAsiaTheme="majorEastAsia"/>
          <w:b/>
        </w:rPr>
        <w:t>项目概况</w:t>
      </w:r>
    </w:p>
    <w:p w14:paraId="6C8C324D">
      <w:pPr>
        <w:pStyle w:val="12"/>
        <w:spacing w:before="12"/>
        <w:rPr>
          <w:rFonts w:ascii="黑体"/>
          <w:sz w:val="28"/>
        </w:rPr>
      </w:pPr>
    </w:p>
    <w:p w14:paraId="13A461E5">
      <w:pPr>
        <w:pStyle w:val="37"/>
        <w:numPr>
          <w:ilvl w:val="2"/>
          <w:numId w:val="2"/>
        </w:numPr>
        <w:tabs>
          <w:tab w:val="left" w:pos="1132"/>
        </w:tabs>
        <w:spacing w:line="357" w:lineRule="auto"/>
        <w:ind w:right="695" w:firstLine="420"/>
        <w:rPr>
          <w:sz w:val="21"/>
        </w:rPr>
      </w:pPr>
      <w:r>
        <w:rPr>
          <w:spacing w:val="-17"/>
          <w:sz w:val="21"/>
        </w:rPr>
        <w:t>根据</w:t>
      </w:r>
      <w:r>
        <w:rPr>
          <w:rFonts w:hint="eastAsia"/>
          <w:spacing w:val="-17"/>
          <w:sz w:val="21"/>
        </w:rPr>
        <w:t>《中华人民共和国政府采购法》、《</w:t>
      </w:r>
      <w:r>
        <w:rPr>
          <w:rFonts w:hint="eastAsia"/>
          <w:spacing w:val="-17"/>
          <w:sz w:val="21"/>
          <w:lang w:val="en-US"/>
        </w:rPr>
        <w:t>政府采购法实施条例</w:t>
      </w:r>
      <w:r>
        <w:rPr>
          <w:rFonts w:hint="eastAsia"/>
          <w:spacing w:val="-17"/>
          <w:sz w:val="21"/>
        </w:rPr>
        <w:t>》</w:t>
      </w:r>
      <w:r>
        <w:rPr>
          <w:rFonts w:hint="eastAsia"/>
          <w:spacing w:val="-17"/>
          <w:sz w:val="21"/>
          <w:lang w:val="en-US"/>
        </w:rPr>
        <w:t>及《政府采购货物和服务招标投标管理办法》（财政部令第87号）及《政府采购竞争性磋商采购方式管理暂行办法》（财库【2014】214号）</w:t>
      </w:r>
      <w:r>
        <w:rPr>
          <w:spacing w:val="-17"/>
          <w:sz w:val="21"/>
        </w:rPr>
        <w:t>等有关</w:t>
      </w:r>
      <w:r>
        <w:rPr>
          <w:sz w:val="21"/>
        </w:rPr>
        <w:t>法律、法规和规章的规定，本项目已具</w:t>
      </w:r>
      <w:r>
        <w:rPr>
          <w:rFonts w:hint="eastAsia"/>
          <w:sz w:val="21"/>
          <w:lang w:val="en-US"/>
        </w:rPr>
        <w:t>备采购</w:t>
      </w:r>
      <w:r>
        <w:rPr>
          <w:sz w:val="21"/>
        </w:rPr>
        <w:t>条件，现对</w:t>
      </w:r>
      <w:r>
        <w:rPr>
          <w:rFonts w:hint="eastAsia"/>
          <w:sz w:val="21"/>
          <w:lang w:val="en-US"/>
        </w:rPr>
        <w:t>本项目</w:t>
      </w:r>
      <w:r>
        <w:rPr>
          <w:sz w:val="21"/>
        </w:rPr>
        <w:t>进行</w:t>
      </w:r>
      <w:r>
        <w:rPr>
          <w:rFonts w:hint="eastAsia"/>
          <w:sz w:val="21"/>
          <w:lang w:val="en-US"/>
        </w:rPr>
        <w:t>竞争性磋商采购</w:t>
      </w:r>
      <w:r>
        <w:rPr>
          <w:sz w:val="21"/>
        </w:rPr>
        <w:t>。</w:t>
      </w:r>
    </w:p>
    <w:p w14:paraId="3F83DC7B">
      <w:pPr>
        <w:pStyle w:val="37"/>
        <w:numPr>
          <w:ilvl w:val="2"/>
          <w:numId w:val="2"/>
        </w:numPr>
        <w:tabs>
          <w:tab w:val="left" w:pos="1185"/>
        </w:tabs>
        <w:spacing w:line="268" w:lineRule="exact"/>
        <w:ind w:left="1184" w:hanging="524"/>
        <w:rPr>
          <w:sz w:val="21"/>
        </w:rPr>
      </w:pPr>
      <w:r>
        <w:rPr>
          <w:rFonts w:hint="eastAsia"/>
          <w:sz w:val="21"/>
          <w:lang w:val="en-US"/>
        </w:rPr>
        <w:t>采购</w:t>
      </w:r>
      <w:r>
        <w:rPr>
          <w:sz w:val="21"/>
        </w:rPr>
        <w:t>人：见</w:t>
      </w:r>
      <w:r>
        <w:rPr>
          <w:rFonts w:hint="eastAsia"/>
          <w:sz w:val="21"/>
          <w:lang w:val="en-US"/>
        </w:rPr>
        <w:t>供应商</w:t>
      </w:r>
      <w:r>
        <w:rPr>
          <w:sz w:val="21"/>
        </w:rPr>
        <w:t>须知前附表。</w:t>
      </w:r>
    </w:p>
    <w:p w14:paraId="781959D1">
      <w:pPr>
        <w:pStyle w:val="37"/>
        <w:numPr>
          <w:ilvl w:val="2"/>
          <w:numId w:val="2"/>
        </w:numPr>
        <w:tabs>
          <w:tab w:val="left" w:pos="1185"/>
        </w:tabs>
        <w:spacing w:before="131"/>
        <w:ind w:left="1184" w:hanging="524"/>
        <w:rPr>
          <w:sz w:val="21"/>
        </w:rPr>
      </w:pPr>
      <w:r>
        <w:rPr>
          <w:rFonts w:hint="eastAsia"/>
          <w:sz w:val="21"/>
          <w:lang w:val="en-US"/>
        </w:rPr>
        <w:t>采购</w:t>
      </w:r>
      <w:r>
        <w:rPr>
          <w:sz w:val="21"/>
        </w:rPr>
        <w:t>代理机构：见</w:t>
      </w:r>
      <w:r>
        <w:rPr>
          <w:rFonts w:hint="eastAsia"/>
          <w:sz w:val="21"/>
          <w:lang w:val="en-US"/>
        </w:rPr>
        <w:t>供应商</w:t>
      </w:r>
      <w:r>
        <w:rPr>
          <w:sz w:val="21"/>
        </w:rPr>
        <w:t>须知前附表。</w:t>
      </w:r>
    </w:p>
    <w:p w14:paraId="704A4A6D">
      <w:pPr>
        <w:pStyle w:val="37"/>
        <w:numPr>
          <w:ilvl w:val="2"/>
          <w:numId w:val="2"/>
        </w:numPr>
        <w:tabs>
          <w:tab w:val="left" w:pos="1185"/>
        </w:tabs>
        <w:spacing w:before="130"/>
        <w:ind w:left="1184" w:hanging="524"/>
        <w:rPr>
          <w:sz w:val="21"/>
        </w:rPr>
      </w:pPr>
      <w:r>
        <w:rPr>
          <w:rFonts w:hint="eastAsia"/>
          <w:sz w:val="21"/>
          <w:lang w:val="en-US"/>
        </w:rPr>
        <w:t>采购</w:t>
      </w:r>
      <w:r>
        <w:rPr>
          <w:sz w:val="21"/>
        </w:rPr>
        <w:t>项目名称：见</w:t>
      </w:r>
      <w:r>
        <w:rPr>
          <w:rFonts w:hint="eastAsia"/>
          <w:sz w:val="21"/>
          <w:lang w:val="en-US"/>
        </w:rPr>
        <w:t>供应商</w:t>
      </w:r>
      <w:r>
        <w:rPr>
          <w:sz w:val="21"/>
        </w:rPr>
        <w:t>须知前附表。</w:t>
      </w:r>
    </w:p>
    <w:p w14:paraId="6A7D6B2C">
      <w:pPr>
        <w:pStyle w:val="37"/>
        <w:numPr>
          <w:ilvl w:val="2"/>
          <w:numId w:val="2"/>
        </w:numPr>
        <w:tabs>
          <w:tab w:val="left" w:pos="1185"/>
        </w:tabs>
        <w:spacing w:before="132"/>
        <w:ind w:left="1184" w:hanging="524"/>
        <w:rPr>
          <w:sz w:val="21"/>
        </w:rPr>
      </w:pPr>
      <w:r>
        <w:rPr>
          <w:rFonts w:hint="eastAsia"/>
          <w:sz w:val="21"/>
          <w:lang w:val="en-US"/>
        </w:rPr>
        <w:t>项目建设</w:t>
      </w:r>
      <w:r>
        <w:rPr>
          <w:sz w:val="21"/>
        </w:rPr>
        <w:t>地点：见</w:t>
      </w:r>
      <w:r>
        <w:rPr>
          <w:rFonts w:hint="eastAsia"/>
          <w:sz w:val="21"/>
          <w:lang w:val="en-US"/>
        </w:rPr>
        <w:t>供应商</w:t>
      </w:r>
      <w:r>
        <w:rPr>
          <w:sz w:val="21"/>
        </w:rPr>
        <w:t>须知前附表。</w:t>
      </w:r>
    </w:p>
    <w:p w14:paraId="07BBC229">
      <w:pPr>
        <w:pStyle w:val="37"/>
        <w:numPr>
          <w:ilvl w:val="2"/>
          <w:numId w:val="2"/>
        </w:numPr>
        <w:tabs>
          <w:tab w:val="left" w:pos="1185"/>
        </w:tabs>
        <w:spacing w:before="131"/>
        <w:ind w:left="1184" w:hanging="524"/>
        <w:rPr>
          <w:sz w:val="21"/>
        </w:rPr>
      </w:pPr>
      <w:r>
        <w:rPr>
          <w:rFonts w:hint="eastAsia"/>
          <w:sz w:val="21"/>
          <w:lang w:val="en-US"/>
        </w:rPr>
        <w:t>采购范围及内容</w:t>
      </w:r>
      <w:r>
        <w:rPr>
          <w:sz w:val="21"/>
        </w:rPr>
        <w:t>：见</w:t>
      </w:r>
      <w:r>
        <w:rPr>
          <w:rFonts w:hint="eastAsia"/>
          <w:sz w:val="21"/>
          <w:lang w:val="en-US"/>
        </w:rPr>
        <w:t>供应商</w:t>
      </w:r>
      <w:r>
        <w:rPr>
          <w:sz w:val="21"/>
        </w:rPr>
        <w:t>须知前附表。</w:t>
      </w:r>
    </w:p>
    <w:p w14:paraId="191CD92F">
      <w:pPr>
        <w:pStyle w:val="37"/>
        <w:numPr>
          <w:ilvl w:val="2"/>
          <w:numId w:val="2"/>
        </w:numPr>
        <w:tabs>
          <w:tab w:val="left" w:pos="1185"/>
        </w:tabs>
        <w:spacing w:before="130"/>
        <w:ind w:left="1184" w:hanging="524"/>
        <w:rPr>
          <w:sz w:val="21"/>
        </w:rPr>
      </w:pPr>
      <w:r>
        <w:rPr>
          <w:rFonts w:hint="eastAsia"/>
          <w:sz w:val="21"/>
        </w:rPr>
        <w:t>采购预算价（最高限价）</w:t>
      </w:r>
      <w:r>
        <w:rPr>
          <w:sz w:val="21"/>
        </w:rPr>
        <w:t>：见</w:t>
      </w:r>
      <w:r>
        <w:rPr>
          <w:rFonts w:hint="eastAsia"/>
          <w:sz w:val="21"/>
          <w:lang w:val="en-US"/>
        </w:rPr>
        <w:t>供应商</w:t>
      </w:r>
      <w:r>
        <w:rPr>
          <w:sz w:val="21"/>
        </w:rPr>
        <w:t>须知前附表。</w:t>
      </w:r>
    </w:p>
    <w:p w14:paraId="4F01DB74">
      <w:pPr>
        <w:pStyle w:val="12"/>
        <w:spacing w:before="2"/>
        <w:rPr>
          <w:sz w:val="22"/>
        </w:rPr>
      </w:pPr>
    </w:p>
    <w:p w14:paraId="46A2B799">
      <w:pPr>
        <w:pStyle w:val="4"/>
        <w:numPr>
          <w:ilvl w:val="1"/>
          <w:numId w:val="2"/>
        </w:numPr>
        <w:tabs>
          <w:tab w:val="left" w:pos="867"/>
        </w:tabs>
        <w:rPr>
          <w:rFonts w:asciiTheme="majorEastAsia" w:hAnsiTheme="majorEastAsia" w:eastAsiaTheme="majorEastAsia"/>
          <w:b/>
        </w:rPr>
      </w:pPr>
      <w:bookmarkStart w:id="40" w:name="_TOC_250188"/>
      <w:bookmarkEnd w:id="40"/>
      <w:r>
        <w:rPr>
          <w:rFonts w:hint="eastAsia" w:asciiTheme="majorEastAsia" w:hAnsiTheme="majorEastAsia" w:eastAsiaTheme="majorEastAsia"/>
          <w:b/>
        </w:rPr>
        <w:t xml:space="preserve"> 采购</w:t>
      </w:r>
      <w:r>
        <w:rPr>
          <w:rFonts w:asciiTheme="majorEastAsia" w:hAnsiTheme="majorEastAsia" w:eastAsiaTheme="majorEastAsia"/>
          <w:b/>
        </w:rPr>
        <w:t>项目的资金来源和落实情况</w:t>
      </w:r>
    </w:p>
    <w:p w14:paraId="6A6E5E88">
      <w:pPr>
        <w:pStyle w:val="12"/>
        <w:rPr>
          <w:rFonts w:ascii="黑体"/>
          <w:sz w:val="29"/>
        </w:rPr>
      </w:pPr>
    </w:p>
    <w:p w14:paraId="63C49492">
      <w:pPr>
        <w:pStyle w:val="37"/>
        <w:numPr>
          <w:ilvl w:val="2"/>
          <w:numId w:val="2"/>
        </w:numPr>
        <w:tabs>
          <w:tab w:val="left" w:pos="1185"/>
        </w:tabs>
        <w:ind w:left="1184" w:hanging="524"/>
        <w:rPr>
          <w:sz w:val="21"/>
        </w:rPr>
      </w:pPr>
      <w:r>
        <w:rPr>
          <w:sz w:val="21"/>
        </w:rPr>
        <w:t>资金来源：见</w:t>
      </w:r>
      <w:r>
        <w:rPr>
          <w:rFonts w:hint="eastAsia"/>
          <w:sz w:val="21"/>
          <w:lang w:val="en-US"/>
        </w:rPr>
        <w:t>供应商</w:t>
      </w:r>
      <w:r>
        <w:rPr>
          <w:sz w:val="21"/>
        </w:rPr>
        <w:t>须知前附表。</w:t>
      </w:r>
    </w:p>
    <w:p w14:paraId="3D99E05F">
      <w:pPr>
        <w:pStyle w:val="37"/>
        <w:numPr>
          <w:ilvl w:val="2"/>
          <w:numId w:val="2"/>
        </w:numPr>
        <w:tabs>
          <w:tab w:val="left" w:pos="1185"/>
        </w:tabs>
        <w:spacing w:before="131"/>
        <w:ind w:left="1184" w:hanging="524"/>
        <w:rPr>
          <w:sz w:val="21"/>
        </w:rPr>
      </w:pPr>
      <w:r>
        <w:rPr>
          <w:sz w:val="21"/>
        </w:rPr>
        <w:t>资金落实情况：见</w:t>
      </w:r>
      <w:r>
        <w:rPr>
          <w:rFonts w:hint="eastAsia"/>
          <w:sz w:val="21"/>
          <w:lang w:val="en-US"/>
        </w:rPr>
        <w:t>供应商</w:t>
      </w:r>
      <w:r>
        <w:rPr>
          <w:sz w:val="21"/>
        </w:rPr>
        <w:t>须知前附表。</w:t>
      </w:r>
    </w:p>
    <w:p w14:paraId="45D4541A">
      <w:pPr>
        <w:pStyle w:val="12"/>
        <w:spacing w:before="2"/>
        <w:rPr>
          <w:sz w:val="22"/>
        </w:rPr>
      </w:pPr>
    </w:p>
    <w:p w14:paraId="63C02DE6">
      <w:pPr>
        <w:pStyle w:val="4"/>
        <w:numPr>
          <w:ilvl w:val="1"/>
          <w:numId w:val="2"/>
        </w:numPr>
        <w:tabs>
          <w:tab w:val="left" w:pos="867"/>
        </w:tabs>
        <w:ind w:left="866"/>
      </w:pPr>
      <w:bookmarkStart w:id="41" w:name="_TOC_250187"/>
      <w:bookmarkEnd w:id="41"/>
      <w:r>
        <w:rPr>
          <w:rFonts w:hint="eastAsia" w:asciiTheme="majorEastAsia" w:hAnsiTheme="majorEastAsia" w:eastAsiaTheme="majorEastAsia"/>
          <w:b/>
        </w:rPr>
        <w:t xml:space="preserve"> 采购</w:t>
      </w:r>
      <w:r>
        <w:rPr>
          <w:rFonts w:asciiTheme="majorEastAsia" w:hAnsiTheme="majorEastAsia" w:eastAsiaTheme="majorEastAsia"/>
          <w:b/>
        </w:rPr>
        <w:t>范围、</w:t>
      </w:r>
      <w:r>
        <w:rPr>
          <w:rFonts w:hint="eastAsia" w:asciiTheme="majorEastAsia" w:hAnsiTheme="majorEastAsia" w:eastAsiaTheme="majorEastAsia"/>
          <w:b/>
          <w:lang w:val="en-US"/>
        </w:rPr>
        <w:t>工期、合同履行期限</w:t>
      </w:r>
      <w:r>
        <w:rPr>
          <w:rFonts w:hint="eastAsia" w:asciiTheme="majorEastAsia" w:hAnsiTheme="majorEastAsia" w:eastAsiaTheme="majorEastAsia"/>
          <w:b/>
        </w:rPr>
        <w:t>和</w:t>
      </w:r>
      <w:r>
        <w:rPr>
          <w:rFonts w:asciiTheme="majorEastAsia" w:hAnsiTheme="majorEastAsia" w:eastAsiaTheme="majorEastAsia"/>
          <w:b/>
        </w:rPr>
        <w:t>质量</w:t>
      </w:r>
      <w:r>
        <w:rPr>
          <w:rFonts w:hint="eastAsia" w:asciiTheme="majorEastAsia" w:hAnsiTheme="majorEastAsia" w:eastAsiaTheme="majorEastAsia"/>
          <w:b/>
        </w:rPr>
        <w:t>要求</w:t>
      </w:r>
    </w:p>
    <w:p w14:paraId="1BE20E21">
      <w:pPr>
        <w:pStyle w:val="12"/>
        <w:rPr>
          <w:rFonts w:ascii="黑体"/>
          <w:sz w:val="29"/>
        </w:rPr>
      </w:pPr>
    </w:p>
    <w:p w14:paraId="32D5B5F6">
      <w:pPr>
        <w:pStyle w:val="37"/>
        <w:numPr>
          <w:ilvl w:val="2"/>
          <w:numId w:val="2"/>
        </w:numPr>
        <w:tabs>
          <w:tab w:val="left" w:pos="1185"/>
        </w:tabs>
        <w:ind w:left="1184" w:hanging="524"/>
        <w:rPr>
          <w:sz w:val="21"/>
        </w:rPr>
      </w:pPr>
      <w:r>
        <w:rPr>
          <w:rFonts w:hint="eastAsia"/>
          <w:sz w:val="21"/>
          <w:lang w:val="en-US"/>
        </w:rPr>
        <w:t>采购</w:t>
      </w:r>
      <w:r>
        <w:rPr>
          <w:sz w:val="21"/>
        </w:rPr>
        <w:t>范围：见</w:t>
      </w:r>
      <w:r>
        <w:rPr>
          <w:rFonts w:hint="eastAsia"/>
          <w:sz w:val="21"/>
          <w:lang w:val="en-US"/>
        </w:rPr>
        <w:t>供应商</w:t>
      </w:r>
      <w:r>
        <w:rPr>
          <w:sz w:val="21"/>
        </w:rPr>
        <w:t>须知前附表。</w:t>
      </w:r>
    </w:p>
    <w:p w14:paraId="6691ECE5">
      <w:pPr>
        <w:pStyle w:val="37"/>
        <w:numPr>
          <w:ilvl w:val="2"/>
          <w:numId w:val="2"/>
        </w:numPr>
        <w:tabs>
          <w:tab w:val="left" w:pos="1185"/>
        </w:tabs>
        <w:spacing w:before="131"/>
        <w:ind w:left="1184" w:hanging="524"/>
        <w:rPr>
          <w:sz w:val="21"/>
        </w:rPr>
      </w:pPr>
      <w:r>
        <w:rPr>
          <w:rFonts w:hint="eastAsia"/>
          <w:sz w:val="21"/>
          <w:lang w:val="en-US"/>
        </w:rPr>
        <w:t>工期与合同履行期限</w:t>
      </w:r>
      <w:r>
        <w:rPr>
          <w:sz w:val="21"/>
        </w:rPr>
        <w:t>：见</w:t>
      </w:r>
      <w:r>
        <w:rPr>
          <w:rFonts w:hint="eastAsia"/>
          <w:sz w:val="21"/>
          <w:lang w:val="en-US"/>
        </w:rPr>
        <w:t>供应商</w:t>
      </w:r>
      <w:r>
        <w:rPr>
          <w:sz w:val="21"/>
        </w:rPr>
        <w:t>须知前附表。</w:t>
      </w:r>
    </w:p>
    <w:p w14:paraId="29D1FC21">
      <w:pPr>
        <w:pStyle w:val="37"/>
        <w:numPr>
          <w:ilvl w:val="2"/>
          <w:numId w:val="2"/>
        </w:numPr>
        <w:tabs>
          <w:tab w:val="left" w:pos="1185"/>
        </w:tabs>
        <w:spacing w:before="131"/>
        <w:ind w:left="1184" w:hanging="524"/>
        <w:rPr>
          <w:sz w:val="21"/>
        </w:rPr>
      </w:pPr>
      <w:r>
        <w:rPr>
          <w:sz w:val="21"/>
        </w:rPr>
        <w:t>质量</w:t>
      </w:r>
      <w:r>
        <w:rPr>
          <w:rFonts w:hint="eastAsia"/>
          <w:sz w:val="21"/>
          <w:lang w:val="en-US"/>
        </w:rPr>
        <w:t>要求</w:t>
      </w:r>
      <w:r>
        <w:rPr>
          <w:sz w:val="21"/>
        </w:rPr>
        <w:t>：见</w:t>
      </w:r>
      <w:r>
        <w:rPr>
          <w:rFonts w:hint="eastAsia"/>
          <w:sz w:val="21"/>
          <w:lang w:val="en-US"/>
        </w:rPr>
        <w:t>供应商</w:t>
      </w:r>
      <w:r>
        <w:rPr>
          <w:sz w:val="21"/>
        </w:rPr>
        <w:t>须知前附表。</w:t>
      </w:r>
    </w:p>
    <w:p w14:paraId="13E02A5D">
      <w:pPr>
        <w:pStyle w:val="12"/>
        <w:spacing w:before="2"/>
        <w:rPr>
          <w:sz w:val="22"/>
        </w:rPr>
      </w:pPr>
    </w:p>
    <w:p w14:paraId="08F341AC">
      <w:pPr>
        <w:pStyle w:val="4"/>
        <w:numPr>
          <w:ilvl w:val="1"/>
          <w:numId w:val="2"/>
        </w:numPr>
        <w:tabs>
          <w:tab w:val="left" w:pos="797"/>
        </w:tabs>
        <w:ind w:left="796" w:hanging="420"/>
        <w:rPr>
          <w:rFonts w:asciiTheme="majorEastAsia" w:hAnsiTheme="majorEastAsia" w:eastAsiaTheme="majorEastAsia"/>
          <w:b/>
        </w:rPr>
      </w:pPr>
      <w:bookmarkStart w:id="42" w:name="_TOC_250186"/>
      <w:bookmarkEnd w:id="42"/>
      <w:r>
        <w:rPr>
          <w:rFonts w:hint="eastAsia" w:asciiTheme="majorEastAsia" w:hAnsiTheme="majorEastAsia" w:eastAsiaTheme="majorEastAsia"/>
          <w:b/>
          <w:lang w:val="en-US"/>
        </w:rPr>
        <w:t xml:space="preserve"> 供应商</w:t>
      </w:r>
      <w:r>
        <w:rPr>
          <w:rFonts w:asciiTheme="majorEastAsia" w:hAnsiTheme="majorEastAsia" w:eastAsiaTheme="majorEastAsia"/>
          <w:b/>
        </w:rPr>
        <w:t>资格要求</w:t>
      </w:r>
    </w:p>
    <w:p w14:paraId="189F0544">
      <w:pPr>
        <w:pStyle w:val="12"/>
        <w:rPr>
          <w:rFonts w:ascii="黑体"/>
          <w:sz w:val="29"/>
        </w:rPr>
      </w:pPr>
    </w:p>
    <w:p w14:paraId="7890E783">
      <w:pPr>
        <w:pStyle w:val="37"/>
        <w:tabs>
          <w:tab w:val="left" w:pos="1185"/>
        </w:tabs>
        <w:ind w:left="0" w:firstLine="630" w:firstLineChars="300"/>
        <w:rPr>
          <w:sz w:val="21"/>
        </w:rPr>
      </w:pPr>
      <w:r>
        <w:rPr>
          <w:rFonts w:hint="eastAsia"/>
          <w:sz w:val="21"/>
          <w:lang w:val="en-US"/>
        </w:rPr>
        <w:t>1.4.1供应商</w:t>
      </w:r>
      <w:r>
        <w:rPr>
          <w:sz w:val="21"/>
        </w:rPr>
        <w:t>应具备承担本</w:t>
      </w:r>
      <w:r>
        <w:rPr>
          <w:rFonts w:hint="eastAsia"/>
          <w:sz w:val="21"/>
          <w:lang w:val="en-US"/>
        </w:rPr>
        <w:t>采购</w:t>
      </w:r>
      <w:r>
        <w:rPr>
          <w:sz w:val="21"/>
        </w:rPr>
        <w:t>项目资</w:t>
      </w:r>
      <w:r>
        <w:rPr>
          <w:rFonts w:hint="eastAsia"/>
          <w:sz w:val="21"/>
          <w:lang w:val="en-US"/>
        </w:rPr>
        <w:t>质</w:t>
      </w:r>
      <w:r>
        <w:rPr>
          <w:sz w:val="21"/>
        </w:rPr>
        <w:t>条件、能力和信誉</w:t>
      </w:r>
      <w:r>
        <w:rPr>
          <w:rFonts w:hint="eastAsia"/>
          <w:sz w:val="21"/>
        </w:rPr>
        <w:t>，</w:t>
      </w:r>
      <w:r>
        <w:rPr>
          <w:rFonts w:hint="eastAsia"/>
          <w:sz w:val="21"/>
          <w:lang w:val="en-US"/>
        </w:rPr>
        <w:t>具体内容详见供应商须知前附表。</w:t>
      </w:r>
    </w:p>
    <w:p w14:paraId="42694B0D"/>
    <w:p w14:paraId="6DE4C97A">
      <w:pPr>
        <w:tabs>
          <w:tab w:val="left" w:pos="1283"/>
        </w:tabs>
        <w:rPr>
          <w:sz w:val="21"/>
          <w:lang w:val="en-US"/>
        </w:rPr>
      </w:pPr>
      <w:r>
        <w:rPr>
          <w:rFonts w:hint="eastAsia"/>
          <w:lang w:val="en-US"/>
        </w:rPr>
        <w:t xml:space="preserve">     </w:t>
      </w:r>
      <w:r>
        <w:rPr>
          <w:rFonts w:hint="eastAsia"/>
          <w:sz w:val="21"/>
          <w:lang w:val="en-US"/>
        </w:rPr>
        <w:t>1.4.2本项目不接受联合体投标。</w:t>
      </w:r>
    </w:p>
    <w:p w14:paraId="438A890F">
      <w:pPr>
        <w:pStyle w:val="25"/>
        <w:ind w:firstLine="210"/>
        <w:rPr>
          <w:szCs w:val="22"/>
          <w:lang w:val="en-US"/>
        </w:rPr>
      </w:pPr>
    </w:p>
    <w:p w14:paraId="5D086172">
      <w:pPr>
        <w:pStyle w:val="37"/>
        <w:tabs>
          <w:tab w:val="left" w:pos="1185"/>
        </w:tabs>
        <w:spacing w:line="268" w:lineRule="exact"/>
        <w:ind w:left="0" w:firstLine="0"/>
        <w:rPr>
          <w:sz w:val="21"/>
        </w:rPr>
      </w:pPr>
      <w:r>
        <w:rPr>
          <w:rFonts w:hint="eastAsia"/>
          <w:sz w:val="21"/>
          <w:lang w:val="en-US"/>
        </w:rPr>
        <w:t xml:space="preserve">     1.4.3供应商</w:t>
      </w:r>
      <w:r>
        <w:rPr>
          <w:sz w:val="21"/>
        </w:rPr>
        <w:t>不得存在下列情形之一：</w:t>
      </w:r>
    </w:p>
    <w:p w14:paraId="1BA96E65">
      <w:pPr>
        <w:pStyle w:val="37"/>
        <w:tabs>
          <w:tab w:val="left" w:pos="1081"/>
        </w:tabs>
        <w:spacing w:before="130"/>
        <w:ind w:left="554" w:firstLine="0"/>
        <w:rPr>
          <w:sz w:val="21"/>
        </w:rPr>
      </w:pPr>
      <w:r>
        <w:rPr>
          <w:rFonts w:hint="eastAsia"/>
          <w:sz w:val="21"/>
        </w:rPr>
        <w:t>（</w:t>
      </w:r>
      <w:r>
        <w:rPr>
          <w:rFonts w:hint="eastAsia"/>
          <w:sz w:val="21"/>
          <w:lang w:val="en-US"/>
        </w:rPr>
        <w:t>1</w:t>
      </w:r>
      <w:r>
        <w:rPr>
          <w:rFonts w:hint="eastAsia"/>
          <w:sz w:val="21"/>
        </w:rPr>
        <w:t>）</w:t>
      </w:r>
      <w:r>
        <w:rPr>
          <w:sz w:val="21"/>
        </w:rPr>
        <w:t>为</w:t>
      </w:r>
      <w:r>
        <w:rPr>
          <w:rFonts w:hint="eastAsia"/>
          <w:sz w:val="21"/>
          <w:lang w:val="en-US"/>
        </w:rPr>
        <w:t>采购</w:t>
      </w:r>
      <w:r>
        <w:rPr>
          <w:sz w:val="21"/>
        </w:rPr>
        <w:t>人不具有独立法人资格的附属机构（单位）；</w:t>
      </w:r>
    </w:p>
    <w:p w14:paraId="677D892F">
      <w:pPr>
        <w:pStyle w:val="37"/>
        <w:tabs>
          <w:tab w:val="left" w:pos="1081"/>
        </w:tabs>
        <w:spacing w:line="400" w:lineRule="exact"/>
        <w:ind w:left="0" w:firstLine="630" w:firstLineChars="300"/>
        <w:rPr>
          <w:sz w:val="21"/>
        </w:rPr>
      </w:pPr>
      <w:r>
        <w:rPr>
          <w:rFonts w:hint="eastAsia"/>
          <w:sz w:val="21"/>
        </w:rPr>
        <w:t>（</w:t>
      </w:r>
      <w:r>
        <w:rPr>
          <w:rFonts w:hint="eastAsia"/>
          <w:sz w:val="21"/>
          <w:lang w:val="en-US"/>
        </w:rPr>
        <w:t>2</w:t>
      </w:r>
      <w:r>
        <w:rPr>
          <w:rFonts w:hint="eastAsia"/>
          <w:sz w:val="21"/>
        </w:rPr>
        <w:t>）与</w:t>
      </w:r>
      <w:r>
        <w:rPr>
          <w:rFonts w:hint="eastAsia"/>
          <w:sz w:val="21"/>
          <w:lang w:val="en-US"/>
        </w:rPr>
        <w:t>采购</w:t>
      </w:r>
      <w:r>
        <w:rPr>
          <w:sz w:val="21"/>
        </w:rPr>
        <w:t>人存在利害关系且可能影响</w:t>
      </w:r>
      <w:r>
        <w:rPr>
          <w:rFonts w:hint="eastAsia"/>
          <w:sz w:val="21"/>
          <w:lang w:val="en-US"/>
        </w:rPr>
        <w:t>采购活动</w:t>
      </w:r>
      <w:r>
        <w:rPr>
          <w:sz w:val="21"/>
        </w:rPr>
        <w:t>公正性；</w:t>
      </w:r>
    </w:p>
    <w:p w14:paraId="061CDD5F">
      <w:pPr>
        <w:pStyle w:val="37"/>
        <w:tabs>
          <w:tab w:val="left" w:pos="1081"/>
        </w:tabs>
        <w:spacing w:line="400" w:lineRule="exact"/>
        <w:ind w:left="554" w:firstLine="0"/>
        <w:rPr>
          <w:sz w:val="21"/>
        </w:rPr>
      </w:pPr>
      <w:r>
        <w:rPr>
          <w:rFonts w:hint="eastAsia"/>
          <w:sz w:val="21"/>
        </w:rPr>
        <w:t>（3）</w:t>
      </w:r>
      <w:r>
        <w:rPr>
          <w:sz w:val="21"/>
        </w:rPr>
        <w:t>与本项目的其他</w:t>
      </w:r>
      <w:r>
        <w:rPr>
          <w:rFonts w:hint="eastAsia"/>
          <w:sz w:val="21"/>
        </w:rPr>
        <w:t>供应商</w:t>
      </w:r>
      <w:r>
        <w:rPr>
          <w:sz w:val="21"/>
        </w:rPr>
        <w:t>为同一个单位负责人；</w:t>
      </w:r>
    </w:p>
    <w:p w14:paraId="51503CB6">
      <w:pPr>
        <w:pStyle w:val="37"/>
        <w:tabs>
          <w:tab w:val="left" w:pos="1081"/>
        </w:tabs>
        <w:spacing w:line="400" w:lineRule="exact"/>
        <w:ind w:left="554" w:firstLine="0"/>
        <w:rPr>
          <w:sz w:val="21"/>
        </w:rPr>
      </w:pPr>
      <w:r>
        <w:rPr>
          <w:rFonts w:hint="eastAsia"/>
          <w:sz w:val="21"/>
        </w:rPr>
        <w:t>（4）</w:t>
      </w:r>
      <w:r>
        <w:rPr>
          <w:sz w:val="21"/>
        </w:rPr>
        <w:t>与本项目的其他</w:t>
      </w:r>
      <w:r>
        <w:rPr>
          <w:rFonts w:hint="eastAsia"/>
          <w:sz w:val="21"/>
        </w:rPr>
        <w:t>供应商</w:t>
      </w:r>
      <w:r>
        <w:rPr>
          <w:sz w:val="21"/>
        </w:rPr>
        <w:t>存在控股、管理关系；</w:t>
      </w:r>
    </w:p>
    <w:p w14:paraId="03C5F04D">
      <w:pPr>
        <w:pStyle w:val="37"/>
        <w:tabs>
          <w:tab w:val="left" w:pos="1081"/>
        </w:tabs>
        <w:spacing w:line="400" w:lineRule="exact"/>
        <w:ind w:left="554" w:firstLine="0"/>
        <w:rPr>
          <w:sz w:val="21"/>
        </w:rPr>
      </w:pPr>
      <w:r>
        <w:rPr>
          <w:rFonts w:hint="eastAsia"/>
          <w:sz w:val="21"/>
        </w:rPr>
        <w:t>（5）</w:t>
      </w:r>
      <w:r>
        <w:rPr>
          <w:sz w:val="21"/>
        </w:rPr>
        <w:t>为本项目的代建人；</w:t>
      </w:r>
    </w:p>
    <w:p w14:paraId="778C69BD">
      <w:pPr>
        <w:pStyle w:val="37"/>
        <w:tabs>
          <w:tab w:val="left" w:pos="1081"/>
        </w:tabs>
        <w:spacing w:line="400" w:lineRule="exact"/>
        <w:ind w:left="554" w:firstLine="0"/>
        <w:rPr>
          <w:sz w:val="21"/>
          <w:lang w:val="en-US"/>
        </w:rPr>
      </w:pPr>
      <w:r>
        <w:rPr>
          <w:rFonts w:hint="eastAsia"/>
          <w:sz w:val="21"/>
        </w:rPr>
        <w:t>（</w:t>
      </w:r>
      <w:r>
        <w:rPr>
          <w:rFonts w:hint="eastAsia"/>
          <w:sz w:val="21"/>
          <w:lang w:val="en-US"/>
        </w:rPr>
        <w:t>6</w:t>
      </w:r>
      <w:r>
        <w:rPr>
          <w:rFonts w:hint="eastAsia"/>
          <w:sz w:val="21"/>
        </w:rPr>
        <w:t>）</w:t>
      </w:r>
      <w:r>
        <w:rPr>
          <w:rFonts w:hint="eastAsia"/>
          <w:sz w:val="21"/>
          <w:lang w:val="en-US"/>
        </w:rPr>
        <w:t>为本项目的监理人；</w:t>
      </w:r>
    </w:p>
    <w:p w14:paraId="09DE695E">
      <w:pPr>
        <w:pStyle w:val="37"/>
        <w:tabs>
          <w:tab w:val="left" w:pos="1081"/>
        </w:tabs>
        <w:spacing w:line="400" w:lineRule="exact"/>
        <w:ind w:left="554" w:firstLine="0"/>
        <w:rPr>
          <w:sz w:val="21"/>
        </w:rPr>
      </w:pPr>
      <w:r>
        <w:rPr>
          <w:rFonts w:hint="eastAsia"/>
          <w:sz w:val="21"/>
        </w:rPr>
        <w:t>（</w:t>
      </w:r>
      <w:r>
        <w:rPr>
          <w:rFonts w:hint="eastAsia"/>
          <w:sz w:val="21"/>
          <w:lang w:val="en-US"/>
        </w:rPr>
        <w:t>7</w:t>
      </w:r>
      <w:r>
        <w:rPr>
          <w:rFonts w:hint="eastAsia"/>
          <w:sz w:val="21"/>
        </w:rPr>
        <w:t>）</w:t>
      </w:r>
      <w:r>
        <w:rPr>
          <w:sz w:val="21"/>
        </w:rPr>
        <w:t>为本项目的</w:t>
      </w:r>
      <w:r>
        <w:rPr>
          <w:rFonts w:hint="eastAsia"/>
          <w:sz w:val="21"/>
        </w:rPr>
        <w:t>采购</w:t>
      </w:r>
      <w:r>
        <w:rPr>
          <w:sz w:val="21"/>
        </w:rPr>
        <w:t>代理机构；</w:t>
      </w:r>
    </w:p>
    <w:p w14:paraId="42864A21">
      <w:pPr>
        <w:pStyle w:val="37"/>
        <w:tabs>
          <w:tab w:val="left" w:pos="1081"/>
        </w:tabs>
        <w:spacing w:line="400" w:lineRule="exact"/>
        <w:ind w:left="554" w:firstLine="0"/>
        <w:rPr>
          <w:sz w:val="21"/>
        </w:rPr>
      </w:pPr>
      <w:r>
        <w:rPr>
          <w:rFonts w:hint="eastAsia"/>
          <w:sz w:val="21"/>
        </w:rPr>
        <w:t>（</w:t>
      </w:r>
      <w:r>
        <w:rPr>
          <w:rFonts w:hint="eastAsia"/>
          <w:sz w:val="21"/>
          <w:lang w:val="en-US"/>
        </w:rPr>
        <w:t>8</w:t>
      </w:r>
      <w:r>
        <w:rPr>
          <w:rFonts w:hint="eastAsia"/>
          <w:sz w:val="21"/>
        </w:rPr>
        <w:t>）</w:t>
      </w:r>
      <w:r>
        <w:rPr>
          <w:sz w:val="21"/>
        </w:rPr>
        <w:t>与本项目的代建人</w:t>
      </w:r>
      <w:r>
        <w:rPr>
          <w:rFonts w:hint="eastAsia"/>
          <w:sz w:val="21"/>
          <w:lang w:val="en-US"/>
        </w:rPr>
        <w:t>或监理人</w:t>
      </w:r>
      <w:r>
        <w:rPr>
          <w:sz w:val="21"/>
        </w:rPr>
        <w:t>或</w:t>
      </w:r>
      <w:r>
        <w:rPr>
          <w:rFonts w:hint="eastAsia"/>
          <w:sz w:val="21"/>
        </w:rPr>
        <w:t>采购</w:t>
      </w:r>
      <w:r>
        <w:rPr>
          <w:sz w:val="21"/>
        </w:rPr>
        <w:t>代理机构同为一个法定代表人；</w:t>
      </w:r>
    </w:p>
    <w:p w14:paraId="65325577">
      <w:pPr>
        <w:pStyle w:val="37"/>
        <w:tabs>
          <w:tab w:val="left" w:pos="1081"/>
        </w:tabs>
        <w:spacing w:line="400" w:lineRule="exact"/>
        <w:ind w:left="554" w:firstLine="0"/>
        <w:rPr>
          <w:sz w:val="21"/>
        </w:rPr>
      </w:pPr>
      <w:r>
        <w:rPr>
          <w:rFonts w:hint="eastAsia"/>
          <w:sz w:val="21"/>
        </w:rPr>
        <w:t>（</w:t>
      </w:r>
      <w:r>
        <w:rPr>
          <w:rFonts w:hint="eastAsia"/>
          <w:sz w:val="21"/>
          <w:lang w:val="en-US"/>
        </w:rPr>
        <w:t>9</w:t>
      </w:r>
      <w:r>
        <w:rPr>
          <w:rFonts w:hint="eastAsia"/>
          <w:sz w:val="21"/>
        </w:rPr>
        <w:t>）</w:t>
      </w:r>
      <w:r>
        <w:rPr>
          <w:sz w:val="21"/>
        </w:rPr>
        <w:t>与本项目的代建人或</w:t>
      </w:r>
      <w:r>
        <w:rPr>
          <w:rFonts w:hint="eastAsia"/>
          <w:sz w:val="21"/>
          <w:lang w:val="en-US"/>
        </w:rPr>
        <w:t>监理人或</w:t>
      </w:r>
      <w:r>
        <w:rPr>
          <w:rFonts w:hint="eastAsia"/>
          <w:sz w:val="21"/>
        </w:rPr>
        <w:t>采购</w:t>
      </w:r>
      <w:r>
        <w:rPr>
          <w:sz w:val="21"/>
        </w:rPr>
        <w:t>代理机构存在控股或参股关系；</w:t>
      </w:r>
    </w:p>
    <w:p w14:paraId="0FBBF69B">
      <w:pPr>
        <w:pStyle w:val="37"/>
        <w:tabs>
          <w:tab w:val="left" w:pos="1081"/>
        </w:tabs>
        <w:spacing w:line="400" w:lineRule="exact"/>
        <w:ind w:left="554" w:firstLine="0"/>
        <w:rPr>
          <w:sz w:val="21"/>
        </w:rPr>
      </w:pPr>
      <w:r>
        <w:rPr>
          <w:rFonts w:hint="eastAsia"/>
          <w:sz w:val="21"/>
        </w:rPr>
        <w:t>（</w:t>
      </w:r>
      <w:r>
        <w:rPr>
          <w:rFonts w:hint="eastAsia"/>
          <w:sz w:val="21"/>
          <w:lang w:val="en-US"/>
        </w:rPr>
        <w:t>10</w:t>
      </w:r>
      <w:r>
        <w:rPr>
          <w:rFonts w:hint="eastAsia"/>
          <w:sz w:val="21"/>
        </w:rPr>
        <w:t>）</w:t>
      </w:r>
      <w:r>
        <w:rPr>
          <w:sz w:val="21"/>
        </w:rPr>
        <w:t>被依法暂停或者取消投标资格；</w:t>
      </w:r>
    </w:p>
    <w:p w14:paraId="334EE14C">
      <w:pPr>
        <w:pStyle w:val="37"/>
        <w:tabs>
          <w:tab w:val="left" w:pos="1081"/>
        </w:tabs>
        <w:spacing w:line="400" w:lineRule="exact"/>
        <w:ind w:left="554" w:firstLine="0"/>
        <w:rPr>
          <w:sz w:val="21"/>
        </w:rPr>
      </w:pPr>
      <w:r>
        <w:rPr>
          <w:rFonts w:hint="eastAsia"/>
          <w:sz w:val="21"/>
        </w:rPr>
        <w:t>（</w:t>
      </w:r>
      <w:r>
        <w:rPr>
          <w:rFonts w:hint="eastAsia"/>
          <w:sz w:val="21"/>
          <w:lang w:val="en-US"/>
        </w:rPr>
        <w:t>11</w:t>
      </w:r>
      <w:r>
        <w:rPr>
          <w:rFonts w:hint="eastAsia"/>
          <w:sz w:val="21"/>
        </w:rPr>
        <w:t>）</w:t>
      </w:r>
      <w:r>
        <w:rPr>
          <w:sz w:val="21"/>
        </w:rPr>
        <w:t>被责令停产停业、暂扣或者吊销许可证、暂扣或者吊销执照；</w:t>
      </w:r>
    </w:p>
    <w:p w14:paraId="492AE5AC">
      <w:pPr>
        <w:pStyle w:val="37"/>
        <w:tabs>
          <w:tab w:val="left" w:pos="1081"/>
        </w:tabs>
        <w:spacing w:line="400" w:lineRule="exact"/>
        <w:ind w:left="554" w:firstLine="0"/>
        <w:rPr>
          <w:sz w:val="21"/>
        </w:rPr>
      </w:pPr>
      <w:r>
        <w:rPr>
          <w:rFonts w:hint="eastAsia"/>
          <w:sz w:val="21"/>
        </w:rPr>
        <w:t>（</w:t>
      </w:r>
      <w:r>
        <w:rPr>
          <w:rFonts w:hint="eastAsia"/>
          <w:sz w:val="21"/>
          <w:lang w:val="en-US"/>
        </w:rPr>
        <w:t>12</w:t>
      </w:r>
      <w:r>
        <w:rPr>
          <w:rFonts w:hint="eastAsia"/>
          <w:sz w:val="21"/>
        </w:rPr>
        <w:t>）</w:t>
      </w:r>
      <w:r>
        <w:rPr>
          <w:sz w:val="21"/>
        </w:rPr>
        <w:t>进入清算程序，或被宣告破产，或其他丧失履约能力的情形；</w:t>
      </w:r>
    </w:p>
    <w:p w14:paraId="3D55581F">
      <w:pPr>
        <w:pStyle w:val="37"/>
        <w:tabs>
          <w:tab w:val="left" w:pos="1083"/>
        </w:tabs>
        <w:spacing w:line="400" w:lineRule="exact"/>
        <w:ind w:left="554" w:right="701" w:firstLine="0"/>
        <w:rPr>
          <w:spacing w:val="-1"/>
          <w:sz w:val="21"/>
        </w:rPr>
      </w:pPr>
      <w:r>
        <w:rPr>
          <w:rFonts w:hint="eastAsia"/>
          <w:spacing w:val="-1"/>
          <w:sz w:val="21"/>
        </w:rPr>
        <w:t>（</w:t>
      </w:r>
      <w:r>
        <w:rPr>
          <w:rFonts w:hint="eastAsia"/>
          <w:spacing w:val="-1"/>
          <w:sz w:val="21"/>
          <w:lang w:val="en-US"/>
        </w:rPr>
        <w:t>13</w:t>
      </w:r>
      <w:r>
        <w:rPr>
          <w:rFonts w:hint="eastAsia"/>
          <w:spacing w:val="-1"/>
          <w:sz w:val="21"/>
        </w:rPr>
        <w:t>）在最近三年内</w:t>
      </w:r>
      <w:r>
        <w:rPr>
          <w:rFonts w:hint="eastAsia"/>
          <w:spacing w:val="-1"/>
          <w:sz w:val="21"/>
          <w:lang w:val="en-US"/>
        </w:rPr>
        <w:t>有骗取中标或严重违约情况的</w:t>
      </w:r>
      <w:r>
        <w:rPr>
          <w:rFonts w:hint="eastAsia"/>
          <w:spacing w:val="-1"/>
          <w:sz w:val="21"/>
        </w:rPr>
        <w:t>；</w:t>
      </w:r>
    </w:p>
    <w:p w14:paraId="3FA2B27B">
      <w:pPr>
        <w:pStyle w:val="37"/>
        <w:tabs>
          <w:tab w:val="left" w:pos="1083"/>
        </w:tabs>
        <w:spacing w:line="400" w:lineRule="exact"/>
        <w:ind w:left="554" w:right="701" w:firstLine="0"/>
        <w:rPr>
          <w:spacing w:val="-1"/>
          <w:sz w:val="21"/>
          <w:lang w:val="en-US"/>
        </w:rPr>
      </w:pPr>
      <w:r>
        <w:rPr>
          <w:rFonts w:hint="eastAsia"/>
          <w:spacing w:val="-1"/>
          <w:sz w:val="21"/>
        </w:rPr>
        <w:t>（</w:t>
      </w:r>
      <w:r>
        <w:rPr>
          <w:rFonts w:hint="eastAsia"/>
          <w:spacing w:val="-1"/>
          <w:sz w:val="21"/>
          <w:lang w:val="en-US"/>
        </w:rPr>
        <w:t>14</w:t>
      </w:r>
      <w:r>
        <w:rPr>
          <w:rFonts w:hint="eastAsia"/>
          <w:spacing w:val="-1"/>
          <w:sz w:val="21"/>
        </w:rPr>
        <w:t>）</w:t>
      </w:r>
      <w:r>
        <w:rPr>
          <w:rFonts w:hint="eastAsia"/>
          <w:spacing w:val="-1"/>
          <w:sz w:val="21"/>
          <w:lang w:val="en-US"/>
        </w:rPr>
        <w:t>其它相关法律法规不允许的情形。</w:t>
      </w:r>
    </w:p>
    <w:p w14:paraId="7E96CF17">
      <w:pPr>
        <w:spacing w:line="266" w:lineRule="exact"/>
        <w:rPr>
          <w:sz w:val="21"/>
        </w:rPr>
      </w:pPr>
    </w:p>
    <w:p w14:paraId="51D9A23E">
      <w:pPr>
        <w:spacing w:line="400" w:lineRule="exact"/>
        <w:rPr>
          <w:spacing w:val="-1"/>
          <w:sz w:val="21"/>
          <w:lang w:val="en-US"/>
        </w:rPr>
      </w:pPr>
      <w:r>
        <w:rPr>
          <w:rFonts w:hint="eastAsia"/>
          <w:sz w:val="21"/>
          <w:lang w:val="en-US"/>
        </w:rPr>
        <w:t xml:space="preserve">      </w:t>
      </w:r>
      <w:r>
        <w:rPr>
          <w:rFonts w:hint="eastAsia"/>
          <w:spacing w:val="-1"/>
          <w:sz w:val="21"/>
          <w:lang w:val="en-US"/>
        </w:rPr>
        <w:t>【备注：在评审过程中，磋商小组对以上有些情形无法进行核验的，视为通过(</w:t>
      </w:r>
      <w:r>
        <w:rPr>
          <w:rFonts w:hint="eastAsia"/>
          <w:sz w:val="21"/>
          <w:lang w:val="en-US"/>
        </w:rPr>
        <w:t>供应商</w:t>
      </w:r>
      <w:r>
        <w:rPr>
          <w:rFonts w:hint="eastAsia"/>
          <w:spacing w:val="-1"/>
          <w:sz w:val="21"/>
          <w:lang w:val="en-US"/>
        </w:rPr>
        <w:t>资格要求的除外)。若后期一但发现有以上情形，采购人有权对其按废标处理】</w:t>
      </w:r>
    </w:p>
    <w:p w14:paraId="4AB427C2">
      <w:pPr>
        <w:pStyle w:val="25"/>
        <w:ind w:firstLine="210"/>
        <w:rPr>
          <w:lang w:val="en-US"/>
        </w:rPr>
      </w:pPr>
    </w:p>
    <w:p w14:paraId="37DE8021">
      <w:pPr>
        <w:pStyle w:val="4"/>
        <w:numPr>
          <w:ilvl w:val="1"/>
          <w:numId w:val="2"/>
        </w:numPr>
        <w:tabs>
          <w:tab w:val="left" w:pos="867"/>
        </w:tabs>
        <w:spacing w:before="42"/>
        <w:rPr>
          <w:rFonts w:asciiTheme="majorEastAsia" w:hAnsiTheme="majorEastAsia" w:eastAsiaTheme="majorEastAsia"/>
          <w:b/>
        </w:rPr>
      </w:pPr>
      <w:r>
        <w:rPr>
          <w:rFonts w:hint="eastAsia" w:asciiTheme="majorEastAsia" w:hAnsiTheme="majorEastAsia" w:eastAsiaTheme="majorEastAsia"/>
          <w:b/>
        </w:rPr>
        <w:t xml:space="preserve"> </w:t>
      </w:r>
      <w:r>
        <w:rPr>
          <w:rFonts w:asciiTheme="majorEastAsia" w:hAnsiTheme="majorEastAsia" w:eastAsiaTheme="majorEastAsia"/>
          <w:b/>
        </w:rPr>
        <w:t>费用承担</w:t>
      </w:r>
    </w:p>
    <w:p w14:paraId="03B5E62C">
      <w:pPr>
        <w:pStyle w:val="12"/>
        <w:spacing w:before="12"/>
        <w:rPr>
          <w:rFonts w:ascii="黑体"/>
          <w:sz w:val="28"/>
        </w:rPr>
      </w:pPr>
    </w:p>
    <w:p w14:paraId="1B4DD3AB">
      <w:pPr>
        <w:pStyle w:val="12"/>
        <w:ind w:left="660"/>
      </w:pPr>
      <w:r>
        <w:rPr>
          <w:rFonts w:hint="eastAsia"/>
          <w:lang w:val="en-US"/>
        </w:rPr>
        <w:t>供应商</w:t>
      </w:r>
      <w:r>
        <w:t>准备和参加</w:t>
      </w:r>
      <w:r>
        <w:rPr>
          <w:rFonts w:hint="eastAsia"/>
          <w:lang w:val="en-US"/>
        </w:rPr>
        <w:t>磋商</w:t>
      </w:r>
      <w:r>
        <w:t>活动发生的费用自理。</w:t>
      </w:r>
    </w:p>
    <w:p w14:paraId="74B6C3B8">
      <w:pPr>
        <w:pStyle w:val="12"/>
        <w:spacing w:before="2"/>
        <w:rPr>
          <w:sz w:val="22"/>
        </w:rPr>
      </w:pPr>
    </w:p>
    <w:p w14:paraId="272ADE69">
      <w:pPr>
        <w:pStyle w:val="4"/>
        <w:numPr>
          <w:ilvl w:val="1"/>
          <w:numId w:val="2"/>
        </w:numPr>
        <w:tabs>
          <w:tab w:val="left" w:pos="797"/>
        </w:tabs>
        <w:ind w:left="796" w:hanging="420"/>
      </w:pPr>
      <w:bookmarkStart w:id="43" w:name="_TOC_250184"/>
      <w:bookmarkEnd w:id="43"/>
      <w:r>
        <w:rPr>
          <w:rFonts w:hint="eastAsia"/>
        </w:rPr>
        <w:t xml:space="preserve"> </w:t>
      </w:r>
      <w:r>
        <w:rPr>
          <w:rFonts w:asciiTheme="majorEastAsia" w:hAnsiTheme="majorEastAsia" w:eastAsiaTheme="majorEastAsia"/>
          <w:b/>
        </w:rPr>
        <w:t>保密</w:t>
      </w:r>
    </w:p>
    <w:p w14:paraId="4DE7994C">
      <w:pPr>
        <w:pStyle w:val="12"/>
        <w:rPr>
          <w:rFonts w:ascii="黑体"/>
          <w:sz w:val="29"/>
        </w:rPr>
      </w:pPr>
    </w:p>
    <w:p w14:paraId="6A14804C">
      <w:pPr>
        <w:pStyle w:val="12"/>
        <w:spacing w:line="357" w:lineRule="auto"/>
        <w:ind w:left="240" w:right="704" w:firstLine="420"/>
      </w:pPr>
      <w:r>
        <w:rPr>
          <w:spacing w:val="-1"/>
        </w:rPr>
        <w:t>参与</w:t>
      </w:r>
      <w:r>
        <w:rPr>
          <w:rFonts w:hint="eastAsia"/>
          <w:spacing w:val="-1"/>
          <w:lang w:val="en-US"/>
        </w:rPr>
        <w:t>采购</w:t>
      </w:r>
      <w:r>
        <w:rPr>
          <w:spacing w:val="-1"/>
        </w:rPr>
        <w:t>活动的各方应对</w:t>
      </w:r>
      <w:r>
        <w:rPr>
          <w:rFonts w:hint="eastAsia"/>
          <w:spacing w:val="-1"/>
          <w:lang w:val="en-US"/>
        </w:rPr>
        <w:t>磋商</w:t>
      </w:r>
      <w:r>
        <w:rPr>
          <w:spacing w:val="-1"/>
        </w:rPr>
        <w:t>文件</w:t>
      </w:r>
      <w:r>
        <w:t>和</w:t>
      </w:r>
      <w:r>
        <w:rPr>
          <w:rFonts w:hint="eastAsia"/>
          <w:lang w:val="en-US"/>
        </w:rPr>
        <w:t>响</w:t>
      </w:r>
      <w:r>
        <w:rPr>
          <w:rFonts w:hint="eastAsia"/>
          <w:spacing w:val="-1"/>
          <w:lang w:val="en-US"/>
        </w:rPr>
        <w:t>应</w:t>
      </w:r>
      <w:r>
        <w:rPr>
          <w:spacing w:val="-1"/>
        </w:rPr>
        <w:t>文件中的商业和技术等秘密保密，否则应承</w:t>
      </w:r>
      <w:r>
        <w:t>担相应的法律责任。</w:t>
      </w:r>
    </w:p>
    <w:p w14:paraId="2A3AC214">
      <w:pPr>
        <w:pStyle w:val="4"/>
        <w:numPr>
          <w:ilvl w:val="1"/>
          <w:numId w:val="2"/>
        </w:numPr>
        <w:tabs>
          <w:tab w:val="left" w:pos="797"/>
        </w:tabs>
        <w:ind w:left="796" w:hanging="420"/>
        <w:rPr>
          <w:rFonts w:asciiTheme="majorEastAsia" w:hAnsiTheme="majorEastAsia" w:eastAsiaTheme="majorEastAsia"/>
          <w:b/>
        </w:rPr>
      </w:pPr>
      <w:bookmarkStart w:id="44" w:name="_TOC_250183"/>
      <w:bookmarkEnd w:id="44"/>
      <w:r>
        <w:rPr>
          <w:rFonts w:hint="eastAsia" w:asciiTheme="majorEastAsia" w:hAnsiTheme="majorEastAsia" w:eastAsiaTheme="majorEastAsia"/>
          <w:b/>
        </w:rPr>
        <w:t xml:space="preserve"> </w:t>
      </w:r>
      <w:r>
        <w:rPr>
          <w:rFonts w:asciiTheme="majorEastAsia" w:hAnsiTheme="majorEastAsia" w:eastAsiaTheme="majorEastAsia"/>
          <w:b/>
        </w:rPr>
        <w:t>语言文字</w:t>
      </w:r>
    </w:p>
    <w:p w14:paraId="123271A3">
      <w:pPr>
        <w:pStyle w:val="12"/>
        <w:spacing w:before="12"/>
        <w:rPr>
          <w:rFonts w:ascii="黑体"/>
          <w:sz w:val="28"/>
        </w:rPr>
      </w:pPr>
    </w:p>
    <w:p w14:paraId="3BF253E5">
      <w:pPr>
        <w:pStyle w:val="12"/>
        <w:ind w:left="660"/>
      </w:pPr>
      <w:r>
        <w:rPr>
          <w:rFonts w:hint="eastAsia"/>
          <w:lang w:val="en-US"/>
        </w:rPr>
        <w:t>磋商、响应</w:t>
      </w:r>
      <w:r>
        <w:t>文件使用的语言文字为中文。专用术语使用外文的，应附有中文注释。</w:t>
      </w:r>
    </w:p>
    <w:p w14:paraId="52FB66C5">
      <w:pPr>
        <w:pStyle w:val="12"/>
        <w:spacing w:before="2"/>
        <w:rPr>
          <w:sz w:val="22"/>
        </w:rPr>
      </w:pPr>
    </w:p>
    <w:p w14:paraId="51D346E8">
      <w:pPr>
        <w:pStyle w:val="4"/>
        <w:numPr>
          <w:ilvl w:val="1"/>
          <w:numId w:val="2"/>
        </w:numPr>
        <w:tabs>
          <w:tab w:val="left" w:pos="797"/>
        </w:tabs>
        <w:ind w:left="796" w:hanging="420"/>
        <w:rPr>
          <w:rFonts w:asciiTheme="majorEastAsia" w:hAnsiTheme="majorEastAsia" w:eastAsiaTheme="majorEastAsia"/>
          <w:b/>
        </w:rPr>
      </w:pPr>
      <w:bookmarkStart w:id="45" w:name="_TOC_250182"/>
      <w:bookmarkEnd w:id="45"/>
      <w:r>
        <w:rPr>
          <w:rFonts w:hint="eastAsia" w:asciiTheme="majorEastAsia" w:hAnsiTheme="majorEastAsia" w:eastAsiaTheme="majorEastAsia"/>
          <w:b/>
        </w:rPr>
        <w:t xml:space="preserve"> </w:t>
      </w:r>
      <w:r>
        <w:rPr>
          <w:rFonts w:asciiTheme="majorEastAsia" w:hAnsiTheme="majorEastAsia" w:eastAsiaTheme="majorEastAsia"/>
          <w:b/>
        </w:rPr>
        <w:t>计量单位</w:t>
      </w:r>
    </w:p>
    <w:p w14:paraId="4DC973F7">
      <w:pPr>
        <w:pStyle w:val="12"/>
        <w:spacing w:before="12"/>
        <w:rPr>
          <w:rFonts w:ascii="黑体"/>
          <w:sz w:val="28"/>
        </w:rPr>
      </w:pPr>
    </w:p>
    <w:p w14:paraId="1948CE31">
      <w:pPr>
        <w:pStyle w:val="12"/>
        <w:ind w:left="660"/>
      </w:pPr>
      <w:r>
        <w:t>所有计量均采用中华人民共和国法定计量单位。</w:t>
      </w:r>
    </w:p>
    <w:p w14:paraId="0C8233C3">
      <w:pPr>
        <w:pStyle w:val="12"/>
        <w:spacing w:before="2"/>
        <w:rPr>
          <w:sz w:val="22"/>
        </w:rPr>
      </w:pPr>
    </w:p>
    <w:p w14:paraId="755AC656">
      <w:pPr>
        <w:pStyle w:val="4"/>
        <w:numPr>
          <w:ilvl w:val="1"/>
          <w:numId w:val="2"/>
        </w:numPr>
        <w:tabs>
          <w:tab w:val="left" w:pos="867"/>
        </w:tabs>
        <w:rPr>
          <w:rFonts w:asciiTheme="majorEastAsia" w:hAnsiTheme="majorEastAsia" w:eastAsiaTheme="majorEastAsia"/>
          <w:b/>
        </w:rPr>
      </w:pPr>
      <w:bookmarkStart w:id="46" w:name="_TOC_250181"/>
      <w:bookmarkEnd w:id="46"/>
      <w:r>
        <w:rPr>
          <w:rFonts w:hint="eastAsia" w:asciiTheme="majorEastAsia" w:hAnsiTheme="majorEastAsia" w:eastAsiaTheme="majorEastAsia"/>
          <w:b/>
        </w:rPr>
        <w:t xml:space="preserve"> </w:t>
      </w:r>
      <w:r>
        <w:rPr>
          <w:rFonts w:asciiTheme="majorEastAsia" w:hAnsiTheme="majorEastAsia" w:eastAsiaTheme="majorEastAsia"/>
          <w:b/>
        </w:rPr>
        <w:t>踏勘现场</w:t>
      </w:r>
    </w:p>
    <w:p w14:paraId="51E92D8B">
      <w:pPr>
        <w:pStyle w:val="12"/>
        <w:spacing w:before="12"/>
        <w:rPr>
          <w:rFonts w:ascii="黑体"/>
          <w:sz w:val="22"/>
          <w:szCs w:val="18"/>
        </w:rPr>
      </w:pPr>
    </w:p>
    <w:p w14:paraId="2ECD256E">
      <w:pPr>
        <w:pStyle w:val="37"/>
        <w:tabs>
          <w:tab w:val="left" w:pos="1185"/>
        </w:tabs>
        <w:spacing w:before="130" w:line="357" w:lineRule="auto"/>
        <w:ind w:left="0" w:right="698" w:firstLine="630" w:firstLineChars="300"/>
        <w:rPr>
          <w:sz w:val="21"/>
          <w:lang w:val="en-US"/>
        </w:rPr>
      </w:pPr>
      <w:r>
        <w:rPr>
          <w:rFonts w:hint="eastAsia"/>
          <w:sz w:val="21"/>
          <w:lang w:val="en-US"/>
        </w:rPr>
        <w:t>不组织</w:t>
      </w:r>
    </w:p>
    <w:p w14:paraId="70A5CBA6">
      <w:pPr>
        <w:pStyle w:val="4"/>
        <w:tabs>
          <w:tab w:val="left" w:pos="867"/>
        </w:tabs>
        <w:rPr>
          <w:rFonts w:asciiTheme="majorEastAsia" w:hAnsiTheme="majorEastAsia" w:eastAsiaTheme="majorEastAsia"/>
          <w:b/>
        </w:rPr>
      </w:pPr>
      <w:bookmarkStart w:id="47" w:name="_TOC_250180"/>
      <w:bookmarkEnd w:id="47"/>
      <w:r>
        <w:rPr>
          <w:rFonts w:hint="eastAsia" w:asciiTheme="majorEastAsia" w:hAnsiTheme="majorEastAsia" w:eastAsiaTheme="majorEastAsia"/>
          <w:b/>
        </w:rPr>
        <w:t xml:space="preserve">1.10 </w:t>
      </w:r>
      <w:r>
        <w:rPr>
          <w:rFonts w:asciiTheme="majorEastAsia" w:hAnsiTheme="majorEastAsia" w:eastAsiaTheme="majorEastAsia"/>
          <w:b/>
        </w:rPr>
        <w:t>投标预备会</w:t>
      </w:r>
    </w:p>
    <w:p w14:paraId="212F981C">
      <w:pPr>
        <w:pStyle w:val="12"/>
        <w:spacing w:before="12"/>
        <w:ind w:firstLine="630" w:firstLineChars="300"/>
        <w:rPr>
          <w:szCs w:val="22"/>
          <w:lang w:val="en-US"/>
        </w:rPr>
      </w:pPr>
    </w:p>
    <w:p w14:paraId="6E22FAC6">
      <w:pPr>
        <w:pStyle w:val="12"/>
        <w:spacing w:before="12"/>
        <w:ind w:firstLine="630" w:firstLineChars="300"/>
        <w:rPr>
          <w:szCs w:val="22"/>
          <w:lang w:val="en-US"/>
        </w:rPr>
      </w:pPr>
      <w:r>
        <w:rPr>
          <w:rFonts w:hint="eastAsia"/>
          <w:szCs w:val="22"/>
          <w:lang w:val="en-US"/>
        </w:rPr>
        <w:t>不召开</w:t>
      </w:r>
    </w:p>
    <w:p w14:paraId="066DA2BC">
      <w:pPr>
        <w:pStyle w:val="4"/>
        <w:tabs>
          <w:tab w:val="left" w:pos="938"/>
        </w:tabs>
        <w:spacing w:before="152"/>
        <w:rPr>
          <w:rFonts w:asciiTheme="majorEastAsia" w:hAnsiTheme="majorEastAsia" w:eastAsiaTheme="majorEastAsia"/>
          <w:b/>
        </w:rPr>
      </w:pPr>
      <w:bookmarkStart w:id="48" w:name="_TOC_250179"/>
      <w:bookmarkEnd w:id="48"/>
      <w:r>
        <w:rPr>
          <w:rFonts w:hint="eastAsia" w:asciiTheme="majorEastAsia" w:hAnsiTheme="majorEastAsia" w:eastAsiaTheme="majorEastAsia"/>
          <w:b/>
        </w:rPr>
        <w:t xml:space="preserve">1.11 </w:t>
      </w:r>
      <w:r>
        <w:rPr>
          <w:rFonts w:asciiTheme="majorEastAsia" w:hAnsiTheme="majorEastAsia" w:eastAsiaTheme="majorEastAsia"/>
          <w:b/>
        </w:rPr>
        <w:t>分包</w:t>
      </w:r>
    </w:p>
    <w:p w14:paraId="70148BE8">
      <w:pPr>
        <w:rPr>
          <w:lang w:val="en-US"/>
        </w:rPr>
      </w:pPr>
    </w:p>
    <w:p w14:paraId="06F96F00">
      <w:pPr>
        <w:ind w:firstLine="660" w:firstLineChars="300"/>
        <w:rPr>
          <w:rFonts w:ascii="黑体"/>
          <w:sz w:val="28"/>
        </w:rPr>
      </w:pPr>
      <w:r>
        <w:rPr>
          <w:rFonts w:hint="eastAsia"/>
          <w:lang w:val="en-US"/>
        </w:rPr>
        <w:t>不允许</w:t>
      </w:r>
    </w:p>
    <w:p w14:paraId="4619B77C">
      <w:pPr>
        <w:pStyle w:val="4"/>
        <w:tabs>
          <w:tab w:val="left" w:pos="938"/>
        </w:tabs>
        <w:spacing w:before="148"/>
      </w:pPr>
      <w:bookmarkStart w:id="49" w:name="_TOC_250178"/>
      <w:bookmarkEnd w:id="49"/>
      <w:r>
        <w:rPr>
          <w:rFonts w:hint="eastAsia" w:asciiTheme="majorEastAsia" w:hAnsiTheme="majorEastAsia" w:eastAsiaTheme="majorEastAsia"/>
          <w:b/>
        </w:rPr>
        <w:t xml:space="preserve">1.12 </w:t>
      </w:r>
      <w:r>
        <w:rPr>
          <w:rFonts w:asciiTheme="majorEastAsia" w:hAnsiTheme="majorEastAsia" w:eastAsiaTheme="majorEastAsia"/>
          <w:b/>
        </w:rPr>
        <w:t>响应和偏差</w:t>
      </w:r>
    </w:p>
    <w:p w14:paraId="14E5F2EF">
      <w:pPr>
        <w:pStyle w:val="12"/>
        <w:rPr>
          <w:rFonts w:ascii="黑体"/>
          <w:sz w:val="29"/>
        </w:rPr>
      </w:pPr>
    </w:p>
    <w:p w14:paraId="2AC92CE7">
      <w:pPr>
        <w:tabs>
          <w:tab w:val="left" w:pos="1215"/>
        </w:tabs>
        <w:spacing w:line="357" w:lineRule="auto"/>
        <w:ind w:left="-232" w:right="592" w:firstLine="832" w:firstLineChars="400"/>
        <w:rPr>
          <w:sz w:val="21"/>
        </w:rPr>
      </w:pPr>
      <w:r>
        <w:rPr>
          <w:rFonts w:hint="eastAsia"/>
          <w:spacing w:val="-1"/>
          <w:sz w:val="21"/>
          <w:lang w:val="en-US"/>
        </w:rPr>
        <w:t>1.12.1响应</w:t>
      </w:r>
      <w:r>
        <w:rPr>
          <w:spacing w:val="-1"/>
          <w:sz w:val="21"/>
        </w:rPr>
        <w:t>文件应当对</w:t>
      </w:r>
      <w:r>
        <w:rPr>
          <w:rFonts w:hint="eastAsia"/>
          <w:spacing w:val="-1"/>
          <w:sz w:val="21"/>
          <w:lang w:val="en-US"/>
        </w:rPr>
        <w:t>磋商</w:t>
      </w:r>
      <w:r>
        <w:rPr>
          <w:spacing w:val="-1"/>
          <w:sz w:val="21"/>
        </w:rPr>
        <w:t>文件的实质性要求和条件作出满足性或更有利于</w:t>
      </w:r>
      <w:r>
        <w:rPr>
          <w:rFonts w:hint="eastAsia"/>
          <w:spacing w:val="-1"/>
          <w:sz w:val="21"/>
          <w:lang w:val="en-US"/>
        </w:rPr>
        <w:t>采购</w:t>
      </w:r>
      <w:r>
        <w:rPr>
          <w:spacing w:val="-1"/>
          <w:sz w:val="21"/>
        </w:rPr>
        <w:t xml:space="preserve">人的响应， </w:t>
      </w:r>
      <w:r>
        <w:rPr>
          <w:sz w:val="21"/>
        </w:rPr>
        <w:t>否则，</w:t>
      </w:r>
      <w:r>
        <w:rPr>
          <w:rFonts w:hint="eastAsia"/>
          <w:sz w:val="21"/>
          <w:lang w:val="en-US"/>
        </w:rPr>
        <w:t>供应商</w:t>
      </w:r>
      <w:r>
        <w:rPr>
          <w:sz w:val="21"/>
        </w:rPr>
        <w:t>的投标将被否决。</w:t>
      </w:r>
    </w:p>
    <w:p w14:paraId="000A44CD">
      <w:pPr>
        <w:pStyle w:val="3"/>
        <w:numPr>
          <w:ilvl w:val="0"/>
          <w:numId w:val="2"/>
        </w:numPr>
        <w:tabs>
          <w:tab w:val="left" w:pos="640"/>
        </w:tabs>
        <w:spacing w:before="152"/>
        <w:ind w:hanging="399"/>
        <w:rPr>
          <w:rFonts w:asciiTheme="majorEastAsia" w:hAnsiTheme="majorEastAsia" w:eastAsiaTheme="majorEastAsia"/>
        </w:rPr>
      </w:pPr>
      <w:bookmarkStart w:id="50" w:name="_TOC_250177"/>
      <w:bookmarkEnd w:id="50"/>
      <w:r>
        <w:rPr>
          <w:rFonts w:hint="eastAsia" w:asciiTheme="majorEastAsia" w:hAnsiTheme="majorEastAsia" w:eastAsiaTheme="majorEastAsia"/>
          <w:lang w:val="en-US"/>
        </w:rPr>
        <w:t>磋商</w:t>
      </w:r>
      <w:r>
        <w:rPr>
          <w:rFonts w:asciiTheme="majorEastAsia" w:hAnsiTheme="majorEastAsia" w:eastAsiaTheme="majorEastAsia"/>
        </w:rPr>
        <w:t>文件</w:t>
      </w:r>
    </w:p>
    <w:p w14:paraId="36514B79">
      <w:pPr>
        <w:pStyle w:val="12"/>
        <w:spacing w:before="11"/>
        <w:rPr>
          <w:rFonts w:ascii="黑体"/>
          <w:b/>
          <w:sz w:val="32"/>
          <w:szCs w:val="16"/>
        </w:rPr>
      </w:pPr>
    </w:p>
    <w:p w14:paraId="47E03BC0">
      <w:pPr>
        <w:pStyle w:val="4"/>
        <w:numPr>
          <w:ilvl w:val="1"/>
          <w:numId w:val="2"/>
        </w:numPr>
        <w:tabs>
          <w:tab w:val="left" w:pos="867"/>
        </w:tabs>
        <w:rPr>
          <w:rFonts w:asciiTheme="majorEastAsia" w:hAnsiTheme="majorEastAsia" w:eastAsiaTheme="majorEastAsia"/>
          <w:b/>
        </w:rPr>
      </w:pPr>
      <w:bookmarkStart w:id="51" w:name="_TOC_250176"/>
      <w:bookmarkEnd w:id="51"/>
      <w:r>
        <w:rPr>
          <w:rFonts w:hint="eastAsia" w:asciiTheme="majorEastAsia" w:hAnsiTheme="majorEastAsia" w:eastAsiaTheme="majorEastAsia"/>
          <w:b/>
        </w:rPr>
        <w:t>磋商</w:t>
      </w:r>
      <w:r>
        <w:rPr>
          <w:rFonts w:asciiTheme="majorEastAsia" w:hAnsiTheme="majorEastAsia" w:eastAsiaTheme="majorEastAsia"/>
          <w:b/>
        </w:rPr>
        <w:t>文件的组成</w:t>
      </w:r>
    </w:p>
    <w:p w14:paraId="48FFFD2B">
      <w:pPr>
        <w:pStyle w:val="12"/>
        <w:rPr>
          <w:rFonts w:ascii="黑体"/>
          <w:sz w:val="29"/>
        </w:rPr>
      </w:pPr>
    </w:p>
    <w:p w14:paraId="63862D4C">
      <w:pPr>
        <w:pStyle w:val="12"/>
        <w:ind w:left="598"/>
      </w:pPr>
      <w:r>
        <w:t>本</w:t>
      </w:r>
      <w:r>
        <w:rPr>
          <w:rFonts w:hint="eastAsia"/>
          <w:lang w:val="en-US"/>
        </w:rPr>
        <w:t>磋商</w:t>
      </w:r>
      <w:r>
        <w:t>文件包括：</w:t>
      </w:r>
    </w:p>
    <w:p w14:paraId="0020D50D">
      <w:pPr>
        <w:pStyle w:val="37"/>
        <w:tabs>
          <w:tab w:val="left" w:pos="1081"/>
        </w:tabs>
        <w:spacing w:before="130"/>
        <w:ind w:left="554" w:firstLine="0"/>
        <w:rPr>
          <w:sz w:val="21"/>
        </w:rPr>
      </w:pPr>
      <w:r>
        <w:rPr>
          <w:rFonts w:hint="eastAsia"/>
          <w:sz w:val="21"/>
        </w:rPr>
        <w:t>（</w:t>
      </w:r>
      <w:r>
        <w:rPr>
          <w:rFonts w:hint="eastAsia"/>
          <w:sz w:val="21"/>
          <w:lang w:val="en-US"/>
        </w:rPr>
        <w:t>1</w:t>
      </w:r>
      <w:r>
        <w:rPr>
          <w:rFonts w:hint="eastAsia"/>
          <w:sz w:val="21"/>
        </w:rPr>
        <w:t>）</w:t>
      </w:r>
      <w:r>
        <w:rPr>
          <w:rFonts w:hint="eastAsia"/>
          <w:sz w:val="21"/>
          <w:lang w:val="en-US"/>
        </w:rPr>
        <w:t>磋商</w:t>
      </w:r>
      <w:r>
        <w:rPr>
          <w:rFonts w:hint="eastAsia"/>
          <w:sz w:val="21"/>
        </w:rPr>
        <w:t>公告；</w:t>
      </w:r>
    </w:p>
    <w:p w14:paraId="2D8CB2A4">
      <w:pPr>
        <w:pStyle w:val="37"/>
        <w:tabs>
          <w:tab w:val="left" w:pos="1081"/>
        </w:tabs>
        <w:spacing w:before="130"/>
        <w:ind w:left="554" w:firstLine="0"/>
        <w:rPr>
          <w:sz w:val="21"/>
        </w:rPr>
      </w:pPr>
      <w:r>
        <w:rPr>
          <w:rFonts w:hint="eastAsia"/>
          <w:sz w:val="21"/>
        </w:rPr>
        <w:t>（</w:t>
      </w:r>
      <w:r>
        <w:rPr>
          <w:rFonts w:hint="eastAsia"/>
          <w:sz w:val="21"/>
          <w:lang w:val="en-US"/>
        </w:rPr>
        <w:t>2</w:t>
      </w:r>
      <w:r>
        <w:rPr>
          <w:rFonts w:hint="eastAsia"/>
          <w:sz w:val="21"/>
        </w:rPr>
        <w:t>）</w:t>
      </w:r>
      <w:r>
        <w:rPr>
          <w:rFonts w:hint="eastAsia"/>
          <w:sz w:val="21"/>
          <w:lang w:val="en-US"/>
        </w:rPr>
        <w:t>供应商</w:t>
      </w:r>
      <w:r>
        <w:rPr>
          <w:rFonts w:hint="eastAsia"/>
          <w:sz w:val="21"/>
        </w:rPr>
        <w:t>须知；</w:t>
      </w:r>
    </w:p>
    <w:p w14:paraId="03E8E93D">
      <w:pPr>
        <w:pStyle w:val="37"/>
        <w:tabs>
          <w:tab w:val="left" w:pos="1081"/>
        </w:tabs>
        <w:spacing w:before="130"/>
        <w:ind w:left="554" w:firstLine="0"/>
        <w:rPr>
          <w:sz w:val="21"/>
        </w:rPr>
      </w:pPr>
      <w:r>
        <w:rPr>
          <w:rFonts w:hint="eastAsia"/>
          <w:sz w:val="21"/>
        </w:rPr>
        <w:t>（</w:t>
      </w:r>
      <w:r>
        <w:rPr>
          <w:rFonts w:hint="eastAsia"/>
          <w:sz w:val="21"/>
          <w:lang w:val="en-US"/>
        </w:rPr>
        <w:t>3</w:t>
      </w:r>
      <w:r>
        <w:rPr>
          <w:rFonts w:hint="eastAsia"/>
          <w:sz w:val="21"/>
        </w:rPr>
        <w:t>）</w:t>
      </w:r>
      <w:r>
        <w:rPr>
          <w:rFonts w:hint="eastAsia"/>
          <w:sz w:val="21"/>
          <w:lang w:val="en-US"/>
        </w:rPr>
        <w:t>评审</w:t>
      </w:r>
      <w:r>
        <w:rPr>
          <w:rFonts w:hint="eastAsia"/>
          <w:sz w:val="21"/>
        </w:rPr>
        <w:t>办法；</w:t>
      </w:r>
    </w:p>
    <w:p w14:paraId="6D009052">
      <w:pPr>
        <w:pStyle w:val="37"/>
        <w:tabs>
          <w:tab w:val="left" w:pos="1081"/>
        </w:tabs>
        <w:spacing w:before="130"/>
        <w:ind w:left="554" w:firstLine="0"/>
        <w:rPr>
          <w:sz w:val="21"/>
        </w:rPr>
      </w:pPr>
      <w:r>
        <w:rPr>
          <w:rFonts w:hint="eastAsia"/>
          <w:sz w:val="21"/>
        </w:rPr>
        <w:t>（</w:t>
      </w:r>
      <w:r>
        <w:rPr>
          <w:rFonts w:hint="eastAsia"/>
          <w:sz w:val="21"/>
          <w:lang w:val="en-US"/>
        </w:rPr>
        <w:t>4</w:t>
      </w:r>
      <w:r>
        <w:rPr>
          <w:rFonts w:hint="eastAsia"/>
          <w:sz w:val="21"/>
        </w:rPr>
        <w:t>）合同条款及格式；</w:t>
      </w:r>
    </w:p>
    <w:p w14:paraId="3AE1215A">
      <w:pPr>
        <w:pStyle w:val="37"/>
        <w:tabs>
          <w:tab w:val="left" w:pos="1081"/>
        </w:tabs>
        <w:spacing w:before="130"/>
        <w:ind w:left="554" w:firstLine="0"/>
        <w:rPr>
          <w:sz w:val="21"/>
        </w:rPr>
      </w:pPr>
      <w:r>
        <w:rPr>
          <w:rFonts w:hint="eastAsia"/>
          <w:sz w:val="21"/>
        </w:rPr>
        <w:t>（</w:t>
      </w:r>
      <w:r>
        <w:rPr>
          <w:rFonts w:hint="eastAsia"/>
          <w:sz w:val="21"/>
          <w:lang w:val="en-US"/>
        </w:rPr>
        <w:t>5</w:t>
      </w:r>
      <w:r>
        <w:rPr>
          <w:rFonts w:hint="eastAsia"/>
          <w:sz w:val="21"/>
        </w:rPr>
        <w:t>）</w:t>
      </w:r>
      <w:r>
        <w:rPr>
          <w:rFonts w:hint="eastAsia"/>
          <w:sz w:val="21"/>
          <w:lang w:val="en-US"/>
        </w:rPr>
        <w:t>工程量清单（另附）</w:t>
      </w:r>
      <w:r>
        <w:rPr>
          <w:rFonts w:hint="eastAsia"/>
          <w:sz w:val="21"/>
        </w:rPr>
        <w:t>；</w:t>
      </w:r>
    </w:p>
    <w:p w14:paraId="29CD6D2B">
      <w:pPr>
        <w:pStyle w:val="37"/>
        <w:tabs>
          <w:tab w:val="left" w:pos="1081"/>
        </w:tabs>
        <w:spacing w:before="130"/>
        <w:ind w:left="554" w:firstLine="0"/>
        <w:rPr>
          <w:sz w:val="21"/>
          <w:lang w:val="en-US"/>
        </w:rPr>
      </w:pPr>
      <w:r>
        <w:rPr>
          <w:rFonts w:hint="eastAsia"/>
          <w:sz w:val="21"/>
        </w:rPr>
        <w:t>（</w:t>
      </w:r>
      <w:r>
        <w:rPr>
          <w:rFonts w:hint="eastAsia"/>
          <w:sz w:val="21"/>
          <w:lang w:val="en-US"/>
        </w:rPr>
        <w:t>6</w:t>
      </w:r>
      <w:r>
        <w:rPr>
          <w:rFonts w:hint="eastAsia"/>
          <w:sz w:val="21"/>
        </w:rPr>
        <w:t>）</w:t>
      </w:r>
      <w:r>
        <w:rPr>
          <w:rFonts w:hint="eastAsia"/>
          <w:sz w:val="21"/>
          <w:lang w:val="en-US"/>
        </w:rPr>
        <w:t>技术标准和要求；</w:t>
      </w:r>
    </w:p>
    <w:p w14:paraId="72211760">
      <w:pPr>
        <w:pStyle w:val="37"/>
        <w:tabs>
          <w:tab w:val="left" w:pos="1081"/>
        </w:tabs>
        <w:spacing w:before="130"/>
        <w:ind w:left="554" w:firstLine="0"/>
        <w:rPr>
          <w:sz w:val="21"/>
        </w:rPr>
      </w:pPr>
      <w:r>
        <w:rPr>
          <w:rFonts w:hint="eastAsia"/>
          <w:sz w:val="21"/>
        </w:rPr>
        <w:t>（</w:t>
      </w:r>
      <w:r>
        <w:rPr>
          <w:rFonts w:hint="eastAsia"/>
          <w:sz w:val="21"/>
          <w:lang w:val="en-US"/>
        </w:rPr>
        <w:t>7</w:t>
      </w:r>
      <w:r>
        <w:rPr>
          <w:rFonts w:hint="eastAsia"/>
          <w:sz w:val="21"/>
        </w:rPr>
        <w:t>）</w:t>
      </w:r>
      <w:r>
        <w:rPr>
          <w:rFonts w:hint="eastAsia"/>
          <w:sz w:val="21"/>
          <w:lang w:val="en-US"/>
        </w:rPr>
        <w:t>响应</w:t>
      </w:r>
      <w:r>
        <w:rPr>
          <w:rFonts w:hint="eastAsia"/>
          <w:sz w:val="21"/>
        </w:rPr>
        <w:t>文件格式；</w:t>
      </w:r>
    </w:p>
    <w:p w14:paraId="6DD4F1B6">
      <w:pPr>
        <w:pStyle w:val="37"/>
        <w:tabs>
          <w:tab w:val="left" w:pos="1081"/>
        </w:tabs>
        <w:spacing w:before="130"/>
        <w:ind w:left="554" w:firstLine="0"/>
        <w:rPr>
          <w:sz w:val="21"/>
        </w:rPr>
      </w:pPr>
      <w:r>
        <w:rPr>
          <w:rFonts w:hint="eastAsia"/>
          <w:sz w:val="21"/>
        </w:rPr>
        <w:t>（</w:t>
      </w:r>
      <w:r>
        <w:rPr>
          <w:rFonts w:hint="eastAsia"/>
          <w:sz w:val="21"/>
          <w:lang w:val="en-US"/>
        </w:rPr>
        <w:t>8</w:t>
      </w:r>
      <w:r>
        <w:rPr>
          <w:rFonts w:hint="eastAsia"/>
          <w:sz w:val="21"/>
        </w:rPr>
        <w:t>）</w:t>
      </w:r>
      <w:r>
        <w:rPr>
          <w:sz w:val="21"/>
        </w:rPr>
        <w:t>其他资料</w:t>
      </w:r>
      <w:r>
        <w:rPr>
          <w:rFonts w:hint="eastAsia"/>
          <w:sz w:val="21"/>
        </w:rPr>
        <w:t>；</w:t>
      </w:r>
    </w:p>
    <w:p w14:paraId="2251B775">
      <w:pPr>
        <w:pStyle w:val="37"/>
        <w:tabs>
          <w:tab w:val="left" w:pos="1081"/>
        </w:tabs>
        <w:spacing w:before="130"/>
        <w:ind w:left="554" w:firstLine="0"/>
        <w:rPr>
          <w:sz w:val="21"/>
        </w:rPr>
      </w:pPr>
      <w:r>
        <w:rPr>
          <w:rFonts w:hint="eastAsia"/>
          <w:sz w:val="21"/>
        </w:rPr>
        <w:t>（</w:t>
      </w:r>
      <w:r>
        <w:rPr>
          <w:rFonts w:hint="eastAsia"/>
          <w:sz w:val="21"/>
          <w:lang w:val="en-US"/>
        </w:rPr>
        <w:t>9</w:t>
      </w:r>
      <w:r>
        <w:rPr>
          <w:rFonts w:hint="eastAsia"/>
          <w:sz w:val="21"/>
        </w:rPr>
        <w:t>）根据本</w:t>
      </w:r>
      <w:r>
        <w:rPr>
          <w:sz w:val="21"/>
        </w:rPr>
        <w:t>章第 2.2 款和第 2.3 款对</w:t>
      </w:r>
      <w:r>
        <w:rPr>
          <w:rFonts w:hint="eastAsia"/>
          <w:sz w:val="21"/>
          <w:lang w:val="en-US"/>
        </w:rPr>
        <w:t>磋商</w:t>
      </w:r>
      <w:r>
        <w:rPr>
          <w:sz w:val="21"/>
        </w:rPr>
        <w:t>文件所作的澄清、修改，构成</w:t>
      </w:r>
      <w:r>
        <w:rPr>
          <w:rFonts w:hint="eastAsia"/>
          <w:sz w:val="21"/>
          <w:lang w:val="en-US"/>
        </w:rPr>
        <w:t>磋商</w:t>
      </w:r>
      <w:r>
        <w:rPr>
          <w:sz w:val="21"/>
        </w:rPr>
        <w:t>文件的组成部分。</w:t>
      </w:r>
    </w:p>
    <w:p w14:paraId="5429185E">
      <w:pPr>
        <w:ind w:firstLine="280" w:firstLineChars="100"/>
        <w:rPr>
          <w:rFonts w:ascii="黑体" w:hAnsi="黑体" w:eastAsia="黑体" w:cs="黑体"/>
          <w:sz w:val="28"/>
          <w:szCs w:val="28"/>
          <w:highlight w:val="yellow"/>
        </w:rPr>
      </w:pPr>
      <w:bookmarkStart w:id="52" w:name="_TOC_250175"/>
      <w:bookmarkEnd w:id="52"/>
      <w:bookmarkStart w:id="53" w:name="_TOC_250173"/>
      <w:bookmarkEnd w:id="53"/>
    </w:p>
    <w:p w14:paraId="7742348E">
      <w:pPr>
        <w:pStyle w:val="4"/>
        <w:tabs>
          <w:tab w:val="left" w:pos="867"/>
        </w:tabs>
        <w:ind w:left="0" w:firstLine="281" w:firstLineChars="100"/>
        <w:rPr>
          <w:rFonts w:asciiTheme="majorEastAsia" w:hAnsiTheme="majorEastAsia" w:eastAsiaTheme="majorEastAsia"/>
          <w:b/>
        </w:rPr>
      </w:pPr>
      <w:r>
        <w:rPr>
          <w:rFonts w:hint="eastAsia" w:asciiTheme="majorEastAsia" w:hAnsiTheme="majorEastAsia" w:eastAsiaTheme="majorEastAsia"/>
          <w:b/>
        </w:rPr>
        <w:t>2.2 磋商文件的澄清</w:t>
      </w:r>
    </w:p>
    <w:p w14:paraId="087806C5">
      <w:pPr>
        <w:spacing w:line="400" w:lineRule="exact"/>
        <w:ind w:firstLine="408" w:firstLineChars="200"/>
        <w:rPr>
          <w:spacing w:val="-3"/>
          <w:sz w:val="21"/>
        </w:rPr>
      </w:pPr>
    </w:p>
    <w:p w14:paraId="64FB8BAC">
      <w:pPr>
        <w:spacing w:line="400" w:lineRule="exact"/>
        <w:ind w:firstLine="408" w:firstLineChars="200"/>
        <w:rPr>
          <w:spacing w:val="-3"/>
          <w:sz w:val="21"/>
        </w:rPr>
      </w:pPr>
      <w:r>
        <w:rPr>
          <w:rFonts w:hint="eastAsia"/>
          <w:spacing w:val="-3"/>
          <w:sz w:val="21"/>
        </w:rPr>
        <w:t>2.2.1</w:t>
      </w:r>
      <w:r>
        <w:rPr>
          <w:rFonts w:hint="eastAsia"/>
          <w:sz w:val="21"/>
          <w:lang w:val="en-US"/>
        </w:rPr>
        <w:t>供应商</w:t>
      </w:r>
      <w:r>
        <w:rPr>
          <w:rFonts w:hint="eastAsia"/>
          <w:spacing w:val="-3"/>
          <w:sz w:val="21"/>
        </w:rPr>
        <w:t>应仔细阅读和检查</w:t>
      </w:r>
      <w:r>
        <w:rPr>
          <w:rFonts w:hint="eastAsia"/>
          <w:spacing w:val="-3"/>
          <w:sz w:val="21"/>
          <w:lang w:val="en-US"/>
        </w:rPr>
        <w:t>磋商</w:t>
      </w:r>
      <w:r>
        <w:rPr>
          <w:rFonts w:hint="eastAsia"/>
          <w:spacing w:val="-3"/>
          <w:sz w:val="21"/>
        </w:rPr>
        <w:t>文件的全部内容。如发现缺页或附件不全，应及时向</w:t>
      </w:r>
      <w:r>
        <w:rPr>
          <w:rFonts w:hint="eastAsia"/>
          <w:spacing w:val="-3"/>
          <w:sz w:val="21"/>
          <w:lang w:val="en-US"/>
        </w:rPr>
        <w:t>采购</w:t>
      </w:r>
      <w:r>
        <w:rPr>
          <w:rFonts w:hint="eastAsia"/>
          <w:spacing w:val="-3"/>
          <w:sz w:val="21"/>
        </w:rPr>
        <w:t>人提出，以便补齐。如有疑问，应在</w:t>
      </w:r>
      <w:r>
        <w:rPr>
          <w:rFonts w:hint="eastAsia"/>
          <w:sz w:val="21"/>
          <w:lang w:val="en-US"/>
        </w:rPr>
        <w:t>供应商</w:t>
      </w:r>
      <w:r>
        <w:rPr>
          <w:rFonts w:hint="eastAsia"/>
          <w:spacing w:val="-3"/>
          <w:sz w:val="21"/>
        </w:rPr>
        <w:t>须知前附表规定</w:t>
      </w:r>
      <w:r>
        <w:rPr>
          <w:rFonts w:hint="eastAsia"/>
          <w:sz w:val="21"/>
        </w:rPr>
        <w:t>的时间</w:t>
      </w:r>
      <w:r>
        <w:rPr>
          <w:rFonts w:hint="eastAsia"/>
          <w:spacing w:val="-3"/>
          <w:sz w:val="21"/>
        </w:rPr>
        <w:t>前以书面形式（包括信函、电报、传真等可以有形表现所载内容的形式，下同），要求</w:t>
      </w:r>
      <w:r>
        <w:rPr>
          <w:rFonts w:hint="eastAsia"/>
          <w:spacing w:val="-3"/>
          <w:sz w:val="21"/>
          <w:lang w:val="en-US"/>
        </w:rPr>
        <w:t>采购</w:t>
      </w:r>
      <w:r>
        <w:rPr>
          <w:rFonts w:hint="eastAsia"/>
          <w:spacing w:val="-3"/>
          <w:sz w:val="21"/>
        </w:rPr>
        <w:t>人对</w:t>
      </w:r>
      <w:r>
        <w:rPr>
          <w:rFonts w:hint="eastAsia"/>
          <w:spacing w:val="-3"/>
          <w:sz w:val="21"/>
          <w:lang w:val="en-US"/>
        </w:rPr>
        <w:t>磋商</w:t>
      </w:r>
      <w:r>
        <w:rPr>
          <w:rFonts w:hint="eastAsia"/>
          <w:spacing w:val="-3"/>
          <w:sz w:val="21"/>
        </w:rPr>
        <w:t>文件予以澄清。</w:t>
      </w:r>
    </w:p>
    <w:p w14:paraId="5F170811">
      <w:pPr>
        <w:spacing w:line="400" w:lineRule="exact"/>
        <w:ind w:firstLine="408" w:firstLineChars="200"/>
        <w:rPr>
          <w:spacing w:val="-3"/>
          <w:sz w:val="21"/>
        </w:rPr>
      </w:pPr>
      <w:r>
        <w:rPr>
          <w:rFonts w:hint="eastAsia"/>
          <w:spacing w:val="-3"/>
          <w:sz w:val="21"/>
        </w:rPr>
        <w:t xml:space="preserve">2.2.2 </w:t>
      </w:r>
      <w:r>
        <w:rPr>
          <w:rFonts w:hint="eastAsia"/>
          <w:spacing w:val="-3"/>
          <w:sz w:val="21"/>
          <w:lang w:val="en-US"/>
        </w:rPr>
        <w:t>磋商</w:t>
      </w:r>
      <w:r>
        <w:rPr>
          <w:rFonts w:hint="eastAsia"/>
          <w:spacing w:val="-3"/>
          <w:sz w:val="21"/>
        </w:rPr>
        <w:t>文件的澄清将在</w:t>
      </w:r>
      <w:r>
        <w:rPr>
          <w:rFonts w:hint="eastAsia"/>
          <w:sz w:val="21"/>
          <w:lang w:val="en-US"/>
        </w:rPr>
        <w:t>供应商</w:t>
      </w:r>
      <w:r>
        <w:rPr>
          <w:rFonts w:hint="eastAsia"/>
          <w:spacing w:val="-3"/>
          <w:sz w:val="21"/>
        </w:rPr>
        <w:t>须知前附表规定的投标截止时间5天前在</w:t>
      </w:r>
      <w:r>
        <w:rPr>
          <w:rFonts w:hint="eastAsia"/>
          <w:szCs w:val="21"/>
          <w:lang w:val="en-US"/>
        </w:rPr>
        <w:t>信阳市公共资源交易中心商城县分中心</w:t>
      </w:r>
      <w:r>
        <w:rPr>
          <w:rFonts w:hint="eastAsia"/>
          <w:szCs w:val="21"/>
          <w:lang w:val="en-US" w:eastAsia="zh-CN"/>
        </w:rPr>
        <w:t>交易系统</w:t>
      </w:r>
      <w:r>
        <w:rPr>
          <w:rFonts w:hint="eastAsia"/>
          <w:spacing w:val="-3"/>
          <w:sz w:val="21"/>
          <w:lang w:val="en-US"/>
        </w:rPr>
        <w:t>及原公告发布媒介上将澄清内容予以公布</w:t>
      </w:r>
      <w:r>
        <w:rPr>
          <w:rFonts w:hint="eastAsia"/>
          <w:spacing w:val="-3"/>
          <w:sz w:val="21"/>
        </w:rPr>
        <w:t>，但不指明澄清问题的来源。如果澄清发出的时间距投标截止时间不足5天，</w:t>
      </w:r>
      <w:r>
        <w:rPr>
          <w:rFonts w:hint="eastAsia"/>
          <w:spacing w:val="-3"/>
          <w:sz w:val="21"/>
          <w:lang w:val="en-US"/>
        </w:rPr>
        <w:t>并且澄清内容对</w:t>
      </w:r>
      <w:r>
        <w:rPr>
          <w:rFonts w:hint="eastAsia"/>
          <w:sz w:val="21"/>
          <w:lang w:val="en-US"/>
        </w:rPr>
        <w:t>供应商</w:t>
      </w:r>
      <w:r>
        <w:rPr>
          <w:rFonts w:hint="eastAsia"/>
          <w:spacing w:val="-3"/>
          <w:sz w:val="21"/>
          <w:lang w:val="en-US"/>
        </w:rPr>
        <w:t>编制响应文件有实质性影响的，</w:t>
      </w:r>
      <w:r>
        <w:rPr>
          <w:rFonts w:hint="eastAsia"/>
          <w:spacing w:val="-3"/>
          <w:sz w:val="21"/>
        </w:rPr>
        <w:t>相应延长投标截止时间。</w:t>
      </w:r>
    </w:p>
    <w:p w14:paraId="10C7E285">
      <w:pPr>
        <w:spacing w:line="400" w:lineRule="exact"/>
        <w:ind w:firstLine="408" w:firstLineChars="200"/>
        <w:rPr>
          <w:spacing w:val="-3"/>
          <w:sz w:val="21"/>
          <w:lang w:val="en-US"/>
        </w:rPr>
      </w:pPr>
      <w:r>
        <w:rPr>
          <w:rFonts w:hint="eastAsia"/>
          <w:spacing w:val="-3"/>
          <w:sz w:val="21"/>
          <w:lang w:val="en-US"/>
        </w:rPr>
        <w:t>2.2.3 澄清通知发出</w:t>
      </w:r>
      <w:r>
        <w:rPr>
          <w:rFonts w:hint="eastAsia"/>
          <w:sz w:val="21"/>
          <w:lang w:val="en-US"/>
        </w:rPr>
        <w:t>的同时</w:t>
      </w:r>
      <w:r>
        <w:rPr>
          <w:rFonts w:hint="eastAsia"/>
          <w:spacing w:val="-3"/>
          <w:sz w:val="21"/>
          <w:lang w:val="en-US"/>
        </w:rPr>
        <w:t>，</w:t>
      </w:r>
      <w:r>
        <w:rPr>
          <w:rFonts w:hint="eastAsia"/>
          <w:sz w:val="21"/>
          <w:lang w:val="en-US"/>
        </w:rPr>
        <w:t>供应商</w:t>
      </w:r>
      <w:r>
        <w:rPr>
          <w:rFonts w:hint="eastAsia"/>
          <w:spacing w:val="-3"/>
          <w:sz w:val="21"/>
          <w:lang w:val="en-US"/>
        </w:rPr>
        <w:t>应注意及时浏览网上发出的澄清通知，因</w:t>
      </w:r>
      <w:r>
        <w:rPr>
          <w:rFonts w:hint="eastAsia"/>
          <w:sz w:val="21"/>
          <w:lang w:val="en-US"/>
        </w:rPr>
        <w:t>供应商</w:t>
      </w:r>
      <w:r>
        <w:rPr>
          <w:rFonts w:hint="eastAsia"/>
          <w:spacing w:val="-3"/>
          <w:sz w:val="21"/>
          <w:lang w:val="en-US"/>
        </w:rPr>
        <w:t>自身原因未及时获知澄清内容而导致的任何后果将由</w:t>
      </w:r>
      <w:r>
        <w:rPr>
          <w:rFonts w:hint="eastAsia"/>
          <w:sz w:val="21"/>
          <w:lang w:val="en-US"/>
        </w:rPr>
        <w:t>供应商</w:t>
      </w:r>
      <w:r>
        <w:rPr>
          <w:rFonts w:hint="eastAsia"/>
          <w:spacing w:val="-3"/>
          <w:sz w:val="21"/>
          <w:lang w:val="en-US"/>
        </w:rPr>
        <w:t>自行承担。</w:t>
      </w:r>
    </w:p>
    <w:p w14:paraId="32E45EB6">
      <w:pPr>
        <w:rPr>
          <w:rFonts w:ascii="黑体" w:hAnsi="黑体" w:eastAsia="黑体" w:cs="黑体"/>
          <w:sz w:val="28"/>
          <w:szCs w:val="28"/>
        </w:rPr>
      </w:pPr>
    </w:p>
    <w:p w14:paraId="13C6F3CF">
      <w:pPr>
        <w:pStyle w:val="4"/>
        <w:tabs>
          <w:tab w:val="left" w:pos="867"/>
        </w:tabs>
        <w:ind w:left="0" w:firstLine="281" w:firstLineChars="100"/>
        <w:rPr>
          <w:rFonts w:asciiTheme="majorEastAsia" w:hAnsiTheme="majorEastAsia" w:eastAsiaTheme="majorEastAsia"/>
          <w:b/>
        </w:rPr>
      </w:pPr>
      <w:r>
        <w:rPr>
          <w:rFonts w:hint="eastAsia" w:asciiTheme="majorEastAsia" w:hAnsiTheme="majorEastAsia" w:eastAsiaTheme="majorEastAsia"/>
          <w:b/>
        </w:rPr>
        <w:t>2.3 磋商文件的修改</w:t>
      </w:r>
    </w:p>
    <w:p w14:paraId="69EC6383"/>
    <w:p w14:paraId="457BFD36">
      <w:pPr>
        <w:spacing w:line="400" w:lineRule="exact"/>
        <w:ind w:firstLine="408" w:firstLineChars="200"/>
        <w:rPr>
          <w:spacing w:val="-3"/>
          <w:sz w:val="21"/>
        </w:rPr>
      </w:pPr>
      <w:r>
        <w:rPr>
          <w:rFonts w:hint="eastAsia"/>
          <w:spacing w:val="-3"/>
          <w:sz w:val="21"/>
        </w:rPr>
        <w:t>2.3.1 在投标截止时间5天前，</w:t>
      </w:r>
      <w:r>
        <w:rPr>
          <w:rFonts w:hint="eastAsia"/>
          <w:spacing w:val="-3"/>
          <w:sz w:val="21"/>
          <w:lang w:val="en-US"/>
        </w:rPr>
        <w:t>采购</w:t>
      </w:r>
      <w:r>
        <w:rPr>
          <w:rFonts w:hint="eastAsia"/>
          <w:spacing w:val="-3"/>
          <w:sz w:val="21"/>
        </w:rPr>
        <w:t>人可以修改</w:t>
      </w:r>
      <w:r>
        <w:rPr>
          <w:rFonts w:hint="eastAsia"/>
          <w:spacing w:val="-3"/>
          <w:sz w:val="21"/>
          <w:lang w:val="en-US"/>
        </w:rPr>
        <w:t>磋商</w:t>
      </w:r>
      <w:r>
        <w:rPr>
          <w:rFonts w:hint="eastAsia"/>
          <w:spacing w:val="-3"/>
          <w:sz w:val="21"/>
        </w:rPr>
        <w:t>文件。如有修改，应在</w:t>
      </w:r>
      <w:r>
        <w:rPr>
          <w:rFonts w:hint="eastAsia"/>
          <w:szCs w:val="21"/>
          <w:lang w:val="en-US"/>
        </w:rPr>
        <w:t>信阳市公共资源交易中心商城县分中心</w:t>
      </w:r>
      <w:r>
        <w:rPr>
          <w:rFonts w:hint="eastAsia"/>
          <w:spacing w:val="-3"/>
          <w:sz w:val="21"/>
        </w:rPr>
        <w:t>交易</w:t>
      </w:r>
      <w:r>
        <w:rPr>
          <w:rFonts w:hint="eastAsia"/>
          <w:spacing w:val="-3"/>
          <w:sz w:val="21"/>
          <w:lang w:val="en-US"/>
        </w:rPr>
        <w:t>系统及原公告发布媒介</w:t>
      </w:r>
      <w:r>
        <w:rPr>
          <w:rFonts w:hint="eastAsia"/>
          <w:spacing w:val="-3"/>
          <w:sz w:val="21"/>
        </w:rPr>
        <w:t>平台上</w:t>
      </w:r>
      <w:r>
        <w:rPr>
          <w:rFonts w:hint="eastAsia"/>
          <w:spacing w:val="-3"/>
          <w:sz w:val="21"/>
          <w:lang w:val="en-US"/>
        </w:rPr>
        <w:t>将修改内容予以公布</w:t>
      </w:r>
      <w:r>
        <w:rPr>
          <w:rFonts w:hint="eastAsia"/>
          <w:spacing w:val="-3"/>
          <w:sz w:val="21"/>
        </w:rPr>
        <w:t>。如果修改</w:t>
      </w:r>
      <w:r>
        <w:rPr>
          <w:rFonts w:hint="eastAsia"/>
          <w:spacing w:val="-3"/>
          <w:sz w:val="21"/>
          <w:lang w:val="en-US"/>
        </w:rPr>
        <w:t>磋商</w:t>
      </w:r>
      <w:r>
        <w:rPr>
          <w:rFonts w:hint="eastAsia"/>
          <w:spacing w:val="-3"/>
          <w:sz w:val="21"/>
        </w:rPr>
        <w:t>文</w:t>
      </w:r>
      <w:r>
        <w:rPr>
          <w:rFonts w:hint="eastAsia"/>
          <w:sz w:val="21"/>
        </w:rPr>
        <w:t>件的时间距投标</w:t>
      </w:r>
      <w:r>
        <w:rPr>
          <w:rFonts w:hint="eastAsia"/>
          <w:spacing w:val="-3"/>
          <w:sz w:val="21"/>
        </w:rPr>
        <w:t>截止时间不足5天，</w:t>
      </w:r>
      <w:r>
        <w:rPr>
          <w:rFonts w:hint="eastAsia"/>
          <w:spacing w:val="-3"/>
          <w:sz w:val="21"/>
          <w:lang w:val="en-US"/>
        </w:rPr>
        <w:t>并且修改内容对供应商编制响应文件有实质性影响的，</w:t>
      </w:r>
      <w:r>
        <w:rPr>
          <w:rFonts w:hint="eastAsia"/>
          <w:spacing w:val="-3"/>
          <w:sz w:val="21"/>
        </w:rPr>
        <w:t>相应延长投标截止时间。</w:t>
      </w:r>
    </w:p>
    <w:p w14:paraId="3FA2AFA6">
      <w:pPr>
        <w:spacing w:line="400" w:lineRule="exact"/>
        <w:ind w:firstLine="408" w:firstLineChars="200"/>
        <w:rPr>
          <w:spacing w:val="-3"/>
          <w:sz w:val="21"/>
        </w:rPr>
      </w:pPr>
      <w:r>
        <w:rPr>
          <w:rFonts w:hint="eastAsia"/>
          <w:spacing w:val="-3"/>
          <w:sz w:val="21"/>
          <w:lang w:val="en-US"/>
        </w:rPr>
        <w:t>供应商</w:t>
      </w:r>
      <w:r>
        <w:rPr>
          <w:rFonts w:hint="eastAsia"/>
          <w:spacing w:val="-3"/>
          <w:sz w:val="21"/>
        </w:rPr>
        <w:t>在投标截止时间前，</w:t>
      </w:r>
      <w:r>
        <w:rPr>
          <w:rFonts w:hint="eastAsia"/>
          <w:spacing w:val="-3"/>
          <w:sz w:val="21"/>
          <w:lang w:val="en-US"/>
        </w:rPr>
        <w:t>应注意及时浏览网上发出的</w:t>
      </w:r>
      <w:r>
        <w:rPr>
          <w:rFonts w:hint="eastAsia"/>
          <w:spacing w:val="-3"/>
          <w:sz w:val="21"/>
        </w:rPr>
        <w:t>有关该</w:t>
      </w:r>
      <w:r>
        <w:rPr>
          <w:rFonts w:hint="eastAsia"/>
          <w:spacing w:val="-3"/>
          <w:sz w:val="21"/>
          <w:lang w:val="en-US"/>
        </w:rPr>
        <w:t>项目磋商</w:t>
      </w:r>
      <w:r>
        <w:rPr>
          <w:rFonts w:hint="eastAsia"/>
          <w:spacing w:val="-3"/>
          <w:sz w:val="21"/>
        </w:rPr>
        <w:t>文件的澄清、修改等内容。否则，其风险应由</w:t>
      </w:r>
      <w:r>
        <w:rPr>
          <w:rFonts w:hint="eastAsia"/>
          <w:spacing w:val="-3"/>
          <w:sz w:val="21"/>
          <w:lang w:val="en-US"/>
        </w:rPr>
        <w:t>供应商</w:t>
      </w:r>
      <w:r>
        <w:rPr>
          <w:rFonts w:hint="eastAsia"/>
          <w:spacing w:val="-3"/>
          <w:sz w:val="21"/>
        </w:rPr>
        <w:t>自行承担。</w:t>
      </w:r>
      <w:r>
        <w:rPr>
          <w:rFonts w:hint="eastAsia"/>
          <w:spacing w:val="-3"/>
          <w:sz w:val="21"/>
          <w:lang w:val="en-US"/>
        </w:rPr>
        <w:t>磋商</w:t>
      </w:r>
      <w:r>
        <w:rPr>
          <w:rFonts w:hint="eastAsia"/>
          <w:spacing w:val="-3"/>
          <w:sz w:val="21"/>
        </w:rPr>
        <w:t>文件的澄清、修改、补充等内容均以网上答疑形式明确的内容为准。当</w:t>
      </w:r>
      <w:r>
        <w:rPr>
          <w:rFonts w:hint="eastAsia"/>
          <w:spacing w:val="-3"/>
          <w:sz w:val="21"/>
          <w:lang w:val="en-US"/>
        </w:rPr>
        <w:t>磋商</w:t>
      </w:r>
      <w:r>
        <w:rPr>
          <w:rFonts w:hint="eastAsia"/>
          <w:spacing w:val="-3"/>
          <w:sz w:val="21"/>
        </w:rPr>
        <w:t>文件的澄清、修改、补充等在同一内容的表述上不一致时，以最后发出的网上答疑为准。</w:t>
      </w:r>
    </w:p>
    <w:p w14:paraId="2580DBF0">
      <w:pPr>
        <w:spacing w:line="360" w:lineRule="auto"/>
        <w:ind w:firstLine="408" w:firstLineChars="200"/>
        <w:rPr>
          <w:spacing w:val="-3"/>
          <w:sz w:val="21"/>
          <w:lang w:val="en-US"/>
        </w:rPr>
      </w:pPr>
      <w:r>
        <w:rPr>
          <w:rFonts w:hint="eastAsia"/>
          <w:spacing w:val="-3"/>
          <w:sz w:val="21"/>
          <w:lang w:val="en-US"/>
        </w:rPr>
        <w:t>2.3.2 修改通知发出的</w:t>
      </w:r>
      <w:r>
        <w:rPr>
          <w:rFonts w:hint="eastAsia"/>
          <w:sz w:val="21"/>
          <w:lang w:val="en-US"/>
        </w:rPr>
        <w:t>同时</w:t>
      </w:r>
      <w:r>
        <w:rPr>
          <w:rFonts w:hint="eastAsia"/>
          <w:spacing w:val="-3"/>
          <w:sz w:val="21"/>
          <w:lang w:val="en-US"/>
        </w:rPr>
        <w:t>，供应商应注意及时浏览网上发出的修改通知，因供应商自身原因未及时获知修改内容而导致的任何后果将由供应商自行承担。</w:t>
      </w:r>
    </w:p>
    <w:p w14:paraId="60E8BF0A">
      <w:pPr>
        <w:pStyle w:val="23"/>
        <w:spacing w:line="360" w:lineRule="auto"/>
        <w:rPr>
          <w:rFonts w:ascii="宋体" w:hAnsi="宋体"/>
          <w:spacing w:val="-3"/>
          <w:sz w:val="21"/>
          <w:lang w:val="en-US"/>
        </w:rPr>
      </w:pPr>
      <w:r>
        <w:rPr>
          <w:rFonts w:hint="eastAsia"/>
          <w:spacing w:val="-3"/>
          <w:sz w:val="21"/>
          <w:lang w:val="en-US"/>
        </w:rPr>
        <w:t xml:space="preserve">   </w:t>
      </w:r>
      <w:r>
        <w:rPr>
          <w:rFonts w:hint="eastAsia" w:hAnsi="宋体"/>
          <w:spacing w:val="-3"/>
          <w:sz w:val="21"/>
        </w:rPr>
        <w:t xml:space="preserve"> </w:t>
      </w:r>
      <w:r>
        <w:rPr>
          <w:rFonts w:hint="eastAsia" w:ascii="宋体" w:hAnsi="宋体"/>
          <w:spacing w:val="-3"/>
          <w:sz w:val="21"/>
        </w:rPr>
        <w:t>注:澄清文件和修改文件是磋商文件的组成部分，与磋商文件具有同等效力；供应商对采购人及采购代理机构提供的磋商文件所做出的推论、假设及误解等，采购人及采购代理机构概不负责。</w:t>
      </w:r>
    </w:p>
    <w:p w14:paraId="7E884091">
      <w:pPr>
        <w:pStyle w:val="12"/>
        <w:spacing w:before="2"/>
        <w:rPr>
          <w:sz w:val="22"/>
        </w:rPr>
      </w:pPr>
    </w:p>
    <w:p w14:paraId="460D87EE">
      <w:pPr>
        <w:pStyle w:val="3"/>
        <w:numPr>
          <w:ilvl w:val="0"/>
          <w:numId w:val="2"/>
        </w:numPr>
        <w:tabs>
          <w:tab w:val="left" w:pos="640"/>
        </w:tabs>
        <w:ind w:hanging="399"/>
        <w:rPr>
          <w:rFonts w:asciiTheme="majorEastAsia" w:hAnsiTheme="majorEastAsia" w:eastAsiaTheme="majorEastAsia"/>
          <w:sz w:val="43"/>
        </w:rPr>
      </w:pPr>
      <w:bookmarkStart w:id="54" w:name="_TOC_250172"/>
      <w:bookmarkEnd w:id="54"/>
      <w:r>
        <w:rPr>
          <w:rFonts w:hint="eastAsia" w:asciiTheme="majorEastAsia" w:hAnsiTheme="majorEastAsia" w:eastAsiaTheme="majorEastAsia"/>
          <w:lang w:val="en-US"/>
        </w:rPr>
        <w:t>响应</w:t>
      </w:r>
      <w:r>
        <w:rPr>
          <w:rFonts w:asciiTheme="majorEastAsia" w:hAnsiTheme="majorEastAsia" w:eastAsiaTheme="majorEastAsia"/>
        </w:rPr>
        <w:t>文件</w:t>
      </w:r>
    </w:p>
    <w:p w14:paraId="4B7BF1AA"/>
    <w:p w14:paraId="3AA529E4">
      <w:pPr>
        <w:pStyle w:val="4"/>
        <w:numPr>
          <w:ilvl w:val="1"/>
          <w:numId w:val="2"/>
        </w:numPr>
        <w:tabs>
          <w:tab w:val="left" w:pos="867"/>
        </w:tabs>
        <w:rPr>
          <w:rFonts w:asciiTheme="majorEastAsia" w:hAnsiTheme="majorEastAsia" w:eastAsiaTheme="majorEastAsia"/>
          <w:b/>
        </w:rPr>
      </w:pPr>
      <w:bookmarkStart w:id="55" w:name="_TOC_250171"/>
      <w:bookmarkEnd w:id="55"/>
      <w:r>
        <w:rPr>
          <w:rFonts w:hint="eastAsia" w:asciiTheme="majorEastAsia" w:hAnsiTheme="majorEastAsia" w:eastAsiaTheme="majorEastAsia"/>
          <w:b/>
          <w:lang w:val="en-US"/>
        </w:rPr>
        <w:t xml:space="preserve"> </w:t>
      </w:r>
      <w:r>
        <w:rPr>
          <w:rFonts w:hint="eastAsia" w:asciiTheme="majorEastAsia" w:hAnsiTheme="majorEastAsia" w:eastAsiaTheme="majorEastAsia"/>
          <w:b/>
        </w:rPr>
        <w:t>响应</w:t>
      </w:r>
      <w:r>
        <w:rPr>
          <w:rFonts w:asciiTheme="majorEastAsia" w:hAnsiTheme="majorEastAsia" w:eastAsiaTheme="majorEastAsia"/>
          <w:b/>
        </w:rPr>
        <w:t>文件的组成</w:t>
      </w:r>
    </w:p>
    <w:p w14:paraId="3D3D9434">
      <w:pPr>
        <w:pStyle w:val="12"/>
        <w:spacing w:before="12"/>
        <w:rPr>
          <w:rFonts w:ascii="黑体"/>
          <w:sz w:val="28"/>
        </w:rPr>
      </w:pPr>
    </w:p>
    <w:p w14:paraId="6750851C">
      <w:pPr>
        <w:pStyle w:val="37"/>
        <w:numPr>
          <w:ilvl w:val="2"/>
          <w:numId w:val="2"/>
        </w:numPr>
        <w:tabs>
          <w:tab w:val="left" w:pos="1185"/>
        </w:tabs>
        <w:ind w:left="1184" w:hanging="524"/>
        <w:rPr>
          <w:sz w:val="21"/>
        </w:rPr>
      </w:pPr>
      <w:r>
        <w:rPr>
          <w:rFonts w:hint="eastAsia"/>
          <w:sz w:val="21"/>
          <w:lang w:val="en-US"/>
        </w:rPr>
        <w:t>响应</w:t>
      </w:r>
      <w:r>
        <w:rPr>
          <w:sz w:val="21"/>
        </w:rPr>
        <w:t>文件应包括下列内容：</w:t>
      </w:r>
    </w:p>
    <w:p w14:paraId="269571C5">
      <w:pPr>
        <w:tabs>
          <w:tab w:val="left" w:pos="867"/>
        </w:tabs>
        <w:spacing w:before="148"/>
        <w:ind w:left="426" w:firstLine="210" w:firstLineChars="100"/>
        <w:rPr>
          <w:sz w:val="21"/>
        </w:rPr>
      </w:pPr>
      <w:bookmarkStart w:id="56" w:name="_TOC_250170"/>
      <w:bookmarkEnd w:id="56"/>
      <w:r>
        <w:rPr>
          <w:rFonts w:hint="eastAsia"/>
          <w:sz w:val="21"/>
        </w:rPr>
        <w:t>（</w:t>
      </w:r>
      <w:r>
        <w:rPr>
          <w:rFonts w:hint="eastAsia"/>
          <w:sz w:val="21"/>
          <w:lang w:val="en-US"/>
        </w:rPr>
        <w:t>1</w:t>
      </w:r>
      <w:r>
        <w:rPr>
          <w:rFonts w:hint="eastAsia"/>
          <w:sz w:val="21"/>
        </w:rPr>
        <w:t>）投标函及投标函附录</w:t>
      </w:r>
    </w:p>
    <w:p w14:paraId="07D3085D">
      <w:pPr>
        <w:tabs>
          <w:tab w:val="left" w:pos="867"/>
        </w:tabs>
        <w:spacing w:before="148"/>
        <w:ind w:left="426" w:firstLine="210" w:firstLineChars="100"/>
        <w:rPr>
          <w:sz w:val="21"/>
        </w:rPr>
      </w:pPr>
      <w:r>
        <w:rPr>
          <w:rFonts w:hint="eastAsia"/>
          <w:sz w:val="21"/>
        </w:rPr>
        <w:t>（</w:t>
      </w:r>
      <w:r>
        <w:rPr>
          <w:rFonts w:hint="eastAsia"/>
          <w:sz w:val="21"/>
          <w:lang w:val="en-US"/>
        </w:rPr>
        <w:t>2</w:t>
      </w:r>
      <w:r>
        <w:rPr>
          <w:rFonts w:hint="eastAsia"/>
          <w:sz w:val="21"/>
        </w:rPr>
        <w:t>）法定代表人身份证明或授权委托书</w:t>
      </w:r>
    </w:p>
    <w:p w14:paraId="13E2BADB">
      <w:pPr>
        <w:tabs>
          <w:tab w:val="left" w:pos="867"/>
        </w:tabs>
        <w:spacing w:before="148"/>
        <w:ind w:firstLine="630" w:firstLineChars="300"/>
        <w:rPr>
          <w:sz w:val="21"/>
        </w:rPr>
      </w:pPr>
      <w:r>
        <w:rPr>
          <w:rFonts w:hint="eastAsia"/>
          <w:sz w:val="21"/>
        </w:rPr>
        <w:t>（</w:t>
      </w:r>
      <w:r>
        <w:rPr>
          <w:rFonts w:hint="eastAsia"/>
          <w:sz w:val="21"/>
          <w:lang w:val="en-US"/>
        </w:rPr>
        <w:t>3</w:t>
      </w:r>
      <w:r>
        <w:rPr>
          <w:rFonts w:hint="eastAsia"/>
          <w:sz w:val="21"/>
        </w:rPr>
        <w:t>）</w:t>
      </w:r>
      <w:r>
        <w:rPr>
          <w:rFonts w:hint="eastAsia"/>
          <w:sz w:val="21"/>
          <w:lang w:val="en-US"/>
        </w:rPr>
        <w:t>供应商</w:t>
      </w:r>
      <w:r>
        <w:rPr>
          <w:rFonts w:hint="eastAsia"/>
          <w:sz w:val="21"/>
        </w:rPr>
        <w:t>基本情况表</w:t>
      </w:r>
    </w:p>
    <w:p w14:paraId="05614FC0">
      <w:pPr>
        <w:tabs>
          <w:tab w:val="left" w:pos="867"/>
        </w:tabs>
        <w:spacing w:before="148"/>
        <w:ind w:left="426" w:firstLine="210" w:firstLineChars="100"/>
        <w:rPr>
          <w:sz w:val="21"/>
        </w:rPr>
      </w:pPr>
      <w:r>
        <w:rPr>
          <w:rFonts w:hint="eastAsia"/>
          <w:sz w:val="21"/>
        </w:rPr>
        <w:t>（</w:t>
      </w:r>
      <w:r>
        <w:rPr>
          <w:rFonts w:hint="eastAsia"/>
          <w:sz w:val="21"/>
          <w:lang w:val="en-US"/>
        </w:rPr>
        <w:t>4</w:t>
      </w:r>
      <w:r>
        <w:rPr>
          <w:rFonts w:hint="eastAsia"/>
          <w:sz w:val="21"/>
        </w:rPr>
        <w:t>）近年财务及税收、社保状况</w:t>
      </w:r>
    </w:p>
    <w:p w14:paraId="1FA8F108">
      <w:pPr>
        <w:tabs>
          <w:tab w:val="left" w:pos="867"/>
        </w:tabs>
        <w:spacing w:before="148"/>
        <w:ind w:left="426" w:firstLine="210" w:firstLineChars="100"/>
        <w:rPr>
          <w:sz w:val="21"/>
        </w:rPr>
      </w:pPr>
      <w:r>
        <w:rPr>
          <w:rFonts w:hint="eastAsia"/>
          <w:sz w:val="21"/>
        </w:rPr>
        <w:t>（</w:t>
      </w:r>
      <w:r>
        <w:rPr>
          <w:rFonts w:hint="eastAsia"/>
          <w:sz w:val="21"/>
          <w:lang w:val="en-US"/>
        </w:rPr>
        <w:t>5</w:t>
      </w:r>
      <w:r>
        <w:rPr>
          <w:rFonts w:hint="eastAsia"/>
          <w:sz w:val="21"/>
        </w:rPr>
        <w:t>）信誉情况</w:t>
      </w:r>
    </w:p>
    <w:p w14:paraId="6D31ECDD">
      <w:pPr>
        <w:tabs>
          <w:tab w:val="left" w:pos="867"/>
        </w:tabs>
        <w:spacing w:before="148"/>
        <w:ind w:left="426" w:firstLine="210" w:firstLineChars="100"/>
        <w:rPr>
          <w:sz w:val="21"/>
        </w:rPr>
      </w:pPr>
      <w:r>
        <w:rPr>
          <w:rFonts w:hint="eastAsia"/>
          <w:sz w:val="21"/>
        </w:rPr>
        <w:t>（</w:t>
      </w:r>
      <w:r>
        <w:rPr>
          <w:rFonts w:hint="eastAsia"/>
          <w:sz w:val="21"/>
          <w:lang w:val="en-US"/>
        </w:rPr>
        <w:t>6</w:t>
      </w:r>
      <w:r>
        <w:rPr>
          <w:rFonts w:hint="eastAsia"/>
          <w:sz w:val="21"/>
        </w:rPr>
        <w:t>）已标价工程量清单</w:t>
      </w:r>
    </w:p>
    <w:p w14:paraId="2A0047EF">
      <w:pPr>
        <w:tabs>
          <w:tab w:val="left" w:pos="867"/>
        </w:tabs>
        <w:spacing w:before="148"/>
        <w:ind w:left="426" w:firstLine="210" w:firstLineChars="100"/>
        <w:rPr>
          <w:sz w:val="21"/>
        </w:rPr>
      </w:pPr>
      <w:r>
        <w:rPr>
          <w:rFonts w:hint="eastAsia"/>
          <w:sz w:val="21"/>
        </w:rPr>
        <w:t>（</w:t>
      </w:r>
      <w:r>
        <w:rPr>
          <w:rFonts w:hint="eastAsia"/>
          <w:sz w:val="21"/>
          <w:lang w:val="en-US"/>
        </w:rPr>
        <w:t>7</w:t>
      </w:r>
      <w:r>
        <w:rPr>
          <w:rFonts w:hint="eastAsia"/>
          <w:sz w:val="21"/>
        </w:rPr>
        <w:t xml:space="preserve">）商务部分   </w:t>
      </w:r>
    </w:p>
    <w:p w14:paraId="2A389994">
      <w:pPr>
        <w:tabs>
          <w:tab w:val="left" w:pos="867"/>
        </w:tabs>
        <w:spacing w:before="148"/>
        <w:ind w:left="426" w:firstLine="210" w:firstLineChars="100"/>
        <w:rPr>
          <w:sz w:val="21"/>
        </w:rPr>
      </w:pPr>
      <w:r>
        <w:rPr>
          <w:rFonts w:hint="eastAsia"/>
          <w:sz w:val="21"/>
        </w:rPr>
        <w:t>（</w:t>
      </w:r>
      <w:r>
        <w:rPr>
          <w:rFonts w:hint="eastAsia"/>
          <w:sz w:val="21"/>
          <w:lang w:val="en-US"/>
        </w:rPr>
        <w:t>8</w:t>
      </w:r>
      <w:r>
        <w:rPr>
          <w:rFonts w:hint="eastAsia"/>
          <w:sz w:val="21"/>
        </w:rPr>
        <w:t>）项目管理机构</w:t>
      </w:r>
    </w:p>
    <w:p w14:paraId="57D81DF1">
      <w:pPr>
        <w:tabs>
          <w:tab w:val="left" w:pos="867"/>
        </w:tabs>
        <w:spacing w:before="148"/>
        <w:ind w:left="426" w:firstLine="210" w:firstLineChars="100"/>
        <w:rPr>
          <w:sz w:val="21"/>
        </w:rPr>
      </w:pPr>
      <w:r>
        <w:rPr>
          <w:rFonts w:hint="eastAsia"/>
          <w:sz w:val="21"/>
        </w:rPr>
        <w:t>（</w:t>
      </w:r>
      <w:r>
        <w:rPr>
          <w:rFonts w:hint="eastAsia"/>
          <w:sz w:val="21"/>
          <w:lang w:val="en-US"/>
        </w:rPr>
        <w:t>9</w:t>
      </w:r>
      <w:r>
        <w:rPr>
          <w:rFonts w:hint="eastAsia"/>
          <w:sz w:val="21"/>
        </w:rPr>
        <w:t>）施工组织设计方案（技术部分）</w:t>
      </w:r>
    </w:p>
    <w:p w14:paraId="2CB40C42">
      <w:pPr>
        <w:tabs>
          <w:tab w:val="left" w:pos="867"/>
        </w:tabs>
        <w:spacing w:before="148"/>
        <w:ind w:left="426" w:firstLine="210" w:firstLineChars="100"/>
        <w:rPr>
          <w:sz w:val="21"/>
        </w:rPr>
      </w:pPr>
      <w:r>
        <w:rPr>
          <w:rFonts w:hint="eastAsia"/>
          <w:sz w:val="21"/>
        </w:rPr>
        <w:t>（</w:t>
      </w:r>
      <w:r>
        <w:rPr>
          <w:rFonts w:hint="eastAsia"/>
          <w:sz w:val="21"/>
          <w:lang w:val="en-US"/>
        </w:rPr>
        <w:t>10</w:t>
      </w:r>
      <w:r>
        <w:rPr>
          <w:rFonts w:hint="eastAsia"/>
          <w:sz w:val="21"/>
        </w:rPr>
        <w:t>）其他材料</w:t>
      </w:r>
    </w:p>
    <w:p w14:paraId="5726F376"/>
    <w:p w14:paraId="187C88C0">
      <w:pPr>
        <w:pStyle w:val="4"/>
        <w:numPr>
          <w:ilvl w:val="1"/>
          <w:numId w:val="2"/>
        </w:numPr>
        <w:tabs>
          <w:tab w:val="left" w:pos="867"/>
        </w:tabs>
        <w:rPr>
          <w:rFonts w:asciiTheme="majorEastAsia" w:hAnsiTheme="majorEastAsia" w:eastAsiaTheme="majorEastAsia"/>
          <w:b/>
        </w:rPr>
      </w:pPr>
      <w:r>
        <w:rPr>
          <w:rFonts w:hint="eastAsia" w:asciiTheme="majorEastAsia" w:hAnsiTheme="majorEastAsia" w:eastAsiaTheme="majorEastAsia"/>
          <w:b/>
          <w:lang w:val="en-US"/>
        </w:rPr>
        <w:t xml:space="preserve"> </w:t>
      </w:r>
      <w:r>
        <w:rPr>
          <w:rFonts w:hint="eastAsia" w:asciiTheme="majorEastAsia" w:hAnsiTheme="majorEastAsia" w:eastAsiaTheme="majorEastAsia"/>
          <w:b/>
          <w:lang w:eastAsia="zh-CN"/>
        </w:rPr>
        <w:t>磋商</w:t>
      </w:r>
      <w:r>
        <w:rPr>
          <w:rFonts w:asciiTheme="majorEastAsia" w:hAnsiTheme="majorEastAsia" w:eastAsiaTheme="majorEastAsia"/>
          <w:b/>
        </w:rPr>
        <w:t>报价</w:t>
      </w:r>
    </w:p>
    <w:p w14:paraId="6E0485EB"/>
    <w:p w14:paraId="58D9C791">
      <w:pPr>
        <w:pStyle w:val="37"/>
        <w:tabs>
          <w:tab w:val="left" w:pos="1185"/>
        </w:tabs>
        <w:spacing w:before="132" w:line="360" w:lineRule="auto"/>
        <w:ind w:left="0" w:firstLineChars="200"/>
        <w:rPr>
          <w:sz w:val="21"/>
          <w:lang w:val="en-US"/>
        </w:rPr>
      </w:pPr>
      <w:bookmarkStart w:id="57" w:name="_TOC_250169"/>
      <w:bookmarkEnd w:id="57"/>
      <w:r>
        <w:rPr>
          <w:rFonts w:hint="eastAsia"/>
          <w:sz w:val="21"/>
          <w:lang w:val="en-US"/>
        </w:rPr>
        <w:t>3.2.1 供应商应按第五章“工程量清单”的要求填写相应表格。</w:t>
      </w:r>
    </w:p>
    <w:p w14:paraId="5E52EE35">
      <w:pPr>
        <w:pStyle w:val="37"/>
        <w:tabs>
          <w:tab w:val="left" w:pos="1185"/>
        </w:tabs>
        <w:spacing w:line="360" w:lineRule="auto"/>
        <w:ind w:left="0" w:firstLineChars="200"/>
        <w:rPr>
          <w:sz w:val="21"/>
          <w:lang w:val="en-US"/>
        </w:rPr>
      </w:pPr>
      <w:r>
        <w:rPr>
          <w:rFonts w:hint="eastAsia"/>
          <w:sz w:val="21"/>
          <w:lang w:val="en-US"/>
        </w:rPr>
        <w:t>3.2.2 供应商在投标截止时间前修改投标函中的投标总报价，应同时修改第五章“工程量清单”中的相应报价。此修改须符合本章第4.2款的有关要求。</w:t>
      </w:r>
    </w:p>
    <w:p w14:paraId="61185187">
      <w:pPr>
        <w:pStyle w:val="37"/>
        <w:tabs>
          <w:tab w:val="left" w:pos="1185"/>
        </w:tabs>
        <w:spacing w:line="360" w:lineRule="auto"/>
        <w:ind w:left="0" w:firstLineChars="200"/>
        <w:rPr>
          <w:rFonts w:hint="eastAsia"/>
          <w:sz w:val="21"/>
          <w:lang w:val="en-US"/>
        </w:rPr>
      </w:pPr>
      <w:r>
        <w:rPr>
          <w:rFonts w:hint="eastAsia"/>
          <w:sz w:val="21"/>
          <w:lang w:val="en-US"/>
        </w:rPr>
        <w:t>3.2.3供应商的（已标价）工程量清单报价表封面需加盖供应商公章、加盖法定代表人印章或其委托代理人签字且有本单位注册造价工程师或造价员签字和盖执业章或者委托具有相关造价执业能力的中介机构编制（加盖编制单位的公章且有本单位造价人员签字和盖执业章）（注：造价员印章过期的提供相关部门出具的时效性证明）。</w:t>
      </w:r>
    </w:p>
    <w:p w14:paraId="015EEBC0">
      <w:pPr>
        <w:pStyle w:val="37"/>
        <w:tabs>
          <w:tab w:val="left" w:pos="1185"/>
        </w:tabs>
        <w:spacing w:line="360" w:lineRule="auto"/>
        <w:ind w:left="0" w:firstLineChars="200"/>
        <w:rPr>
          <w:rFonts w:hint="eastAsia"/>
          <w:sz w:val="21"/>
          <w:lang w:val="en-US" w:eastAsia="zh-CN"/>
        </w:rPr>
      </w:pPr>
      <w:r>
        <w:rPr>
          <w:rFonts w:hint="eastAsia"/>
          <w:sz w:val="21"/>
          <w:lang w:val="en-US" w:eastAsia="zh-CN"/>
        </w:rPr>
        <w:t>3.2.4本项目的磋商报价应按照竞争性磋商文件、补充通知、答疑纪要、现场情况、 承包范围，并充分考虑施工期间各类材料、人工市场风险和国家政策性调整等风险系数，由各响应人根据自身情况，在合理范围内，自主考虑、优惠报价，维保人工服务费、差旅费、运输费（含装卸费）、保险费、安装调试费、税费等所发生的所有费用，但不得低于成本价。本项目投标报价共进行两轮报价，响应文件中列明的投标总报价为首次报价，不参与报价得分的评比。磋商结束后，磋商小组应当要求所有实质性响应的供应商在规定时间内提交最后总报价（未在规定的时间内提交最后报价的，视为该供应商退出磋商，磋商小组将不再评审该供应商递交的响应文件），经磋商确定最终采购需求和提交最后总报价的供应商后，由磋商小组采用综合评分法对提交最后总报价的供应商的响应文件和最后总报价进行综合评分。</w:t>
      </w:r>
    </w:p>
    <w:p w14:paraId="20C0D25B">
      <w:pPr>
        <w:pStyle w:val="37"/>
        <w:tabs>
          <w:tab w:val="left" w:pos="1185"/>
        </w:tabs>
        <w:spacing w:line="360" w:lineRule="auto"/>
        <w:ind w:left="0" w:firstLineChars="200"/>
        <w:rPr>
          <w:rFonts w:hint="eastAsia"/>
          <w:sz w:val="21"/>
          <w:lang w:val="en-US" w:eastAsia="zh-CN"/>
        </w:rPr>
      </w:pPr>
      <w:r>
        <w:rPr>
          <w:rFonts w:hint="eastAsia"/>
          <w:sz w:val="21"/>
          <w:lang w:val="en-US" w:eastAsia="zh-CN"/>
        </w:rPr>
        <w:t>3.2.5 供应商的报价明显低于其他通过符合性审查供应商的报价，有可能影响产品质量或者不能诚信履约的，磋商委员会应当要求其在磋商现场（或电子交易系统）合理的时间内提供书面说明（或电子澄清说明文件），必要时提交相关证明材料；供应商不能证明其报价合理性的，磋商委员会应当将其作为无效投标处理。</w:t>
      </w:r>
    </w:p>
    <w:p w14:paraId="5A9640F8">
      <w:pPr>
        <w:pStyle w:val="37"/>
        <w:tabs>
          <w:tab w:val="left" w:pos="1185"/>
        </w:tabs>
        <w:spacing w:line="360" w:lineRule="auto"/>
        <w:ind w:left="0" w:firstLineChars="200"/>
        <w:rPr>
          <w:rFonts w:hint="default"/>
          <w:sz w:val="21"/>
          <w:lang w:val="en-US" w:eastAsia="zh-CN"/>
        </w:rPr>
      </w:pPr>
      <w:r>
        <w:rPr>
          <w:rFonts w:hint="eastAsia"/>
          <w:sz w:val="21"/>
          <w:lang w:val="en-US" w:eastAsia="zh-CN"/>
        </w:rPr>
        <w:t>3.2.6 已提交响应文件的供应商，在提交最后报价之前，可以根据磋商情况退出磋商， 退出磋商不视为撤回响应文件，退出磋商不影响退出磋商的供应商对已经递交的响应文件承担法律法规和采购文件中规定的相应责任。</w:t>
      </w:r>
    </w:p>
    <w:p w14:paraId="345DB0C8">
      <w:pPr>
        <w:pStyle w:val="37"/>
        <w:tabs>
          <w:tab w:val="left" w:pos="1185"/>
        </w:tabs>
        <w:spacing w:line="360" w:lineRule="auto"/>
        <w:ind w:left="0" w:firstLineChars="200"/>
        <w:rPr>
          <w:rFonts w:hint="eastAsia"/>
          <w:sz w:val="21"/>
          <w:lang w:val="en-US" w:eastAsia="zh-CN"/>
        </w:rPr>
      </w:pPr>
      <w:r>
        <w:rPr>
          <w:rFonts w:hint="eastAsia"/>
          <w:sz w:val="21"/>
          <w:lang w:val="en-US" w:eastAsia="zh-CN"/>
        </w:rPr>
        <w:t>3.2.7由于供应商在提交二次（最终）报价时，只能填报报价总金额，无法提交相应的电子版工程量清单报价，因此本项目成交供应商在领取成交通知书时，需要将与最后报价总金额相符的“二次（最终）报价函” （格式及内容见</w:t>
      </w:r>
      <w:r>
        <w:rPr>
          <w:rFonts w:hint="eastAsia"/>
          <w:b/>
          <w:bCs/>
          <w:sz w:val="21"/>
          <w:lang w:val="en-US" w:eastAsia="zh-CN"/>
        </w:rPr>
        <w:t>附件1</w:t>
      </w:r>
      <w:r>
        <w:rPr>
          <w:rFonts w:hint="eastAsia"/>
          <w:sz w:val="21"/>
          <w:lang w:val="en-US" w:eastAsia="zh-CN"/>
        </w:rPr>
        <w:t>）及工程量清单报价（按照第五章“工程量清单”的要求填写相应表格）递交2份纸质原件及1份电子版至采购代理处；递交的纸质工程量清单需加盖骑缝章，封面需满足本款3.2.3的要求。</w:t>
      </w:r>
    </w:p>
    <w:p w14:paraId="1C7CDF79">
      <w:pPr>
        <w:pStyle w:val="37"/>
        <w:tabs>
          <w:tab w:val="left" w:pos="1185"/>
        </w:tabs>
        <w:spacing w:line="360" w:lineRule="auto"/>
        <w:ind w:left="0" w:firstLineChars="200"/>
        <w:rPr>
          <w:rFonts w:hint="eastAsia"/>
          <w:sz w:val="21"/>
          <w:lang w:val="en-US" w:eastAsia="zh-CN"/>
        </w:rPr>
      </w:pPr>
      <w:r>
        <w:rPr>
          <w:rFonts w:hint="eastAsia"/>
          <w:sz w:val="21"/>
          <w:lang w:val="en-US" w:eastAsia="zh-CN"/>
        </w:rPr>
        <w:t>3.2.8投标报价的其他要求见磋商文件其他要求。</w:t>
      </w:r>
    </w:p>
    <w:p w14:paraId="2B9D0209">
      <w:pPr>
        <w:pStyle w:val="37"/>
        <w:tabs>
          <w:tab w:val="left" w:pos="1185"/>
        </w:tabs>
        <w:spacing w:line="360" w:lineRule="auto"/>
        <w:ind w:left="0" w:firstLine="422" w:firstLineChars="200"/>
        <w:rPr>
          <w:sz w:val="21"/>
          <w:lang w:val="en-US"/>
        </w:rPr>
      </w:pPr>
      <w:r>
        <w:rPr>
          <w:rFonts w:hint="eastAsia"/>
          <w:b/>
          <w:bCs/>
          <w:sz w:val="21"/>
          <w:lang w:val="en-US"/>
        </w:rPr>
        <w:t>注：1、各供应商在项目开评标环节进行中，应及时关注浏览交易系统，在规定时间内进行二次（最终）报价；由于供应商浏览不及时等自身原因导致无法正常进行二次报价的，后果</w:t>
      </w:r>
      <w:r>
        <w:rPr>
          <w:rFonts w:hint="eastAsia"/>
          <w:b/>
          <w:bCs/>
          <w:sz w:val="21"/>
          <w:lang w:val="en-US" w:eastAsia="zh-CN"/>
        </w:rPr>
        <w:t>自行承担</w:t>
      </w:r>
      <w:r>
        <w:rPr>
          <w:rFonts w:hint="eastAsia"/>
          <w:b/>
          <w:bCs/>
          <w:sz w:val="21"/>
          <w:lang w:val="en-US"/>
        </w:rPr>
        <w:t>。</w:t>
      </w:r>
    </w:p>
    <w:p w14:paraId="44117B84">
      <w:pPr>
        <w:pStyle w:val="37"/>
        <w:tabs>
          <w:tab w:val="left" w:pos="1185"/>
        </w:tabs>
        <w:spacing w:line="360" w:lineRule="auto"/>
        <w:ind w:firstLine="609" w:firstLineChars="290"/>
        <w:rPr>
          <w:sz w:val="21"/>
        </w:rPr>
      </w:pPr>
      <w:r>
        <w:rPr>
          <w:rFonts w:hint="eastAsia"/>
          <w:sz w:val="21"/>
          <w:lang w:val="en-US"/>
        </w:rPr>
        <w:t>2、现实行电子评标，为减轻供应商投标成本，不再单独给供应商办理造价员及造价工程师的CA锁，故造价员及造价工程师无法进行电子签章，所以造价员及造价工程师签字和签章请单独扫描上传至响应文件。</w:t>
      </w:r>
    </w:p>
    <w:p w14:paraId="31214326">
      <w:pPr>
        <w:pStyle w:val="4"/>
        <w:tabs>
          <w:tab w:val="left" w:pos="867"/>
        </w:tabs>
        <w:spacing w:before="148"/>
        <w:ind w:left="426" w:firstLine="0"/>
      </w:pPr>
      <w:r>
        <w:rPr>
          <w:rFonts w:hint="eastAsia" w:asciiTheme="majorEastAsia" w:hAnsiTheme="majorEastAsia" w:eastAsiaTheme="majorEastAsia"/>
          <w:b/>
          <w:lang w:val="en-US"/>
        </w:rPr>
        <w:t xml:space="preserve"> 3.3 </w:t>
      </w:r>
      <w:r>
        <w:rPr>
          <w:rFonts w:asciiTheme="majorEastAsia" w:hAnsiTheme="majorEastAsia" w:eastAsiaTheme="majorEastAsia"/>
          <w:b/>
        </w:rPr>
        <w:t>投标有效期</w:t>
      </w:r>
    </w:p>
    <w:p w14:paraId="48D7C131">
      <w:pPr>
        <w:pStyle w:val="12"/>
        <w:spacing w:before="12"/>
        <w:rPr>
          <w:rFonts w:ascii="黑体"/>
          <w:sz w:val="28"/>
        </w:rPr>
      </w:pPr>
    </w:p>
    <w:p w14:paraId="7EC29507">
      <w:pPr>
        <w:pStyle w:val="37"/>
        <w:numPr>
          <w:ilvl w:val="2"/>
          <w:numId w:val="2"/>
        </w:numPr>
        <w:tabs>
          <w:tab w:val="left" w:pos="1185"/>
        </w:tabs>
        <w:ind w:left="1184" w:hanging="524"/>
        <w:rPr>
          <w:sz w:val="21"/>
        </w:rPr>
      </w:pPr>
      <w:r>
        <w:rPr>
          <w:spacing w:val="-3"/>
          <w:sz w:val="21"/>
        </w:rPr>
        <w:t>除</w:t>
      </w:r>
      <w:r>
        <w:rPr>
          <w:rFonts w:hint="eastAsia"/>
          <w:spacing w:val="-3"/>
          <w:sz w:val="21"/>
          <w:lang w:val="en-US"/>
        </w:rPr>
        <w:t>供应商</w:t>
      </w:r>
      <w:r>
        <w:rPr>
          <w:spacing w:val="-3"/>
          <w:sz w:val="21"/>
        </w:rPr>
        <w:t>须知前附表另有规定外，投标有效期为</w:t>
      </w:r>
      <w:r>
        <w:rPr>
          <w:rFonts w:hint="eastAsia"/>
          <w:spacing w:val="-3"/>
          <w:sz w:val="21"/>
          <w:lang w:val="en-US"/>
        </w:rPr>
        <w:t>60</w:t>
      </w:r>
      <w:r>
        <w:rPr>
          <w:sz w:val="21"/>
        </w:rPr>
        <w:t>天。</w:t>
      </w:r>
    </w:p>
    <w:p w14:paraId="77859065">
      <w:pPr>
        <w:pStyle w:val="37"/>
        <w:numPr>
          <w:ilvl w:val="2"/>
          <w:numId w:val="2"/>
        </w:numPr>
        <w:tabs>
          <w:tab w:val="left" w:pos="1185"/>
        </w:tabs>
        <w:spacing w:before="132"/>
        <w:ind w:left="1184" w:hanging="525"/>
        <w:rPr>
          <w:sz w:val="21"/>
        </w:rPr>
      </w:pPr>
      <w:r>
        <w:rPr>
          <w:sz w:val="21"/>
        </w:rPr>
        <w:t>在投标有效期内，</w:t>
      </w:r>
      <w:r>
        <w:rPr>
          <w:rFonts w:hint="eastAsia"/>
          <w:sz w:val="21"/>
          <w:lang w:val="en-US"/>
        </w:rPr>
        <w:t>供应商</w:t>
      </w:r>
      <w:r>
        <w:rPr>
          <w:sz w:val="21"/>
        </w:rPr>
        <w:t>撤销</w:t>
      </w:r>
      <w:r>
        <w:rPr>
          <w:rFonts w:hint="eastAsia"/>
          <w:sz w:val="21"/>
          <w:lang w:val="en-US"/>
        </w:rPr>
        <w:t>响应</w:t>
      </w:r>
      <w:r>
        <w:rPr>
          <w:sz w:val="21"/>
        </w:rPr>
        <w:t>文件的，应承担</w:t>
      </w:r>
      <w:r>
        <w:rPr>
          <w:rFonts w:hint="eastAsia"/>
          <w:sz w:val="21"/>
          <w:lang w:val="en-US"/>
        </w:rPr>
        <w:t>磋商</w:t>
      </w:r>
      <w:r>
        <w:rPr>
          <w:sz w:val="21"/>
        </w:rPr>
        <w:t>文件和法律规定的责任。</w:t>
      </w:r>
    </w:p>
    <w:p w14:paraId="53CFE7D4">
      <w:pPr>
        <w:pStyle w:val="37"/>
        <w:numPr>
          <w:ilvl w:val="2"/>
          <w:numId w:val="2"/>
        </w:numPr>
        <w:tabs>
          <w:tab w:val="left" w:pos="1185"/>
        </w:tabs>
        <w:spacing w:before="131" w:line="358" w:lineRule="auto"/>
        <w:ind w:left="238" w:firstLine="420"/>
        <w:jc w:val="both"/>
        <w:rPr>
          <w:sz w:val="21"/>
        </w:rPr>
      </w:pPr>
      <w:r>
        <w:rPr>
          <w:spacing w:val="-6"/>
          <w:sz w:val="21"/>
        </w:rPr>
        <w:t>出现特殊情况需要延长投标有效期的，</w:t>
      </w:r>
      <w:r>
        <w:rPr>
          <w:rFonts w:hint="eastAsia"/>
          <w:spacing w:val="-6"/>
          <w:sz w:val="21"/>
          <w:lang w:val="en-US"/>
        </w:rPr>
        <w:t>采购</w:t>
      </w:r>
      <w:r>
        <w:rPr>
          <w:spacing w:val="-6"/>
          <w:sz w:val="21"/>
        </w:rPr>
        <w:t>人以书面形式通知所有</w:t>
      </w:r>
      <w:r>
        <w:rPr>
          <w:rFonts w:hint="eastAsia"/>
          <w:spacing w:val="-6"/>
          <w:sz w:val="21"/>
          <w:lang w:val="en-US"/>
        </w:rPr>
        <w:t>供应商</w:t>
      </w:r>
      <w:r>
        <w:rPr>
          <w:spacing w:val="-6"/>
          <w:sz w:val="21"/>
        </w:rPr>
        <w:t>延长投标有</w:t>
      </w:r>
      <w:r>
        <w:rPr>
          <w:sz w:val="21"/>
        </w:rPr>
        <w:t>效期。</w:t>
      </w:r>
      <w:r>
        <w:rPr>
          <w:rFonts w:hint="eastAsia"/>
          <w:sz w:val="21"/>
          <w:lang w:val="en-US"/>
        </w:rPr>
        <w:t>供应商</w:t>
      </w:r>
      <w:r>
        <w:rPr>
          <w:sz w:val="21"/>
        </w:rPr>
        <w:t>应予以书面答复</w:t>
      </w:r>
      <w:r>
        <w:rPr>
          <w:rFonts w:hint="eastAsia"/>
          <w:sz w:val="21"/>
        </w:rPr>
        <w:t>，</w:t>
      </w:r>
      <w:r>
        <w:rPr>
          <w:rFonts w:hint="eastAsia"/>
          <w:sz w:val="21"/>
          <w:lang w:val="en-US"/>
        </w:rPr>
        <w:t>供应商</w:t>
      </w:r>
      <w:r>
        <w:rPr>
          <w:sz w:val="21"/>
        </w:rPr>
        <w:t>拒绝延长的，其投标失效。</w:t>
      </w:r>
    </w:p>
    <w:p w14:paraId="62C19CAB">
      <w:pPr>
        <w:pStyle w:val="4"/>
        <w:tabs>
          <w:tab w:val="left" w:pos="867"/>
        </w:tabs>
        <w:spacing w:before="148"/>
        <w:ind w:left="0" w:firstLine="562" w:firstLineChars="200"/>
        <w:rPr>
          <w:rFonts w:asciiTheme="majorEastAsia" w:hAnsiTheme="majorEastAsia" w:eastAsiaTheme="majorEastAsia"/>
          <w:b/>
        </w:rPr>
      </w:pPr>
      <w:bookmarkStart w:id="58" w:name="_TOC_250166"/>
      <w:bookmarkEnd w:id="58"/>
      <w:bookmarkStart w:id="59" w:name="_TOC_250167"/>
      <w:bookmarkEnd w:id="59"/>
      <w:bookmarkStart w:id="60" w:name="_TOC_250168"/>
      <w:bookmarkEnd w:id="60"/>
      <w:r>
        <w:rPr>
          <w:rFonts w:hint="eastAsia" w:asciiTheme="majorEastAsia" w:hAnsiTheme="majorEastAsia" w:eastAsiaTheme="majorEastAsia"/>
          <w:b/>
          <w:lang w:val="en-US"/>
        </w:rPr>
        <w:t xml:space="preserve">3.4 </w:t>
      </w:r>
      <w:r>
        <w:rPr>
          <w:rFonts w:asciiTheme="majorEastAsia" w:hAnsiTheme="majorEastAsia" w:eastAsiaTheme="majorEastAsia"/>
          <w:b/>
        </w:rPr>
        <w:t>资格审查资料</w:t>
      </w:r>
    </w:p>
    <w:p w14:paraId="37A5A383">
      <w:pPr>
        <w:pStyle w:val="12"/>
        <w:spacing w:before="12"/>
        <w:rPr>
          <w:rFonts w:ascii="黑体"/>
          <w:sz w:val="28"/>
        </w:rPr>
      </w:pPr>
    </w:p>
    <w:p w14:paraId="4F869D47">
      <w:pPr>
        <w:pStyle w:val="12"/>
        <w:spacing w:line="358" w:lineRule="auto"/>
        <w:ind w:left="238" w:firstLine="420"/>
        <w:jc w:val="both"/>
        <w:rPr>
          <w:spacing w:val="-7"/>
          <w:szCs w:val="22"/>
        </w:rPr>
      </w:pPr>
      <w:r>
        <w:rPr>
          <w:rFonts w:hint="eastAsia" w:ascii="Times New Roman" w:hAnsi="Times New Roman" w:eastAsia="Times New Roman"/>
          <w:spacing w:val="1"/>
          <w:lang w:val="en-US"/>
        </w:rPr>
        <w:t>3.4.1</w:t>
      </w:r>
      <w:r>
        <w:rPr>
          <w:spacing w:val="-7"/>
          <w:szCs w:val="22"/>
        </w:rPr>
        <w:t>“</w:t>
      </w:r>
      <w:r>
        <w:rPr>
          <w:rFonts w:hint="eastAsia"/>
          <w:spacing w:val="-7"/>
          <w:szCs w:val="22"/>
          <w:lang w:val="en-US"/>
        </w:rPr>
        <w:t>供应商</w:t>
      </w:r>
      <w:r>
        <w:rPr>
          <w:spacing w:val="-7"/>
          <w:szCs w:val="22"/>
        </w:rPr>
        <w:t>基本情况表”应附</w:t>
      </w:r>
      <w:r>
        <w:rPr>
          <w:rFonts w:hint="eastAsia"/>
          <w:spacing w:val="-7"/>
          <w:szCs w:val="22"/>
          <w:lang w:val="en-US"/>
        </w:rPr>
        <w:t>企业法人营业执照、企业资质证书副本、安全生产许可证等材料扫描件</w:t>
      </w:r>
      <w:r>
        <w:rPr>
          <w:spacing w:val="-7"/>
          <w:szCs w:val="22"/>
        </w:rPr>
        <w:t>。</w:t>
      </w:r>
    </w:p>
    <w:p w14:paraId="5E5D798A">
      <w:pPr>
        <w:pStyle w:val="37"/>
        <w:tabs>
          <w:tab w:val="left" w:pos="1132"/>
        </w:tabs>
        <w:spacing w:line="358" w:lineRule="auto"/>
        <w:ind w:left="0" w:firstLine="636" w:firstLineChars="300"/>
        <w:jc w:val="both"/>
        <w:rPr>
          <w:color w:val="0000FF"/>
          <w:sz w:val="21"/>
          <w:lang w:val="en-US"/>
        </w:rPr>
      </w:pPr>
      <w:r>
        <w:rPr>
          <w:rFonts w:hint="eastAsia" w:ascii="Times New Roman" w:hAnsi="Times New Roman" w:eastAsia="Times New Roman"/>
          <w:spacing w:val="1"/>
          <w:sz w:val="21"/>
          <w:szCs w:val="21"/>
          <w:lang w:val="en-US"/>
        </w:rPr>
        <w:t>3.4.2</w:t>
      </w:r>
      <w:r>
        <w:rPr>
          <w:spacing w:val="-7"/>
          <w:sz w:val="21"/>
        </w:rPr>
        <w:t>“近年财务状况表”应附经会计师事务所或审计机构审计的财务会计报表，包括资产负债表、现金流量表、利润表和财务情况说明书的</w:t>
      </w:r>
      <w:r>
        <w:rPr>
          <w:rFonts w:hint="eastAsia"/>
          <w:spacing w:val="-7"/>
          <w:sz w:val="21"/>
          <w:lang w:val="en-US"/>
        </w:rPr>
        <w:t>证明材料</w:t>
      </w:r>
      <w:r>
        <w:rPr>
          <w:spacing w:val="-7"/>
          <w:sz w:val="21"/>
        </w:rPr>
        <w:t>，具体年份要求见</w:t>
      </w:r>
      <w:r>
        <w:rPr>
          <w:rFonts w:hint="eastAsia"/>
          <w:spacing w:val="-7"/>
          <w:sz w:val="21"/>
          <w:lang w:val="en-US"/>
        </w:rPr>
        <w:t>供应商</w:t>
      </w:r>
      <w:r>
        <w:rPr>
          <w:spacing w:val="-7"/>
          <w:sz w:val="21"/>
        </w:rPr>
        <w:t>须知前附表。</w:t>
      </w:r>
      <w:r>
        <w:rPr>
          <w:rFonts w:hint="eastAsia"/>
          <w:spacing w:val="-7"/>
          <w:sz w:val="21"/>
          <w:lang w:val="en-US"/>
        </w:rPr>
        <w:t>供应商</w:t>
      </w:r>
      <w:r>
        <w:rPr>
          <w:spacing w:val="-7"/>
          <w:sz w:val="21"/>
        </w:rPr>
        <w:t>的成立时间少于</w:t>
      </w:r>
      <w:r>
        <w:rPr>
          <w:rFonts w:hint="eastAsia"/>
          <w:spacing w:val="-7"/>
          <w:sz w:val="21"/>
          <w:lang w:val="en-US"/>
        </w:rPr>
        <w:t>供应商</w:t>
      </w:r>
      <w:r>
        <w:rPr>
          <w:spacing w:val="-7"/>
          <w:sz w:val="21"/>
        </w:rPr>
        <w:t>须知前附表规定年份的，应</w:t>
      </w:r>
      <w:r>
        <w:rPr>
          <w:rFonts w:hint="eastAsia"/>
          <w:sz w:val="21"/>
          <w:szCs w:val="21"/>
        </w:rPr>
        <w:t>提供从企业成立之日起相应年份的审计报告；新成立的企业提供银行出具的资信证明或企业近三个月的财务报表</w:t>
      </w:r>
      <w:r>
        <w:rPr>
          <w:spacing w:val="-7"/>
          <w:sz w:val="21"/>
        </w:rPr>
        <w:t>。</w:t>
      </w:r>
    </w:p>
    <w:p w14:paraId="1B708978">
      <w:pPr>
        <w:pStyle w:val="37"/>
        <w:tabs>
          <w:tab w:val="left" w:pos="1132"/>
        </w:tabs>
        <w:spacing w:line="358" w:lineRule="auto"/>
        <w:ind w:left="209" w:leftChars="95" w:firstLineChars="200"/>
        <w:jc w:val="both"/>
        <w:rPr>
          <w:sz w:val="21"/>
          <w:lang w:val="en-US"/>
        </w:rPr>
      </w:pPr>
      <w:r>
        <w:rPr>
          <w:rFonts w:hint="eastAsia"/>
          <w:sz w:val="21"/>
          <w:lang w:val="en-US"/>
        </w:rPr>
        <w:t>3.4.3“近年发生的诉讼及仲裁情况”应说明供应商败诉的涉及合同的相关情况，并附法院或仲裁机构作出的判决、裁决等有关法律文书扫描件，具体年份要求见投标人须知前附表。</w:t>
      </w:r>
    </w:p>
    <w:p w14:paraId="4A234CB2">
      <w:pPr>
        <w:pStyle w:val="37"/>
        <w:tabs>
          <w:tab w:val="left" w:pos="1185"/>
        </w:tabs>
        <w:spacing w:line="358" w:lineRule="auto"/>
        <w:ind w:left="0" w:firstLine="210" w:firstLineChars="100"/>
        <w:jc w:val="both"/>
        <w:rPr>
          <w:sz w:val="21"/>
          <w:lang w:val="en-US"/>
        </w:rPr>
      </w:pPr>
      <w:bookmarkStart w:id="61" w:name="_TOC_250165"/>
      <w:bookmarkEnd w:id="61"/>
      <w:r>
        <w:rPr>
          <w:rFonts w:hint="eastAsia"/>
          <w:sz w:val="21"/>
          <w:lang w:val="en-US"/>
        </w:rPr>
        <w:t xml:space="preserve">    3.4.4磋商文件中规定的其它相关资格审查资料，以证明其满足对供应商须知前附表“第1.4.1项”的要求。</w:t>
      </w:r>
    </w:p>
    <w:p w14:paraId="01CAC481">
      <w:pPr>
        <w:pStyle w:val="4"/>
        <w:tabs>
          <w:tab w:val="left" w:pos="867"/>
        </w:tabs>
        <w:spacing w:before="148"/>
        <w:ind w:left="0" w:firstLine="562" w:firstLineChars="200"/>
        <w:rPr>
          <w:rFonts w:asciiTheme="majorEastAsia" w:hAnsiTheme="majorEastAsia" w:eastAsiaTheme="majorEastAsia"/>
          <w:b/>
        </w:rPr>
      </w:pPr>
      <w:r>
        <w:rPr>
          <w:rFonts w:hint="eastAsia" w:asciiTheme="majorEastAsia" w:hAnsiTheme="majorEastAsia" w:eastAsiaTheme="majorEastAsia"/>
          <w:b/>
          <w:lang w:val="en-US"/>
        </w:rPr>
        <w:t xml:space="preserve">3.5 </w:t>
      </w:r>
      <w:r>
        <w:rPr>
          <w:rFonts w:asciiTheme="majorEastAsia" w:hAnsiTheme="majorEastAsia" w:eastAsiaTheme="majorEastAsia"/>
          <w:b/>
        </w:rPr>
        <w:t>备选投标方案</w:t>
      </w:r>
    </w:p>
    <w:p w14:paraId="01D96D94">
      <w:pPr>
        <w:pStyle w:val="12"/>
        <w:rPr>
          <w:rFonts w:ascii="黑体"/>
          <w:sz w:val="29"/>
        </w:rPr>
      </w:pPr>
    </w:p>
    <w:p w14:paraId="0C62461C">
      <w:pPr>
        <w:pStyle w:val="37"/>
        <w:numPr>
          <w:ilvl w:val="2"/>
          <w:numId w:val="3"/>
        </w:numPr>
        <w:tabs>
          <w:tab w:val="left" w:pos="1185"/>
        </w:tabs>
        <w:spacing w:line="358" w:lineRule="auto"/>
        <w:ind w:left="238" w:firstLine="420"/>
        <w:jc w:val="both"/>
        <w:rPr>
          <w:sz w:val="21"/>
        </w:rPr>
      </w:pPr>
      <w:r>
        <w:rPr>
          <w:spacing w:val="-6"/>
          <w:sz w:val="21"/>
        </w:rPr>
        <w:t>除</w:t>
      </w:r>
      <w:r>
        <w:rPr>
          <w:rFonts w:hint="eastAsia"/>
          <w:spacing w:val="-6"/>
          <w:sz w:val="21"/>
          <w:lang w:val="en-US"/>
        </w:rPr>
        <w:t>供应商</w:t>
      </w:r>
      <w:r>
        <w:rPr>
          <w:spacing w:val="-6"/>
          <w:sz w:val="21"/>
        </w:rPr>
        <w:t>须知前附表规定允许外，</w:t>
      </w:r>
      <w:r>
        <w:rPr>
          <w:rFonts w:hint="eastAsia"/>
          <w:spacing w:val="-6"/>
          <w:sz w:val="21"/>
          <w:lang w:val="en-US"/>
        </w:rPr>
        <w:t>供应商</w:t>
      </w:r>
      <w:r>
        <w:rPr>
          <w:spacing w:val="-6"/>
          <w:sz w:val="21"/>
        </w:rPr>
        <w:t>不得递交备选投标方案，否则其投标将被否</w:t>
      </w:r>
      <w:r>
        <w:rPr>
          <w:sz w:val="21"/>
        </w:rPr>
        <w:t>决。</w:t>
      </w:r>
    </w:p>
    <w:p w14:paraId="7A3C7B0F">
      <w:pPr>
        <w:pStyle w:val="4"/>
        <w:tabs>
          <w:tab w:val="left" w:pos="867"/>
        </w:tabs>
        <w:spacing w:before="148"/>
        <w:ind w:left="0" w:firstLine="562" w:firstLineChars="200"/>
        <w:rPr>
          <w:rFonts w:asciiTheme="majorEastAsia" w:hAnsiTheme="majorEastAsia" w:eastAsiaTheme="majorEastAsia"/>
          <w:b/>
          <w:lang w:val="en-US"/>
        </w:rPr>
      </w:pPr>
      <w:bookmarkStart w:id="62" w:name="_TOC_250164"/>
      <w:bookmarkEnd w:id="62"/>
      <w:r>
        <w:rPr>
          <w:rFonts w:hint="eastAsia" w:asciiTheme="majorEastAsia" w:hAnsiTheme="majorEastAsia" w:eastAsiaTheme="majorEastAsia"/>
          <w:b/>
          <w:lang w:val="en-US"/>
        </w:rPr>
        <w:t>3.6 响应文件的编制</w:t>
      </w:r>
    </w:p>
    <w:p w14:paraId="45549D42">
      <w:pPr>
        <w:pStyle w:val="12"/>
        <w:rPr>
          <w:rFonts w:ascii="黑体"/>
          <w:sz w:val="29"/>
        </w:rPr>
      </w:pPr>
    </w:p>
    <w:p w14:paraId="3AF888D2">
      <w:pPr>
        <w:pStyle w:val="37"/>
        <w:numPr>
          <w:ilvl w:val="2"/>
          <w:numId w:val="3"/>
        </w:numPr>
        <w:tabs>
          <w:tab w:val="left" w:pos="1185"/>
        </w:tabs>
        <w:spacing w:line="358" w:lineRule="auto"/>
        <w:ind w:left="238" w:firstLine="420"/>
        <w:jc w:val="both"/>
        <w:rPr>
          <w:sz w:val="21"/>
        </w:rPr>
      </w:pPr>
      <w:r>
        <w:rPr>
          <w:rFonts w:hint="eastAsia"/>
          <w:sz w:val="21"/>
          <w:lang w:val="en-US"/>
        </w:rPr>
        <w:t>响应</w:t>
      </w:r>
      <w:r>
        <w:rPr>
          <w:rFonts w:hint="eastAsia"/>
          <w:sz w:val="21"/>
        </w:rPr>
        <w:t>文件应按第七章“</w:t>
      </w:r>
      <w:r>
        <w:rPr>
          <w:rFonts w:hint="eastAsia"/>
          <w:sz w:val="21"/>
          <w:lang w:val="en-US"/>
        </w:rPr>
        <w:t>响应</w:t>
      </w:r>
      <w:r>
        <w:rPr>
          <w:rFonts w:hint="eastAsia"/>
          <w:sz w:val="21"/>
        </w:rPr>
        <w:t>文件格</w:t>
      </w:r>
      <w:r>
        <w:rPr>
          <w:rFonts w:hint="eastAsia" w:ascii="宋体" w:hAnsi="宋体" w:eastAsia="宋体" w:cs="宋体"/>
          <w:sz w:val="21"/>
        </w:rPr>
        <w:t>式”</w:t>
      </w:r>
      <w:r>
        <w:rPr>
          <w:rFonts w:hint="eastAsia" w:ascii="宋体" w:hAnsi="宋体" w:eastAsia="宋体" w:cs="宋体"/>
          <w:sz w:val="21"/>
          <w:lang w:val="en-US" w:eastAsia="zh-CN"/>
        </w:rPr>
        <w:t>进行</w:t>
      </w:r>
      <w:r>
        <w:rPr>
          <w:rFonts w:hint="eastAsia" w:ascii="宋体" w:hAnsi="宋体" w:eastAsia="宋体" w:cs="宋体"/>
          <w:sz w:val="21"/>
        </w:rPr>
        <w:t>编制</w:t>
      </w:r>
      <w:r>
        <w:rPr>
          <w:sz w:val="21"/>
        </w:rPr>
        <w:t>，</w:t>
      </w:r>
      <w:r>
        <w:rPr>
          <w:spacing w:val="-7"/>
          <w:sz w:val="21"/>
        </w:rPr>
        <w:t>如</w:t>
      </w:r>
      <w:r>
        <w:rPr>
          <w:spacing w:val="-8"/>
          <w:sz w:val="21"/>
        </w:rPr>
        <w:t>有必要，可以增加附页，作为</w:t>
      </w:r>
      <w:r>
        <w:rPr>
          <w:rFonts w:hint="eastAsia"/>
          <w:spacing w:val="-8"/>
          <w:sz w:val="21"/>
          <w:lang w:val="en-US"/>
        </w:rPr>
        <w:t>响应</w:t>
      </w:r>
      <w:r>
        <w:rPr>
          <w:sz w:val="21"/>
        </w:rPr>
        <w:t>文件的组成部分。其中，投标函附录在满足</w:t>
      </w:r>
      <w:r>
        <w:rPr>
          <w:rFonts w:hint="eastAsia"/>
          <w:sz w:val="21"/>
          <w:lang w:val="en-US"/>
        </w:rPr>
        <w:t>磋商</w:t>
      </w:r>
      <w:r>
        <w:rPr>
          <w:sz w:val="21"/>
        </w:rPr>
        <w:t>文件实质性要求的基础上，可以提出比</w:t>
      </w:r>
      <w:r>
        <w:rPr>
          <w:rFonts w:hint="eastAsia"/>
          <w:sz w:val="21"/>
          <w:lang w:val="en-US"/>
        </w:rPr>
        <w:t>磋商</w:t>
      </w:r>
      <w:r>
        <w:rPr>
          <w:sz w:val="21"/>
        </w:rPr>
        <w:t>文件要求更有利于</w:t>
      </w:r>
      <w:r>
        <w:rPr>
          <w:rFonts w:hint="eastAsia"/>
          <w:sz w:val="21"/>
          <w:lang w:val="en-US"/>
        </w:rPr>
        <w:t>采购</w:t>
      </w:r>
      <w:r>
        <w:rPr>
          <w:sz w:val="21"/>
        </w:rPr>
        <w:t>人的承诺。</w:t>
      </w:r>
    </w:p>
    <w:p w14:paraId="5AEC9C17">
      <w:pPr>
        <w:pStyle w:val="37"/>
        <w:numPr>
          <w:ilvl w:val="2"/>
          <w:numId w:val="3"/>
        </w:numPr>
        <w:tabs>
          <w:tab w:val="left" w:pos="1185"/>
        </w:tabs>
        <w:spacing w:line="358" w:lineRule="auto"/>
        <w:ind w:left="238" w:firstLine="420"/>
        <w:jc w:val="both"/>
        <w:rPr>
          <w:spacing w:val="-7"/>
          <w:sz w:val="21"/>
        </w:rPr>
      </w:pPr>
      <w:r>
        <w:rPr>
          <w:rFonts w:hint="eastAsia"/>
          <w:spacing w:val="-5"/>
          <w:sz w:val="21"/>
          <w:lang w:val="en-US"/>
        </w:rPr>
        <w:t>响应</w:t>
      </w:r>
      <w:r>
        <w:rPr>
          <w:spacing w:val="-5"/>
          <w:sz w:val="21"/>
        </w:rPr>
        <w:t>文件应当对</w:t>
      </w:r>
      <w:r>
        <w:rPr>
          <w:rFonts w:hint="eastAsia"/>
          <w:spacing w:val="-5"/>
          <w:sz w:val="21"/>
          <w:lang w:val="en-US"/>
        </w:rPr>
        <w:t>磋商</w:t>
      </w:r>
      <w:r>
        <w:rPr>
          <w:spacing w:val="-5"/>
          <w:sz w:val="21"/>
        </w:rPr>
        <w:t>文件有关</w:t>
      </w:r>
      <w:r>
        <w:rPr>
          <w:rFonts w:hint="eastAsia"/>
          <w:spacing w:val="-5"/>
          <w:sz w:val="21"/>
          <w:lang w:val="en-US"/>
        </w:rPr>
        <w:t>工期</w:t>
      </w:r>
      <w:r>
        <w:rPr>
          <w:spacing w:val="-5"/>
          <w:sz w:val="21"/>
        </w:rPr>
        <w:t>、投标有效期、</w:t>
      </w:r>
      <w:r>
        <w:rPr>
          <w:rFonts w:hint="eastAsia"/>
          <w:spacing w:val="-5"/>
          <w:sz w:val="21"/>
          <w:lang w:val="en-US"/>
        </w:rPr>
        <w:t>质量要求</w:t>
      </w:r>
      <w:r>
        <w:rPr>
          <w:spacing w:val="-5"/>
          <w:sz w:val="21"/>
        </w:rPr>
        <w:t>、</w:t>
      </w:r>
      <w:r>
        <w:rPr>
          <w:rFonts w:hint="eastAsia"/>
          <w:spacing w:val="-5"/>
          <w:sz w:val="21"/>
          <w:lang w:val="en-US"/>
        </w:rPr>
        <w:t>资格能力</w:t>
      </w:r>
      <w:r>
        <w:rPr>
          <w:spacing w:val="-5"/>
          <w:sz w:val="21"/>
        </w:rPr>
        <w:t>等</w:t>
      </w:r>
      <w:r>
        <w:rPr>
          <w:sz w:val="21"/>
        </w:rPr>
        <w:t>实质性</w:t>
      </w:r>
      <w:r>
        <w:rPr>
          <w:spacing w:val="-7"/>
          <w:sz w:val="21"/>
        </w:rPr>
        <w:t>内容作出响应。</w:t>
      </w:r>
    </w:p>
    <w:p w14:paraId="28F62504">
      <w:pPr>
        <w:pStyle w:val="37"/>
        <w:numPr>
          <w:ilvl w:val="2"/>
          <w:numId w:val="3"/>
        </w:numPr>
        <w:tabs>
          <w:tab w:val="left" w:pos="1185"/>
        </w:tabs>
        <w:spacing w:line="357" w:lineRule="auto"/>
        <w:ind w:right="695" w:firstLine="421"/>
        <w:jc w:val="both"/>
        <w:rPr>
          <w:spacing w:val="-7"/>
          <w:sz w:val="21"/>
        </w:rPr>
      </w:pPr>
      <w:bookmarkStart w:id="63" w:name="_Toc152047215"/>
      <w:bookmarkStart w:id="64" w:name="_Toc9730"/>
      <w:bookmarkStart w:id="65" w:name="_Toc12140"/>
      <w:bookmarkStart w:id="66" w:name="_Toc22278"/>
      <w:bookmarkStart w:id="67" w:name="_Toc144974419"/>
      <w:bookmarkStart w:id="68" w:name="_Toc336424789"/>
      <w:r>
        <w:rPr>
          <w:rFonts w:hint="eastAsia"/>
          <w:spacing w:val="-7"/>
          <w:sz w:val="21"/>
        </w:rPr>
        <w:t>电子</w:t>
      </w:r>
      <w:r>
        <w:rPr>
          <w:rFonts w:hint="eastAsia"/>
          <w:spacing w:val="-7"/>
          <w:sz w:val="21"/>
          <w:lang w:val="en-US"/>
        </w:rPr>
        <w:t>响应</w:t>
      </w:r>
      <w:r>
        <w:rPr>
          <w:rFonts w:hint="eastAsia"/>
          <w:spacing w:val="-7"/>
          <w:sz w:val="21"/>
        </w:rPr>
        <w:t>文件制作</w:t>
      </w:r>
    </w:p>
    <w:p w14:paraId="7B86BAAB">
      <w:pPr>
        <w:pStyle w:val="37"/>
        <w:tabs>
          <w:tab w:val="left" w:pos="1185"/>
        </w:tabs>
        <w:spacing w:line="358" w:lineRule="auto"/>
        <w:ind w:left="658" w:firstLine="196" w:firstLineChars="100"/>
        <w:jc w:val="both"/>
        <w:rPr>
          <w:spacing w:val="-7"/>
          <w:sz w:val="21"/>
        </w:rPr>
      </w:pPr>
      <w:r>
        <w:rPr>
          <w:rFonts w:hint="eastAsia"/>
          <w:spacing w:val="-7"/>
          <w:sz w:val="21"/>
        </w:rPr>
        <w:t>（1）电子</w:t>
      </w:r>
      <w:r>
        <w:rPr>
          <w:rFonts w:hint="eastAsia"/>
          <w:spacing w:val="-7"/>
          <w:sz w:val="21"/>
          <w:lang w:val="en-US"/>
        </w:rPr>
        <w:t>响应</w:t>
      </w:r>
      <w:r>
        <w:rPr>
          <w:rFonts w:hint="eastAsia"/>
          <w:spacing w:val="-7"/>
          <w:sz w:val="21"/>
        </w:rPr>
        <w:t>文件由</w:t>
      </w:r>
      <w:r>
        <w:rPr>
          <w:rFonts w:hint="eastAsia"/>
          <w:spacing w:val="-7"/>
          <w:sz w:val="21"/>
          <w:lang w:val="en-US"/>
        </w:rPr>
        <w:t>供应商</w:t>
      </w:r>
      <w:r>
        <w:rPr>
          <w:rFonts w:hint="eastAsia"/>
          <w:spacing w:val="-7"/>
          <w:sz w:val="21"/>
        </w:rPr>
        <w:t>使用</w:t>
      </w:r>
      <w:r>
        <w:rPr>
          <w:rFonts w:hint="eastAsia" w:ascii="宋体" w:hAnsi="宋体" w:eastAsia="宋体" w:cs="宋体"/>
          <w:spacing w:val="-5"/>
          <w:sz w:val="21"/>
          <w:lang w:val="en-US"/>
        </w:rPr>
        <w:t>“信阳市投标文件制作工具软件”</w:t>
      </w:r>
      <w:r>
        <w:rPr>
          <w:rFonts w:hint="eastAsia" w:ascii="宋体" w:hAnsi="宋体" w:eastAsia="宋体" w:cs="宋体"/>
          <w:spacing w:val="-5"/>
          <w:sz w:val="21"/>
          <w:lang w:val="en-US" w:eastAsia="zh-CN"/>
        </w:rPr>
        <w:t>进行</w:t>
      </w:r>
      <w:r>
        <w:rPr>
          <w:rFonts w:hint="eastAsia"/>
          <w:spacing w:val="-7"/>
          <w:sz w:val="21"/>
          <w:lang w:val="en-US" w:eastAsia="zh-CN"/>
        </w:rPr>
        <w:t>编制</w:t>
      </w:r>
      <w:r>
        <w:rPr>
          <w:rFonts w:hint="eastAsia"/>
          <w:spacing w:val="-7"/>
          <w:sz w:val="21"/>
        </w:rPr>
        <w:t>。</w:t>
      </w:r>
    </w:p>
    <w:p w14:paraId="798359CF">
      <w:pPr>
        <w:pStyle w:val="37"/>
        <w:tabs>
          <w:tab w:val="left" w:pos="1185"/>
        </w:tabs>
        <w:spacing w:line="357" w:lineRule="auto"/>
        <w:ind w:left="660" w:right="695" w:firstLine="196" w:firstLineChars="100"/>
        <w:jc w:val="both"/>
        <w:rPr>
          <w:spacing w:val="-7"/>
          <w:sz w:val="21"/>
        </w:rPr>
      </w:pPr>
      <w:r>
        <w:rPr>
          <w:rFonts w:hint="eastAsia"/>
          <w:spacing w:val="-7"/>
          <w:sz w:val="21"/>
        </w:rPr>
        <w:t>（2）</w:t>
      </w:r>
      <w:r>
        <w:rPr>
          <w:rFonts w:hint="eastAsia"/>
          <w:spacing w:val="-7"/>
          <w:sz w:val="21"/>
          <w:lang w:val="en-US"/>
        </w:rPr>
        <w:t>供应商</w:t>
      </w:r>
      <w:r>
        <w:rPr>
          <w:rFonts w:hint="eastAsia"/>
          <w:spacing w:val="-7"/>
          <w:sz w:val="21"/>
        </w:rPr>
        <w:t>在编制电子</w:t>
      </w:r>
      <w:r>
        <w:rPr>
          <w:rFonts w:hint="eastAsia"/>
          <w:spacing w:val="-7"/>
          <w:sz w:val="21"/>
          <w:lang w:val="en-US"/>
        </w:rPr>
        <w:t>响应</w:t>
      </w:r>
      <w:r>
        <w:rPr>
          <w:rFonts w:hint="eastAsia"/>
          <w:spacing w:val="-7"/>
          <w:sz w:val="21"/>
        </w:rPr>
        <w:t>文件时应当建立分级目录，并按照标签提示导入相关内容。</w:t>
      </w:r>
    </w:p>
    <w:p w14:paraId="3EFC34C8">
      <w:pPr>
        <w:pStyle w:val="37"/>
        <w:tabs>
          <w:tab w:val="left" w:pos="1185"/>
        </w:tabs>
        <w:spacing w:line="358" w:lineRule="auto"/>
        <w:ind w:left="658" w:firstLine="196" w:firstLineChars="100"/>
        <w:jc w:val="both"/>
        <w:rPr>
          <w:spacing w:val="-7"/>
          <w:sz w:val="21"/>
        </w:rPr>
      </w:pPr>
      <w:r>
        <w:rPr>
          <w:rFonts w:hint="eastAsia"/>
          <w:spacing w:val="-7"/>
          <w:sz w:val="21"/>
        </w:rPr>
        <w:t>（</w:t>
      </w:r>
      <w:r>
        <w:rPr>
          <w:rFonts w:hint="eastAsia"/>
          <w:spacing w:val="-7"/>
          <w:sz w:val="21"/>
          <w:lang w:val="en-US"/>
        </w:rPr>
        <w:t>3</w:t>
      </w:r>
      <w:r>
        <w:rPr>
          <w:rFonts w:hint="eastAsia"/>
          <w:spacing w:val="-7"/>
          <w:sz w:val="21"/>
        </w:rPr>
        <w:t>）第七章</w:t>
      </w:r>
      <w:r>
        <w:rPr>
          <w:rFonts w:hint="eastAsia"/>
          <w:spacing w:val="-7"/>
          <w:sz w:val="21"/>
          <w:lang w:val="en-US"/>
        </w:rPr>
        <w:t>响应</w:t>
      </w:r>
      <w:r>
        <w:rPr>
          <w:rFonts w:hint="eastAsia"/>
          <w:spacing w:val="-7"/>
          <w:sz w:val="21"/>
        </w:rPr>
        <w:t>文件格式</w:t>
      </w:r>
      <w:r>
        <w:rPr>
          <w:rFonts w:hint="eastAsia"/>
          <w:spacing w:val="-7"/>
          <w:sz w:val="21"/>
          <w:lang w:val="en-US"/>
        </w:rPr>
        <w:t>或其他文件格式</w:t>
      </w:r>
      <w:r>
        <w:rPr>
          <w:rFonts w:hint="eastAsia"/>
          <w:spacing w:val="-7"/>
          <w:sz w:val="21"/>
        </w:rPr>
        <w:t>要求盖单位</w:t>
      </w:r>
      <w:r>
        <w:rPr>
          <w:rFonts w:hint="eastAsia"/>
          <w:spacing w:val="-7"/>
          <w:sz w:val="21"/>
          <w:lang w:val="en-US"/>
        </w:rPr>
        <w:t>公</w:t>
      </w:r>
      <w:r>
        <w:rPr>
          <w:rFonts w:hint="eastAsia"/>
          <w:spacing w:val="-7"/>
          <w:sz w:val="21"/>
        </w:rPr>
        <w:t>章的地方，</w:t>
      </w:r>
      <w:r>
        <w:rPr>
          <w:rFonts w:hint="eastAsia"/>
          <w:spacing w:val="-7"/>
          <w:sz w:val="21"/>
          <w:lang w:val="en-US"/>
        </w:rPr>
        <w:t>供应商</w:t>
      </w:r>
      <w:r>
        <w:rPr>
          <w:rFonts w:hint="eastAsia"/>
          <w:spacing w:val="-7"/>
          <w:sz w:val="21"/>
        </w:rPr>
        <w:t>均应使用CA 数字证书加盖</w:t>
      </w:r>
      <w:r>
        <w:rPr>
          <w:rFonts w:hint="eastAsia"/>
          <w:spacing w:val="-7"/>
          <w:sz w:val="21"/>
          <w:lang w:val="en-US"/>
        </w:rPr>
        <w:t>供应商</w:t>
      </w:r>
      <w:r>
        <w:rPr>
          <w:rFonts w:hint="eastAsia"/>
          <w:spacing w:val="-7"/>
          <w:sz w:val="21"/>
        </w:rPr>
        <w:t>的单位电子印章；</w:t>
      </w:r>
      <w:r>
        <w:rPr>
          <w:rFonts w:hint="eastAsia"/>
          <w:spacing w:val="-7"/>
          <w:sz w:val="21"/>
          <w:lang w:val="en-US"/>
        </w:rPr>
        <w:t>要求盖章或签字的地方，若是</w:t>
      </w:r>
      <w:r>
        <w:rPr>
          <w:rFonts w:hint="eastAsia"/>
          <w:spacing w:val="-7"/>
          <w:sz w:val="21"/>
        </w:rPr>
        <w:t>法定代表人</w:t>
      </w:r>
      <w:r>
        <w:rPr>
          <w:rFonts w:hint="eastAsia"/>
          <w:spacing w:val="-7"/>
          <w:sz w:val="21"/>
          <w:lang w:val="en-US"/>
        </w:rPr>
        <w:t>签章必须加盖法定代表人</w:t>
      </w:r>
      <w:r>
        <w:rPr>
          <w:rFonts w:hint="eastAsia"/>
          <w:spacing w:val="-7"/>
          <w:sz w:val="21"/>
        </w:rPr>
        <w:t>的个人电子印章，</w:t>
      </w:r>
      <w:r>
        <w:rPr>
          <w:rFonts w:hint="eastAsia"/>
          <w:spacing w:val="-7"/>
          <w:sz w:val="21"/>
          <w:lang w:val="en-US"/>
        </w:rPr>
        <w:t>若是委托代理人签字，可以手写签字完成</w:t>
      </w:r>
      <w:r>
        <w:rPr>
          <w:rFonts w:hint="eastAsia"/>
          <w:spacing w:val="-7"/>
          <w:sz w:val="21"/>
        </w:rPr>
        <w:t>。</w:t>
      </w:r>
    </w:p>
    <w:p w14:paraId="117ADC83">
      <w:pPr>
        <w:pStyle w:val="37"/>
        <w:tabs>
          <w:tab w:val="left" w:pos="1185"/>
        </w:tabs>
        <w:spacing w:line="357" w:lineRule="auto"/>
        <w:ind w:left="660" w:right="695" w:firstLine="196" w:firstLineChars="100"/>
        <w:jc w:val="both"/>
        <w:rPr>
          <w:spacing w:val="-7"/>
          <w:sz w:val="21"/>
        </w:rPr>
      </w:pPr>
      <w:r>
        <w:rPr>
          <w:rFonts w:hint="eastAsia"/>
          <w:spacing w:val="-7"/>
          <w:sz w:val="21"/>
        </w:rPr>
        <w:t>（</w:t>
      </w:r>
      <w:r>
        <w:rPr>
          <w:rFonts w:hint="eastAsia"/>
          <w:spacing w:val="-7"/>
          <w:sz w:val="21"/>
          <w:lang w:val="en-US"/>
        </w:rPr>
        <w:t>4</w:t>
      </w:r>
      <w:r>
        <w:rPr>
          <w:rFonts w:hint="eastAsia"/>
          <w:spacing w:val="-7"/>
          <w:sz w:val="21"/>
        </w:rPr>
        <w:t>）电子</w:t>
      </w:r>
      <w:r>
        <w:rPr>
          <w:rFonts w:hint="eastAsia"/>
          <w:spacing w:val="-7"/>
          <w:sz w:val="21"/>
          <w:lang w:val="en-US"/>
        </w:rPr>
        <w:t>响应</w:t>
      </w:r>
      <w:r>
        <w:rPr>
          <w:rFonts w:hint="eastAsia"/>
          <w:spacing w:val="-7"/>
          <w:sz w:val="21"/>
        </w:rPr>
        <w:t>文件制作完成后，将生成一份加密的电子</w:t>
      </w:r>
      <w:r>
        <w:rPr>
          <w:rFonts w:hint="eastAsia"/>
          <w:spacing w:val="-7"/>
          <w:sz w:val="21"/>
          <w:lang w:val="en-US"/>
        </w:rPr>
        <w:t>响应</w:t>
      </w:r>
      <w:r>
        <w:rPr>
          <w:rFonts w:hint="eastAsia"/>
          <w:spacing w:val="-7"/>
          <w:sz w:val="21"/>
        </w:rPr>
        <w:t>文件。</w:t>
      </w:r>
    </w:p>
    <w:bookmarkEnd w:id="63"/>
    <w:bookmarkEnd w:id="64"/>
    <w:bookmarkEnd w:id="65"/>
    <w:bookmarkEnd w:id="66"/>
    <w:bookmarkEnd w:id="67"/>
    <w:bookmarkEnd w:id="68"/>
    <w:p w14:paraId="4CF727C2">
      <w:pPr>
        <w:pStyle w:val="37"/>
        <w:tabs>
          <w:tab w:val="left" w:pos="1185"/>
        </w:tabs>
        <w:spacing w:line="357" w:lineRule="auto"/>
        <w:ind w:left="660" w:right="695" w:firstLine="196" w:firstLineChars="100"/>
        <w:jc w:val="both"/>
        <w:rPr>
          <w:spacing w:val="-7"/>
          <w:sz w:val="21"/>
        </w:rPr>
      </w:pPr>
      <w:r>
        <w:rPr>
          <w:rFonts w:hint="eastAsia"/>
          <w:spacing w:val="-7"/>
          <w:sz w:val="21"/>
        </w:rPr>
        <w:t>（</w:t>
      </w:r>
      <w:r>
        <w:rPr>
          <w:rFonts w:hint="eastAsia"/>
          <w:spacing w:val="-7"/>
          <w:sz w:val="21"/>
          <w:lang w:val="en-US"/>
        </w:rPr>
        <w:t>5</w:t>
      </w:r>
      <w:r>
        <w:rPr>
          <w:rFonts w:hint="eastAsia"/>
          <w:spacing w:val="-7"/>
          <w:sz w:val="21"/>
        </w:rPr>
        <w:t>）电子</w:t>
      </w:r>
      <w:r>
        <w:rPr>
          <w:rFonts w:hint="eastAsia"/>
          <w:spacing w:val="-7"/>
          <w:sz w:val="21"/>
          <w:lang w:val="en-US"/>
        </w:rPr>
        <w:t>响应</w:t>
      </w:r>
      <w:r>
        <w:rPr>
          <w:rFonts w:hint="eastAsia"/>
          <w:spacing w:val="-7"/>
          <w:sz w:val="21"/>
        </w:rPr>
        <w:t>文件制作的具体方法详见“</w:t>
      </w:r>
      <w:r>
        <w:rPr>
          <w:rFonts w:hint="eastAsia"/>
          <w:spacing w:val="-7"/>
          <w:sz w:val="21"/>
          <w:lang w:val="en-US"/>
        </w:rPr>
        <w:t>投标文件</w:t>
      </w:r>
      <w:r>
        <w:rPr>
          <w:rFonts w:hint="eastAsia"/>
          <w:spacing w:val="-7"/>
          <w:sz w:val="21"/>
        </w:rPr>
        <w:t>制作工具”中的帮助文档。</w:t>
      </w:r>
    </w:p>
    <w:p w14:paraId="297FB922">
      <w:pPr>
        <w:pStyle w:val="3"/>
        <w:numPr>
          <w:ilvl w:val="0"/>
          <w:numId w:val="2"/>
        </w:numPr>
        <w:tabs>
          <w:tab w:val="left" w:pos="640"/>
        </w:tabs>
        <w:spacing w:before="145"/>
        <w:ind w:hanging="399"/>
        <w:rPr>
          <w:rFonts w:asciiTheme="majorEastAsia" w:hAnsiTheme="majorEastAsia" w:eastAsiaTheme="majorEastAsia"/>
        </w:rPr>
      </w:pPr>
      <w:bookmarkStart w:id="69" w:name="_TOC_250163"/>
      <w:bookmarkEnd w:id="69"/>
      <w:r>
        <w:rPr>
          <w:rFonts w:asciiTheme="majorEastAsia" w:hAnsiTheme="majorEastAsia" w:eastAsiaTheme="majorEastAsia"/>
        </w:rPr>
        <w:t>投标</w:t>
      </w:r>
    </w:p>
    <w:p w14:paraId="41FBEDBE">
      <w:pPr>
        <w:pStyle w:val="12"/>
        <w:spacing w:before="1"/>
        <w:rPr>
          <w:sz w:val="22"/>
        </w:rPr>
      </w:pPr>
      <w:bookmarkStart w:id="70" w:name="_TOC_250162"/>
      <w:bookmarkEnd w:id="70"/>
    </w:p>
    <w:p w14:paraId="592DFFA3">
      <w:pPr>
        <w:pStyle w:val="4"/>
        <w:tabs>
          <w:tab w:val="left" w:pos="867"/>
        </w:tabs>
        <w:ind w:left="376" w:firstLine="0"/>
        <w:rPr>
          <w:rFonts w:ascii="Times New Roman" w:eastAsia="Times New Roman"/>
        </w:rPr>
      </w:pPr>
      <w:bookmarkStart w:id="71" w:name="_TOC_250161"/>
      <w:bookmarkEnd w:id="71"/>
      <w:r>
        <w:rPr>
          <w:rFonts w:hint="eastAsia" w:asciiTheme="majorEastAsia" w:hAnsiTheme="majorEastAsia" w:eastAsiaTheme="majorEastAsia"/>
          <w:b/>
          <w:lang w:val="en-US"/>
        </w:rPr>
        <w:t xml:space="preserve">4.1 </w:t>
      </w:r>
      <w:r>
        <w:rPr>
          <w:rFonts w:hint="eastAsia" w:asciiTheme="majorEastAsia" w:hAnsiTheme="majorEastAsia" w:eastAsiaTheme="majorEastAsia"/>
          <w:b/>
        </w:rPr>
        <w:t>响应</w:t>
      </w:r>
      <w:r>
        <w:rPr>
          <w:rFonts w:asciiTheme="majorEastAsia" w:hAnsiTheme="majorEastAsia" w:eastAsiaTheme="majorEastAsia"/>
          <w:b/>
        </w:rPr>
        <w:t>文件的递交</w:t>
      </w:r>
    </w:p>
    <w:p w14:paraId="762D4F11">
      <w:pPr>
        <w:pStyle w:val="12"/>
        <w:rPr>
          <w:rFonts w:ascii="黑体"/>
          <w:sz w:val="29"/>
        </w:rPr>
      </w:pPr>
    </w:p>
    <w:p w14:paraId="42FFCE77">
      <w:pPr>
        <w:snapToGrid w:val="0"/>
        <w:spacing w:line="360" w:lineRule="auto"/>
        <w:ind w:firstLine="490" w:firstLineChars="250"/>
        <w:rPr>
          <w:spacing w:val="-7"/>
          <w:sz w:val="21"/>
          <w:lang w:val="en-US"/>
        </w:rPr>
      </w:pPr>
      <w:r>
        <w:rPr>
          <w:rFonts w:hint="eastAsia"/>
          <w:spacing w:val="-7"/>
          <w:sz w:val="21"/>
          <w:lang w:val="en-US"/>
        </w:rPr>
        <w:t>4.1.1 本项目不再接受纸质原件（供应商编制响应文件时，涉及营业执照、资质、业绩、获奖、人员、财务、社保、纳税、各类证书等内容，须原件扫描编制在响应文件内，并作为评分依据）。磋商小组不再核查原件，以递交的响应文件中的内容为准。</w:t>
      </w:r>
    </w:p>
    <w:p w14:paraId="032ED9EA">
      <w:pPr>
        <w:snapToGrid w:val="0"/>
        <w:spacing w:line="360" w:lineRule="auto"/>
        <w:ind w:firstLine="490" w:firstLineChars="250"/>
        <w:rPr>
          <w:spacing w:val="-7"/>
          <w:sz w:val="21"/>
          <w:lang w:val="en-US"/>
        </w:rPr>
      </w:pPr>
      <w:r>
        <w:rPr>
          <w:rFonts w:hint="eastAsia"/>
          <w:spacing w:val="-7"/>
          <w:sz w:val="21"/>
          <w:lang w:val="en-US"/>
        </w:rPr>
        <w:t>4.1.2 网上递交：投标供应商应当在递交响应文件截止时间前，通过互联网使用 CA 数字证书登录“</w:t>
      </w:r>
      <w:r>
        <w:rPr>
          <w:rFonts w:hint="eastAsia"/>
          <w:szCs w:val="21"/>
          <w:lang w:val="en-US"/>
        </w:rPr>
        <w:t>信阳市公共资源交易中心商城县分中心</w:t>
      </w:r>
      <w:r>
        <w:rPr>
          <w:rFonts w:hint="eastAsia"/>
          <w:spacing w:val="-7"/>
          <w:sz w:val="21"/>
          <w:lang w:val="en-US"/>
        </w:rPr>
        <w:t>”，将已加密电子响应文件上传，并确定已加密响应文件保存上传成功。逾期未完成上传或未按规定加密的响应文件，采购人将拒收。</w:t>
      </w:r>
    </w:p>
    <w:p w14:paraId="071824D5">
      <w:pPr>
        <w:pStyle w:val="12"/>
        <w:tabs>
          <w:tab w:val="left" w:pos="1481"/>
          <w:tab w:val="left" w:pos="2834"/>
          <w:tab w:val="left" w:pos="3401"/>
          <w:tab w:val="left" w:pos="5032"/>
          <w:tab w:val="left" w:pos="6141"/>
          <w:tab w:val="left" w:pos="7219"/>
          <w:tab w:val="left" w:pos="7634"/>
        </w:tabs>
        <w:spacing w:line="358" w:lineRule="auto"/>
        <w:ind w:firstLine="490" w:firstLineChars="250"/>
        <w:jc w:val="both"/>
        <w:rPr>
          <w:lang w:val="en-US"/>
        </w:rPr>
      </w:pPr>
      <w:r>
        <w:rPr>
          <w:rFonts w:hint="eastAsia"/>
          <w:spacing w:val="-7"/>
          <w:lang w:val="en-US"/>
        </w:rPr>
        <w:t xml:space="preserve">4.1.3 </w:t>
      </w:r>
      <w:r>
        <w:rPr>
          <w:rFonts w:hint="eastAsia"/>
          <w:color w:val="000000" w:themeColor="text1"/>
          <w:lang w:val="en-US"/>
          <w14:textFill>
            <w14:solidFill>
              <w14:schemeClr w14:val="tx1"/>
            </w14:solidFill>
          </w14:textFill>
        </w:rPr>
        <w:t>供应商应当在截止时间前，使用投标人CA数字证书登录不见面开标大厅，在线签到并准时参加开启活动，并在规定时间内完成响应文件解密、答疑澄清等；</w:t>
      </w:r>
    </w:p>
    <w:p w14:paraId="705264DE">
      <w:pPr>
        <w:snapToGrid w:val="0"/>
        <w:spacing w:line="360" w:lineRule="auto"/>
        <w:ind w:firstLine="490" w:firstLineChars="250"/>
        <w:rPr>
          <w:spacing w:val="-7"/>
          <w:sz w:val="21"/>
          <w:lang w:val="en-US"/>
        </w:rPr>
      </w:pPr>
      <w:r>
        <w:rPr>
          <w:rFonts w:hint="eastAsia"/>
          <w:spacing w:val="-7"/>
          <w:sz w:val="21"/>
          <w:lang w:val="en-US"/>
        </w:rPr>
        <w:t>4.1.4 本项目为全流程电子化交易项目。评审时，磋商小组以电子响应文件为评标依据，采用电子化评审。</w:t>
      </w:r>
    </w:p>
    <w:p w14:paraId="0DDB80E1">
      <w:pPr>
        <w:pStyle w:val="25"/>
        <w:ind w:firstLine="0" w:firstLineChars="0"/>
        <w:rPr>
          <w:lang w:val="en-US"/>
        </w:rPr>
      </w:pPr>
    </w:p>
    <w:p w14:paraId="3A342C97">
      <w:pPr>
        <w:pStyle w:val="25"/>
        <w:ind w:firstLine="281"/>
        <w:outlineLvl w:val="2"/>
        <w:rPr>
          <w:rFonts w:cs="黑体" w:asciiTheme="majorEastAsia" w:hAnsiTheme="majorEastAsia" w:eastAsiaTheme="majorEastAsia"/>
          <w:b/>
          <w:sz w:val="28"/>
          <w:szCs w:val="28"/>
          <w:lang w:val="en-US"/>
        </w:rPr>
      </w:pPr>
      <w:r>
        <w:rPr>
          <w:rFonts w:hint="eastAsia" w:cs="黑体" w:asciiTheme="majorEastAsia" w:hAnsiTheme="majorEastAsia" w:eastAsiaTheme="majorEastAsia"/>
          <w:b/>
          <w:sz w:val="28"/>
          <w:szCs w:val="28"/>
          <w:lang w:val="en-US"/>
        </w:rPr>
        <w:t xml:space="preserve">4.2 </w:t>
      </w:r>
      <w:r>
        <w:rPr>
          <w:rFonts w:hint="eastAsia" w:cs="黑体" w:asciiTheme="majorEastAsia" w:hAnsiTheme="majorEastAsia" w:eastAsiaTheme="majorEastAsia"/>
          <w:b/>
          <w:sz w:val="28"/>
          <w:szCs w:val="28"/>
        </w:rPr>
        <w:t>响应文件的修改与撤回</w:t>
      </w:r>
    </w:p>
    <w:p w14:paraId="4E5E2806">
      <w:pPr>
        <w:snapToGrid w:val="0"/>
        <w:spacing w:line="360" w:lineRule="auto"/>
        <w:ind w:left="209" w:leftChars="95" w:firstLine="392" w:firstLineChars="200"/>
        <w:rPr>
          <w:spacing w:val="-7"/>
          <w:sz w:val="21"/>
          <w:lang w:val="en-US"/>
        </w:rPr>
      </w:pPr>
    </w:p>
    <w:p w14:paraId="0727F318">
      <w:pPr>
        <w:snapToGrid w:val="0"/>
        <w:spacing w:line="360" w:lineRule="auto"/>
        <w:ind w:firstLine="588" w:firstLineChars="300"/>
        <w:rPr>
          <w:spacing w:val="-7"/>
          <w:sz w:val="21"/>
          <w:lang w:val="en-US"/>
        </w:rPr>
      </w:pPr>
      <w:bookmarkStart w:id="72" w:name="_TOC_250160"/>
      <w:bookmarkEnd w:id="72"/>
      <w:r>
        <w:rPr>
          <w:rFonts w:hint="eastAsia"/>
          <w:spacing w:val="-7"/>
          <w:sz w:val="21"/>
          <w:lang w:val="en-US"/>
        </w:rPr>
        <w:t>4.2.1 在规定的投标截止时间前，供应商可以多次修改或撤回已递交的响应文件，最终响应文件以投标截止时间前完成上传至</w:t>
      </w:r>
      <w:r>
        <w:rPr>
          <w:rFonts w:hint="eastAsia"/>
          <w:szCs w:val="21"/>
          <w:lang w:val="en-US"/>
        </w:rPr>
        <w:t>信阳市公共资源交易中心商城县分中心</w:t>
      </w:r>
      <w:r>
        <w:rPr>
          <w:rFonts w:hint="eastAsia"/>
          <w:spacing w:val="-7"/>
          <w:sz w:val="21"/>
          <w:lang w:val="en-US"/>
        </w:rPr>
        <w:t xml:space="preserve">交易系统最后一份响应文件为准。 </w:t>
      </w:r>
    </w:p>
    <w:p w14:paraId="52BA8A92">
      <w:pPr>
        <w:snapToGrid w:val="0"/>
        <w:spacing w:line="360" w:lineRule="auto"/>
        <w:ind w:firstLine="588" w:firstLineChars="300"/>
        <w:rPr>
          <w:spacing w:val="-7"/>
          <w:sz w:val="21"/>
          <w:lang w:val="en-US"/>
        </w:rPr>
      </w:pPr>
      <w:r>
        <w:rPr>
          <w:rFonts w:hint="eastAsia"/>
          <w:spacing w:val="-7"/>
          <w:sz w:val="21"/>
          <w:lang w:val="en-US"/>
        </w:rPr>
        <w:t xml:space="preserve">4.2.2 修改的响应文件应按照本章第3.6条、第4.1条规定进行编制和递交。 </w:t>
      </w:r>
    </w:p>
    <w:p w14:paraId="3BBCBC89">
      <w:pPr>
        <w:pStyle w:val="3"/>
        <w:numPr>
          <w:ilvl w:val="0"/>
          <w:numId w:val="2"/>
        </w:numPr>
        <w:tabs>
          <w:tab w:val="left" w:pos="640"/>
        </w:tabs>
        <w:spacing w:before="144"/>
        <w:ind w:hanging="399"/>
        <w:rPr>
          <w:rFonts w:asciiTheme="majorEastAsia" w:hAnsiTheme="majorEastAsia" w:eastAsiaTheme="majorEastAsia"/>
        </w:rPr>
      </w:pPr>
      <w:bookmarkStart w:id="73" w:name="_TOC_250159"/>
      <w:bookmarkEnd w:id="73"/>
      <w:r>
        <w:rPr>
          <w:rFonts w:hint="eastAsia" w:asciiTheme="majorEastAsia" w:hAnsiTheme="majorEastAsia" w:eastAsiaTheme="majorEastAsia"/>
          <w:lang w:val="en-US" w:eastAsia="zh-CN"/>
        </w:rPr>
        <w:t>响应文件的开启</w:t>
      </w:r>
    </w:p>
    <w:p w14:paraId="4C1D9ECE"/>
    <w:p w14:paraId="59CA5BBF">
      <w:pPr>
        <w:pStyle w:val="12"/>
        <w:tabs>
          <w:tab w:val="left" w:pos="1481"/>
          <w:tab w:val="left" w:pos="2834"/>
          <w:tab w:val="left" w:pos="3401"/>
          <w:tab w:val="left" w:pos="5032"/>
          <w:tab w:val="left" w:pos="6141"/>
          <w:tab w:val="left" w:pos="7219"/>
          <w:tab w:val="left" w:pos="7634"/>
        </w:tabs>
        <w:spacing w:line="358" w:lineRule="auto"/>
        <w:ind w:left="194" w:leftChars="88" w:firstLine="392" w:firstLineChars="200"/>
        <w:jc w:val="both"/>
        <w:rPr>
          <w:spacing w:val="-7"/>
          <w:lang w:val="en-US"/>
        </w:rPr>
      </w:pPr>
      <w:bookmarkStart w:id="74" w:name="_TOC_250155"/>
      <w:bookmarkEnd w:id="74"/>
      <w:r>
        <w:rPr>
          <w:rFonts w:hint="eastAsia"/>
          <w:spacing w:val="-7"/>
          <w:lang w:val="en-US" w:eastAsia="zh-CN"/>
        </w:rPr>
        <w:t xml:space="preserve">5.1 </w:t>
      </w:r>
      <w:r>
        <w:rPr>
          <w:rFonts w:hint="eastAsia"/>
          <w:spacing w:val="-7"/>
          <w:lang w:val="en-US"/>
        </w:rPr>
        <w:t>政府采购采用远程不见面开标模式</w:t>
      </w:r>
      <w:r>
        <w:rPr>
          <w:rFonts w:hint="eastAsia"/>
          <w:spacing w:val="-7"/>
          <w:lang w:val="en-US" w:eastAsia="zh-CN"/>
        </w:rPr>
        <w:t>，</w:t>
      </w:r>
      <w:r>
        <w:rPr>
          <w:rFonts w:hint="eastAsia"/>
          <w:spacing w:val="-7"/>
          <w:lang w:val="en-US"/>
        </w:rPr>
        <w:fldChar w:fldCharType="begin"/>
      </w:r>
      <w:r>
        <w:rPr>
          <w:rFonts w:hint="eastAsia"/>
          <w:spacing w:val="-7"/>
          <w:lang w:val="en-US"/>
        </w:rPr>
        <w:instrText xml:space="preserve"> HYPERLINK "http://117.158.91.68:8095/xxhy，投标人无需寄送和递交非加密的电子投标文件，无需到现场参加开标会议，无需到达现场提交原件资料。" </w:instrText>
      </w:r>
      <w:r>
        <w:rPr>
          <w:rFonts w:hint="eastAsia"/>
          <w:spacing w:val="-7"/>
          <w:lang w:val="en-US"/>
        </w:rPr>
        <w:fldChar w:fldCharType="separate"/>
      </w:r>
      <w:r>
        <w:rPr>
          <w:rFonts w:hint="eastAsia"/>
          <w:spacing w:val="-7"/>
          <w:lang w:val="en-US"/>
        </w:rPr>
        <w:t>供应商无需寄送和递交非加密的电子响应文件，无需到现场参加开标会议，无需到达现场提交原件资料。</w:t>
      </w:r>
      <w:r>
        <w:rPr>
          <w:rFonts w:hint="eastAsia"/>
          <w:spacing w:val="-7"/>
          <w:lang w:val="en-US"/>
        </w:rPr>
        <w:fldChar w:fldCharType="end"/>
      </w:r>
    </w:p>
    <w:p w14:paraId="6C16B2ED">
      <w:pPr>
        <w:pStyle w:val="12"/>
        <w:tabs>
          <w:tab w:val="left" w:pos="1481"/>
          <w:tab w:val="left" w:pos="2834"/>
          <w:tab w:val="left" w:pos="3401"/>
          <w:tab w:val="left" w:pos="5032"/>
          <w:tab w:val="left" w:pos="6141"/>
          <w:tab w:val="left" w:pos="7219"/>
          <w:tab w:val="left" w:pos="7634"/>
        </w:tabs>
        <w:spacing w:line="358" w:lineRule="auto"/>
        <w:ind w:left="194" w:leftChars="88" w:firstLine="392" w:firstLineChars="200"/>
        <w:jc w:val="both"/>
        <w:rPr>
          <w:spacing w:val="-7"/>
          <w:lang w:val="en-US"/>
        </w:rPr>
      </w:pPr>
      <w:r>
        <w:rPr>
          <w:rFonts w:hint="eastAsia"/>
          <w:spacing w:val="-7"/>
          <w:lang w:val="en-US" w:eastAsia="zh-CN"/>
        </w:rPr>
        <w:t xml:space="preserve">5.2 </w:t>
      </w:r>
      <w:r>
        <w:rPr>
          <w:rFonts w:hint="eastAsia"/>
          <w:spacing w:val="-7"/>
          <w:lang w:val="en-US"/>
        </w:rPr>
        <w:t>供应商应当在投标截止时间前，使用供应商CA数字证书登录不见面开标大厅，在线签到并准时参加开标活动，并在规定时间内完成响应文件解密、答疑澄清等。</w:t>
      </w:r>
    </w:p>
    <w:p w14:paraId="294D9256">
      <w:pPr>
        <w:pStyle w:val="12"/>
        <w:tabs>
          <w:tab w:val="left" w:pos="1481"/>
          <w:tab w:val="left" w:pos="2834"/>
          <w:tab w:val="left" w:pos="3401"/>
          <w:tab w:val="left" w:pos="5032"/>
          <w:tab w:val="left" w:pos="6141"/>
          <w:tab w:val="left" w:pos="7219"/>
          <w:tab w:val="left" w:pos="7634"/>
        </w:tabs>
        <w:spacing w:line="358" w:lineRule="auto"/>
        <w:ind w:left="194" w:leftChars="88" w:firstLine="392" w:firstLineChars="200"/>
        <w:jc w:val="both"/>
        <w:rPr>
          <w:spacing w:val="-7"/>
          <w:lang w:val="en-US"/>
        </w:rPr>
      </w:pPr>
      <w:r>
        <w:rPr>
          <w:rFonts w:hint="eastAsia"/>
          <w:spacing w:val="-7"/>
          <w:lang w:val="en-US" w:eastAsia="zh-CN"/>
        </w:rPr>
        <w:t xml:space="preserve">5.3 </w:t>
      </w:r>
      <w:r>
        <w:rPr>
          <w:rFonts w:hint="eastAsia"/>
          <w:spacing w:val="-7"/>
          <w:lang w:val="en-US"/>
        </w:rPr>
        <w:t>供应商需在解密开始后</w:t>
      </w:r>
      <w:r>
        <w:rPr>
          <w:rFonts w:hint="eastAsia"/>
          <w:spacing w:val="-7"/>
          <w:lang w:val="en-US" w:eastAsia="zh-CN"/>
        </w:rPr>
        <w:t>的规定时间内</w:t>
      </w:r>
      <w:r>
        <w:rPr>
          <w:rFonts w:hint="eastAsia"/>
          <w:spacing w:val="-7"/>
          <w:lang w:val="en-US"/>
        </w:rPr>
        <w:t>完成解密（当投标供应商过多时，解密时间可以适当延长）。在响应文件解密过程中，因供应商原因（如供应商准备不到位、电脑网络问题等），造成无法及时解密的，将被退回响应文件。</w:t>
      </w:r>
    </w:p>
    <w:p w14:paraId="4836BC15">
      <w:pPr>
        <w:pStyle w:val="12"/>
        <w:tabs>
          <w:tab w:val="left" w:pos="1481"/>
          <w:tab w:val="left" w:pos="2834"/>
          <w:tab w:val="left" w:pos="3401"/>
          <w:tab w:val="left" w:pos="5032"/>
          <w:tab w:val="left" w:pos="6141"/>
          <w:tab w:val="left" w:pos="7219"/>
          <w:tab w:val="left" w:pos="7634"/>
        </w:tabs>
        <w:spacing w:line="358" w:lineRule="auto"/>
        <w:ind w:left="194" w:leftChars="88" w:firstLine="392" w:firstLineChars="200"/>
        <w:jc w:val="both"/>
        <w:rPr>
          <w:rFonts w:hint="eastAsia" w:ascii="宋体" w:hAnsi="宋体" w:eastAsia="宋体" w:cs="宋体"/>
          <w:spacing w:val="-7"/>
          <w:lang w:val="en-US"/>
        </w:rPr>
      </w:pPr>
      <w:r>
        <w:rPr>
          <w:rFonts w:hint="eastAsia"/>
          <w:spacing w:val="-7"/>
          <w:lang w:val="en-US" w:eastAsia="zh-CN"/>
        </w:rPr>
        <w:t xml:space="preserve">5.4 </w:t>
      </w:r>
      <w:r>
        <w:rPr>
          <w:rFonts w:hint="eastAsia"/>
          <w:spacing w:val="-7"/>
          <w:lang w:val="en-US"/>
        </w:rPr>
        <w:t>不见面开标服务的具体事</w:t>
      </w:r>
      <w:r>
        <w:rPr>
          <w:rFonts w:hint="eastAsia" w:ascii="宋体" w:hAnsi="宋体" w:eastAsia="宋体" w:cs="宋体"/>
          <w:spacing w:val="-7"/>
          <w:lang w:val="en-US"/>
        </w:rPr>
        <w:t>宜，</w:t>
      </w:r>
      <w:r>
        <w:rPr>
          <w:rFonts w:hint="eastAsia" w:ascii="宋体" w:hAnsi="宋体" w:eastAsia="宋体" w:cs="宋体"/>
          <w:spacing w:val="-7"/>
          <w:lang w:val="en-US" w:eastAsia="zh-CN"/>
        </w:rPr>
        <w:t>请查阅“全国公共资源交易平台（河南省·信阳市）”网站首页—下载专区—信阳市不见面开标大厅系统操作手册</w:t>
      </w:r>
      <w:r>
        <w:rPr>
          <w:rFonts w:hint="eastAsia" w:ascii="宋体" w:hAnsi="宋体" w:eastAsia="宋体" w:cs="宋体"/>
          <w:spacing w:val="-7"/>
          <w:lang w:val="en-US"/>
        </w:rPr>
        <w:t>。</w:t>
      </w:r>
    </w:p>
    <w:p w14:paraId="6F34DA78">
      <w:pPr>
        <w:pStyle w:val="12"/>
        <w:tabs>
          <w:tab w:val="left" w:pos="1481"/>
          <w:tab w:val="left" w:pos="2834"/>
          <w:tab w:val="left" w:pos="3401"/>
          <w:tab w:val="left" w:pos="5032"/>
          <w:tab w:val="left" w:pos="6141"/>
          <w:tab w:val="left" w:pos="7219"/>
          <w:tab w:val="left" w:pos="7634"/>
        </w:tabs>
        <w:spacing w:line="358" w:lineRule="auto"/>
        <w:ind w:left="194" w:leftChars="88" w:firstLine="392" w:firstLineChars="200"/>
        <w:jc w:val="both"/>
        <w:rPr>
          <w:spacing w:val="-7"/>
          <w:lang w:val="en-US"/>
        </w:rPr>
      </w:pPr>
      <w:r>
        <w:rPr>
          <w:rFonts w:hint="eastAsia"/>
          <w:spacing w:val="-7"/>
          <w:lang w:val="en-US" w:eastAsia="zh-CN"/>
        </w:rPr>
        <w:t xml:space="preserve">5.5 </w:t>
      </w:r>
      <w:r>
        <w:rPr>
          <w:rFonts w:hint="eastAsia"/>
          <w:spacing w:val="-7"/>
          <w:lang w:val="en-US"/>
        </w:rPr>
        <w:t>开标过程中，供应商如有异议，须在开标结束前通过系统提出，否则视同认可开标记录。开标结束后，对开标记录的任何异议不再接受。</w:t>
      </w:r>
    </w:p>
    <w:p w14:paraId="2F05A26F">
      <w:pPr>
        <w:pStyle w:val="3"/>
        <w:numPr>
          <w:ilvl w:val="0"/>
          <w:numId w:val="2"/>
        </w:numPr>
        <w:tabs>
          <w:tab w:val="left" w:pos="640"/>
        </w:tabs>
        <w:spacing w:before="144"/>
        <w:ind w:hanging="399"/>
        <w:rPr>
          <w:rFonts w:asciiTheme="majorEastAsia" w:hAnsiTheme="majorEastAsia" w:eastAsiaTheme="majorEastAsia"/>
        </w:rPr>
      </w:pPr>
      <w:bookmarkStart w:id="75" w:name="_TOC_250154"/>
      <w:bookmarkEnd w:id="75"/>
      <w:r>
        <w:rPr>
          <w:rFonts w:asciiTheme="majorEastAsia" w:hAnsiTheme="majorEastAsia" w:eastAsiaTheme="majorEastAsia"/>
        </w:rPr>
        <w:t>评</w:t>
      </w:r>
      <w:r>
        <w:rPr>
          <w:rFonts w:hint="eastAsia" w:asciiTheme="majorEastAsia" w:hAnsiTheme="majorEastAsia" w:eastAsiaTheme="majorEastAsia"/>
          <w:lang w:val="en-US"/>
        </w:rPr>
        <w:t>审</w:t>
      </w:r>
    </w:p>
    <w:p w14:paraId="4978581E">
      <w:pPr>
        <w:rPr>
          <w:rFonts w:cs="黑体" w:asciiTheme="majorEastAsia" w:hAnsiTheme="majorEastAsia" w:eastAsiaTheme="majorEastAsia"/>
          <w:b/>
          <w:sz w:val="28"/>
          <w:szCs w:val="28"/>
        </w:rPr>
      </w:pPr>
    </w:p>
    <w:p w14:paraId="5D662807">
      <w:pPr>
        <w:pStyle w:val="12"/>
        <w:spacing w:before="12"/>
        <w:ind w:firstLine="281" w:firstLineChars="100"/>
        <w:outlineLvl w:val="2"/>
        <w:rPr>
          <w:rFonts w:cs="黑体" w:asciiTheme="majorEastAsia" w:hAnsiTheme="majorEastAsia" w:eastAsiaTheme="majorEastAsia"/>
          <w:b/>
          <w:sz w:val="28"/>
          <w:szCs w:val="28"/>
          <w:lang w:val="en-US"/>
        </w:rPr>
      </w:pPr>
      <w:bookmarkStart w:id="76" w:name="_TOC_250153"/>
      <w:bookmarkEnd w:id="76"/>
      <w:r>
        <w:rPr>
          <w:rFonts w:hint="eastAsia" w:cs="黑体" w:asciiTheme="majorEastAsia" w:hAnsiTheme="majorEastAsia" w:eastAsiaTheme="majorEastAsia"/>
          <w:b/>
          <w:sz w:val="28"/>
          <w:szCs w:val="28"/>
          <w:lang w:val="en-US"/>
        </w:rPr>
        <w:t xml:space="preserve">6.1 </w:t>
      </w:r>
      <w:r>
        <w:rPr>
          <w:rFonts w:hint="eastAsia" w:cs="黑体" w:asciiTheme="majorEastAsia" w:hAnsiTheme="majorEastAsia" w:eastAsiaTheme="majorEastAsia"/>
          <w:b/>
          <w:sz w:val="28"/>
          <w:szCs w:val="28"/>
        </w:rPr>
        <w:t>磋商小组</w:t>
      </w:r>
    </w:p>
    <w:p w14:paraId="3A28DE2D">
      <w:pPr>
        <w:rPr>
          <w:lang w:val="en-US"/>
        </w:rPr>
      </w:pPr>
    </w:p>
    <w:p w14:paraId="52025296">
      <w:pPr>
        <w:pStyle w:val="37"/>
        <w:numPr>
          <w:ilvl w:val="2"/>
          <w:numId w:val="2"/>
        </w:numPr>
        <w:tabs>
          <w:tab w:val="left" w:pos="1185"/>
        </w:tabs>
        <w:spacing w:line="358" w:lineRule="auto"/>
        <w:ind w:left="238" w:firstLine="420"/>
        <w:jc w:val="both"/>
        <w:rPr>
          <w:sz w:val="21"/>
        </w:rPr>
      </w:pPr>
      <w:r>
        <w:rPr>
          <w:spacing w:val="-5"/>
          <w:sz w:val="21"/>
        </w:rPr>
        <w:t>评</w:t>
      </w:r>
      <w:r>
        <w:rPr>
          <w:rFonts w:hint="eastAsia"/>
          <w:spacing w:val="-5"/>
          <w:sz w:val="21"/>
          <w:lang w:val="en-US"/>
        </w:rPr>
        <w:t>审</w:t>
      </w:r>
      <w:r>
        <w:rPr>
          <w:spacing w:val="-5"/>
          <w:sz w:val="21"/>
        </w:rPr>
        <w:t>由</w:t>
      </w:r>
      <w:r>
        <w:rPr>
          <w:rFonts w:hint="eastAsia"/>
          <w:spacing w:val="-5"/>
          <w:sz w:val="21"/>
          <w:lang w:val="en-US"/>
        </w:rPr>
        <w:t>采购</w:t>
      </w:r>
      <w:r>
        <w:rPr>
          <w:spacing w:val="-5"/>
          <w:sz w:val="21"/>
        </w:rPr>
        <w:t>人依法组建的</w:t>
      </w:r>
      <w:r>
        <w:rPr>
          <w:rFonts w:hint="eastAsia"/>
          <w:spacing w:val="-5"/>
          <w:sz w:val="21"/>
          <w:lang w:val="en-US"/>
        </w:rPr>
        <w:t>磋商小组</w:t>
      </w:r>
      <w:r>
        <w:rPr>
          <w:spacing w:val="-5"/>
          <w:sz w:val="21"/>
        </w:rPr>
        <w:t>负责。</w:t>
      </w:r>
      <w:r>
        <w:rPr>
          <w:rFonts w:hint="eastAsia"/>
          <w:sz w:val="21"/>
          <w:lang w:val="en-US"/>
        </w:rPr>
        <w:t>磋商小组</w:t>
      </w:r>
      <w:r>
        <w:rPr>
          <w:sz w:val="21"/>
        </w:rPr>
        <w:t>成员人数以及技术、经济等方面专家的确定方式见</w:t>
      </w:r>
      <w:r>
        <w:rPr>
          <w:rFonts w:hint="eastAsia"/>
          <w:sz w:val="21"/>
          <w:lang w:val="en-US"/>
        </w:rPr>
        <w:t>供应商</w:t>
      </w:r>
      <w:r>
        <w:rPr>
          <w:sz w:val="21"/>
        </w:rPr>
        <w:t>须知前附表。</w:t>
      </w:r>
    </w:p>
    <w:p w14:paraId="7198E875">
      <w:pPr>
        <w:pStyle w:val="37"/>
        <w:numPr>
          <w:ilvl w:val="2"/>
          <w:numId w:val="2"/>
        </w:numPr>
        <w:tabs>
          <w:tab w:val="left" w:pos="1185"/>
        </w:tabs>
        <w:spacing w:line="266" w:lineRule="exact"/>
        <w:ind w:left="1184" w:hanging="525"/>
        <w:rPr>
          <w:sz w:val="21"/>
        </w:rPr>
      </w:pPr>
      <w:r>
        <w:rPr>
          <w:rFonts w:hint="eastAsia"/>
          <w:sz w:val="21"/>
          <w:lang w:val="en-US"/>
        </w:rPr>
        <w:t>磋商小组</w:t>
      </w:r>
      <w:r>
        <w:rPr>
          <w:sz w:val="21"/>
        </w:rPr>
        <w:t>成员有下列情形之一的，应当回避：</w:t>
      </w:r>
    </w:p>
    <w:p w14:paraId="29070A28">
      <w:pPr>
        <w:tabs>
          <w:tab w:val="left" w:pos="1485"/>
        </w:tabs>
        <w:spacing w:before="131"/>
        <w:ind w:firstLine="1050" w:firstLineChars="500"/>
        <w:rPr>
          <w:sz w:val="21"/>
        </w:rPr>
      </w:pPr>
      <w:r>
        <w:rPr>
          <w:rFonts w:hint="eastAsia"/>
          <w:sz w:val="21"/>
          <w:lang w:val="en-US"/>
        </w:rPr>
        <w:t>（1）供应商</w:t>
      </w:r>
      <w:r>
        <w:rPr>
          <w:sz w:val="21"/>
        </w:rPr>
        <w:t>或</w:t>
      </w:r>
      <w:r>
        <w:rPr>
          <w:rFonts w:hint="eastAsia"/>
          <w:sz w:val="21"/>
          <w:lang w:val="en-US"/>
        </w:rPr>
        <w:t>供应商</w:t>
      </w:r>
      <w:r>
        <w:rPr>
          <w:sz w:val="21"/>
        </w:rPr>
        <w:t>主要负责人的近亲属；</w:t>
      </w:r>
    </w:p>
    <w:p w14:paraId="1E4C1668">
      <w:pPr>
        <w:tabs>
          <w:tab w:val="left" w:pos="1485"/>
        </w:tabs>
        <w:spacing w:before="132"/>
        <w:ind w:firstLine="1050" w:firstLineChars="500"/>
        <w:rPr>
          <w:sz w:val="21"/>
        </w:rPr>
      </w:pPr>
      <w:r>
        <w:rPr>
          <w:rFonts w:hint="eastAsia"/>
          <w:sz w:val="21"/>
        </w:rPr>
        <w:t>（2）</w:t>
      </w:r>
      <w:r>
        <w:rPr>
          <w:sz w:val="21"/>
        </w:rPr>
        <w:t>项目主管部门或者行政监督部门的人员；</w:t>
      </w:r>
    </w:p>
    <w:p w14:paraId="1BD9827E">
      <w:pPr>
        <w:tabs>
          <w:tab w:val="left" w:pos="1485"/>
        </w:tabs>
        <w:spacing w:before="130"/>
        <w:ind w:firstLine="1050" w:firstLineChars="500"/>
        <w:rPr>
          <w:sz w:val="21"/>
        </w:rPr>
      </w:pPr>
      <w:r>
        <w:rPr>
          <w:rFonts w:hint="eastAsia"/>
          <w:sz w:val="21"/>
        </w:rPr>
        <w:t>（3）</w:t>
      </w:r>
      <w:r>
        <w:rPr>
          <w:sz w:val="21"/>
        </w:rPr>
        <w:t>与</w:t>
      </w:r>
      <w:r>
        <w:rPr>
          <w:rFonts w:hint="eastAsia"/>
          <w:sz w:val="21"/>
          <w:lang w:val="en-US"/>
        </w:rPr>
        <w:t>供应商</w:t>
      </w:r>
      <w:r>
        <w:rPr>
          <w:sz w:val="21"/>
        </w:rPr>
        <w:t>有经济利益关系，可能影响对投标公正评审的；</w:t>
      </w:r>
    </w:p>
    <w:p w14:paraId="77F6FA58">
      <w:pPr>
        <w:tabs>
          <w:tab w:val="left" w:pos="1486"/>
        </w:tabs>
        <w:spacing w:before="131"/>
        <w:ind w:firstLine="1050" w:firstLineChars="500"/>
        <w:rPr>
          <w:spacing w:val="-9"/>
          <w:sz w:val="21"/>
        </w:rPr>
      </w:pPr>
      <w:r>
        <w:rPr>
          <w:rFonts w:hint="eastAsia"/>
          <w:sz w:val="21"/>
        </w:rPr>
        <w:t>（4）</w:t>
      </w:r>
      <w:r>
        <w:rPr>
          <w:sz w:val="21"/>
        </w:rPr>
        <w:t>曾因在</w:t>
      </w:r>
      <w:r>
        <w:rPr>
          <w:spacing w:val="-9"/>
          <w:sz w:val="21"/>
        </w:rPr>
        <w:t>招标、评标以及其他与招标投标有关活动中从事违法行为而受过行政处罚或刑事处罚的；</w:t>
      </w:r>
    </w:p>
    <w:p w14:paraId="2FC717A4">
      <w:pPr>
        <w:tabs>
          <w:tab w:val="left" w:pos="1485"/>
        </w:tabs>
        <w:spacing w:line="268" w:lineRule="exact"/>
        <w:ind w:firstLine="1050" w:firstLineChars="500"/>
        <w:rPr>
          <w:sz w:val="21"/>
        </w:rPr>
      </w:pPr>
      <w:r>
        <w:rPr>
          <w:rFonts w:hint="eastAsia"/>
          <w:sz w:val="21"/>
        </w:rPr>
        <w:t>（5）</w:t>
      </w:r>
      <w:r>
        <w:rPr>
          <w:spacing w:val="-9"/>
          <w:sz w:val="21"/>
        </w:rPr>
        <w:t>与</w:t>
      </w:r>
      <w:r>
        <w:rPr>
          <w:rFonts w:hint="eastAsia"/>
          <w:spacing w:val="-9"/>
          <w:sz w:val="21"/>
          <w:lang w:val="en-US"/>
        </w:rPr>
        <w:t>供应商</w:t>
      </w:r>
      <w:r>
        <w:rPr>
          <w:spacing w:val="-9"/>
          <w:sz w:val="21"/>
        </w:rPr>
        <w:t>有其他利害</w:t>
      </w:r>
      <w:r>
        <w:rPr>
          <w:sz w:val="21"/>
        </w:rPr>
        <w:t>关系。</w:t>
      </w:r>
    </w:p>
    <w:p w14:paraId="5EC90BD2">
      <w:pPr>
        <w:pStyle w:val="37"/>
        <w:numPr>
          <w:ilvl w:val="2"/>
          <w:numId w:val="2"/>
        </w:numPr>
        <w:tabs>
          <w:tab w:val="left" w:pos="1185"/>
        </w:tabs>
        <w:spacing w:before="130" w:line="358" w:lineRule="auto"/>
        <w:ind w:left="238" w:firstLine="420"/>
        <w:jc w:val="both"/>
        <w:rPr>
          <w:sz w:val="21"/>
        </w:rPr>
      </w:pPr>
      <w:r>
        <w:rPr>
          <w:spacing w:val="-9"/>
          <w:sz w:val="21"/>
        </w:rPr>
        <w:t>评</w:t>
      </w:r>
      <w:r>
        <w:rPr>
          <w:rFonts w:hint="eastAsia"/>
          <w:spacing w:val="-9"/>
          <w:sz w:val="21"/>
          <w:lang w:val="en-US"/>
        </w:rPr>
        <w:t>审</w:t>
      </w:r>
      <w:r>
        <w:rPr>
          <w:spacing w:val="-9"/>
          <w:sz w:val="21"/>
        </w:rPr>
        <w:t>过程中，</w:t>
      </w:r>
      <w:r>
        <w:rPr>
          <w:rFonts w:hint="eastAsia"/>
          <w:sz w:val="21"/>
          <w:lang w:val="en-US"/>
        </w:rPr>
        <w:t>磋商小组</w:t>
      </w:r>
      <w:r>
        <w:rPr>
          <w:spacing w:val="-9"/>
          <w:sz w:val="21"/>
        </w:rPr>
        <w:t>成员有回避事由、擅离职守或者因健康等原因不能继续评</w:t>
      </w:r>
      <w:r>
        <w:rPr>
          <w:rFonts w:hint="eastAsia"/>
          <w:spacing w:val="-9"/>
          <w:sz w:val="21"/>
          <w:lang w:val="en-US"/>
        </w:rPr>
        <w:t>审</w:t>
      </w:r>
      <w:r>
        <w:rPr>
          <w:sz w:val="21"/>
        </w:rPr>
        <w:t>的，</w:t>
      </w:r>
      <w:r>
        <w:rPr>
          <w:rFonts w:hint="eastAsia"/>
          <w:sz w:val="21"/>
          <w:lang w:val="en-US"/>
        </w:rPr>
        <w:t>采购</w:t>
      </w:r>
      <w:r>
        <w:rPr>
          <w:sz w:val="21"/>
        </w:rPr>
        <w:t>人有权更换。被更换的</w:t>
      </w:r>
      <w:r>
        <w:rPr>
          <w:rFonts w:hint="eastAsia"/>
          <w:sz w:val="21"/>
          <w:lang w:val="en-US"/>
        </w:rPr>
        <w:t>磋商小组</w:t>
      </w:r>
      <w:r>
        <w:rPr>
          <w:sz w:val="21"/>
        </w:rPr>
        <w:t>成员作出的评审结论无效，由更换后的</w:t>
      </w:r>
      <w:r>
        <w:rPr>
          <w:rFonts w:hint="eastAsia"/>
          <w:sz w:val="21"/>
          <w:lang w:val="en-US"/>
        </w:rPr>
        <w:t>磋商小组</w:t>
      </w:r>
      <w:r>
        <w:rPr>
          <w:sz w:val="21"/>
        </w:rPr>
        <w:t>成员重新进行评审。</w:t>
      </w:r>
    </w:p>
    <w:p w14:paraId="6CFAC49D">
      <w:pPr>
        <w:pStyle w:val="4"/>
        <w:tabs>
          <w:tab w:val="left" w:pos="867"/>
        </w:tabs>
        <w:spacing w:before="151"/>
        <w:ind w:left="0" w:firstLine="281" w:firstLineChars="100"/>
        <w:rPr>
          <w:rFonts w:asciiTheme="majorEastAsia" w:hAnsiTheme="majorEastAsia" w:eastAsiaTheme="majorEastAsia"/>
          <w:b/>
        </w:rPr>
      </w:pPr>
      <w:bookmarkStart w:id="77" w:name="_TOC_250152"/>
      <w:bookmarkEnd w:id="77"/>
      <w:r>
        <w:rPr>
          <w:rFonts w:hint="eastAsia" w:asciiTheme="majorEastAsia" w:hAnsiTheme="majorEastAsia" w:eastAsiaTheme="majorEastAsia"/>
          <w:b/>
          <w:lang w:val="en-US"/>
        </w:rPr>
        <w:t>6.2</w:t>
      </w:r>
      <w:r>
        <w:rPr>
          <w:rFonts w:hint="eastAsia" w:asciiTheme="majorEastAsia" w:hAnsiTheme="majorEastAsia" w:eastAsiaTheme="majorEastAsia"/>
          <w:b/>
        </w:rPr>
        <w:t xml:space="preserve"> 评</w:t>
      </w:r>
      <w:r>
        <w:rPr>
          <w:rFonts w:hint="eastAsia" w:asciiTheme="majorEastAsia" w:hAnsiTheme="majorEastAsia" w:eastAsiaTheme="majorEastAsia"/>
          <w:b/>
          <w:lang w:val="en-US"/>
        </w:rPr>
        <w:t>审</w:t>
      </w:r>
      <w:r>
        <w:rPr>
          <w:rFonts w:hint="eastAsia" w:asciiTheme="majorEastAsia" w:hAnsiTheme="majorEastAsia" w:eastAsiaTheme="majorEastAsia"/>
          <w:b/>
        </w:rPr>
        <w:t>原则</w:t>
      </w:r>
    </w:p>
    <w:p w14:paraId="0F3583FE">
      <w:pPr>
        <w:pStyle w:val="12"/>
        <w:spacing w:before="12"/>
        <w:rPr>
          <w:rFonts w:ascii="黑体"/>
          <w:sz w:val="28"/>
        </w:rPr>
      </w:pPr>
    </w:p>
    <w:p w14:paraId="60C4CBCE">
      <w:pPr>
        <w:spacing w:line="400" w:lineRule="exact"/>
        <w:ind w:firstLine="576" w:firstLineChars="300"/>
        <w:rPr>
          <w:spacing w:val="-9"/>
          <w:sz w:val="21"/>
        </w:rPr>
      </w:pPr>
      <w:r>
        <w:rPr>
          <w:rFonts w:hint="eastAsia"/>
          <w:spacing w:val="-9"/>
          <w:sz w:val="21"/>
        </w:rPr>
        <w:t>按照《中华人民共和国政府采购法》及其实施条例和《评标委员会和评标办法暂行规定》等的相关法律法规规定，结合本工程特点，按照</w:t>
      </w:r>
      <w:r>
        <w:rPr>
          <w:rFonts w:hint="eastAsia"/>
          <w:spacing w:val="-9"/>
          <w:sz w:val="21"/>
          <w:lang w:val="en-US"/>
        </w:rPr>
        <w:t>磋商文件规定的</w:t>
      </w:r>
      <w:r>
        <w:rPr>
          <w:rFonts w:hint="eastAsia"/>
          <w:spacing w:val="-9"/>
          <w:sz w:val="21"/>
        </w:rPr>
        <w:t>评</w:t>
      </w:r>
      <w:r>
        <w:rPr>
          <w:rFonts w:hint="eastAsia"/>
          <w:spacing w:val="-9"/>
          <w:sz w:val="21"/>
          <w:lang w:val="en-US"/>
        </w:rPr>
        <w:t>审</w:t>
      </w:r>
      <w:r>
        <w:rPr>
          <w:rFonts w:hint="eastAsia"/>
          <w:spacing w:val="-9"/>
          <w:sz w:val="21"/>
        </w:rPr>
        <w:t>办法及下述原则进行评</w:t>
      </w:r>
      <w:r>
        <w:rPr>
          <w:rFonts w:hint="eastAsia"/>
          <w:spacing w:val="-9"/>
          <w:sz w:val="21"/>
          <w:lang w:val="en-US"/>
        </w:rPr>
        <w:t>审</w:t>
      </w:r>
      <w:r>
        <w:rPr>
          <w:rFonts w:hint="eastAsia"/>
          <w:spacing w:val="-9"/>
          <w:sz w:val="21"/>
        </w:rPr>
        <w:t>：</w:t>
      </w:r>
    </w:p>
    <w:p w14:paraId="4974CA4B">
      <w:pPr>
        <w:spacing w:line="400" w:lineRule="exact"/>
        <w:ind w:firstLine="576" w:firstLineChars="300"/>
        <w:rPr>
          <w:spacing w:val="-9"/>
          <w:sz w:val="21"/>
        </w:rPr>
      </w:pPr>
      <w:r>
        <w:rPr>
          <w:rFonts w:hint="eastAsia"/>
          <w:spacing w:val="-9"/>
          <w:sz w:val="21"/>
        </w:rPr>
        <w:t>6.2.1  公平、公正、科学、择优；</w:t>
      </w:r>
    </w:p>
    <w:p w14:paraId="0F706B6A">
      <w:pPr>
        <w:spacing w:line="400" w:lineRule="exact"/>
        <w:ind w:firstLine="576" w:firstLineChars="300"/>
        <w:rPr>
          <w:spacing w:val="-9"/>
          <w:sz w:val="21"/>
        </w:rPr>
      </w:pPr>
      <w:r>
        <w:rPr>
          <w:rFonts w:hint="eastAsia"/>
          <w:spacing w:val="-9"/>
          <w:sz w:val="21"/>
        </w:rPr>
        <w:t>6.2.2  严格保密；</w:t>
      </w:r>
    </w:p>
    <w:p w14:paraId="02659427">
      <w:pPr>
        <w:spacing w:line="400" w:lineRule="exact"/>
        <w:ind w:firstLine="576" w:firstLineChars="300"/>
        <w:rPr>
          <w:spacing w:val="-9"/>
          <w:sz w:val="21"/>
        </w:rPr>
      </w:pPr>
      <w:r>
        <w:rPr>
          <w:rFonts w:hint="eastAsia"/>
          <w:spacing w:val="-9"/>
          <w:sz w:val="21"/>
        </w:rPr>
        <w:t>6.2.3  独立评审；</w:t>
      </w:r>
    </w:p>
    <w:p w14:paraId="5EBB965F">
      <w:pPr>
        <w:spacing w:line="400" w:lineRule="exact"/>
        <w:ind w:firstLine="576" w:firstLineChars="300"/>
        <w:rPr>
          <w:spacing w:val="-9"/>
          <w:sz w:val="21"/>
        </w:rPr>
      </w:pPr>
      <w:r>
        <w:rPr>
          <w:rFonts w:hint="eastAsia"/>
          <w:spacing w:val="-9"/>
          <w:sz w:val="21"/>
        </w:rPr>
        <w:t>6.2.4  严格遵守评</w:t>
      </w:r>
      <w:r>
        <w:rPr>
          <w:rFonts w:hint="eastAsia"/>
          <w:spacing w:val="-9"/>
          <w:sz w:val="21"/>
          <w:lang w:val="en-US"/>
        </w:rPr>
        <w:t>审</w:t>
      </w:r>
      <w:r>
        <w:rPr>
          <w:rFonts w:hint="eastAsia"/>
          <w:spacing w:val="-9"/>
          <w:sz w:val="21"/>
        </w:rPr>
        <w:t>方法。</w:t>
      </w:r>
    </w:p>
    <w:p w14:paraId="10312988">
      <w:pPr>
        <w:spacing w:line="420" w:lineRule="exact"/>
        <w:rPr>
          <w:sz w:val="28"/>
          <w:szCs w:val="28"/>
        </w:rPr>
      </w:pPr>
    </w:p>
    <w:p w14:paraId="01BB4234">
      <w:pPr>
        <w:spacing w:line="440" w:lineRule="exact"/>
        <w:ind w:firstLine="281" w:firstLineChars="100"/>
        <w:outlineLvl w:val="2"/>
        <w:rPr>
          <w:b/>
          <w:bCs/>
          <w:sz w:val="28"/>
          <w:szCs w:val="28"/>
        </w:rPr>
      </w:pPr>
      <w:r>
        <w:rPr>
          <w:rFonts w:hint="eastAsia"/>
          <w:b/>
          <w:bCs/>
          <w:sz w:val="28"/>
          <w:szCs w:val="28"/>
        </w:rPr>
        <w:t xml:space="preserve">6.3 </w:t>
      </w:r>
      <w:r>
        <w:rPr>
          <w:rFonts w:hint="eastAsia"/>
          <w:b/>
          <w:bCs/>
          <w:sz w:val="28"/>
          <w:szCs w:val="28"/>
          <w:lang w:val="en-US"/>
        </w:rPr>
        <w:t>响应</w:t>
      </w:r>
      <w:r>
        <w:rPr>
          <w:rFonts w:hint="eastAsia"/>
          <w:b/>
          <w:bCs/>
          <w:sz w:val="28"/>
          <w:szCs w:val="28"/>
        </w:rPr>
        <w:t>文件的符合性评审</w:t>
      </w:r>
    </w:p>
    <w:p w14:paraId="66435602">
      <w:pPr>
        <w:spacing w:line="380" w:lineRule="exact"/>
        <w:ind w:firstLine="440" w:firstLineChars="200"/>
      </w:pPr>
    </w:p>
    <w:p w14:paraId="5AF0ABD7">
      <w:pPr>
        <w:spacing w:line="400" w:lineRule="exact"/>
        <w:ind w:firstLine="576" w:firstLineChars="300"/>
        <w:rPr>
          <w:spacing w:val="-9"/>
          <w:sz w:val="21"/>
          <w:lang w:val="en-US"/>
        </w:rPr>
      </w:pPr>
      <w:r>
        <w:rPr>
          <w:rFonts w:hint="eastAsia"/>
          <w:spacing w:val="-9"/>
          <w:sz w:val="21"/>
          <w:lang w:val="en-US"/>
        </w:rPr>
        <w:t>6.3.1 在详细评审前，磋商小组将首先审定每份响应文件是否在实质上响应了磋商文件的要求。</w:t>
      </w:r>
    </w:p>
    <w:p w14:paraId="6170B981">
      <w:pPr>
        <w:spacing w:line="400" w:lineRule="exact"/>
        <w:ind w:firstLine="576" w:firstLineChars="300"/>
        <w:rPr>
          <w:spacing w:val="-9"/>
          <w:sz w:val="21"/>
          <w:lang w:val="en-US"/>
        </w:rPr>
      </w:pPr>
      <w:r>
        <w:rPr>
          <w:rFonts w:hint="eastAsia"/>
          <w:spacing w:val="-9"/>
          <w:sz w:val="21"/>
          <w:lang w:val="en-US"/>
        </w:rPr>
        <w:t>6.3.2 实质上响应磋商文件的响应文件，应该与磋商文件的所有规定的要求、条件、条款和规范相符，无显著差异或保留。所谓显著差异或保留是指采购范围、质量标准及运用产生实质性影响，或者对合同中规定的采购代理机构的权利及供应商的责任造成实质性限制，而且纠正这种差异或保留，将会对其他实质上响应要求的供应商的竞争地位产生不公正的影响。</w:t>
      </w:r>
    </w:p>
    <w:p w14:paraId="5BAA4274">
      <w:pPr>
        <w:spacing w:line="400" w:lineRule="exact"/>
        <w:ind w:firstLine="576" w:firstLineChars="300"/>
      </w:pPr>
      <w:r>
        <w:rPr>
          <w:rFonts w:hint="eastAsia"/>
          <w:spacing w:val="-9"/>
          <w:sz w:val="21"/>
          <w:lang w:val="en-US"/>
        </w:rPr>
        <w:t>6.3.3 如果响应文件实质上不响应磋商文件的要求，磋商小组将予以拒绝，并且不允许通过修正或撤消不符合要求的差异或保留，使之成为响应性的响应文件。</w:t>
      </w:r>
    </w:p>
    <w:p w14:paraId="72416349">
      <w:pPr>
        <w:pStyle w:val="25"/>
        <w:ind w:firstLine="210"/>
      </w:pPr>
    </w:p>
    <w:p w14:paraId="3FC956E8">
      <w:pPr>
        <w:spacing w:line="440" w:lineRule="exact"/>
        <w:ind w:firstLine="281" w:firstLineChars="100"/>
        <w:outlineLvl w:val="2"/>
        <w:rPr>
          <w:b/>
          <w:bCs/>
          <w:sz w:val="28"/>
          <w:szCs w:val="28"/>
        </w:rPr>
      </w:pPr>
      <w:r>
        <w:rPr>
          <w:rFonts w:hint="eastAsia"/>
          <w:b/>
          <w:bCs/>
          <w:sz w:val="28"/>
          <w:szCs w:val="28"/>
        </w:rPr>
        <w:t xml:space="preserve">6.4 </w:t>
      </w:r>
      <w:r>
        <w:rPr>
          <w:rFonts w:hint="eastAsia"/>
          <w:b/>
          <w:bCs/>
          <w:sz w:val="28"/>
          <w:szCs w:val="28"/>
          <w:lang w:val="en-US"/>
        </w:rPr>
        <w:t>响应</w:t>
      </w:r>
      <w:r>
        <w:rPr>
          <w:rFonts w:hint="eastAsia"/>
          <w:b/>
          <w:bCs/>
          <w:sz w:val="28"/>
          <w:szCs w:val="28"/>
        </w:rPr>
        <w:t>文件的评估和比较</w:t>
      </w:r>
    </w:p>
    <w:p w14:paraId="2843ED77">
      <w:pPr>
        <w:spacing w:line="400" w:lineRule="exact"/>
        <w:ind w:firstLine="440" w:firstLineChars="200"/>
      </w:pPr>
    </w:p>
    <w:p w14:paraId="452A4BA1">
      <w:pPr>
        <w:spacing w:line="400" w:lineRule="exact"/>
        <w:ind w:firstLine="576" w:firstLineChars="300"/>
        <w:rPr>
          <w:spacing w:val="-9"/>
          <w:sz w:val="21"/>
          <w:lang w:val="en-US"/>
        </w:rPr>
      </w:pPr>
      <w:r>
        <w:rPr>
          <w:rFonts w:hint="eastAsia"/>
          <w:spacing w:val="-9"/>
          <w:sz w:val="21"/>
          <w:lang w:val="en-US"/>
        </w:rPr>
        <w:t>6.4.1 磋商小组将按照本须知第6.3条款规定仅对实质性上响应磋商文件要求的响应文件进行评估和比较。</w:t>
      </w:r>
    </w:p>
    <w:p w14:paraId="10832761">
      <w:pPr>
        <w:spacing w:line="400" w:lineRule="exact"/>
        <w:ind w:firstLine="576" w:firstLineChars="300"/>
        <w:rPr>
          <w:spacing w:val="-9"/>
          <w:sz w:val="21"/>
          <w:lang w:val="en-US"/>
        </w:rPr>
      </w:pPr>
      <w:r>
        <w:rPr>
          <w:rFonts w:hint="eastAsia"/>
          <w:spacing w:val="-9"/>
          <w:sz w:val="21"/>
          <w:lang w:val="en-US"/>
        </w:rPr>
        <w:t>6.4.2 在评审过程中，磋商小组可能要求供应商就响应文件中含义不清或表述不明的内容进行澄清，采购人将以书面形式通知供应商，供应商应按要求进行澄清。</w:t>
      </w:r>
    </w:p>
    <w:p w14:paraId="3C58E5BD">
      <w:pPr>
        <w:spacing w:line="400" w:lineRule="exact"/>
        <w:ind w:firstLine="576" w:firstLineChars="300"/>
        <w:rPr>
          <w:spacing w:val="-9"/>
          <w:sz w:val="21"/>
          <w:lang w:val="en-US"/>
        </w:rPr>
      </w:pPr>
      <w:r>
        <w:rPr>
          <w:rFonts w:hint="eastAsia"/>
          <w:spacing w:val="-9"/>
          <w:sz w:val="21"/>
          <w:lang w:val="en-US"/>
        </w:rPr>
        <w:t>6.4.3 磋商小组依据磋商文件中的“评审标准和评分细则”规定的评审办法进行评审和比较，向采购人提交评审报告并受采购人委托推荐1-3名成交候选供应商。</w:t>
      </w:r>
    </w:p>
    <w:p w14:paraId="67F0A426">
      <w:pPr>
        <w:spacing w:line="400" w:lineRule="exact"/>
        <w:ind w:firstLine="576" w:firstLineChars="300"/>
        <w:rPr>
          <w:lang w:val="en-US"/>
        </w:rPr>
      </w:pPr>
      <w:r>
        <w:rPr>
          <w:rFonts w:hint="eastAsia"/>
          <w:spacing w:val="-9"/>
          <w:sz w:val="21"/>
          <w:lang w:val="en-US"/>
        </w:rPr>
        <w:t>6.4.4 对于供应商采用串标、围标</w:t>
      </w:r>
      <w:r>
        <w:rPr>
          <w:rFonts w:hint="eastAsia"/>
          <w:sz w:val="21"/>
          <w:lang w:val="en-US"/>
        </w:rPr>
        <w:t>或企图以恶</w:t>
      </w:r>
      <w:r>
        <w:rPr>
          <w:rFonts w:hint="eastAsia"/>
          <w:spacing w:val="-9"/>
          <w:sz w:val="21"/>
          <w:lang w:val="en-US"/>
        </w:rPr>
        <w:t>意抬高或压低造价谋取成交，及在报价中有明显缺项漏报等重大错误的，磋商小组有权否决其投标。</w:t>
      </w:r>
    </w:p>
    <w:p w14:paraId="578C3AAB">
      <w:pPr>
        <w:pStyle w:val="25"/>
        <w:ind w:firstLine="210"/>
      </w:pPr>
    </w:p>
    <w:p w14:paraId="2016F914">
      <w:pPr>
        <w:spacing w:line="440" w:lineRule="exact"/>
        <w:ind w:firstLine="281" w:firstLineChars="100"/>
        <w:outlineLvl w:val="2"/>
        <w:rPr>
          <w:b/>
          <w:bCs/>
          <w:sz w:val="28"/>
          <w:szCs w:val="28"/>
        </w:rPr>
      </w:pPr>
      <w:r>
        <w:rPr>
          <w:rFonts w:hint="eastAsia"/>
          <w:b/>
          <w:bCs/>
          <w:sz w:val="28"/>
          <w:szCs w:val="28"/>
        </w:rPr>
        <w:t xml:space="preserve">6.5 </w:t>
      </w:r>
      <w:r>
        <w:rPr>
          <w:rFonts w:hint="eastAsia"/>
          <w:b/>
          <w:bCs/>
          <w:sz w:val="28"/>
          <w:szCs w:val="28"/>
          <w:lang w:val="en-US"/>
        </w:rPr>
        <w:t>响应</w:t>
      </w:r>
      <w:r>
        <w:rPr>
          <w:rFonts w:hint="eastAsia"/>
          <w:b/>
          <w:bCs/>
          <w:sz w:val="28"/>
          <w:szCs w:val="28"/>
        </w:rPr>
        <w:t>文件的澄清</w:t>
      </w:r>
    </w:p>
    <w:p w14:paraId="5746AC76">
      <w:pPr>
        <w:spacing w:line="400" w:lineRule="exact"/>
        <w:ind w:firstLine="440" w:firstLineChars="200"/>
      </w:pPr>
    </w:p>
    <w:p w14:paraId="27B52E2E">
      <w:pPr>
        <w:spacing w:line="400" w:lineRule="exact"/>
        <w:ind w:firstLine="576" w:firstLineChars="300"/>
        <w:rPr>
          <w:spacing w:val="-9"/>
          <w:sz w:val="21"/>
          <w:lang w:val="en-US"/>
        </w:rPr>
      </w:pPr>
      <w:r>
        <w:rPr>
          <w:rFonts w:hint="eastAsia"/>
          <w:spacing w:val="-9"/>
          <w:sz w:val="21"/>
          <w:lang w:val="en-US"/>
        </w:rPr>
        <w:t>6.5.1 在必要时，磋商小组有权要求供应商澄清其响应文件。供应商须以书面形式对澄清问题予以解答。但澄清的问题不允许更改投标报价或响应文件的实质性内容。磋商小组不接受供应商主动提出的澄清、说明或补正。磋商小组可以书面方式要求供应商对下面问题澄清或补正：</w:t>
      </w:r>
    </w:p>
    <w:p w14:paraId="6BE0395C">
      <w:pPr>
        <w:spacing w:line="400" w:lineRule="exact"/>
        <w:ind w:firstLine="576" w:firstLineChars="300"/>
        <w:rPr>
          <w:spacing w:val="-9"/>
          <w:sz w:val="21"/>
          <w:lang w:val="en-US"/>
        </w:rPr>
      </w:pPr>
      <w:r>
        <w:rPr>
          <w:rFonts w:hint="eastAsia"/>
          <w:spacing w:val="-9"/>
          <w:sz w:val="21"/>
          <w:lang w:val="en-US"/>
        </w:rPr>
        <w:t>（1）对响应文件中含义不明确的；</w:t>
      </w:r>
    </w:p>
    <w:p w14:paraId="336B6B37">
      <w:pPr>
        <w:spacing w:line="400" w:lineRule="exact"/>
        <w:ind w:firstLine="576" w:firstLineChars="300"/>
        <w:rPr>
          <w:spacing w:val="-9"/>
          <w:sz w:val="21"/>
          <w:lang w:val="en-US"/>
        </w:rPr>
      </w:pPr>
      <w:r>
        <w:rPr>
          <w:rFonts w:hint="eastAsia"/>
          <w:spacing w:val="-9"/>
          <w:sz w:val="21"/>
          <w:lang w:val="en-US"/>
        </w:rPr>
        <w:t>（2）对同类问题表述不一；</w:t>
      </w:r>
    </w:p>
    <w:p w14:paraId="030FD90B">
      <w:pPr>
        <w:spacing w:line="400" w:lineRule="exact"/>
        <w:ind w:firstLine="576" w:firstLineChars="300"/>
        <w:rPr>
          <w:spacing w:val="-9"/>
          <w:sz w:val="21"/>
          <w:lang w:val="en-US"/>
        </w:rPr>
      </w:pPr>
      <w:r>
        <w:rPr>
          <w:rFonts w:hint="eastAsia"/>
          <w:spacing w:val="-9"/>
          <w:sz w:val="21"/>
          <w:lang w:val="en-US"/>
        </w:rPr>
        <w:t>（3）响应文件中存在细微偏差。所谓细微偏差是指实质上响应了磋商文件的要求，但个别处漏洞，或技术信息和数据不完整，经补正后不会造成不公平结果；</w:t>
      </w:r>
    </w:p>
    <w:p w14:paraId="6EFBB63A">
      <w:pPr>
        <w:spacing w:line="400" w:lineRule="exact"/>
        <w:ind w:firstLine="576" w:firstLineChars="300"/>
        <w:rPr>
          <w:spacing w:val="-9"/>
          <w:sz w:val="21"/>
          <w:lang w:val="en-US"/>
        </w:rPr>
      </w:pPr>
      <w:r>
        <w:rPr>
          <w:rFonts w:hint="eastAsia"/>
          <w:spacing w:val="-9"/>
          <w:sz w:val="21"/>
          <w:lang w:val="en-US"/>
        </w:rPr>
        <w:t>（4）发现某供应商的投标报价明显低于其他投标报价或明显低于成本价。</w:t>
      </w:r>
    </w:p>
    <w:p w14:paraId="73CB2C9C">
      <w:pPr>
        <w:spacing w:line="400" w:lineRule="exact"/>
        <w:ind w:firstLine="576" w:firstLineChars="300"/>
        <w:rPr>
          <w:spacing w:val="-9"/>
          <w:sz w:val="21"/>
          <w:lang w:val="en-US"/>
        </w:rPr>
      </w:pPr>
      <w:r>
        <w:rPr>
          <w:rFonts w:hint="eastAsia"/>
          <w:spacing w:val="-9"/>
          <w:sz w:val="21"/>
          <w:lang w:val="en-US"/>
        </w:rPr>
        <w:t>6.5.2 澄清、说明和补正不得改变响应文件的实质性内容（算术性错误修正的除外）。供应商的书面澄清、说明和补正属于响应文件的组成部分。</w:t>
      </w:r>
    </w:p>
    <w:p w14:paraId="06EE0575">
      <w:pPr>
        <w:spacing w:line="400" w:lineRule="exact"/>
        <w:ind w:firstLine="576" w:firstLineChars="300"/>
        <w:rPr>
          <w:spacing w:val="-9"/>
          <w:sz w:val="21"/>
          <w:lang w:val="en-US"/>
        </w:rPr>
      </w:pPr>
      <w:r>
        <w:rPr>
          <w:rFonts w:hint="eastAsia"/>
          <w:spacing w:val="-9"/>
          <w:sz w:val="21"/>
          <w:lang w:val="en-US"/>
        </w:rPr>
        <w:t>6.5.3 磋商小组对供应商提交的澄清、说明或补正有疑问的，可以要求供应商进一步澄清、说明或补正，直至满足磋商小组的要求。</w:t>
      </w:r>
      <w:bookmarkStart w:id="78" w:name="_TOC_250151"/>
      <w:bookmarkEnd w:id="78"/>
    </w:p>
    <w:p w14:paraId="14DF95B1">
      <w:pPr>
        <w:pStyle w:val="12"/>
        <w:rPr>
          <w:lang w:val="en-US"/>
        </w:rPr>
      </w:pPr>
    </w:p>
    <w:p w14:paraId="774CD075">
      <w:pPr>
        <w:pStyle w:val="4"/>
        <w:tabs>
          <w:tab w:val="left" w:pos="867"/>
        </w:tabs>
        <w:spacing w:before="151"/>
        <w:ind w:left="0" w:firstLine="281" w:firstLineChars="100"/>
        <w:rPr>
          <w:rFonts w:asciiTheme="majorEastAsia" w:hAnsiTheme="majorEastAsia" w:eastAsiaTheme="majorEastAsia"/>
          <w:b/>
        </w:rPr>
      </w:pPr>
      <w:r>
        <w:rPr>
          <w:rFonts w:hint="eastAsia" w:asciiTheme="majorEastAsia" w:hAnsiTheme="majorEastAsia" w:eastAsiaTheme="majorEastAsia"/>
          <w:b/>
          <w:lang w:val="en-US"/>
        </w:rPr>
        <w:t>6.6</w:t>
      </w:r>
      <w:r>
        <w:rPr>
          <w:rFonts w:hint="eastAsia" w:asciiTheme="majorEastAsia" w:hAnsiTheme="majorEastAsia" w:eastAsiaTheme="majorEastAsia"/>
          <w:b/>
        </w:rPr>
        <w:t xml:space="preserve"> </w:t>
      </w:r>
      <w:r>
        <w:rPr>
          <w:rFonts w:asciiTheme="majorEastAsia" w:hAnsiTheme="majorEastAsia" w:eastAsiaTheme="majorEastAsia"/>
          <w:b/>
        </w:rPr>
        <w:t>评</w:t>
      </w:r>
      <w:r>
        <w:rPr>
          <w:rFonts w:hint="eastAsia" w:asciiTheme="majorEastAsia" w:hAnsiTheme="majorEastAsia" w:eastAsiaTheme="majorEastAsia"/>
          <w:b/>
          <w:lang w:val="en-US"/>
        </w:rPr>
        <w:t>审</w:t>
      </w:r>
    </w:p>
    <w:p w14:paraId="6B2F61CC">
      <w:pPr>
        <w:pStyle w:val="12"/>
        <w:spacing w:before="12"/>
        <w:rPr>
          <w:rFonts w:ascii="黑体"/>
          <w:sz w:val="28"/>
        </w:rPr>
      </w:pPr>
    </w:p>
    <w:p w14:paraId="03CAB700">
      <w:pPr>
        <w:spacing w:line="400" w:lineRule="exact"/>
        <w:ind w:firstLine="576" w:firstLineChars="300"/>
        <w:rPr>
          <w:spacing w:val="-9"/>
          <w:sz w:val="21"/>
          <w:lang w:val="en-US"/>
        </w:rPr>
      </w:pPr>
      <w:bookmarkStart w:id="79" w:name="_TOC_250150"/>
      <w:bookmarkEnd w:id="79"/>
      <w:r>
        <w:rPr>
          <w:rFonts w:hint="eastAsia"/>
          <w:spacing w:val="-9"/>
          <w:sz w:val="21"/>
          <w:lang w:val="en-US"/>
        </w:rPr>
        <w:t>6.6.1磋商小组按照第三章“评审办法”规定的方法、评审因素、标准和程序对响应文件进行评审。第三章“评审办法”没有规定的方法、评审因素和标准，不作为评审依据。</w:t>
      </w:r>
    </w:p>
    <w:p w14:paraId="658BF947">
      <w:pPr>
        <w:spacing w:line="400" w:lineRule="exact"/>
        <w:ind w:firstLine="576" w:firstLineChars="300"/>
        <w:rPr>
          <w:spacing w:val="-9"/>
          <w:sz w:val="21"/>
          <w:lang w:val="en-US"/>
        </w:rPr>
      </w:pPr>
      <w:r>
        <w:rPr>
          <w:rFonts w:hint="eastAsia"/>
          <w:spacing w:val="-9"/>
          <w:sz w:val="21"/>
          <w:lang w:val="en-US"/>
        </w:rPr>
        <w:t>6.6.2评审完成后，磋商小组应当向采购人提交书面评审报告和成交候选供应商名单。磋商小组推荐成交候选供应商方式见供应商须知前附表。</w:t>
      </w:r>
    </w:p>
    <w:p w14:paraId="09A36499">
      <w:pPr>
        <w:pStyle w:val="12"/>
        <w:rPr>
          <w:spacing w:val="-9"/>
          <w:szCs w:val="22"/>
          <w:lang w:val="en-US"/>
        </w:rPr>
      </w:pPr>
    </w:p>
    <w:p w14:paraId="78BD59A9">
      <w:pPr>
        <w:spacing w:line="400" w:lineRule="exact"/>
        <w:ind w:firstLine="281" w:firstLineChars="100"/>
        <w:outlineLvl w:val="2"/>
        <w:rPr>
          <w:b/>
          <w:bCs/>
          <w:sz w:val="28"/>
          <w:szCs w:val="28"/>
        </w:rPr>
      </w:pPr>
      <w:r>
        <w:rPr>
          <w:rFonts w:hint="eastAsia"/>
          <w:b/>
          <w:bCs/>
          <w:sz w:val="28"/>
          <w:szCs w:val="28"/>
        </w:rPr>
        <w:t>6.7 特殊情况的处置程序</w:t>
      </w:r>
    </w:p>
    <w:p w14:paraId="2AD6396C">
      <w:pPr>
        <w:spacing w:line="400" w:lineRule="exact"/>
        <w:ind w:firstLine="440" w:firstLineChars="200"/>
      </w:pPr>
    </w:p>
    <w:p w14:paraId="1E76D1B5">
      <w:pPr>
        <w:spacing w:line="400" w:lineRule="exact"/>
        <w:ind w:firstLine="576" w:firstLineChars="300"/>
        <w:rPr>
          <w:spacing w:val="-9"/>
          <w:sz w:val="21"/>
          <w:lang w:val="en-US"/>
        </w:rPr>
      </w:pPr>
      <w:r>
        <w:rPr>
          <w:rFonts w:hint="eastAsia"/>
          <w:spacing w:val="-9"/>
          <w:sz w:val="21"/>
          <w:lang w:val="en-US"/>
        </w:rPr>
        <w:t>6.7.1 磋商小组应当执行连续评审的原则，按照评审办法中规定的程序、内容、方法、标准完成全部评审工作。只有发生不可抗力导致评审工作无法继续时，评审活动方可暂停。</w:t>
      </w:r>
    </w:p>
    <w:p w14:paraId="74C44A40">
      <w:pPr>
        <w:spacing w:line="400" w:lineRule="exact"/>
        <w:ind w:firstLine="576" w:firstLineChars="300"/>
        <w:rPr>
          <w:spacing w:val="-9"/>
          <w:sz w:val="21"/>
          <w:lang w:val="en-US"/>
        </w:rPr>
      </w:pPr>
      <w:r>
        <w:rPr>
          <w:rFonts w:hint="eastAsia"/>
          <w:spacing w:val="-9"/>
          <w:sz w:val="21"/>
          <w:lang w:val="en-US"/>
        </w:rPr>
        <w:t>6.7.2 发生评审暂停情况时，磋商小组应当封存全部响应文件和评审记录，待不可抗力的影响结束且具备继续评审的条件时，由原磋商小组继续评审。</w:t>
      </w:r>
    </w:p>
    <w:p w14:paraId="49BA6F9B">
      <w:pPr>
        <w:pStyle w:val="25"/>
        <w:ind w:firstLine="210"/>
      </w:pPr>
    </w:p>
    <w:p w14:paraId="053C53C6">
      <w:pPr>
        <w:spacing w:line="400" w:lineRule="exact"/>
        <w:ind w:firstLine="281" w:firstLineChars="100"/>
        <w:outlineLvl w:val="2"/>
        <w:rPr>
          <w:b/>
          <w:bCs/>
          <w:sz w:val="28"/>
          <w:szCs w:val="28"/>
        </w:rPr>
      </w:pPr>
      <w:r>
        <w:rPr>
          <w:rFonts w:hint="eastAsia"/>
          <w:b/>
          <w:bCs/>
          <w:sz w:val="28"/>
          <w:szCs w:val="28"/>
        </w:rPr>
        <w:t>6.8 关于评</w:t>
      </w:r>
      <w:r>
        <w:rPr>
          <w:rFonts w:hint="eastAsia"/>
          <w:b/>
          <w:bCs/>
          <w:sz w:val="28"/>
          <w:szCs w:val="28"/>
          <w:lang w:val="en-US"/>
        </w:rPr>
        <w:t>审</w:t>
      </w:r>
      <w:r>
        <w:rPr>
          <w:rFonts w:hint="eastAsia"/>
          <w:b/>
          <w:bCs/>
          <w:sz w:val="28"/>
          <w:szCs w:val="28"/>
        </w:rPr>
        <w:t>中途更换</w:t>
      </w:r>
      <w:r>
        <w:rPr>
          <w:rFonts w:hint="eastAsia"/>
          <w:b/>
          <w:bCs/>
          <w:sz w:val="28"/>
          <w:szCs w:val="28"/>
          <w:lang w:val="en-US"/>
        </w:rPr>
        <w:t>磋商小组</w:t>
      </w:r>
      <w:r>
        <w:rPr>
          <w:rFonts w:hint="eastAsia"/>
          <w:b/>
          <w:bCs/>
          <w:sz w:val="28"/>
          <w:szCs w:val="28"/>
        </w:rPr>
        <w:t>成员</w:t>
      </w:r>
    </w:p>
    <w:p w14:paraId="23C41806">
      <w:pPr>
        <w:pStyle w:val="25"/>
        <w:ind w:firstLine="210"/>
      </w:pPr>
    </w:p>
    <w:p w14:paraId="7700FF36">
      <w:pPr>
        <w:spacing w:line="400" w:lineRule="exact"/>
        <w:ind w:firstLine="576" w:firstLineChars="300"/>
        <w:rPr>
          <w:spacing w:val="-9"/>
          <w:sz w:val="21"/>
          <w:lang w:val="en-US"/>
        </w:rPr>
      </w:pPr>
      <w:r>
        <w:rPr>
          <w:rFonts w:hint="eastAsia"/>
          <w:spacing w:val="-9"/>
          <w:sz w:val="21"/>
          <w:lang w:val="en-US"/>
        </w:rPr>
        <w:t>6.8.1 除非发生下列情况之一，否则磋商小组成员不得在评审中途更换：</w:t>
      </w:r>
    </w:p>
    <w:p w14:paraId="7A6D5B93">
      <w:pPr>
        <w:spacing w:line="400" w:lineRule="exact"/>
        <w:ind w:firstLine="576" w:firstLineChars="300"/>
        <w:rPr>
          <w:spacing w:val="-9"/>
          <w:sz w:val="21"/>
          <w:lang w:val="en-US"/>
        </w:rPr>
      </w:pPr>
      <w:r>
        <w:rPr>
          <w:rFonts w:hint="eastAsia"/>
          <w:spacing w:val="-9"/>
          <w:sz w:val="21"/>
          <w:lang w:val="en-US"/>
        </w:rPr>
        <w:t>（1）因不可抗拒的客观原因不能到场或因健康</w:t>
      </w:r>
      <w:r>
        <w:rPr>
          <w:rFonts w:hint="eastAsia"/>
          <w:sz w:val="21"/>
          <w:lang w:val="en-US"/>
        </w:rPr>
        <w:t>原因需在</w:t>
      </w:r>
      <w:r>
        <w:rPr>
          <w:rFonts w:hint="eastAsia"/>
          <w:spacing w:val="-9"/>
          <w:sz w:val="21"/>
          <w:lang w:val="en-US"/>
        </w:rPr>
        <w:t>评审中途退出评审活动；</w:t>
      </w:r>
    </w:p>
    <w:p w14:paraId="09928E2D">
      <w:pPr>
        <w:spacing w:line="400" w:lineRule="exact"/>
        <w:ind w:firstLine="576" w:firstLineChars="300"/>
        <w:rPr>
          <w:spacing w:val="-9"/>
          <w:sz w:val="21"/>
          <w:lang w:val="en-US"/>
        </w:rPr>
      </w:pPr>
      <w:r>
        <w:rPr>
          <w:rFonts w:hint="eastAsia"/>
          <w:spacing w:val="-9"/>
          <w:sz w:val="21"/>
          <w:lang w:val="en-US"/>
        </w:rPr>
        <w:t>（2）根据法律法规规定，某个或某几个磋商小组成员需要回避。</w:t>
      </w:r>
    </w:p>
    <w:p w14:paraId="6B14C48B">
      <w:pPr>
        <w:spacing w:line="400" w:lineRule="exact"/>
        <w:ind w:firstLine="576" w:firstLineChars="300"/>
        <w:rPr>
          <w:spacing w:val="-9"/>
          <w:sz w:val="21"/>
          <w:lang w:val="en-US"/>
        </w:rPr>
      </w:pPr>
      <w:r>
        <w:rPr>
          <w:rFonts w:hint="eastAsia"/>
          <w:spacing w:val="-9"/>
          <w:sz w:val="21"/>
          <w:lang w:val="en-US"/>
        </w:rPr>
        <w:t>6.8.2 退出评审的磋商小组成员，其已完成的评审记录及评审行为无效。由采购人根据本磋商文件规定的磋商小组成员产生方式另行确定替代者重新进行评审。</w:t>
      </w:r>
    </w:p>
    <w:p w14:paraId="307B2F18">
      <w:pPr>
        <w:spacing w:line="440" w:lineRule="exact"/>
        <w:rPr>
          <w:b/>
          <w:sz w:val="16"/>
          <w:szCs w:val="15"/>
        </w:rPr>
      </w:pPr>
    </w:p>
    <w:p w14:paraId="5418CC47">
      <w:pPr>
        <w:spacing w:line="400" w:lineRule="exact"/>
        <w:ind w:firstLine="281" w:firstLineChars="100"/>
        <w:outlineLvl w:val="2"/>
        <w:rPr>
          <w:b/>
          <w:bCs/>
          <w:sz w:val="28"/>
          <w:szCs w:val="28"/>
        </w:rPr>
      </w:pPr>
      <w:r>
        <w:rPr>
          <w:rFonts w:hint="eastAsia"/>
          <w:b/>
          <w:bCs/>
          <w:sz w:val="28"/>
          <w:szCs w:val="28"/>
        </w:rPr>
        <w:t>6.9 记名投票</w:t>
      </w:r>
    </w:p>
    <w:p w14:paraId="3E06508F">
      <w:pPr>
        <w:spacing w:line="440" w:lineRule="exact"/>
        <w:ind w:firstLine="480"/>
        <w:rPr>
          <w:sz w:val="18"/>
          <w:szCs w:val="16"/>
        </w:rPr>
      </w:pPr>
    </w:p>
    <w:p w14:paraId="6614D530">
      <w:pPr>
        <w:spacing w:line="400" w:lineRule="exact"/>
        <w:ind w:firstLine="576" w:firstLineChars="300"/>
        <w:rPr>
          <w:spacing w:val="-9"/>
          <w:sz w:val="21"/>
          <w:lang w:val="en-US"/>
        </w:rPr>
      </w:pPr>
      <w:r>
        <w:rPr>
          <w:rFonts w:hint="eastAsia"/>
          <w:spacing w:val="-9"/>
          <w:sz w:val="21"/>
          <w:lang w:val="en-US"/>
        </w:rPr>
        <w:t>在评审过程中，需磋商小组就某项定性评审的评审结论做出表决的，由磋商小组全体成员按照少数服从多数的原则，以记名投票方式表决。</w:t>
      </w:r>
    </w:p>
    <w:p w14:paraId="3FFC03B8">
      <w:pPr>
        <w:pStyle w:val="12"/>
        <w:spacing w:before="1"/>
        <w:rPr>
          <w:sz w:val="22"/>
        </w:rPr>
      </w:pPr>
    </w:p>
    <w:p w14:paraId="58942CF6">
      <w:pPr>
        <w:pStyle w:val="3"/>
        <w:numPr>
          <w:ilvl w:val="0"/>
          <w:numId w:val="2"/>
        </w:numPr>
        <w:tabs>
          <w:tab w:val="left" w:pos="640"/>
        </w:tabs>
        <w:spacing w:before="149"/>
        <w:ind w:hanging="399"/>
        <w:rPr>
          <w:rFonts w:asciiTheme="majorEastAsia" w:hAnsiTheme="majorEastAsia" w:eastAsiaTheme="majorEastAsia"/>
        </w:rPr>
      </w:pPr>
      <w:bookmarkStart w:id="80" w:name="_TOC_250145"/>
      <w:bookmarkEnd w:id="80"/>
      <w:r>
        <w:rPr>
          <w:rFonts w:asciiTheme="majorEastAsia" w:hAnsiTheme="majorEastAsia" w:eastAsiaTheme="majorEastAsia"/>
        </w:rPr>
        <w:t>合同授予</w:t>
      </w:r>
    </w:p>
    <w:p w14:paraId="74FF36BF"/>
    <w:p w14:paraId="2FE949C6">
      <w:pPr>
        <w:tabs>
          <w:tab w:val="left" w:pos="585"/>
        </w:tabs>
        <w:spacing w:line="360" w:lineRule="auto"/>
        <w:ind w:firstLine="281" w:firstLineChars="100"/>
        <w:outlineLvl w:val="2"/>
        <w:rPr>
          <w:rFonts w:cs="黑体" w:asciiTheme="majorEastAsia" w:hAnsiTheme="majorEastAsia" w:eastAsiaTheme="majorEastAsia"/>
          <w:b/>
          <w:sz w:val="28"/>
          <w:szCs w:val="28"/>
        </w:rPr>
      </w:pPr>
      <w:r>
        <w:rPr>
          <w:rFonts w:hint="eastAsia" w:cs="黑体" w:asciiTheme="majorEastAsia" w:hAnsiTheme="majorEastAsia" w:eastAsiaTheme="majorEastAsia"/>
          <w:b/>
          <w:sz w:val="28"/>
          <w:szCs w:val="28"/>
        </w:rPr>
        <w:t>7.1</w:t>
      </w:r>
      <w:r>
        <w:rPr>
          <w:rFonts w:hint="eastAsia" w:cs="黑体" w:asciiTheme="majorEastAsia" w:hAnsiTheme="majorEastAsia" w:eastAsiaTheme="majorEastAsia"/>
          <w:b/>
          <w:sz w:val="28"/>
          <w:szCs w:val="28"/>
        </w:rPr>
        <w:tab/>
      </w:r>
      <w:r>
        <w:rPr>
          <w:rFonts w:hint="eastAsia" w:cs="黑体" w:asciiTheme="majorEastAsia" w:hAnsiTheme="majorEastAsia" w:eastAsiaTheme="majorEastAsia"/>
          <w:b/>
          <w:sz w:val="28"/>
          <w:szCs w:val="28"/>
          <w:lang w:val="en-US"/>
        </w:rPr>
        <w:t xml:space="preserve"> </w:t>
      </w:r>
      <w:r>
        <w:rPr>
          <w:rFonts w:hint="eastAsia" w:cs="黑体" w:asciiTheme="majorEastAsia" w:hAnsiTheme="majorEastAsia" w:eastAsiaTheme="majorEastAsia"/>
          <w:b/>
          <w:sz w:val="28"/>
          <w:szCs w:val="28"/>
          <w:lang w:val="en-US" w:eastAsia="zh-CN"/>
        </w:rPr>
        <w:t>确定成交供应商</w:t>
      </w:r>
      <w:r>
        <w:rPr>
          <w:rFonts w:hint="eastAsia" w:cs="黑体" w:asciiTheme="majorEastAsia" w:hAnsiTheme="majorEastAsia" w:eastAsiaTheme="majorEastAsia"/>
          <w:b/>
          <w:sz w:val="28"/>
          <w:szCs w:val="28"/>
        </w:rPr>
        <w:t>方式</w:t>
      </w:r>
    </w:p>
    <w:p w14:paraId="30E457C0">
      <w:pPr>
        <w:spacing w:line="360" w:lineRule="auto"/>
        <w:ind w:firstLine="384" w:firstLineChars="200"/>
        <w:rPr>
          <w:spacing w:val="-2"/>
          <w:sz w:val="21"/>
          <w:lang w:val="en-US"/>
        </w:rPr>
      </w:pPr>
      <w:r>
        <w:rPr>
          <w:rFonts w:hint="eastAsia"/>
          <w:spacing w:val="-9"/>
          <w:sz w:val="21"/>
          <w:lang w:val="en-US"/>
        </w:rPr>
        <w:t>7.1.1磋商小组按照磋商文件规定的评审因素及方法完成评审后向采购人提交成交报告，并按得分由高到低的顺序向采购人推荐三名成交候选人，采购人应当接受磋商小组推荐的成交候选人名单，不得在磋商小组推荐的成交候选人之外确定成交人。</w:t>
      </w:r>
      <w:r>
        <w:rPr>
          <w:rFonts w:hint="eastAsia"/>
          <w:spacing w:val="-2"/>
          <w:sz w:val="21"/>
          <w:lang w:val="en-US"/>
        </w:rPr>
        <w:t>评审得分相同的，按照投标报价由低到高的顺序推荐；评审得分且报价相同的并列。</w:t>
      </w:r>
    </w:p>
    <w:p w14:paraId="5C9E3700">
      <w:pPr>
        <w:spacing w:line="400" w:lineRule="exact"/>
        <w:ind w:firstLine="576" w:firstLineChars="300"/>
        <w:rPr>
          <w:spacing w:val="-9"/>
          <w:sz w:val="21"/>
          <w:lang w:val="en-US"/>
        </w:rPr>
      </w:pPr>
      <w:r>
        <w:rPr>
          <w:rFonts w:hint="eastAsia"/>
          <w:spacing w:val="-9"/>
          <w:sz w:val="21"/>
          <w:lang w:val="en-US"/>
        </w:rPr>
        <w:t>7.1.2采购人在收到成交报告后5个工作日内，从成交报告提出的成交候选供应商中，按照排序由高到低的原则确定成交人。采购人应当确定排名第一的成交候选人为成交人。排名第一的成交候选人放弃成交、因不可抗力不能履行合同、没有按照磋商文件要求提交履约保证金（如有），或者被查实存在影响成交结果的违法行为等情形，不符合成交条件的，采购人可以按照磋商小组提出的成交候选人名单排序依次确定其他成交候选人为成交人，也可以重新招标。 </w:t>
      </w:r>
    </w:p>
    <w:p w14:paraId="500BAC44">
      <w:pPr>
        <w:spacing w:line="400" w:lineRule="exact"/>
        <w:ind w:firstLine="576" w:firstLineChars="300"/>
        <w:rPr>
          <w:spacing w:val="-9"/>
          <w:sz w:val="21"/>
          <w:lang w:val="en-US"/>
        </w:rPr>
      </w:pPr>
      <w:r>
        <w:rPr>
          <w:rFonts w:hint="eastAsia"/>
          <w:spacing w:val="-9"/>
          <w:sz w:val="21"/>
          <w:lang w:val="en-US"/>
        </w:rPr>
        <w:t>7.1.3磋商小组经评审，认为所有投标均不符合磋商文件要求的，可以否决所有投标，所有投标被否决后，采购人当重新开展采购活动。</w:t>
      </w:r>
    </w:p>
    <w:p w14:paraId="685F0049">
      <w:pPr>
        <w:pStyle w:val="12"/>
        <w:spacing w:before="1"/>
        <w:rPr>
          <w:sz w:val="22"/>
        </w:rPr>
      </w:pPr>
      <w:bookmarkStart w:id="81" w:name="_TOC_250149"/>
      <w:bookmarkEnd w:id="81"/>
      <w:bookmarkStart w:id="82" w:name="_TOC_250148"/>
      <w:bookmarkEnd w:id="82"/>
    </w:p>
    <w:p w14:paraId="495E58A2">
      <w:pPr>
        <w:pStyle w:val="4"/>
        <w:tabs>
          <w:tab w:val="left" w:pos="867"/>
        </w:tabs>
        <w:spacing w:before="1"/>
        <w:ind w:left="376" w:firstLine="0"/>
        <w:rPr>
          <w:rFonts w:asciiTheme="majorEastAsia" w:hAnsiTheme="majorEastAsia" w:eastAsiaTheme="majorEastAsia"/>
          <w:b/>
        </w:rPr>
      </w:pPr>
      <w:r>
        <w:rPr>
          <w:rFonts w:hint="eastAsia" w:asciiTheme="majorEastAsia" w:hAnsiTheme="majorEastAsia" w:eastAsiaTheme="majorEastAsia"/>
          <w:b/>
          <w:lang w:val="en-US"/>
        </w:rPr>
        <w:t xml:space="preserve">7.2 </w:t>
      </w:r>
      <w:r>
        <w:rPr>
          <w:rFonts w:hint="eastAsia" w:asciiTheme="majorEastAsia" w:hAnsiTheme="majorEastAsia" w:eastAsiaTheme="majorEastAsia"/>
          <w:b/>
        </w:rPr>
        <w:t>成交通知</w:t>
      </w:r>
    </w:p>
    <w:p w14:paraId="6E26D662">
      <w:pPr>
        <w:pStyle w:val="12"/>
        <w:spacing w:before="12"/>
        <w:rPr>
          <w:rFonts w:ascii="黑体"/>
          <w:sz w:val="28"/>
        </w:rPr>
      </w:pPr>
    </w:p>
    <w:p w14:paraId="6C9697A4">
      <w:pPr>
        <w:pStyle w:val="12"/>
        <w:spacing w:line="357" w:lineRule="auto"/>
        <w:ind w:left="240" w:right="710" w:firstLine="420"/>
      </w:pPr>
      <w:r>
        <w:rPr>
          <w:rFonts w:hint="eastAsia"/>
          <w:lang w:val="en-US"/>
        </w:rPr>
        <w:t>7.2.1在公告成交结果的同时，采购人或采购代理机构应当向成交供应商发出成交通知书</w:t>
      </w:r>
      <w:r>
        <w:t>。</w:t>
      </w:r>
    </w:p>
    <w:p w14:paraId="636ED00F">
      <w:pPr>
        <w:rPr>
          <w:lang w:val="en-US"/>
        </w:rPr>
      </w:pPr>
      <w:r>
        <w:rPr>
          <w:rFonts w:hint="eastAsia"/>
          <w:lang w:val="en-US"/>
        </w:rPr>
        <w:t xml:space="preserve">      7.2.2成交通知书是合同的组成部分。</w:t>
      </w:r>
    </w:p>
    <w:p w14:paraId="3A47A865">
      <w:pPr>
        <w:pStyle w:val="4"/>
        <w:tabs>
          <w:tab w:val="left" w:pos="867"/>
        </w:tabs>
        <w:spacing w:before="151"/>
        <w:ind w:left="376" w:firstLine="0"/>
      </w:pPr>
      <w:bookmarkStart w:id="83" w:name="_TOC_250144"/>
      <w:bookmarkEnd w:id="83"/>
      <w:r>
        <w:rPr>
          <w:rFonts w:hint="eastAsia"/>
          <w:lang w:val="en-US"/>
        </w:rPr>
        <w:t xml:space="preserve">7.3 </w:t>
      </w:r>
      <w:r>
        <w:rPr>
          <w:rFonts w:asciiTheme="majorEastAsia" w:hAnsiTheme="majorEastAsia" w:eastAsiaTheme="majorEastAsia"/>
          <w:b/>
        </w:rPr>
        <w:t>技术成果经济补偿</w:t>
      </w:r>
    </w:p>
    <w:p w14:paraId="74D14611">
      <w:pPr>
        <w:pStyle w:val="12"/>
        <w:spacing w:before="12"/>
        <w:rPr>
          <w:rFonts w:ascii="黑体"/>
          <w:sz w:val="28"/>
        </w:rPr>
      </w:pPr>
    </w:p>
    <w:p w14:paraId="40386C76">
      <w:pPr>
        <w:pStyle w:val="12"/>
        <w:spacing w:before="49" w:line="357" w:lineRule="auto"/>
        <w:ind w:right="704" w:firstLine="420" w:firstLineChars="200"/>
      </w:pPr>
      <w:r>
        <w:rPr>
          <w:rFonts w:hint="eastAsia"/>
          <w:lang w:val="en-US"/>
        </w:rPr>
        <w:t xml:space="preserve">  不适用</w:t>
      </w:r>
      <w:bookmarkStart w:id="84" w:name="_TOC_250143"/>
      <w:bookmarkEnd w:id="84"/>
    </w:p>
    <w:p w14:paraId="55F508AF">
      <w:pPr>
        <w:pStyle w:val="4"/>
        <w:tabs>
          <w:tab w:val="left" w:pos="867"/>
        </w:tabs>
        <w:spacing w:before="148"/>
        <w:ind w:left="376" w:firstLine="0"/>
      </w:pPr>
      <w:bookmarkStart w:id="85" w:name="_TOC_250142"/>
      <w:bookmarkEnd w:id="85"/>
      <w:r>
        <w:rPr>
          <w:rFonts w:hint="eastAsia"/>
          <w:lang w:val="en-US"/>
        </w:rPr>
        <w:t xml:space="preserve">7.4 </w:t>
      </w:r>
      <w:r>
        <w:rPr>
          <w:rFonts w:asciiTheme="majorEastAsia" w:hAnsiTheme="majorEastAsia" w:eastAsiaTheme="majorEastAsia"/>
          <w:b/>
        </w:rPr>
        <w:t>签订合同</w:t>
      </w:r>
    </w:p>
    <w:p w14:paraId="50BF5F9A">
      <w:pPr>
        <w:pStyle w:val="12"/>
        <w:spacing w:before="12"/>
        <w:rPr>
          <w:rFonts w:ascii="黑体"/>
          <w:sz w:val="28"/>
        </w:rPr>
      </w:pPr>
    </w:p>
    <w:p w14:paraId="0CAC8F99">
      <w:pPr>
        <w:pStyle w:val="37"/>
        <w:tabs>
          <w:tab w:val="left" w:pos="1185"/>
        </w:tabs>
        <w:spacing w:line="358" w:lineRule="auto"/>
        <w:ind w:left="0" w:firstLine="618" w:firstLineChars="300"/>
        <w:jc w:val="both"/>
        <w:rPr>
          <w:sz w:val="21"/>
        </w:rPr>
      </w:pPr>
      <w:r>
        <w:rPr>
          <w:rFonts w:hint="eastAsia"/>
          <w:spacing w:val="-2"/>
          <w:sz w:val="21"/>
          <w:lang w:val="en-US"/>
        </w:rPr>
        <w:t>7.4.1采购</w:t>
      </w:r>
      <w:r>
        <w:rPr>
          <w:spacing w:val="-2"/>
          <w:sz w:val="21"/>
        </w:rPr>
        <w:t>人和</w:t>
      </w:r>
      <w:r>
        <w:rPr>
          <w:rFonts w:hint="eastAsia"/>
          <w:spacing w:val="-2"/>
          <w:sz w:val="21"/>
          <w:lang w:val="en-US"/>
        </w:rPr>
        <w:t>成交供应商</w:t>
      </w:r>
      <w:r>
        <w:rPr>
          <w:spacing w:val="-2"/>
          <w:sz w:val="21"/>
        </w:rPr>
        <w:t>应当在</w:t>
      </w:r>
      <w:r>
        <w:rPr>
          <w:rFonts w:hint="eastAsia"/>
          <w:spacing w:val="-2"/>
          <w:sz w:val="21"/>
          <w:lang w:val="en-US"/>
        </w:rPr>
        <w:t>成交</w:t>
      </w:r>
      <w:r>
        <w:rPr>
          <w:spacing w:val="-2"/>
          <w:sz w:val="21"/>
        </w:rPr>
        <w:t>通知书发出之日起</w:t>
      </w:r>
      <w:r>
        <w:rPr>
          <w:rFonts w:hint="eastAsia" w:ascii="Times New Roman"/>
          <w:sz w:val="21"/>
          <w:lang w:val="en-US"/>
        </w:rPr>
        <w:t>2</w:t>
      </w:r>
      <w:r>
        <w:rPr>
          <w:spacing w:val="-1"/>
          <w:sz w:val="21"/>
        </w:rPr>
        <w:t>日内，根据</w:t>
      </w:r>
      <w:r>
        <w:rPr>
          <w:rFonts w:hint="eastAsia"/>
          <w:spacing w:val="-1"/>
          <w:sz w:val="21"/>
          <w:lang w:val="en-US"/>
        </w:rPr>
        <w:t>磋商</w:t>
      </w:r>
      <w:r>
        <w:rPr>
          <w:spacing w:val="-1"/>
          <w:sz w:val="21"/>
        </w:rPr>
        <w:t>文件和</w:t>
      </w:r>
      <w:r>
        <w:rPr>
          <w:rFonts w:hint="eastAsia"/>
          <w:spacing w:val="-1"/>
          <w:sz w:val="21"/>
          <w:lang w:val="en-US"/>
        </w:rPr>
        <w:t>成交供应商</w:t>
      </w:r>
      <w:r>
        <w:rPr>
          <w:spacing w:val="-1"/>
          <w:sz w:val="21"/>
        </w:rPr>
        <w:t>的</w:t>
      </w:r>
      <w:r>
        <w:rPr>
          <w:rFonts w:hint="eastAsia"/>
          <w:spacing w:val="-1"/>
          <w:sz w:val="21"/>
          <w:lang w:val="en-US"/>
        </w:rPr>
        <w:t>响应</w:t>
      </w:r>
      <w:r>
        <w:rPr>
          <w:spacing w:val="-1"/>
          <w:sz w:val="21"/>
        </w:rPr>
        <w:t>文件订立书面合同。</w:t>
      </w:r>
      <w:r>
        <w:rPr>
          <w:rFonts w:hint="eastAsia"/>
          <w:spacing w:val="-1"/>
          <w:sz w:val="21"/>
          <w:lang w:val="en-US"/>
        </w:rPr>
        <w:t>成交供应商</w:t>
      </w:r>
      <w:r>
        <w:rPr>
          <w:spacing w:val="-1"/>
          <w:sz w:val="21"/>
        </w:rPr>
        <w:t>无正当理由拒签合同，</w:t>
      </w:r>
      <w:r>
        <w:rPr>
          <w:rFonts w:hint="eastAsia"/>
          <w:spacing w:val="-1"/>
          <w:sz w:val="21"/>
          <w:lang w:val="en-US"/>
        </w:rPr>
        <w:t>在签订合同时向采购人提出附加条件，或者不按照磋商文件要求提交履约保证金的（如有），采购</w:t>
      </w:r>
      <w:r>
        <w:rPr>
          <w:spacing w:val="-1"/>
          <w:sz w:val="21"/>
        </w:rPr>
        <w:t>人有权取消其</w:t>
      </w:r>
      <w:r>
        <w:rPr>
          <w:rFonts w:hint="eastAsia"/>
          <w:spacing w:val="-1"/>
          <w:sz w:val="21"/>
          <w:lang w:val="en-US"/>
        </w:rPr>
        <w:t>成交</w:t>
      </w:r>
      <w:r>
        <w:rPr>
          <w:spacing w:val="-1"/>
          <w:sz w:val="21"/>
        </w:rPr>
        <w:t>资格</w:t>
      </w:r>
      <w:r>
        <w:rPr>
          <w:rFonts w:hint="eastAsia"/>
          <w:spacing w:val="-1"/>
          <w:sz w:val="21"/>
        </w:rPr>
        <w:t>，</w:t>
      </w:r>
      <w:r>
        <w:rPr>
          <w:rFonts w:hint="eastAsia"/>
          <w:spacing w:val="-1"/>
          <w:sz w:val="21"/>
          <w:lang w:val="en-US"/>
        </w:rPr>
        <w:t>采购人可以按照相关法律条款规定确定其他供应商（</w:t>
      </w:r>
      <w:r>
        <w:rPr>
          <w:rFonts w:hint="eastAsia"/>
          <w:spacing w:val="-1"/>
          <w:sz w:val="21"/>
        </w:rPr>
        <w:t>按照</w:t>
      </w:r>
      <w:r>
        <w:rPr>
          <w:rFonts w:hint="eastAsia"/>
          <w:spacing w:val="-1"/>
          <w:sz w:val="21"/>
          <w:lang w:val="en-US"/>
        </w:rPr>
        <w:t>磋商小组</w:t>
      </w:r>
      <w:r>
        <w:rPr>
          <w:rFonts w:hint="eastAsia"/>
          <w:spacing w:val="-1"/>
          <w:sz w:val="21"/>
        </w:rPr>
        <w:t>提出的</w:t>
      </w:r>
      <w:r>
        <w:rPr>
          <w:rFonts w:hint="eastAsia"/>
          <w:spacing w:val="-1"/>
          <w:sz w:val="21"/>
          <w:lang w:val="en-US"/>
        </w:rPr>
        <w:t>成交</w:t>
      </w:r>
      <w:r>
        <w:rPr>
          <w:rFonts w:hint="eastAsia"/>
          <w:spacing w:val="-1"/>
          <w:sz w:val="21"/>
        </w:rPr>
        <w:t>候选</w:t>
      </w:r>
      <w:r>
        <w:rPr>
          <w:rFonts w:hint="eastAsia"/>
          <w:spacing w:val="-1"/>
          <w:sz w:val="21"/>
          <w:lang w:val="en-US"/>
        </w:rPr>
        <w:t>供应商</w:t>
      </w:r>
      <w:r>
        <w:rPr>
          <w:rFonts w:hint="eastAsia"/>
          <w:spacing w:val="-1"/>
          <w:sz w:val="21"/>
        </w:rPr>
        <w:t>名单排序依次</w:t>
      </w:r>
      <w:r>
        <w:rPr>
          <w:rFonts w:hint="eastAsia"/>
          <w:spacing w:val="-1"/>
          <w:sz w:val="21"/>
          <w:lang w:val="en-US"/>
        </w:rPr>
        <w:t>）作为成交供应商并签订政府采购合同，也可以重新开展采购活动，拒绝签订政府采购合同的成交供应商不得参加对该项目重新开展的采购活动</w:t>
      </w:r>
      <w:r>
        <w:rPr>
          <w:sz w:val="21"/>
        </w:rPr>
        <w:t>。</w:t>
      </w:r>
    </w:p>
    <w:p w14:paraId="11BFC8A3">
      <w:pPr>
        <w:pStyle w:val="37"/>
        <w:tabs>
          <w:tab w:val="left" w:pos="1185"/>
        </w:tabs>
        <w:spacing w:line="358" w:lineRule="auto"/>
        <w:ind w:left="0" w:firstLine="588" w:firstLineChars="300"/>
        <w:jc w:val="both"/>
        <w:rPr>
          <w:sz w:val="21"/>
          <w:lang w:val="en-US"/>
        </w:rPr>
      </w:pPr>
      <w:r>
        <w:rPr>
          <w:rFonts w:hint="eastAsia"/>
          <w:spacing w:val="-7"/>
          <w:sz w:val="21"/>
          <w:lang w:val="en-US"/>
        </w:rPr>
        <w:t>7.4.2所签订的合同不得对磋商文件确定的事项和成交供应商的响应文件作实质性修改，采购人不得向成交供应商提出任何不合理要求或超出磋商文件以外的任何要求作为签订合同的条件。</w:t>
      </w:r>
    </w:p>
    <w:p w14:paraId="159FF878">
      <w:pPr>
        <w:pStyle w:val="3"/>
        <w:numPr>
          <w:ilvl w:val="0"/>
          <w:numId w:val="2"/>
        </w:numPr>
        <w:tabs>
          <w:tab w:val="left" w:pos="482"/>
        </w:tabs>
        <w:spacing w:before="146"/>
        <w:ind w:left="481" w:hanging="241"/>
        <w:rPr>
          <w:rFonts w:asciiTheme="majorEastAsia" w:hAnsiTheme="majorEastAsia" w:eastAsiaTheme="majorEastAsia"/>
        </w:rPr>
      </w:pPr>
      <w:bookmarkStart w:id="86" w:name="_TOC_250141"/>
      <w:bookmarkEnd w:id="86"/>
      <w:r>
        <w:rPr>
          <w:rFonts w:asciiTheme="majorEastAsia" w:hAnsiTheme="majorEastAsia" w:eastAsiaTheme="majorEastAsia"/>
        </w:rPr>
        <w:t>纪律和监督</w:t>
      </w:r>
    </w:p>
    <w:p w14:paraId="3F0239A5">
      <w:pPr>
        <w:pStyle w:val="12"/>
        <w:spacing w:before="12"/>
        <w:rPr>
          <w:rFonts w:ascii="黑体"/>
          <w:b/>
          <w:sz w:val="43"/>
        </w:rPr>
      </w:pPr>
    </w:p>
    <w:p w14:paraId="5539B163">
      <w:pPr>
        <w:pStyle w:val="4"/>
        <w:numPr>
          <w:ilvl w:val="1"/>
          <w:numId w:val="2"/>
        </w:numPr>
        <w:tabs>
          <w:tab w:val="left" w:pos="867"/>
        </w:tabs>
        <w:rPr>
          <w:rFonts w:asciiTheme="majorEastAsia" w:hAnsiTheme="majorEastAsia" w:eastAsiaTheme="majorEastAsia"/>
          <w:b/>
        </w:rPr>
      </w:pPr>
      <w:bookmarkStart w:id="87" w:name="_TOC_250140"/>
      <w:bookmarkEnd w:id="87"/>
      <w:r>
        <w:rPr>
          <w:rFonts w:hint="eastAsia" w:asciiTheme="majorEastAsia" w:hAnsiTheme="majorEastAsia" w:eastAsiaTheme="majorEastAsia"/>
          <w:b/>
        </w:rPr>
        <w:t xml:space="preserve"> </w:t>
      </w:r>
      <w:r>
        <w:rPr>
          <w:rFonts w:asciiTheme="majorEastAsia" w:hAnsiTheme="majorEastAsia" w:eastAsiaTheme="majorEastAsia"/>
          <w:b/>
        </w:rPr>
        <w:t>对</w:t>
      </w:r>
      <w:r>
        <w:rPr>
          <w:rFonts w:hint="eastAsia" w:asciiTheme="majorEastAsia" w:hAnsiTheme="majorEastAsia" w:eastAsiaTheme="majorEastAsia"/>
          <w:b/>
        </w:rPr>
        <w:t>采购</w:t>
      </w:r>
      <w:r>
        <w:rPr>
          <w:rFonts w:asciiTheme="majorEastAsia" w:hAnsiTheme="majorEastAsia" w:eastAsiaTheme="majorEastAsia"/>
          <w:b/>
        </w:rPr>
        <w:t>人的纪律要求</w:t>
      </w:r>
    </w:p>
    <w:p w14:paraId="32A48C73">
      <w:pPr>
        <w:pStyle w:val="12"/>
        <w:spacing w:before="12"/>
        <w:rPr>
          <w:rFonts w:ascii="黑体"/>
          <w:sz w:val="28"/>
        </w:rPr>
      </w:pPr>
    </w:p>
    <w:p w14:paraId="3C504D9F">
      <w:pPr>
        <w:pStyle w:val="12"/>
        <w:spacing w:line="358" w:lineRule="auto"/>
        <w:ind w:left="238" w:firstLine="420"/>
      </w:pPr>
      <w:r>
        <w:rPr>
          <w:rFonts w:hint="eastAsia"/>
          <w:lang w:val="en-US"/>
        </w:rPr>
        <w:t>采购</w:t>
      </w:r>
      <w:r>
        <w:t>人不得泄露</w:t>
      </w:r>
      <w:r>
        <w:rPr>
          <w:rFonts w:hint="eastAsia"/>
          <w:lang w:val="en-US"/>
        </w:rPr>
        <w:t>采购</w:t>
      </w:r>
      <w:r>
        <w:t>活动中应当保密的情况和资料，不得与</w:t>
      </w:r>
      <w:r>
        <w:rPr>
          <w:rFonts w:hint="eastAsia"/>
          <w:lang w:val="en-US"/>
        </w:rPr>
        <w:t>供应商</w:t>
      </w:r>
      <w:r>
        <w:t>串通损害国家利益、社会公共利益或者他人合法权益。</w:t>
      </w:r>
    </w:p>
    <w:p w14:paraId="6581A94D">
      <w:pPr>
        <w:pStyle w:val="4"/>
        <w:numPr>
          <w:ilvl w:val="1"/>
          <w:numId w:val="2"/>
        </w:numPr>
        <w:tabs>
          <w:tab w:val="left" w:pos="867"/>
        </w:tabs>
        <w:spacing w:before="151"/>
        <w:rPr>
          <w:rFonts w:asciiTheme="majorEastAsia" w:hAnsiTheme="majorEastAsia" w:eastAsiaTheme="majorEastAsia"/>
          <w:b/>
        </w:rPr>
      </w:pPr>
      <w:bookmarkStart w:id="88" w:name="_TOC_250139"/>
      <w:bookmarkEnd w:id="88"/>
      <w:r>
        <w:rPr>
          <w:rFonts w:hint="eastAsia" w:asciiTheme="majorEastAsia" w:hAnsiTheme="majorEastAsia" w:eastAsiaTheme="majorEastAsia"/>
          <w:b/>
        </w:rPr>
        <w:t xml:space="preserve"> </w:t>
      </w:r>
      <w:r>
        <w:rPr>
          <w:rFonts w:asciiTheme="majorEastAsia" w:hAnsiTheme="majorEastAsia" w:eastAsiaTheme="majorEastAsia"/>
          <w:b/>
        </w:rPr>
        <w:t>对</w:t>
      </w:r>
      <w:r>
        <w:rPr>
          <w:rFonts w:hint="eastAsia" w:asciiTheme="majorEastAsia" w:hAnsiTheme="majorEastAsia" w:eastAsiaTheme="majorEastAsia"/>
          <w:b/>
        </w:rPr>
        <w:t>供应商</w:t>
      </w:r>
      <w:r>
        <w:rPr>
          <w:rFonts w:asciiTheme="majorEastAsia" w:hAnsiTheme="majorEastAsia" w:eastAsiaTheme="majorEastAsia"/>
          <w:b/>
        </w:rPr>
        <w:t>的纪律要求</w:t>
      </w:r>
    </w:p>
    <w:p w14:paraId="71D068A6">
      <w:pPr>
        <w:pStyle w:val="12"/>
        <w:spacing w:before="12"/>
        <w:rPr>
          <w:rFonts w:ascii="黑体"/>
          <w:sz w:val="28"/>
        </w:rPr>
      </w:pPr>
    </w:p>
    <w:p w14:paraId="165CE72C">
      <w:pPr>
        <w:pStyle w:val="12"/>
        <w:spacing w:line="358" w:lineRule="auto"/>
        <w:ind w:left="238" w:firstLine="420"/>
        <w:jc w:val="both"/>
      </w:pPr>
      <w:r>
        <w:rPr>
          <w:rFonts w:hint="eastAsia"/>
          <w:lang w:val="en-US"/>
        </w:rPr>
        <w:t>供应商</w:t>
      </w:r>
      <w:r>
        <w:t>不得相互串通投标或者与</w:t>
      </w:r>
      <w:r>
        <w:rPr>
          <w:rFonts w:hint="eastAsia"/>
          <w:lang w:val="en-US"/>
        </w:rPr>
        <w:t>采购</w:t>
      </w:r>
      <w:r>
        <w:t>人串通投标，不得向</w:t>
      </w:r>
      <w:r>
        <w:rPr>
          <w:rFonts w:hint="eastAsia"/>
          <w:lang w:val="en-US"/>
        </w:rPr>
        <w:t>采购</w:t>
      </w:r>
      <w:r>
        <w:t>人或者</w:t>
      </w:r>
      <w:r>
        <w:rPr>
          <w:rFonts w:hint="eastAsia"/>
          <w:lang w:val="en-US"/>
        </w:rPr>
        <w:t>磋商小组</w:t>
      </w:r>
      <w:r>
        <w:t>成员行贿谋取</w:t>
      </w:r>
      <w:r>
        <w:rPr>
          <w:rFonts w:hint="eastAsia"/>
          <w:lang w:val="en-US"/>
        </w:rPr>
        <w:t>成交</w:t>
      </w:r>
      <w:r>
        <w:t>，不得以他人名义投标或者以其他方式弄虚作假骗取</w:t>
      </w:r>
      <w:r>
        <w:rPr>
          <w:rFonts w:hint="eastAsia"/>
          <w:lang w:val="en-US"/>
        </w:rPr>
        <w:t>成交</w:t>
      </w:r>
      <w:r>
        <w:t>；</w:t>
      </w:r>
      <w:r>
        <w:rPr>
          <w:rFonts w:hint="eastAsia"/>
          <w:lang w:val="en-US"/>
        </w:rPr>
        <w:t>供应商</w:t>
      </w:r>
      <w:r>
        <w:t>不得以任何方式干扰、影响</w:t>
      </w:r>
      <w:r>
        <w:rPr>
          <w:rFonts w:hint="eastAsia"/>
          <w:lang w:val="en-US"/>
        </w:rPr>
        <w:t>评审</w:t>
      </w:r>
      <w:r>
        <w:t>工作。</w:t>
      </w:r>
    </w:p>
    <w:p w14:paraId="59174CB5">
      <w:pPr>
        <w:pStyle w:val="4"/>
        <w:numPr>
          <w:ilvl w:val="1"/>
          <w:numId w:val="2"/>
        </w:numPr>
        <w:tabs>
          <w:tab w:val="left" w:pos="867"/>
        </w:tabs>
        <w:spacing w:before="151"/>
      </w:pPr>
      <w:bookmarkStart w:id="89" w:name="_TOC_250138"/>
      <w:bookmarkEnd w:id="89"/>
      <w:r>
        <w:rPr>
          <w:rFonts w:hint="eastAsia" w:asciiTheme="majorEastAsia" w:hAnsiTheme="majorEastAsia" w:eastAsiaTheme="majorEastAsia"/>
          <w:b/>
        </w:rPr>
        <w:t xml:space="preserve"> </w:t>
      </w:r>
      <w:r>
        <w:rPr>
          <w:rFonts w:asciiTheme="majorEastAsia" w:hAnsiTheme="majorEastAsia" w:eastAsiaTheme="majorEastAsia"/>
          <w:b/>
        </w:rPr>
        <w:t>对</w:t>
      </w:r>
      <w:r>
        <w:rPr>
          <w:rFonts w:hint="eastAsia" w:asciiTheme="majorEastAsia" w:hAnsiTheme="majorEastAsia" w:eastAsiaTheme="majorEastAsia"/>
          <w:b/>
        </w:rPr>
        <w:t>磋商小组</w:t>
      </w:r>
      <w:r>
        <w:rPr>
          <w:rFonts w:asciiTheme="majorEastAsia" w:hAnsiTheme="majorEastAsia" w:eastAsiaTheme="majorEastAsia"/>
          <w:b/>
        </w:rPr>
        <w:t>的纪律要求</w:t>
      </w:r>
    </w:p>
    <w:p w14:paraId="319346BA">
      <w:pPr>
        <w:pStyle w:val="12"/>
        <w:spacing w:before="12"/>
        <w:rPr>
          <w:rFonts w:ascii="黑体"/>
          <w:sz w:val="28"/>
        </w:rPr>
      </w:pPr>
    </w:p>
    <w:p w14:paraId="2A885CF8">
      <w:pPr>
        <w:pStyle w:val="12"/>
        <w:spacing w:line="358" w:lineRule="auto"/>
        <w:ind w:left="238" w:firstLine="420"/>
        <w:jc w:val="both"/>
      </w:pPr>
      <w:r>
        <w:rPr>
          <w:rFonts w:hint="eastAsia"/>
          <w:spacing w:val="-1"/>
          <w:lang w:val="en-US"/>
        </w:rPr>
        <w:t>磋商小组</w:t>
      </w:r>
      <w:r>
        <w:rPr>
          <w:spacing w:val="-1"/>
        </w:rPr>
        <w:t>不得收受他人的财物或者其他好处，不得向他人透露对</w:t>
      </w:r>
      <w:r>
        <w:rPr>
          <w:rFonts w:hint="eastAsia"/>
          <w:spacing w:val="-1"/>
          <w:lang w:val="en-US"/>
        </w:rPr>
        <w:t>响应</w:t>
      </w:r>
      <w:r>
        <w:rPr>
          <w:spacing w:val="-1"/>
        </w:rPr>
        <w:t>文件的评审和比较、</w:t>
      </w:r>
      <w:r>
        <w:rPr>
          <w:rFonts w:hint="eastAsia"/>
          <w:spacing w:val="-1"/>
          <w:lang w:val="en-US"/>
        </w:rPr>
        <w:t>成交</w:t>
      </w:r>
      <w:r>
        <w:rPr>
          <w:spacing w:val="-1"/>
        </w:rPr>
        <w:t>候选人的推荐情况以及</w:t>
      </w:r>
      <w:r>
        <w:rPr>
          <w:rFonts w:hint="eastAsia"/>
          <w:spacing w:val="-1"/>
          <w:lang w:val="en-US"/>
        </w:rPr>
        <w:t>评审</w:t>
      </w:r>
      <w:r>
        <w:rPr>
          <w:spacing w:val="-1"/>
        </w:rPr>
        <w:t>有关的其他情况。在</w:t>
      </w:r>
      <w:r>
        <w:rPr>
          <w:rFonts w:hint="eastAsia"/>
          <w:spacing w:val="-1"/>
          <w:lang w:val="en-US"/>
        </w:rPr>
        <w:t>评审</w:t>
      </w:r>
      <w:r>
        <w:rPr>
          <w:spacing w:val="-1"/>
        </w:rPr>
        <w:t>活动中，</w:t>
      </w:r>
      <w:r>
        <w:rPr>
          <w:rFonts w:hint="eastAsia"/>
          <w:lang w:val="en-US"/>
        </w:rPr>
        <w:t>磋商小组</w:t>
      </w:r>
      <w:r>
        <w:rPr>
          <w:spacing w:val="-1"/>
        </w:rPr>
        <w:t>成员应当客观、公正地履行职责，遵守职业道德，不得擅离职守，影响</w:t>
      </w:r>
      <w:r>
        <w:rPr>
          <w:rFonts w:hint="eastAsia"/>
          <w:spacing w:val="-1"/>
          <w:lang w:val="en-US"/>
        </w:rPr>
        <w:t>评审</w:t>
      </w:r>
      <w:r>
        <w:rPr>
          <w:spacing w:val="-1"/>
        </w:rPr>
        <w:t>程序正常进行，不得使用第</w:t>
      </w:r>
      <w:r>
        <w:t>三章</w:t>
      </w:r>
      <w:r>
        <w:rPr>
          <w:rFonts w:hint="eastAsia" w:ascii="Times New Roman" w:hAnsi="Times New Roman"/>
        </w:rPr>
        <w:t>“</w:t>
      </w:r>
      <w:r>
        <w:rPr>
          <w:rFonts w:hint="eastAsia"/>
          <w:lang w:val="en-US"/>
        </w:rPr>
        <w:t>评审</w:t>
      </w:r>
      <w:r>
        <w:t>办法</w:t>
      </w:r>
      <w:r>
        <w:rPr>
          <w:rFonts w:hint="eastAsia" w:ascii="Times New Roman" w:hAnsi="Times New Roman"/>
        </w:rPr>
        <w:t>”</w:t>
      </w:r>
      <w:r>
        <w:t>没有规定的评审因素和标准进行</w:t>
      </w:r>
      <w:r>
        <w:rPr>
          <w:rFonts w:hint="eastAsia"/>
          <w:lang w:val="en-US"/>
        </w:rPr>
        <w:t>评审</w:t>
      </w:r>
      <w:r>
        <w:t>。</w:t>
      </w:r>
    </w:p>
    <w:p w14:paraId="2F951727">
      <w:pPr>
        <w:pStyle w:val="4"/>
        <w:numPr>
          <w:ilvl w:val="1"/>
          <w:numId w:val="2"/>
        </w:numPr>
        <w:tabs>
          <w:tab w:val="left" w:pos="867"/>
        </w:tabs>
        <w:spacing w:before="151"/>
        <w:rPr>
          <w:rFonts w:asciiTheme="majorEastAsia" w:hAnsiTheme="majorEastAsia" w:eastAsiaTheme="majorEastAsia"/>
          <w:b/>
        </w:rPr>
      </w:pPr>
      <w:bookmarkStart w:id="90" w:name="_TOC_250137"/>
      <w:bookmarkEnd w:id="90"/>
      <w:r>
        <w:rPr>
          <w:rFonts w:hint="eastAsia" w:asciiTheme="majorEastAsia" w:hAnsiTheme="majorEastAsia" w:eastAsiaTheme="majorEastAsia"/>
          <w:b/>
        </w:rPr>
        <w:t xml:space="preserve"> </w:t>
      </w:r>
      <w:r>
        <w:rPr>
          <w:rFonts w:asciiTheme="majorEastAsia" w:hAnsiTheme="majorEastAsia" w:eastAsiaTheme="majorEastAsia"/>
          <w:b/>
        </w:rPr>
        <w:t>对与</w:t>
      </w:r>
      <w:r>
        <w:rPr>
          <w:rFonts w:hint="eastAsia" w:asciiTheme="majorEastAsia" w:hAnsiTheme="majorEastAsia" w:eastAsiaTheme="majorEastAsia"/>
          <w:b/>
        </w:rPr>
        <w:t>评审</w:t>
      </w:r>
      <w:r>
        <w:rPr>
          <w:rFonts w:asciiTheme="majorEastAsia" w:hAnsiTheme="majorEastAsia" w:eastAsiaTheme="majorEastAsia"/>
          <w:b/>
        </w:rPr>
        <w:t>活动有关的工作人员的纪律要求</w:t>
      </w:r>
    </w:p>
    <w:p w14:paraId="0A25A0EB">
      <w:pPr>
        <w:pStyle w:val="12"/>
        <w:rPr>
          <w:rFonts w:ascii="黑体"/>
          <w:sz w:val="29"/>
        </w:rPr>
      </w:pPr>
    </w:p>
    <w:p w14:paraId="4225169A">
      <w:pPr>
        <w:pStyle w:val="12"/>
        <w:spacing w:line="358" w:lineRule="auto"/>
        <w:ind w:left="238" w:firstLine="420"/>
        <w:jc w:val="both"/>
      </w:pPr>
      <w:r>
        <w:t>与</w:t>
      </w:r>
      <w:r>
        <w:rPr>
          <w:rFonts w:hint="eastAsia"/>
          <w:lang w:val="en-US"/>
        </w:rPr>
        <w:t>评审</w:t>
      </w:r>
      <w:r>
        <w:t>活动有关的工作人员不得收受他人的财物或者其他好处，不得向他人透露对</w:t>
      </w:r>
      <w:r>
        <w:rPr>
          <w:rFonts w:hint="eastAsia"/>
          <w:lang w:val="en-US"/>
        </w:rPr>
        <w:t>响应</w:t>
      </w:r>
      <w:r>
        <w:t>文件的评审和比较、</w:t>
      </w:r>
      <w:r>
        <w:rPr>
          <w:rFonts w:hint="eastAsia"/>
          <w:lang w:val="en-US"/>
        </w:rPr>
        <w:t>成交</w:t>
      </w:r>
      <w:r>
        <w:t>候选人的推荐情况以及</w:t>
      </w:r>
      <w:r>
        <w:rPr>
          <w:rFonts w:hint="eastAsia"/>
          <w:lang w:val="en-US"/>
        </w:rPr>
        <w:t>评审</w:t>
      </w:r>
      <w:r>
        <w:t>有关的其他情况。在</w:t>
      </w:r>
      <w:r>
        <w:rPr>
          <w:rFonts w:hint="eastAsia"/>
          <w:lang w:val="en-US"/>
        </w:rPr>
        <w:t>评审</w:t>
      </w:r>
      <w:r>
        <w:t>活动中，与</w:t>
      </w:r>
      <w:r>
        <w:rPr>
          <w:rFonts w:hint="eastAsia"/>
          <w:lang w:val="en-US"/>
        </w:rPr>
        <w:t>评审</w:t>
      </w:r>
      <w:r>
        <w:t>活动有关的工作人员不得擅离职守，影响</w:t>
      </w:r>
      <w:r>
        <w:rPr>
          <w:rFonts w:hint="eastAsia"/>
          <w:lang w:val="en-US"/>
        </w:rPr>
        <w:t>评审</w:t>
      </w:r>
      <w:r>
        <w:t>程序正常进行。</w:t>
      </w:r>
      <w:bookmarkStart w:id="91" w:name="_TOC_250135"/>
      <w:bookmarkEnd w:id="91"/>
      <w:bookmarkStart w:id="92" w:name="_TOC_250136"/>
      <w:bookmarkEnd w:id="92"/>
    </w:p>
    <w:p w14:paraId="2CF7D5E1"/>
    <w:p w14:paraId="49684A3F">
      <w:pPr>
        <w:pStyle w:val="3"/>
        <w:tabs>
          <w:tab w:val="left" w:pos="801"/>
        </w:tabs>
        <w:spacing w:before="1"/>
        <w:ind w:left="240" w:firstLine="0"/>
        <w:rPr>
          <w:rFonts w:asciiTheme="majorEastAsia" w:hAnsiTheme="majorEastAsia" w:eastAsiaTheme="majorEastAsia"/>
        </w:rPr>
      </w:pPr>
      <w:bookmarkStart w:id="93" w:name="_TOC_250134"/>
      <w:bookmarkEnd w:id="93"/>
      <w:r>
        <w:rPr>
          <w:rFonts w:hint="eastAsia" w:asciiTheme="majorEastAsia" w:hAnsiTheme="majorEastAsia" w:eastAsiaTheme="majorEastAsia"/>
          <w:lang w:val="en-US"/>
        </w:rPr>
        <w:t>9.</w:t>
      </w:r>
      <w:r>
        <w:rPr>
          <w:rFonts w:asciiTheme="majorEastAsia" w:hAnsiTheme="majorEastAsia" w:eastAsiaTheme="majorEastAsia"/>
        </w:rPr>
        <w:t>需要补充的其他内容</w:t>
      </w:r>
    </w:p>
    <w:p w14:paraId="7A0E8339">
      <w:pPr>
        <w:pStyle w:val="12"/>
        <w:rPr>
          <w:rFonts w:ascii="黑体"/>
          <w:b/>
          <w:sz w:val="29"/>
        </w:rPr>
      </w:pPr>
    </w:p>
    <w:p w14:paraId="781208B1">
      <w:pPr>
        <w:pStyle w:val="25"/>
        <w:ind w:firstLine="210"/>
        <w:rPr>
          <w:lang w:val="en-US"/>
        </w:rPr>
      </w:pPr>
      <w:r>
        <w:t>需要补充的其他内容：见</w:t>
      </w:r>
      <w:r>
        <w:rPr>
          <w:rFonts w:hint="eastAsia"/>
          <w:lang w:val="en-US"/>
        </w:rPr>
        <w:t>供应商</w:t>
      </w:r>
      <w:r>
        <w:t>须知前附表。</w:t>
      </w:r>
      <w:r>
        <w:rPr>
          <w:rFonts w:hint="eastAsia"/>
          <w:lang w:val="en-US"/>
        </w:rPr>
        <w:t>磋商文件中未尽事宜参照相关法律法规执行。</w:t>
      </w:r>
    </w:p>
    <w:p w14:paraId="3676B04C">
      <w:pPr>
        <w:sectPr>
          <w:pgSz w:w="12240" w:h="15840"/>
          <w:pgMar w:top="1440" w:right="1080" w:bottom="1440" w:left="1080" w:header="0" w:footer="844" w:gutter="0"/>
          <w:pgNumType w:fmt="decimal"/>
          <w:cols w:space="720" w:num="1"/>
          <w:docGrid w:linePitch="299" w:charSpace="0"/>
        </w:sectPr>
      </w:pPr>
      <w:bookmarkStart w:id="94" w:name="_TOC_250185"/>
      <w:bookmarkEnd w:id="94"/>
    </w:p>
    <w:p w14:paraId="6D397F3A">
      <w:pPr>
        <w:pStyle w:val="12"/>
        <w:outlineLvl w:val="2"/>
        <w:rPr>
          <w:lang w:val="en-US"/>
        </w:rPr>
      </w:pPr>
      <w:bookmarkStart w:id="95" w:name="_TOC_250133"/>
      <w:bookmarkEnd w:id="95"/>
      <w:r>
        <w:rPr>
          <w:rFonts w:hint="eastAsia"/>
          <w:lang w:val="en-US"/>
        </w:rPr>
        <w:t xml:space="preserve">附表一：问题澄清通知 </w:t>
      </w:r>
    </w:p>
    <w:p w14:paraId="63237DBC">
      <w:pPr>
        <w:pStyle w:val="12"/>
        <w:ind w:left="660"/>
        <w:jc w:val="center"/>
        <w:rPr>
          <w:lang w:val="en-US"/>
        </w:rPr>
      </w:pPr>
    </w:p>
    <w:p w14:paraId="6385D65E">
      <w:pPr>
        <w:pStyle w:val="12"/>
        <w:ind w:left="660" w:firstLine="3150" w:firstLineChars="1500"/>
        <w:jc w:val="both"/>
      </w:pPr>
      <w:r>
        <w:rPr>
          <w:rFonts w:hint="eastAsia"/>
          <w:lang w:val="en-US"/>
        </w:rPr>
        <w:t>问题澄清通知</w:t>
      </w:r>
    </w:p>
    <w:p w14:paraId="46794367">
      <w:pPr>
        <w:pStyle w:val="12"/>
        <w:ind w:left="660" w:firstLine="5250" w:firstLineChars="2500"/>
        <w:rPr>
          <w:u w:val="single"/>
          <w:lang w:val="en-US"/>
        </w:rPr>
      </w:pPr>
      <w:r>
        <w:rPr>
          <w:rFonts w:hint="eastAsia"/>
          <w:lang w:val="en-US"/>
        </w:rPr>
        <w:t>编号：</w:t>
      </w:r>
      <w:r>
        <w:rPr>
          <w:rFonts w:hint="eastAsia"/>
          <w:u w:val="single"/>
          <w:lang w:val="en-US"/>
        </w:rPr>
        <w:t xml:space="preserve">                  </w:t>
      </w:r>
    </w:p>
    <w:p w14:paraId="43E3999D">
      <w:pPr>
        <w:pStyle w:val="12"/>
        <w:ind w:firstLine="210" w:firstLineChars="100"/>
        <w:rPr>
          <w:lang w:val="en-US"/>
        </w:rPr>
      </w:pPr>
    </w:p>
    <w:p w14:paraId="1BCA8077">
      <w:pPr>
        <w:pStyle w:val="12"/>
        <w:ind w:firstLine="210" w:firstLineChars="100"/>
        <w:rPr>
          <w:u w:val="single"/>
          <w:lang w:val="en-US"/>
        </w:rPr>
      </w:pPr>
      <w:r>
        <w:rPr>
          <w:rFonts w:hint="eastAsia"/>
          <w:lang w:val="en-US"/>
        </w:rPr>
        <w:t>（供应商名称）：</w:t>
      </w:r>
      <w:r>
        <w:rPr>
          <w:rFonts w:hint="eastAsia"/>
          <w:u w:val="single"/>
          <w:lang w:val="en-US"/>
        </w:rPr>
        <w:t xml:space="preserve">                         </w:t>
      </w:r>
    </w:p>
    <w:p w14:paraId="6D88127A">
      <w:pPr>
        <w:spacing w:line="360" w:lineRule="auto"/>
        <w:ind w:firstLine="660" w:firstLineChars="300"/>
        <w:rPr>
          <w:sz w:val="21"/>
          <w:szCs w:val="21"/>
          <w:lang w:val="en-US"/>
        </w:rPr>
      </w:pPr>
      <w:r>
        <w:rPr>
          <w:rFonts w:hint="eastAsia"/>
          <w:u w:val="single"/>
          <w:lang w:val="en-US"/>
        </w:rPr>
        <w:t xml:space="preserve">                           </w:t>
      </w:r>
      <w:r>
        <w:rPr>
          <w:rFonts w:hint="eastAsia"/>
          <w:lang w:val="en-US"/>
        </w:rPr>
        <w:t>（</w:t>
      </w:r>
      <w:r>
        <w:rPr>
          <w:rFonts w:hint="eastAsia"/>
          <w:sz w:val="21"/>
          <w:szCs w:val="21"/>
          <w:lang w:val="en-US"/>
        </w:rPr>
        <w:t>项目名称）采购活动的磋商小组，对你方的响应文件进行了仔细的审查，现需你方于</w:t>
      </w:r>
      <w:r>
        <w:rPr>
          <w:rFonts w:hint="eastAsia"/>
          <w:u w:val="single"/>
        </w:rPr>
        <w:t xml:space="preserve">      </w:t>
      </w:r>
      <w:r>
        <w:rPr>
          <w:rFonts w:hint="eastAsia"/>
          <w:sz w:val="21"/>
          <w:szCs w:val="21"/>
          <w:lang w:val="en-US"/>
        </w:rPr>
        <w:t>年</w:t>
      </w:r>
      <w:r>
        <w:rPr>
          <w:rFonts w:hint="eastAsia"/>
          <w:u w:val="single"/>
        </w:rPr>
        <w:t xml:space="preserve">      </w:t>
      </w:r>
      <w:r>
        <w:rPr>
          <w:rFonts w:hint="eastAsia"/>
          <w:sz w:val="21"/>
          <w:szCs w:val="21"/>
          <w:lang w:val="en-US"/>
        </w:rPr>
        <w:t>月</w:t>
      </w:r>
      <w:r>
        <w:rPr>
          <w:rFonts w:hint="eastAsia"/>
          <w:u w:val="single"/>
        </w:rPr>
        <w:t xml:space="preserve">       </w:t>
      </w:r>
      <w:r>
        <w:rPr>
          <w:rFonts w:hint="eastAsia"/>
          <w:sz w:val="21"/>
          <w:szCs w:val="21"/>
          <w:lang w:val="en-US"/>
        </w:rPr>
        <w:t>日</w:t>
      </w:r>
      <w:r>
        <w:rPr>
          <w:rFonts w:hint="eastAsia"/>
          <w:u w:val="single"/>
        </w:rPr>
        <w:t xml:space="preserve">      </w:t>
      </w:r>
      <w:r>
        <w:rPr>
          <w:rFonts w:hint="eastAsia"/>
          <w:sz w:val="21"/>
          <w:szCs w:val="21"/>
          <w:lang w:val="en-US"/>
        </w:rPr>
        <w:t>时</w:t>
      </w:r>
      <w:r>
        <w:rPr>
          <w:u w:val="single"/>
        </w:rPr>
        <w:t xml:space="preserve">     </w:t>
      </w:r>
      <w:r>
        <w:rPr>
          <w:rFonts w:hint="eastAsia"/>
          <w:sz w:val="21"/>
          <w:szCs w:val="21"/>
          <w:lang w:val="en-US"/>
        </w:rPr>
        <w:t>分前对以下问题予以澄清、说明或者补正：</w:t>
      </w:r>
    </w:p>
    <w:p w14:paraId="4034249B">
      <w:pPr>
        <w:spacing w:line="360" w:lineRule="auto"/>
        <w:ind w:firstLine="440" w:firstLineChars="200"/>
      </w:pPr>
      <w:r>
        <w:rPr>
          <w:rFonts w:hint="eastAsia"/>
        </w:rPr>
        <w:t>1、</w:t>
      </w:r>
    </w:p>
    <w:p w14:paraId="3323FE65">
      <w:pPr>
        <w:spacing w:line="360" w:lineRule="auto"/>
        <w:ind w:firstLine="440" w:firstLineChars="200"/>
      </w:pPr>
      <w:r>
        <w:rPr>
          <w:rFonts w:hint="eastAsia"/>
        </w:rPr>
        <w:t>2、</w:t>
      </w:r>
    </w:p>
    <w:p w14:paraId="248B7872">
      <w:pPr>
        <w:pStyle w:val="12"/>
        <w:ind w:firstLine="420" w:firstLineChars="200"/>
        <w:rPr>
          <w:sz w:val="20"/>
        </w:rPr>
      </w:pPr>
      <w:r>
        <w:rPr>
          <w:rFonts w:hint="eastAsia"/>
        </w:rPr>
        <w:t>3、</w:t>
      </w:r>
    </w:p>
    <w:p w14:paraId="263672B5">
      <w:pPr>
        <w:pStyle w:val="12"/>
        <w:spacing w:before="4"/>
        <w:rPr>
          <w:sz w:val="25"/>
          <w:lang w:val="en-US"/>
        </w:rPr>
      </w:pPr>
      <w:r>
        <w:rPr>
          <w:rFonts w:hint="eastAsia"/>
          <w:sz w:val="25"/>
          <w:lang w:val="en-US"/>
        </w:rPr>
        <w:t xml:space="preserve">    .</w:t>
      </w:r>
    </w:p>
    <w:p w14:paraId="7A121000">
      <w:pPr>
        <w:spacing w:before="61"/>
        <w:ind w:left="737" w:leftChars="213" w:hanging="268" w:hangingChars="122"/>
        <w:rPr>
          <w:lang w:val="en-US"/>
        </w:rPr>
      </w:pPr>
      <w:bookmarkStart w:id="96" w:name="_TOC_250132"/>
      <w:bookmarkEnd w:id="96"/>
      <w:r>
        <w:rPr>
          <w:rFonts w:hint="eastAsia"/>
          <w:lang w:val="en-US"/>
        </w:rPr>
        <w:t>.</w:t>
      </w:r>
    </w:p>
    <w:p w14:paraId="098C20A4">
      <w:pPr>
        <w:ind w:firstLine="440" w:firstLineChars="200"/>
        <w:rPr>
          <w:lang w:val="en-US"/>
        </w:rPr>
      </w:pPr>
      <w:r>
        <w:rPr>
          <w:rFonts w:hint="eastAsia"/>
          <w:lang w:val="en-US"/>
        </w:rPr>
        <w:t>.</w:t>
      </w:r>
    </w:p>
    <w:p w14:paraId="542C106D">
      <w:pPr>
        <w:spacing w:before="61"/>
        <w:ind w:left="376"/>
      </w:pPr>
    </w:p>
    <w:p w14:paraId="60E5C2C0">
      <w:pPr>
        <w:spacing w:before="61"/>
        <w:ind w:left="376"/>
      </w:pPr>
    </w:p>
    <w:p w14:paraId="66A841FC">
      <w:pPr>
        <w:spacing w:before="61"/>
        <w:ind w:left="376"/>
      </w:pPr>
    </w:p>
    <w:p w14:paraId="242961D9">
      <w:pPr>
        <w:spacing w:before="61"/>
        <w:ind w:left="376"/>
      </w:pPr>
    </w:p>
    <w:p w14:paraId="4EDD11AE">
      <w:pPr>
        <w:spacing w:before="61"/>
        <w:ind w:left="376"/>
      </w:pPr>
    </w:p>
    <w:p w14:paraId="64615F43">
      <w:pPr>
        <w:spacing w:before="61"/>
        <w:ind w:left="376"/>
      </w:pPr>
    </w:p>
    <w:p w14:paraId="1A3FCFAE">
      <w:pPr>
        <w:spacing w:before="61"/>
        <w:ind w:left="376"/>
      </w:pPr>
    </w:p>
    <w:p w14:paraId="0B05EB98"/>
    <w:p w14:paraId="2D769D5E">
      <w:pPr>
        <w:spacing w:line="440" w:lineRule="exact"/>
        <w:rPr>
          <w:szCs w:val="21"/>
        </w:rPr>
      </w:pPr>
      <w:r>
        <w:rPr>
          <w:rFonts w:hint="eastAsia"/>
          <w:lang w:val="en-US"/>
        </w:rPr>
        <w:t xml:space="preserve">                                              </w:t>
      </w:r>
      <w:r>
        <w:rPr>
          <w:szCs w:val="21"/>
          <w:u w:val="single"/>
        </w:rPr>
        <w:t xml:space="preserve">　            </w:t>
      </w:r>
      <w:r>
        <w:rPr>
          <w:rFonts w:hint="eastAsia"/>
          <w:sz w:val="21"/>
          <w:szCs w:val="21"/>
          <w:lang w:val="en-US"/>
        </w:rPr>
        <w:t xml:space="preserve">（项目名称）磋商小组 </w:t>
      </w:r>
      <w:r>
        <w:rPr>
          <w:rFonts w:hint="eastAsia"/>
          <w:szCs w:val="21"/>
        </w:rPr>
        <w:t xml:space="preserve">                                         </w:t>
      </w:r>
    </w:p>
    <w:p w14:paraId="555B19DA">
      <w:pPr>
        <w:spacing w:line="440" w:lineRule="exact"/>
        <w:rPr>
          <w:szCs w:val="21"/>
        </w:rPr>
      </w:pPr>
      <w:r>
        <w:rPr>
          <w:szCs w:val="21"/>
        </w:rPr>
        <w:t xml:space="preserve">                                  </w:t>
      </w:r>
      <w:r>
        <w:rPr>
          <w:rFonts w:hint="eastAsia"/>
          <w:szCs w:val="21"/>
        </w:rPr>
        <w:t xml:space="preserve">                     </w:t>
      </w:r>
      <w:r>
        <w:rPr>
          <w:szCs w:val="21"/>
          <w:u w:val="single"/>
        </w:rPr>
        <w:t xml:space="preserve">      </w:t>
      </w:r>
      <w:r>
        <w:rPr>
          <w:rFonts w:hint="eastAsia"/>
          <w:sz w:val="21"/>
          <w:szCs w:val="21"/>
          <w:lang w:val="en-US"/>
        </w:rPr>
        <w:t>年</w:t>
      </w:r>
      <w:r>
        <w:rPr>
          <w:szCs w:val="21"/>
          <w:u w:val="single"/>
        </w:rPr>
        <w:t xml:space="preserve">     </w:t>
      </w:r>
      <w:r>
        <w:rPr>
          <w:rFonts w:hint="eastAsia"/>
          <w:sz w:val="21"/>
          <w:szCs w:val="21"/>
          <w:lang w:val="en-US"/>
        </w:rPr>
        <w:t>月</w:t>
      </w:r>
      <w:r>
        <w:rPr>
          <w:szCs w:val="21"/>
          <w:u w:val="single"/>
        </w:rPr>
        <w:t xml:space="preserve">     </w:t>
      </w:r>
      <w:r>
        <w:rPr>
          <w:rFonts w:hint="eastAsia"/>
          <w:sz w:val="21"/>
          <w:szCs w:val="21"/>
          <w:lang w:val="en-US"/>
        </w:rPr>
        <w:t>日</w:t>
      </w:r>
    </w:p>
    <w:p w14:paraId="36F4446A">
      <w:pPr>
        <w:spacing w:line="360" w:lineRule="auto"/>
        <w:ind w:left="6600" w:leftChars="2600" w:hanging="880" w:hangingChars="400"/>
      </w:pPr>
    </w:p>
    <w:p w14:paraId="112A5EBE">
      <w:pPr>
        <w:pStyle w:val="25"/>
        <w:ind w:firstLine="210"/>
        <w:rPr>
          <w:lang w:val="en-US"/>
        </w:rPr>
        <w:sectPr>
          <w:pgSz w:w="12240" w:h="15840"/>
          <w:pgMar w:top="1440" w:right="1080" w:bottom="1440" w:left="1080" w:header="0" w:footer="844" w:gutter="0"/>
          <w:pgNumType w:fmt="decimal"/>
          <w:cols w:space="720" w:num="1"/>
        </w:sectPr>
      </w:pPr>
    </w:p>
    <w:p w14:paraId="44400F13">
      <w:pPr>
        <w:pStyle w:val="4"/>
        <w:spacing w:before="61"/>
        <w:ind w:left="0" w:firstLine="0"/>
      </w:pPr>
      <w:bookmarkStart w:id="97" w:name="_TOC_250131"/>
      <w:bookmarkEnd w:id="97"/>
      <w:r>
        <w:rPr>
          <w:rFonts w:hint="eastAsia" w:ascii="宋体" w:hAnsi="宋体" w:eastAsia="宋体" w:cs="宋体"/>
          <w:sz w:val="21"/>
          <w:szCs w:val="21"/>
          <w:lang w:val="en-US"/>
        </w:rPr>
        <w:t>附表二：问题的澄清</w:t>
      </w:r>
    </w:p>
    <w:p w14:paraId="3DDC2BA5">
      <w:pPr>
        <w:pStyle w:val="12"/>
        <w:rPr>
          <w:rFonts w:ascii="黑体"/>
          <w:sz w:val="20"/>
        </w:rPr>
      </w:pPr>
    </w:p>
    <w:p w14:paraId="32223598">
      <w:pPr>
        <w:pStyle w:val="12"/>
        <w:rPr>
          <w:rFonts w:ascii="黑体"/>
          <w:sz w:val="20"/>
        </w:rPr>
      </w:pPr>
    </w:p>
    <w:p w14:paraId="782F4153">
      <w:pPr>
        <w:pStyle w:val="12"/>
        <w:rPr>
          <w:rFonts w:ascii="黑体"/>
          <w:sz w:val="20"/>
        </w:rPr>
      </w:pPr>
    </w:p>
    <w:p w14:paraId="726641B9">
      <w:pPr>
        <w:spacing w:before="193"/>
        <w:ind w:right="456"/>
        <w:jc w:val="center"/>
        <w:rPr>
          <w:rFonts w:ascii="黑体" w:eastAsia="黑体"/>
          <w:sz w:val="28"/>
        </w:rPr>
      </w:pPr>
      <w:r>
        <w:rPr>
          <w:rFonts w:hint="eastAsia"/>
          <w:sz w:val="21"/>
          <w:szCs w:val="21"/>
          <w:lang w:val="en-US"/>
        </w:rPr>
        <w:t>问题的澄清</w:t>
      </w:r>
    </w:p>
    <w:p w14:paraId="7CC96C85">
      <w:pPr>
        <w:pStyle w:val="12"/>
        <w:tabs>
          <w:tab w:val="left" w:pos="2800"/>
        </w:tabs>
        <w:spacing w:before="110"/>
        <w:ind w:left="419"/>
        <w:jc w:val="center"/>
      </w:pPr>
      <w:r>
        <w:t>（编号：</w:t>
      </w:r>
      <w:r>
        <w:rPr>
          <w:u w:val="single"/>
        </w:rPr>
        <w:t xml:space="preserve"> </w:t>
      </w:r>
      <w:r>
        <w:rPr>
          <w:u w:val="single"/>
        </w:rPr>
        <w:tab/>
      </w:r>
      <w:r>
        <w:t>）</w:t>
      </w:r>
    </w:p>
    <w:p w14:paraId="00380DAB">
      <w:pPr>
        <w:pStyle w:val="12"/>
        <w:rPr>
          <w:sz w:val="20"/>
        </w:rPr>
      </w:pPr>
    </w:p>
    <w:p w14:paraId="3D5F351C">
      <w:pPr>
        <w:pStyle w:val="12"/>
        <w:spacing w:before="6"/>
        <w:rPr>
          <w:sz w:val="18"/>
        </w:rPr>
      </w:pPr>
    </w:p>
    <w:p w14:paraId="5CFE4FE6">
      <w:pPr>
        <w:pStyle w:val="12"/>
        <w:spacing w:before="71"/>
        <w:ind w:firstLine="420" w:firstLineChars="200"/>
      </w:pPr>
      <w:r>
        <w:rPr>
          <w:rFonts w:hint="eastAsia"/>
          <w:u w:val="single"/>
          <w:lang w:val="en-US"/>
        </w:rPr>
        <w:t xml:space="preserve">     （项目名称）            </w:t>
      </w:r>
      <w:r>
        <w:rPr>
          <w:rFonts w:hint="eastAsia"/>
          <w:lang w:val="en-US"/>
        </w:rPr>
        <w:t>磋商小组</w:t>
      </w:r>
      <w:r>
        <w:t>：</w:t>
      </w:r>
    </w:p>
    <w:p w14:paraId="2B440975">
      <w:pPr>
        <w:pStyle w:val="12"/>
        <w:rPr>
          <w:sz w:val="20"/>
        </w:rPr>
      </w:pPr>
    </w:p>
    <w:p w14:paraId="0F9FE42F">
      <w:pPr>
        <w:pStyle w:val="12"/>
        <w:spacing w:before="8"/>
        <w:rPr>
          <w:sz w:val="27"/>
        </w:rPr>
      </w:pPr>
    </w:p>
    <w:p w14:paraId="22B4C9A5">
      <w:pPr>
        <w:pStyle w:val="12"/>
        <w:tabs>
          <w:tab w:val="left" w:pos="3599"/>
        </w:tabs>
        <w:ind w:left="659"/>
      </w:pPr>
      <w:r>
        <w:t>问题澄清通知（编号：</w:t>
      </w:r>
      <w:r>
        <w:rPr>
          <w:u w:val="single"/>
        </w:rPr>
        <w:t xml:space="preserve"> </w:t>
      </w:r>
      <w:r>
        <w:rPr>
          <w:u w:val="single"/>
        </w:rPr>
        <w:tab/>
      </w:r>
      <w:r>
        <w:t>）已收悉，现澄清、说明或补正如下：</w:t>
      </w:r>
    </w:p>
    <w:p w14:paraId="1CD4C818">
      <w:pPr>
        <w:pStyle w:val="12"/>
        <w:spacing w:before="185"/>
        <w:ind w:right="7470"/>
        <w:jc w:val="center"/>
        <w:rPr>
          <w:rFonts w:ascii="Times New Roman"/>
        </w:rPr>
      </w:pPr>
      <w:r>
        <w:rPr>
          <w:rFonts w:ascii="Times New Roman"/>
        </w:rPr>
        <w:t>1.</w:t>
      </w:r>
    </w:p>
    <w:p w14:paraId="2A8E9E3F">
      <w:pPr>
        <w:pStyle w:val="12"/>
        <w:spacing w:before="2"/>
        <w:rPr>
          <w:rFonts w:ascii="Times New Roman"/>
          <w:sz w:val="17"/>
        </w:rPr>
      </w:pPr>
    </w:p>
    <w:p w14:paraId="361C834B">
      <w:pPr>
        <w:pStyle w:val="12"/>
        <w:spacing w:before="1"/>
        <w:ind w:right="7470"/>
        <w:jc w:val="center"/>
        <w:rPr>
          <w:rFonts w:ascii="Times New Roman"/>
        </w:rPr>
      </w:pPr>
      <w:r>
        <w:rPr>
          <w:rFonts w:ascii="Times New Roman"/>
        </w:rPr>
        <w:t>2.</w:t>
      </w:r>
    </w:p>
    <w:p w14:paraId="7BCDF86F">
      <w:pPr>
        <w:pStyle w:val="12"/>
        <w:spacing w:before="3"/>
        <w:rPr>
          <w:rFonts w:ascii="Times New Roman"/>
          <w:sz w:val="17"/>
        </w:rPr>
      </w:pPr>
    </w:p>
    <w:p w14:paraId="23DACF16">
      <w:pPr>
        <w:pStyle w:val="12"/>
        <w:ind w:right="7574"/>
        <w:jc w:val="center"/>
        <w:rPr>
          <w:rFonts w:ascii="Times New Roman"/>
        </w:rPr>
      </w:pPr>
      <w:r>
        <w:rPr>
          <w:rFonts w:ascii="Times New Roman"/>
        </w:rPr>
        <w:t>.....</w:t>
      </w:r>
    </w:p>
    <w:p w14:paraId="2CFCF1E7">
      <w:pPr>
        <w:pStyle w:val="12"/>
        <w:rPr>
          <w:rFonts w:ascii="Times New Roman"/>
          <w:sz w:val="22"/>
        </w:rPr>
      </w:pPr>
    </w:p>
    <w:p w14:paraId="09E5A58B">
      <w:pPr>
        <w:pStyle w:val="12"/>
        <w:rPr>
          <w:rFonts w:ascii="Times New Roman"/>
          <w:sz w:val="22"/>
        </w:rPr>
      </w:pPr>
    </w:p>
    <w:p w14:paraId="3594FC17">
      <w:pPr>
        <w:pStyle w:val="12"/>
        <w:rPr>
          <w:rFonts w:ascii="Times New Roman"/>
          <w:sz w:val="22"/>
        </w:rPr>
      </w:pPr>
    </w:p>
    <w:p w14:paraId="2F4A3C67">
      <w:pPr>
        <w:pStyle w:val="12"/>
        <w:rPr>
          <w:rFonts w:ascii="Times New Roman"/>
          <w:sz w:val="22"/>
        </w:rPr>
      </w:pPr>
    </w:p>
    <w:p w14:paraId="19F5A37E">
      <w:pPr>
        <w:pStyle w:val="12"/>
        <w:rPr>
          <w:rFonts w:ascii="Times New Roman"/>
          <w:sz w:val="22"/>
        </w:rPr>
      </w:pPr>
    </w:p>
    <w:p w14:paraId="6ACCE6E6">
      <w:pPr>
        <w:pStyle w:val="12"/>
        <w:spacing w:before="10"/>
        <w:rPr>
          <w:rFonts w:ascii="Times New Roman"/>
          <w:sz w:val="20"/>
        </w:rPr>
      </w:pPr>
    </w:p>
    <w:p w14:paraId="45DA0148">
      <w:pPr>
        <w:pStyle w:val="12"/>
        <w:spacing w:line="391" w:lineRule="auto"/>
        <w:ind w:left="240" w:right="704" w:firstLine="420"/>
      </w:pPr>
      <w:r>
        <w:t>上述问题澄清、说明或补正，不改变我方</w:t>
      </w:r>
      <w:r>
        <w:rPr>
          <w:rFonts w:hint="eastAsia"/>
          <w:lang w:val="en-US"/>
        </w:rPr>
        <w:t>响应</w:t>
      </w:r>
      <w:r>
        <w:t>文件的实质性内容，构成我方</w:t>
      </w:r>
      <w:r>
        <w:rPr>
          <w:rFonts w:hint="eastAsia"/>
          <w:lang w:val="en-US"/>
        </w:rPr>
        <w:t>响应</w:t>
      </w:r>
      <w:r>
        <w:t>文件的组成部分。</w:t>
      </w:r>
    </w:p>
    <w:p w14:paraId="75BC277D">
      <w:pPr>
        <w:pStyle w:val="12"/>
        <w:rPr>
          <w:sz w:val="20"/>
        </w:rPr>
      </w:pPr>
    </w:p>
    <w:p w14:paraId="4EE6F974">
      <w:pPr>
        <w:pStyle w:val="12"/>
        <w:rPr>
          <w:sz w:val="20"/>
        </w:rPr>
      </w:pPr>
    </w:p>
    <w:p w14:paraId="3DA4383D">
      <w:pPr>
        <w:pStyle w:val="12"/>
        <w:spacing w:before="11"/>
        <w:rPr>
          <w:sz w:val="17"/>
        </w:rPr>
      </w:pPr>
    </w:p>
    <w:p w14:paraId="402E44D9">
      <w:pPr>
        <w:pStyle w:val="12"/>
        <w:tabs>
          <w:tab w:val="left" w:pos="6749"/>
        </w:tabs>
        <w:spacing w:before="1" w:line="484" w:lineRule="auto"/>
        <w:ind w:left="3179" w:leftChars="1445" w:right="797" w:firstLine="210" w:firstLineChars="100"/>
        <w:rPr>
          <w:spacing w:val="-17"/>
        </w:rPr>
      </w:pPr>
      <w:r>
        <w:rPr>
          <w:rFonts w:hint="eastAsia"/>
          <w:lang w:val="en-US"/>
        </w:rPr>
        <w:t>供应商</w:t>
      </w:r>
      <w:r>
        <w:t>：</w:t>
      </w:r>
      <w:r>
        <w:rPr>
          <w:u w:val="single"/>
        </w:rPr>
        <w:t xml:space="preserve"> </w:t>
      </w:r>
      <w:r>
        <w:rPr>
          <w:rFonts w:hint="eastAsia"/>
          <w:u w:val="single"/>
          <w:lang w:val="en-US" w:eastAsia="zh-CN"/>
        </w:rPr>
        <w:t xml:space="preserve">                 </w:t>
      </w:r>
      <w:r>
        <w:t>（</w:t>
      </w:r>
      <w:r>
        <w:rPr>
          <w:rFonts w:hint="eastAsia" w:ascii="宋体" w:hAnsi="宋体" w:cs="宋体"/>
          <w:szCs w:val="21"/>
        </w:rPr>
        <w:t>单位电子CA印章公章</w:t>
      </w:r>
      <w:r>
        <w:rPr>
          <w:spacing w:val="-17"/>
        </w:rPr>
        <w:t>）</w:t>
      </w:r>
    </w:p>
    <w:p w14:paraId="741B4679">
      <w:pPr>
        <w:pStyle w:val="12"/>
        <w:tabs>
          <w:tab w:val="left" w:pos="6749"/>
        </w:tabs>
        <w:spacing w:before="1" w:line="484" w:lineRule="auto"/>
        <w:ind w:left="3179" w:right="797"/>
      </w:pPr>
      <w:r>
        <w:rPr>
          <w:spacing w:val="-17"/>
        </w:rPr>
        <w:t xml:space="preserve"> </w:t>
      </w:r>
      <w:r>
        <w:t>法定代表人或其委托代理人：</w:t>
      </w:r>
      <w:r>
        <w:rPr>
          <w:u w:val="single"/>
        </w:rPr>
        <w:t xml:space="preserve"> </w:t>
      </w:r>
      <w:r>
        <w:rPr>
          <w:rFonts w:hint="eastAsia"/>
          <w:u w:val="single"/>
          <w:lang w:val="en-US" w:eastAsia="zh-CN"/>
        </w:rPr>
        <w:t xml:space="preserve">  </w:t>
      </w:r>
      <w:r>
        <w:t>（</w:t>
      </w:r>
      <w:r>
        <w:rPr>
          <w:rFonts w:hint="eastAsia"/>
          <w:lang w:val="en-US" w:eastAsia="zh-CN"/>
        </w:rPr>
        <w:t>按照要求正确签署</w:t>
      </w:r>
      <w:r>
        <w:t>）</w:t>
      </w:r>
    </w:p>
    <w:p w14:paraId="05056D5F">
      <w:pPr>
        <w:pStyle w:val="12"/>
        <w:rPr>
          <w:sz w:val="20"/>
        </w:rPr>
      </w:pPr>
    </w:p>
    <w:p w14:paraId="057F6815">
      <w:pPr>
        <w:pStyle w:val="12"/>
        <w:spacing w:before="11"/>
        <w:rPr>
          <w:sz w:val="19"/>
        </w:rPr>
      </w:pPr>
    </w:p>
    <w:p w14:paraId="51AA2446">
      <w:pPr>
        <w:pStyle w:val="12"/>
        <w:tabs>
          <w:tab w:val="left" w:pos="6569"/>
          <w:tab w:val="left" w:pos="7619"/>
          <w:tab w:val="left" w:pos="8669"/>
        </w:tabs>
        <w:spacing w:before="71"/>
        <w:ind w:left="5730"/>
        <w:sectPr>
          <w:pgSz w:w="12240" w:h="15840"/>
          <w:pgMar w:top="1440" w:right="1080" w:bottom="1440" w:left="1080" w:header="0" w:footer="844" w:gutter="0"/>
          <w:pgNumType w:fmt="decimal"/>
          <w:cols w:space="720" w:num="1"/>
        </w:sectPr>
      </w:pPr>
      <w:r>
        <w:rPr>
          <w:rFonts w:ascii="Times New Roman" w:eastAsia="Times New Roman"/>
          <w:u w:val="single"/>
        </w:rPr>
        <w:t xml:space="preserve"> </w:t>
      </w:r>
      <w:r>
        <w:rPr>
          <w:rFonts w:ascii="Times New Roman" w:eastAsia="Times New Roman"/>
          <w:u w:val="single"/>
        </w:rPr>
        <w:tab/>
      </w:r>
      <w:r>
        <w:t>年</w:t>
      </w:r>
      <w:r>
        <w:rPr>
          <w:u w:val="single"/>
        </w:rPr>
        <w:t xml:space="preserve"> </w:t>
      </w:r>
      <w:r>
        <w:rPr>
          <w:u w:val="single"/>
        </w:rPr>
        <w:tab/>
      </w:r>
      <w:r>
        <w:t>月</w:t>
      </w:r>
      <w:r>
        <w:rPr>
          <w:u w:val="single"/>
        </w:rPr>
        <w:t xml:space="preserve"> </w:t>
      </w:r>
      <w:r>
        <w:rPr>
          <w:u w:val="single"/>
        </w:rPr>
        <w:tab/>
      </w:r>
      <w:r>
        <w:t>日</w:t>
      </w:r>
      <w:bookmarkStart w:id="98" w:name="_TOC_250130"/>
      <w:bookmarkEnd w:id="98"/>
    </w:p>
    <w:p w14:paraId="5A073182">
      <w:pPr>
        <w:pStyle w:val="2"/>
        <w:jc w:val="center"/>
      </w:pPr>
      <w:bookmarkStart w:id="99" w:name="_TOC_250127"/>
      <w:bookmarkEnd w:id="99"/>
      <w:bookmarkStart w:id="100" w:name="_Toc4996"/>
      <w:r>
        <w:t>第三章</w:t>
      </w:r>
      <w:r>
        <w:rPr>
          <w:rFonts w:hint="eastAsia"/>
          <w:lang w:val="en-US"/>
        </w:rPr>
        <w:t xml:space="preserve"> 评审</w:t>
      </w:r>
      <w:r>
        <w:t>办法（综合评</w:t>
      </w:r>
      <w:r>
        <w:rPr>
          <w:rFonts w:hint="eastAsia"/>
          <w:lang w:val="en-US"/>
        </w:rPr>
        <w:t>分</w:t>
      </w:r>
      <w:r>
        <w:t>法）</w:t>
      </w:r>
      <w:bookmarkEnd w:id="100"/>
    </w:p>
    <w:p w14:paraId="61B6279A">
      <w:pPr>
        <w:pStyle w:val="12"/>
        <w:spacing w:before="6"/>
        <w:rPr>
          <w:b/>
          <w:sz w:val="20"/>
          <w:szCs w:val="20"/>
        </w:rPr>
      </w:pPr>
    </w:p>
    <w:p w14:paraId="3DC7CE77">
      <w:pPr>
        <w:pStyle w:val="3"/>
        <w:ind w:left="240" w:firstLine="0"/>
        <w:rPr>
          <w:rFonts w:ascii="宋体" w:hAnsi="宋体" w:eastAsia="宋体" w:cs="宋体"/>
        </w:rPr>
      </w:pPr>
      <w:bookmarkStart w:id="101" w:name="_TOC_250126"/>
      <w:bookmarkEnd w:id="101"/>
      <w:r>
        <w:rPr>
          <w:rFonts w:hint="eastAsia" w:ascii="宋体" w:hAnsi="宋体" w:eastAsia="宋体" w:cs="宋体"/>
          <w:lang w:val="en-US"/>
        </w:rPr>
        <w:t>评审</w:t>
      </w:r>
      <w:r>
        <w:rPr>
          <w:rFonts w:hint="eastAsia" w:ascii="宋体" w:hAnsi="宋体" w:eastAsia="宋体" w:cs="宋体"/>
        </w:rPr>
        <w:t>办法前附表</w:t>
      </w:r>
    </w:p>
    <w:p w14:paraId="407CA3E0">
      <w:pPr>
        <w:pStyle w:val="12"/>
        <w:rPr>
          <w:rFonts w:ascii="黑体"/>
          <w:b/>
          <w:sz w:val="20"/>
        </w:rPr>
      </w:pPr>
    </w:p>
    <w:p w14:paraId="40ACB807">
      <w:pPr>
        <w:pStyle w:val="12"/>
        <w:spacing w:before="11"/>
        <w:rPr>
          <w:rFonts w:ascii="黑体"/>
          <w:b/>
          <w:sz w:val="23"/>
        </w:rPr>
      </w:pPr>
    </w:p>
    <w:tbl>
      <w:tblPr>
        <w:tblStyle w:val="27"/>
        <w:tblW w:w="10339" w:type="dxa"/>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5"/>
        <w:gridCol w:w="513"/>
        <w:gridCol w:w="376"/>
        <w:gridCol w:w="1167"/>
        <w:gridCol w:w="1869"/>
        <w:gridCol w:w="5286"/>
        <w:gridCol w:w="1003"/>
      </w:tblGrid>
      <w:tr w14:paraId="34BAA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2181" w:type="dxa"/>
            <w:gridSpan w:val="4"/>
          </w:tcPr>
          <w:p w14:paraId="5A0A11ED">
            <w:pPr>
              <w:pStyle w:val="38"/>
              <w:spacing w:before="140"/>
              <w:ind w:right="666" w:firstLine="632" w:firstLineChars="300"/>
              <w:jc w:val="both"/>
              <w:rPr>
                <w:b/>
                <w:sz w:val="21"/>
              </w:rPr>
            </w:pPr>
            <w:r>
              <w:rPr>
                <w:b/>
                <w:sz w:val="21"/>
              </w:rPr>
              <w:t>条款号</w:t>
            </w:r>
          </w:p>
        </w:tc>
        <w:tc>
          <w:tcPr>
            <w:tcW w:w="1869" w:type="dxa"/>
          </w:tcPr>
          <w:p w14:paraId="32C89241">
            <w:pPr>
              <w:pStyle w:val="38"/>
              <w:spacing w:before="140"/>
              <w:ind w:left="61" w:right="49"/>
              <w:jc w:val="center"/>
              <w:rPr>
                <w:b/>
                <w:sz w:val="21"/>
              </w:rPr>
            </w:pPr>
            <w:r>
              <w:rPr>
                <w:b/>
                <w:sz w:val="21"/>
              </w:rPr>
              <w:t>评审因素</w:t>
            </w:r>
          </w:p>
        </w:tc>
        <w:tc>
          <w:tcPr>
            <w:tcW w:w="6289" w:type="dxa"/>
            <w:gridSpan w:val="2"/>
          </w:tcPr>
          <w:p w14:paraId="377D1DFB">
            <w:pPr>
              <w:pStyle w:val="38"/>
              <w:spacing w:before="140"/>
              <w:ind w:left="1899" w:right="1886"/>
              <w:jc w:val="center"/>
              <w:rPr>
                <w:b/>
                <w:sz w:val="21"/>
              </w:rPr>
            </w:pPr>
            <w:r>
              <w:rPr>
                <w:b/>
                <w:sz w:val="21"/>
              </w:rPr>
              <w:t>评审标准</w:t>
            </w:r>
          </w:p>
        </w:tc>
      </w:tr>
      <w:tr w14:paraId="29DD0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2181" w:type="dxa"/>
            <w:gridSpan w:val="4"/>
          </w:tcPr>
          <w:p w14:paraId="35FC8F03">
            <w:pPr>
              <w:pStyle w:val="38"/>
              <w:spacing w:before="140"/>
              <w:ind w:right="666" w:firstLine="843" w:firstLineChars="400"/>
              <w:jc w:val="both"/>
              <w:rPr>
                <w:b/>
                <w:sz w:val="21"/>
                <w:lang w:val="en-US"/>
              </w:rPr>
            </w:pPr>
            <w:r>
              <w:rPr>
                <w:rFonts w:hint="eastAsia"/>
                <w:b/>
                <w:sz w:val="21"/>
                <w:lang w:val="en-US"/>
              </w:rPr>
              <w:t xml:space="preserve">2 </w:t>
            </w:r>
          </w:p>
        </w:tc>
        <w:tc>
          <w:tcPr>
            <w:tcW w:w="8158" w:type="dxa"/>
            <w:gridSpan w:val="3"/>
          </w:tcPr>
          <w:p w14:paraId="2C5CAEDE">
            <w:pPr>
              <w:pStyle w:val="38"/>
              <w:spacing w:before="140"/>
              <w:ind w:left="1899" w:right="1886"/>
              <w:jc w:val="center"/>
              <w:rPr>
                <w:b/>
                <w:sz w:val="21"/>
                <w:lang w:val="en-US"/>
              </w:rPr>
            </w:pPr>
            <w:r>
              <w:rPr>
                <w:rFonts w:hint="eastAsia"/>
                <w:b/>
                <w:sz w:val="21"/>
                <w:lang w:val="en-US"/>
              </w:rPr>
              <w:t>初步评审</w:t>
            </w:r>
          </w:p>
        </w:tc>
      </w:tr>
      <w:tr w14:paraId="7471E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3" w:hRule="atLeast"/>
        </w:trPr>
        <w:tc>
          <w:tcPr>
            <w:tcW w:w="638" w:type="dxa"/>
            <w:gridSpan w:val="2"/>
            <w:vMerge w:val="restart"/>
          </w:tcPr>
          <w:p w14:paraId="49B25454">
            <w:pPr>
              <w:pStyle w:val="38"/>
              <w:rPr>
                <w:rFonts w:ascii="黑体"/>
                <w:b/>
              </w:rPr>
            </w:pPr>
          </w:p>
          <w:p w14:paraId="041445C6">
            <w:pPr>
              <w:pStyle w:val="38"/>
              <w:rPr>
                <w:rFonts w:ascii="黑体"/>
                <w:b/>
              </w:rPr>
            </w:pPr>
          </w:p>
          <w:p w14:paraId="56899292">
            <w:pPr>
              <w:pStyle w:val="38"/>
              <w:rPr>
                <w:rFonts w:ascii="黑体"/>
                <w:b/>
              </w:rPr>
            </w:pPr>
          </w:p>
          <w:p w14:paraId="7A37D065">
            <w:pPr>
              <w:pStyle w:val="38"/>
              <w:rPr>
                <w:rFonts w:ascii="黑体"/>
                <w:b/>
              </w:rPr>
            </w:pPr>
          </w:p>
          <w:p w14:paraId="1106FAED">
            <w:pPr>
              <w:pStyle w:val="38"/>
              <w:rPr>
                <w:rFonts w:ascii="黑体"/>
                <w:b/>
              </w:rPr>
            </w:pPr>
          </w:p>
          <w:p w14:paraId="0A7BB54C">
            <w:pPr>
              <w:pStyle w:val="38"/>
              <w:spacing w:before="6"/>
              <w:rPr>
                <w:rFonts w:ascii="黑体"/>
                <w:b/>
                <w:sz w:val="24"/>
              </w:rPr>
            </w:pPr>
          </w:p>
          <w:p w14:paraId="67B16AD8">
            <w:pPr>
              <w:pStyle w:val="38"/>
              <w:spacing w:before="1"/>
              <w:ind w:firstLine="211" w:firstLineChars="100"/>
              <w:rPr>
                <w:rFonts w:ascii="Times New Roman"/>
                <w:sz w:val="21"/>
              </w:rPr>
            </w:pPr>
            <w:r>
              <w:rPr>
                <w:rFonts w:ascii="Times New Roman"/>
                <w:b/>
                <w:bCs/>
                <w:sz w:val="21"/>
              </w:rPr>
              <w:t>2.</w:t>
            </w:r>
            <w:r>
              <w:rPr>
                <w:rFonts w:hint="eastAsia" w:ascii="Times New Roman"/>
                <w:b/>
                <w:bCs/>
                <w:sz w:val="21"/>
                <w:lang w:val="en-US"/>
              </w:rPr>
              <w:t>1</w:t>
            </w:r>
          </w:p>
        </w:tc>
        <w:tc>
          <w:tcPr>
            <w:tcW w:w="1543" w:type="dxa"/>
            <w:gridSpan w:val="2"/>
            <w:vMerge w:val="restart"/>
          </w:tcPr>
          <w:p w14:paraId="183DF7DF">
            <w:pPr>
              <w:pStyle w:val="38"/>
              <w:rPr>
                <w:rFonts w:ascii="黑体"/>
                <w:b/>
                <w:sz w:val="20"/>
              </w:rPr>
            </w:pPr>
          </w:p>
          <w:p w14:paraId="2D1AA5B0">
            <w:pPr>
              <w:pStyle w:val="38"/>
              <w:rPr>
                <w:rFonts w:ascii="黑体"/>
                <w:b/>
                <w:sz w:val="20"/>
              </w:rPr>
            </w:pPr>
          </w:p>
          <w:p w14:paraId="4BC87B99">
            <w:pPr>
              <w:pStyle w:val="38"/>
              <w:rPr>
                <w:rFonts w:ascii="黑体"/>
                <w:b/>
                <w:sz w:val="20"/>
              </w:rPr>
            </w:pPr>
          </w:p>
          <w:p w14:paraId="58B306FD">
            <w:pPr>
              <w:pStyle w:val="38"/>
              <w:rPr>
                <w:rFonts w:ascii="黑体"/>
                <w:b/>
                <w:sz w:val="20"/>
              </w:rPr>
            </w:pPr>
          </w:p>
          <w:p w14:paraId="10B33CD6">
            <w:pPr>
              <w:pStyle w:val="38"/>
              <w:rPr>
                <w:rFonts w:ascii="黑体"/>
                <w:b/>
                <w:sz w:val="20"/>
              </w:rPr>
            </w:pPr>
          </w:p>
          <w:p w14:paraId="34D14382">
            <w:pPr>
              <w:pStyle w:val="38"/>
              <w:spacing w:before="3"/>
              <w:rPr>
                <w:rFonts w:ascii="黑体"/>
                <w:b/>
                <w:sz w:val="16"/>
              </w:rPr>
            </w:pPr>
          </w:p>
          <w:p w14:paraId="1349EFDC">
            <w:pPr>
              <w:pStyle w:val="38"/>
              <w:spacing w:before="1" w:line="393" w:lineRule="auto"/>
              <w:ind w:left="351" w:right="130" w:hanging="210"/>
              <w:rPr>
                <w:sz w:val="21"/>
              </w:rPr>
            </w:pPr>
            <w:r>
              <w:rPr>
                <w:sz w:val="21"/>
              </w:rPr>
              <w:t>资格</w:t>
            </w:r>
            <w:r>
              <w:rPr>
                <w:rFonts w:hint="eastAsia"/>
                <w:sz w:val="21"/>
                <w:lang w:val="en-US" w:eastAsia="zh-CN"/>
              </w:rPr>
              <w:t>性</w:t>
            </w:r>
            <w:r>
              <w:rPr>
                <w:sz w:val="21"/>
              </w:rPr>
              <w:t>评审</w:t>
            </w:r>
          </w:p>
        </w:tc>
        <w:tc>
          <w:tcPr>
            <w:tcW w:w="1869" w:type="dxa"/>
          </w:tcPr>
          <w:p w14:paraId="75C6ED56">
            <w:pPr>
              <w:pStyle w:val="38"/>
              <w:spacing w:before="171"/>
              <w:ind w:left="61" w:right="52"/>
              <w:jc w:val="center"/>
              <w:rPr>
                <w:sz w:val="21"/>
                <w:lang w:val="en-US"/>
              </w:rPr>
            </w:pPr>
            <w:r>
              <w:rPr>
                <w:rFonts w:hint="eastAsia"/>
                <w:sz w:val="21"/>
                <w:lang w:val="en-US"/>
              </w:rPr>
              <w:t>供应商基本要求</w:t>
            </w:r>
          </w:p>
        </w:tc>
        <w:tc>
          <w:tcPr>
            <w:tcW w:w="6289" w:type="dxa"/>
            <w:gridSpan w:val="2"/>
            <w:vAlign w:val="center"/>
          </w:tcPr>
          <w:p w14:paraId="18DF0BF7">
            <w:pPr>
              <w:widowControl/>
              <w:jc w:val="both"/>
              <w:rPr>
                <w:sz w:val="21"/>
              </w:rPr>
            </w:pPr>
            <w:r>
              <w:rPr>
                <w:sz w:val="21"/>
              </w:rPr>
              <w:t>符合第二章“</w:t>
            </w:r>
            <w:r>
              <w:rPr>
                <w:rFonts w:hint="eastAsia"/>
                <w:sz w:val="21"/>
                <w:lang w:val="en-US"/>
              </w:rPr>
              <w:t>供应商</w:t>
            </w:r>
            <w:r>
              <w:rPr>
                <w:sz w:val="21"/>
              </w:rPr>
              <w:t>须知”第 1.4.1 项规定</w:t>
            </w:r>
          </w:p>
        </w:tc>
      </w:tr>
      <w:tr w14:paraId="054F3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638" w:type="dxa"/>
            <w:gridSpan w:val="2"/>
            <w:vMerge w:val="continue"/>
          </w:tcPr>
          <w:p w14:paraId="471AF8EE">
            <w:pPr>
              <w:rPr>
                <w:sz w:val="2"/>
                <w:szCs w:val="2"/>
              </w:rPr>
            </w:pPr>
          </w:p>
        </w:tc>
        <w:tc>
          <w:tcPr>
            <w:tcW w:w="1543" w:type="dxa"/>
            <w:gridSpan w:val="2"/>
            <w:vMerge w:val="continue"/>
          </w:tcPr>
          <w:p w14:paraId="18A1A21B">
            <w:pPr>
              <w:rPr>
                <w:sz w:val="2"/>
                <w:szCs w:val="2"/>
              </w:rPr>
            </w:pPr>
          </w:p>
        </w:tc>
        <w:tc>
          <w:tcPr>
            <w:tcW w:w="1869" w:type="dxa"/>
          </w:tcPr>
          <w:p w14:paraId="43635D4A">
            <w:pPr>
              <w:pStyle w:val="38"/>
              <w:spacing w:before="140"/>
              <w:ind w:left="61" w:right="52"/>
              <w:jc w:val="center"/>
              <w:rPr>
                <w:sz w:val="21"/>
                <w:lang w:val="en-US"/>
              </w:rPr>
            </w:pPr>
            <w:r>
              <w:rPr>
                <w:rFonts w:hint="eastAsia"/>
                <w:sz w:val="21"/>
                <w:lang w:val="en-US"/>
              </w:rPr>
              <w:t>财务及税收、社保要求</w:t>
            </w:r>
          </w:p>
        </w:tc>
        <w:tc>
          <w:tcPr>
            <w:tcW w:w="6289" w:type="dxa"/>
            <w:gridSpan w:val="2"/>
            <w:vAlign w:val="center"/>
          </w:tcPr>
          <w:p w14:paraId="57B366A6">
            <w:pPr>
              <w:pStyle w:val="38"/>
              <w:spacing w:before="140"/>
              <w:jc w:val="both"/>
              <w:rPr>
                <w:sz w:val="21"/>
              </w:rPr>
            </w:pPr>
            <w:r>
              <w:rPr>
                <w:sz w:val="21"/>
              </w:rPr>
              <w:t>符合第二章“</w:t>
            </w:r>
            <w:r>
              <w:rPr>
                <w:rFonts w:hint="eastAsia"/>
                <w:sz w:val="21"/>
                <w:lang w:val="en-US"/>
              </w:rPr>
              <w:t>供应商</w:t>
            </w:r>
            <w:r>
              <w:rPr>
                <w:sz w:val="21"/>
              </w:rPr>
              <w:t>须知”第 1.4.1 项规定</w:t>
            </w:r>
          </w:p>
        </w:tc>
      </w:tr>
      <w:tr w14:paraId="2EDDA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638" w:type="dxa"/>
            <w:gridSpan w:val="2"/>
            <w:vMerge w:val="continue"/>
          </w:tcPr>
          <w:p w14:paraId="0D01F41F">
            <w:pPr>
              <w:rPr>
                <w:sz w:val="2"/>
                <w:szCs w:val="2"/>
              </w:rPr>
            </w:pPr>
          </w:p>
        </w:tc>
        <w:tc>
          <w:tcPr>
            <w:tcW w:w="1543" w:type="dxa"/>
            <w:gridSpan w:val="2"/>
            <w:vMerge w:val="continue"/>
          </w:tcPr>
          <w:p w14:paraId="3A25E3DB">
            <w:pPr>
              <w:rPr>
                <w:sz w:val="2"/>
                <w:szCs w:val="2"/>
              </w:rPr>
            </w:pPr>
          </w:p>
        </w:tc>
        <w:tc>
          <w:tcPr>
            <w:tcW w:w="1869" w:type="dxa"/>
          </w:tcPr>
          <w:p w14:paraId="2BA69F71">
            <w:pPr>
              <w:pStyle w:val="38"/>
              <w:spacing w:before="140"/>
              <w:ind w:left="61" w:right="52"/>
              <w:jc w:val="center"/>
              <w:rPr>
                <w:sz w:val="21"/>
                <w:lang w:val="en-US"/>
              </w:rPr>
            </w:pPr>
            <w:r>
              <w:rPr>
                <w:rFonts w:hint="eastAsia"/>
                <w:sz w:val="21"/>
                <w:lang w:val="en-US"/>
              </w:rPr>
              <w:t>资质能力及项目经理要求</w:t>
            </w:r>
          </w:p>
        </w:tc>
        <w:tc>
          <w:tcPr>
            <w:tcW w:w="6289" w:type="dxa"/>
            <w:gridSpan w:val="2"/>
            <w:vAlign w:val="center"/>
          </w:tcPr>
          <w:p w14:paraId="626A7B8D">
            <w:pPr>
              <w:pStyle w:val="38"/>
              <w:spacing w:before="140"/>
              <w:jc w:val="both"/>
              <w:rPr>
                <w:sz w:val="21"/>
              </w:rPr>
            </w:pPr>
            <w:r>
              <w:rPr>
                <w:sz w:val="21"/>
              </w:rPr>
              <w:t>符合第二章“</w:t>
            </w:r>
            <w:r>
              <w:rPr>
                <w:rFonts w:hint="eastAsia"/>
                <w:sz w:val="21"/>
                <w:lang w:val="en-US"/>
              </w:rPr>
              <w:t>供应商</w:t>
            </w:r>
            <w:r>
              <w:rPr>
                <w:sz w:val="21"/>
              </w:rPr>
              <w:t>须知”第 1.4.1 项规定</w:t>
            </w:r>
          </w:p>
        </w:tc>
      </w:tr>
      <w:tr w14:paraId="3BA290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638" w:type="dxa"/>
            <w:gridSpan w:val="2"/>
            <w:vMerge w:val="continue"/>
          </w:tcPr>
          <w:p w14:paraId="6B4F762B">
            <w:pPr>
              <w:rPr>
                <w:sz w:val="2"/>
                <w:szCs w:val="2"/>
              </w:rPr>
            </w:pPr>
          </w:p>
        </w:tc>
        <w:tc>
          <w:tcPr>
            <w:tcW w:w="1543" w:type="dxa"/>
            <w:gridSpan w:val="2"/>
            <w:vMerge w:val="continue"/>
          </w:tcPr>
          <w:p w14:paraId="271AF264">
            <w:pPr>
              <w:rPr>
                <w:sz w:val="2"/>
                <w:szCs w:val="2"/>
              </w:rPr>
            </w:pPr>
          </w:p>
        </w:tc>
        <w:tc>
          <w:tcPr>
            <w:tcW w:w="1869" w:type="dxa"/>
          </w:tcPr>
          <w:p w14:paraId="64178CD9">
            <w:pPr>
              <w:pStyle w:val="38"/>
              <w:spacing w:before="140"/>
              <w:ind w:left="61" w:right="52"/>
              <w:jc w:val="center"/>
              <w:rPr>
                <w:sz w:val="21"/>
              </w:rPr>
            </w:pPr>
            <w:r>
              <w:rPr>
                <w:sz w:val="21"/>
              </w:rPr>
              <w:t>信誉要求</w:t>
            </w:r>
          </w:p>
        </w:tc>
        <w:tc>
          <w:tcPr>
            <w:tcW w:w="6289" w:type="dxa"/>
            <w:gridSpan w:val="2"/>
            <w:vAlign w:val="center"/>
          </w:tcPr>
          <w:p w14:paraId="1F6F8099">
            <w:pPr>
              <w:pStyle w:val="38"/>
              <w:spacing w:before="140"/>
              <w:jc w:val="both"/>
              <w:rPr>
                <w:sz w:val="21"/>
              </w:rPr>
            </w:pPr>
            <w:r>
              <w:rPr>
                <w:sz w:val="21"/>
              </w:rPr>
              <w:t>符合第二章“</w:t>
            </w:r>
            <w:r>
              <w:rPr>
                <w:rFonts w:hint="eastAsia"/>
                <w:sz w:val="21"/>
                <w:lang w:val="en-US"/>
              </w:rPr>
              <w:t>供应商</w:t>
            </w:r>
            <w:r>
              <w:rPr>
                <w:sz w:val="21"/>
              </w:rPr>
              <w:t>须知”第 1.4.1 项规定</w:t>
            </w:r>
          </w:p>
        </w:tc>
      </w:tr>
      <w:tr w14:paraId="1B1FB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638" w:type="dxa"/>
            <w:gridSpan w:val="2"/>
            <w:vMerge w:val="continue"/>
          </w:tcPr>
          <w:p w14:paraId="5CBF3C3F">
            <w:pPr>
              <w:rPr>
                <w:sz w:val="2"/>
                <w:szCs w:val="2"/>
              </w:rPr>
            </w:pPr>
          </w:p>
        </w:tc>
        <w:tc>
          <w:tcPr>
            <w:tcW w:w="1543" w:type="dxa"/>
            <w:gridSpan w:val="2"/>
            <w:vMerge w:val="continue"/>
          </w:tcPr>
          <w:p w14:paraId="24C51B20">
            <w:pPr>
              <w:rPr>
                <w:sz w:val="2"/>
                <w:szCs w:val="2"/>
              </w:rPr>
            </w:pPr>
          </w:p>
        </w:tc>
        <w:tc>
          <w:tcPr>
            <w:tcW w:w="1869" w:type="dxa"/>
            <w:vAlign w:val="center"/>
          </w:tcPr>
          <w:p w14:paraId="74264192">
            <w:pPr>
              <w:pStyle w:val="38"/>
              <w:ind w:right="52"/>
              <w:jc w:val="center"/>
              <w:rPr>
                <w:sz w:val="21"/>
                <w:lang w:val="en-US"/>
              </w:rPr>
            </w:pPr>
            <w:r>
              <w:rPr>
                <w:rFonts w:hint="eastAsia"/>
                <w:sz w:val="21"/>
                <w:lang w:val="en-US"/>
              </w:rPr>
              <w:t>其它要求</w:t>
            </w:r>
          </w:p>
        </w:tc>
        <w:tc>
          <w:tcPr>
            <w:tcW w:w="6289" w:type="dxa"/>
            <w:gridSpan w:val="2"/>
            <w:vAlign w:val="center"/>
          </w:tcPr>
          <w:p w14:paraId="679D9F53">
            <w:pPr>
              <w:pStyle w:val="38"/>
              <w:spacing w:before="140"/>
              <w:jc w:val="both"/>
              <w:rPr>
                <w:sz w:val="21"/>
              </w:rPr>
            </w:pPr>
            <w:r>
              <w:rPr>
                <w:sz w:val="21"/>
              </w:rPr>
              <w:t>符合第二章“</w:t>
            </w:r>
            <w:r>
              <w:rPr>
                <w:rFonts w:hint="eastAsia"/>
                <w:sz w:val="21"/>
                <w:lang w:val="en-US"/>
              </w:rPr>
              <w:t>供应商</w:t>
            </w:r>
            <w:r>
              <w:rPr>
                <w:sz w:val="21"/>
              </w:rPr>
              <w:t>须知”第 1.4.1 项规定</w:t>
            </w:r>
          </w:p>
        </w:tc>
      </w:tr>
      <w:tr w14:paraId="0763B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638" w:type="dxa"/>
            <w:gridSpan w:val="2"/>
            <w:vMerge w:val="restart"/>
          </w:tcPr>
          <w:p w14:paraId="196CA45D">
            <w:pPr>
              <w:pStyle w:val="38"/>
              <w:rPr>
                <w:rFonts w:ascii="黑体"/>
                <w:b/>
              </w:rPr>
            </w:pPr>
          </w:p>
          <w:p w14:paraId="6087D2D5">
            <w:pPr>
              <w:pStyle w:val="38"/>
              <w:rPr>
                <w:rFonts w:ascii="黑体"/>
                <w:b/>
              </w:rPr>
            </w:pPr>
          </w:p>
          <w:p w14:paraId="136596E0">
            <w:pPr>
              <w:pStyle w:val="38"/>
              <w:rPr>
                <w:rFonts w:ascii="黑体"/>
                <w:b/>
              </w:rPr>
            </w:pPr>
          </w:p>
          <w:p w14:paraId="0395EB20">
            <w:pPr>
              <w:pStyle w:val="38"/>
              <w:spacing w:before="9"/>
              <w:rPr>
                <w:rFonts w:ascii="黑体"/>
                <w:b/>
                <w:sz w:val="15"/>
              </w:rPr>
            </w:pPr>
          </w:p>
          <w:p w14:paraId="6FF86CF1">
            <w:pPr>
              <w:pStyle w:val="38"/>
              <w:ind w:left="239"/>
              <w:rPr>
                <w:rFonts w:ascii="Times New Roman"/>
                <w:b/>
                <w:bCs/>
                <w:sz w:val="21"/>
              </w:rPr>
            </w:pPr>
          </w:p>
          <w:p w14:paraId="18C14D6C">
            <w:pPr>
              <w:pStyle w:val="38"/>
              <w:ind w:left="239"/>
              <w:rPr>
                <w:rFonts w:ascii="Times New Roman"/>
                <w:b/>
                <w:bCs/>
                <w:sz w:val="21"/>
              </w:rPr>
            </w:pPr>
          </w:p>
          <w:p w14:paraId="655D86E1">
            <w:pPr>
              <w:pStyle w:val="38"/>
              <w:ind w:left="239" w:firstLine="211" w:firstLineChars="100"/>
              <w:rPr>
                <w:rFonts w:ascii="Times New Roman"/>
                <w:b/>
                <w:bCs/>
                <w:sz w:val="21"/>
              </w:rPr>
            </w:pPr>
          </w:p>
          <w:p w14:paraId="323FFA7B">
            <w:pPr>
              <w:pStyle w:val="38"/>
              <w:ind w:left="239" w:firstLine="211" w:firstLineChars="100"/>
              <w:rPr>
                <w:rFonts w:ascii="Times New Roman"/>
                <w:b/>
                <w:bCs/>
                <w:sz w:val="21"/>
              </w:rPr>
            </w:pPr>
          </w:p>
          <w:p w14:paraId="26A6BFBD">
            <w:pPr>
              <w:pStyle w:val="38"/>
              <w:ind w:left="239" w:firstLine="211" w:firstLineChars="100"/>
              <w:rPr>
                <w:rFonts w:ascii="Times New Roman"/>
                <w:b/>
                <w:bCs/>
                <w:sz w:val="21"/>
              </w:rPr>
            </w:pPr>
          </w:p>
          <w:p w14:paraId="68D7D02C">
            <w:pPr>
              <w:pStyle w:val="38"/>
              <w:ind w:left="239" w:firstLine="211" w:firstLineChars="100"/>
              <w:rPr>
                <w:rFonts w:ascii="Times New Roman"/>
                <w:b/>
                <w:bCs/>
                <w:sz w:val="21"/>
              </w:rPr>
            </w:pPr>
          </w:p>
          <w:p w14:paraId="490484D1">
            <w:pPr>
              <w:pStyle w:val="38"/>
              <w:ind w:left="239" w:firstLine="211" w:firstLineChars="100"/>
              <w:rPr>
                <w:rFonts w:ascii="Times New Roman"/>
                <w:b/>
                <w:bCs/>
                <w:sz w:val="21"/>
              </w:rPr>
            </w:pPr>
          </w:p>
          <w:p w14:paraId="4F8881F5">
            <w:pPr>
              <w:pStyle w:val="38"/>
              <w:ind w:left="239" w:firstLine="211" w:firstLineChars="100"/>
              <w:rPr>
                <w:rFonts w:ascii="Times New Roman"/>
                <w:b/>
                <w:bCs/>
                <w:sz w:val="21"/>
              </w:rPr>
            </w:pPr>
          </w:p>
          <w:p w14:paraId="181E8D20">
            <w:pPr>
              <w:pStyle w:val="38"/>
              <w:ind w:firstLine="211" w:firstLineChars="100"/>
              <w:rPr>
                <w:rFonts w:ascii="Times New Roman"/>
                <w:sz w:val="21"/>
              </w:rPr>
            </w:pPr>
            <w:r>
              <w:rPr>
                <w:rFonts w:ascii="Times New Roman"/>
                <w:b/>
                <w:bCs/>
                <w:sz w:val="21"/>
              </w:rPr>
              <w:t>2.</w:t>
            </w:r>
            <w:r>
              <w:rPr>
                <w:rFonts w:hint="eastAsia" w:ascii="Times New Roman"/>
                <w:b/>
                <w:bCs/>
                <w:sz w:val="21"/>
                <w:lang w:val="en-US"/>
              </w:rPr>
              <w:t>2</w:t>
            </w:r>
          </w:p>
        </w:tc>
        <w:tc>
          <w:tcPr>
            <w:tcW w:w="1543" w:type="dxa"/>
            <w:gridSpan w:val="2"/>
            <w:vMerge w:val="restart"/>
          </w:tcPr>
          <w:p w14:paraId="6BA69610">
            <w:pPr>
              <w:pStyle w:val="38"/>
              <w:rPr>
                <w:rFonts w:ascii="黑体"/>
                <w:b/>
                <w:sz w:val="20"/>
              </w:rPr>
            </w:pPr>
          </w:p>
          <w:p w14:paraId="35A04897">
            <w:pPr>
              <w:pStyle w:val="38"/>
              <w:rPr>
                <w:rFonts w:ascii="黑体"/>
                <w:b/>
                <w:sz w:val="20"/>
              </w:rPr>
            </w:pPr>
          </w:p>
          <w:p w14:paraId="31E3631F">
            <w:pPr>
              <w:pStyle w:val="38"/>
              <w:rPr>
                <w:rFonts w:ascii="黑体"/>
                <w:b/>
                <w:sz w:val="20"/>
              </w:rPr>
            </w:pPr>
          </w:p>
          <w:p w14:paraId="43358254">
            <w:pPr>
              <w:pStyle w:val="38"/>
              <w:spacing w:before="146" w:line="393" w:lineRule="auto"/>
              <w:ind w:left="245" w:right="130" w:hanging="105"/>
              <w:rPr>
                <w:sz w:val="21"/>
              </w:rPr>
            </w:pPr>
          </w:p>
          <w:p w14:paraId="2F32168A">
            <w:pPr>
              <w:pStyle w:val="38"/>
              <w:spacing w:before="146" w:line="393" w:lineRule="auto"/>
              <w:ind w:left="245" w:right="130" w:hanging="105"/>
              <w:rPr>
                <w:sz w:val="21"/>
              </w:rPr>
            </w:pPr>
          </w:p>
          <w:p w14:paraId="29D1C6F3">
            <w:pPr>
              <w:pStyle w:val="38"/>
              <w:spacing w:before="146" w:line="393" w:lineRule="auto"/>
              <w:ind w:left="245" w:right="130" w:hanging="105"/>
              <w:rPr>
                <w:sz w:val="21"/>
              </w:rPr>
            </w:pPr>
          </w:p>
          <w:p w14:paraId="419E1C50">
            <w:pPr>
              <w:pStyle w:val="38"/>
              <w:spacing w:before="146" w:line="393" w:lineRule="auto"/>
              <w:ind w:left="245" w:right="130" w:hanging="105"/>
              <w:rPr>
                <w:sz w:val="21"/>
              </w:rPr>
            </w:pPr>
            <w:r>
              <w:rPr>
                <w:rFonts w:hint="eastAsia"/>
                <w:sz w:val="21"/>
              </w:rPr>
              <w:t>符合</w:t>
            </w:r>
            <w:r>
              <w:rPr>
                <w:sz w:val="21"/>
              </w:rPr>
              <w:t>性评审</w:t>
            </w:r>
          </w:p>
        </w:tc>
        <w:tc>
          <w:tcPr>
            <w:tcW w:w="1869" w:type="dxa"/>
          </w:tcPr>
          <w:p w14:paraId="68C934D0">
            <w:pPr>
              <w:pStyle w:val="38"/>
              <w:spacing w:before="140"/>
              <w:ind w:left="61" w:right="53"/>
              <w:jc w:val="center"/>
              <w:rPr>
                <w:sz w:val="21"/>
              </w:rPr>
            </w:pPr>
            <w:r>
              <w:rPr>
                <w:rFonts w:hint="eastAsia"/>
                <w:sz w:val="21"/>
                <w:lang w:val="en-US"/>
              </w:rPr>
              <w:t>供应商</w:t>
            </w:r>
            <w:r>
              <w:rPr>
                <w:sz w:val="21"/>
              </w:rPr>
              <w:t>名称</w:t>
            </w:r>
          </w:p>
        </w:tc>
        <w:tc>
          <w:tcPr>
            <w:tcW w:w="6289" w:type="dxa"/>
            <w:gridSpan w:val="2"/>
            <w:vAlign w:val="center"/>
          </w:tcPr>
          <w:p w14:paraId="261ED7DC">
            <w:pPr>
              <w:pStyle w:val="38"/>
              <w:jc w:val="both"/>
              <w:rPr>
                <w:sz w:val="21"/>
              </w:rPr>
            </w:pPr>
            <w:r>
              <w:rPr>
                <w:rFonts w:hint="eastAsia"/>
                <w:sz w:val="21"/>
                <w:lang w:val="en-US"/>
              </w:rPr>
              <w:t>与营业执照、资质证书、安全生产许可证一致</w:t>
            </w:r>
          </w:p>
        </w:tc>
      </w:tr>
      <w:tr w14:paraId="38EBE1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638" w:type="dxa"/>
            <w:gridSpan w:val="2"/>
            <w:vMerge w:val="continue"/>
          </w:tcPr>
          <w:p w14:paraId="3C4B9B5A">
            <w:pPr>
              <w:pStyle w:val="38"/>
              <w:ind w:left="239"/>
              <w:rPr>
                <w:rFonts w:ascii="Times New Roman"/>
                <w:b/>
                <w:bCs/>
                <w:sz w:val="21"/>
              </w:rPr>
            </w:pPr>
          </w:p>
        </w:tc>
        <w:tc>
          <w:tcPr>
            <w:tcW w:w="1543" w:type="dxa"/>
            <w:gridSpan w:val="2"/>
            <w:vMerge w:val="continue"/>
          </w:tcPr>
          <w:p w14:paraId="77935036">
            <w:pPr>
              <w:pStyle w:val="38"/>
              <w:spacing w:before="146" w:line="393" w:lineRule="auto"/>
              <w:ind w:left="245" w:right="130" w:hanging="105"/>
              <w:rPr>
                <w:sz w:val="21"/>
              </w:rPr>
            </w:pPr>
          </w:p>
        </w:tc>
        <w:tc>
          <w:tcPr>
            <w:tcW w:w="1869" w:type="dxa"/>
          </w:tcPr>
          <w:p w14:paraId="439C7C04">
            <w:pPr>
              <w:pStyle w:val="38"/>
              <w:spacing w:before="140"/>
              <w:jc w:val="both"/>
              <w:rPr>
                <w:sz w:val="21"/>
              </w:rPr>
            </w:pPr>
            <w:r>
              <w:rPr>
                <w:rFonts w:hint="eastAsia"/>
                <w:sz w:val="21"/>
                <w:lang w:val="en-US"/>
              </w:rPr>
              <w:t>响应文件签字盖章要求</w:t>
            </w:r>
          </w:p>
        </w:tc>
        <w:tc>
          <w:tcPr>
            <w:tcW w:w="6289" w:type="dxa"/>
            <w:gridSpan w:val="2"/>
            <w:vAlign w:val="center"/>
          </w:tcPr>
          <w:p w14:paraId="78223B93">
            <w:pPr>
              <w:pStyle w:val="38"/>
              <w:spacing w:before="140"/>
              <w:ind w:left="108"/>
              <w:jc w:val="both"/>
              <w:rPr>
                <w:sz w:val="21"/>
              </w:rPr>
            </w:pPr>
            <w:r>
              <w:rPr>
                <w:rFonts w:hint="eastAsia"/>
                <w:sz w:val="21"/>
                <w:lang w:val="en-US"/>
              </w:rPr>
              <w:t>按照磋商文件要求正确签署</w:t>
            </w:r>
          </w:p>
        </w:tc>
      </w:tr>
      <w:tr w14:paraId="4549A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638" w:type="dxa"/>
            <w:gridSpan w:val="2"/>
            <w:vMerge w:val="continue"/>
          </w:tcPr>
          <w:p w14:paraId="030FAD72">
            <w:pPr>
              <w:pStyle w:val="38"/>
              <w:ind w:left="239"/>
              <w:rPr>
                <w:rFonts w:ascii="Times New Roman"/>
                <w:b/>
                <w:bCs/>
                <w:sz w:val="21"/>
              </w:rPr>
            </w:pPr>
          </w:p>
        </w:tc>
        <w:tc>
          <w:tcPr>
            <w:tcW w:w="1543" w:type="dxa"/>
            <w:gridSpan w:val="2"/>
            <w:vMerge w:val="continue"/>
          </w:tcPr>
          <w:p w14:paraId="481A506C">
            <w:pPr>
              <w:pStyle w:val="38"/>
              <w:spacing w:before="146" w:line="393" w:lineRule="auto"/>
              <w:ind w:left="245" w:right="130" w:hanging="105"/>
              <w:rPr>
                <w:sz w:val="21"/>
              </w:rPr>
            </w:pPr>
          </w:p>
        </w:tc>
        <w:tc>
          <w:tcPr>
            <w:tcW w:w="1869" w:type="dxa"/>
          </w:tcPr>
          <w:p w14:paraId="4684E4DA">
            <w:pPr>
              <w:pStyle w:val="38"/>
              <w:spacing w:before="140"/>
              <w:ind w:left="61" w:right="52"/>
              <w:jc w:val="center"/>
              <w:rPr>
                <w:sz w:val="21"/>
              </w:rPr>
            </w:pPr>
            <w:r>
              <w:rPr>
                <w:rFonts w:hint="eastAsia"/>
                <w:sz w:val="21"/>
                <w:lang w:val="en-US"/>
              </w:rPr>
              <w:t>响应</w:t>
            </w:r>
            <w:r>
              <w:rPr>
                <w:sz w:val="21"/>
              </w:rPr>
              <w:t>文件格式</w:t>
            </w:r>
          </w:p>
        </w:tc>
        <w:tc>
          <w:tcPr>
            <w:tcW w:w="6289" w:type="dxa"/>
            <w:gridSpan w:val="2"/>
            <w:vAlign w:val="center"/>
          </w:tcPr>
          <w:p w14:paraId="2C9C00C6">
            <w:pPr>
              <w:pStyle w:val="38"/>
              <w:spacing w:before="140"/>
              <w:ind w:left="108"/>
              <w:jc w:val="both"/>
              <w:rPr>
                <w:sz w:val="21"/>
              </w:rPr>
            </w:pPr>
            <w:r>
              <w:rPr>
                <w:sz w:val="21"/>
              </w:rPr>
              <w:t>符合</w:t>
            </w:r>
            <w:r>
              <w:rPr>
                <w:rFonts w:hint="eastAsia"/>
                <w:sz w:val="21"/>
              </w:rPr>
              <w:t>第七章</w:t>
            </w:r>
            <w:r>
              <w:rPr>
                <w:rFonts w:hint="eastAsia" w:ascii="Times New Roman" w:hAnsi="Times New Roman"/>
                <w:sz w:val="21"/>
              </w:rPr>
              <w:t>“</w:t>
            </w:r>
            <w:r>
              <w:rPr>
                <w:rFonts w:hint="eastAsia"/>
                <w:sz w:val="21"/>
                <w:lang w:val="en-US"/>
              </w:rPr>
              <w:t>响应</w:t>
            </w:r>
            <w:r>
              <w:rPr>
                <w:sz w:val="21"/>
              </w:rPr>
              <w:t>文件格式</w:t>
            </w:r>
            <w:r>
              <w:rPr>
                <w:rFonts w:hint="eastAsia" w:ascii="Times New Roman" w:hAnsi="Times New Roman"/>
                <w:sz w:val="21"/>
              </w:rPr>
              <w:t>”</w:t>
            </w:r>
            <w:r>
              <w:rPr>
                <w:sz w:val="21"/>
              </w:rPr>
              <w:t>的规定</w:t>
            </w:r>
          </w:p>
        </w:tc>
      </w:tr>
      <w:tr w14:paraId="0DE45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638" w:type="dxa"/>
            <w:gridSpan w:val="2"/>
            <w:vMerge w:val="continue"/>
          </w:tcPr>
          <w:p w14:paraId="157F8C99">
            <w:pPr>
              <w:pStyle w:val="38"/>
              <w:ind w:left="239"/>
              <w:rPr>
                <w:rFonts w:ascii="Times New Roman"/>
                <w:sz w:val="21"/>
              </w:rPr>
            </w:pPr>
          </w:p>
        </w:tc>
        <w:tc>
          <w:tcPr>
            <w:tcW w:w="1543" w:type="dxa"/>
            <w:gridSpan w:val="2"/>
            <w:vMerge w:val="continue"/>
          </w:tcPr>
          <w:p w14:paraId="69F3C526">
            <w:pPr>
              <w:pStyle w:val="38"/>
              <w:spacing w:before="146" w:line="393" w:lineRule="auto"/>
              <w:ind w:left="245" w:right="130" w:hanging="105"/>
              <w:rPr>
                <w:sz w:val="21"/>
              </w:rPr>
            </w:pPr>
          </w:p>
        </w:tc>
        <w:tc>
          <w:tcPr>
            <w:tcW w:w="1869" w:type="dxa"/>
          </w:tcPr>
          <w:p w14:paraId="055E4071">
            <w:pPr>
              <w:pStyle w:val="38"/>
              <w:spacing w:before="140"/>
              <w:ind w:left="61" w:right="52"/>
              <w:jc w:val="center"/>
              <w:rPr>
                <w:sz w:val="21"/>
              </w:rPr>
            </w:pPr>
            <w:r>
              <w:rPr>
                <w:sz w:val="21"/>
              </w:rPr>
              <w:t>投标报价</w:t>
            </w:r>
          </w:p>
        </w:tc>
        <w:tc>
          <w:tcPr>
            <w:tcW w:w="6289" w:type="dxa"/>
            <w:gridSpan w:val="2"/>
            <w:vAlign w:val="center"/>
          </w:tcPr>
          <w:p w14:paraId="46C77847">
            <w:pPr>
              <w:pStyle w:val="38"/>
              <w:spacing w:before="140"/>
              <w:jc w:val="both"/>
              <w:rPr>
                <w:sz w:val="21"/>
              </w:rPr>
            </w:pPr>
            <w:r>
              <w:rPr>
                <w:sz w:val="21"/>
              </w:rPr>
              <w:t>符合第二章“</w:t>
            </w:r>
            <w:r>
              <w:rPr>
                <w:rFonts w:hint="eastAsia"/>
                <w:sz w:val="21"/>
                <w:lang w:val="en-US"/>
              </w:rPr>
              <w:t>供应商</w:t>
            </w:r>
            <w:r>
              <w:rPr>
                <w:sz w:val="21"/>
              </w:rPr>
              <w:t>须知”第3.</w:t>
            </w:r>
            <w:r>
              <w:rPr>
                <w:rFonts w:hint="eastAsia"/>
                <w:sz w:val="21"/>
                <w:lang w:val="en-US"/>
              </w:rPr>
              <w:t>3</w:t>
            </w:r>
            <w:r>
              <w:rPr>
                <w:sz w:val="21"/>
              </w:rPr>
              <w:t>款规定</w:t>
            </w:r>
          </w:p>
        </w:tc>
      </w:tr>
      <w:tr w14:paraId="6E7D92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638" w:type="dxa"/>
            <w:gridSpan w:val="2"/>
            <w:vMerge w:val="continue"/>
          </w:tcPr>
          <w:p w14:paraId="654B8EDA">
            <w:pPr>
              <w:rPr>
                <w:sz w:val="2"/>
                <w:szCs w:val="2"/>
              </w:rPr>
            </w:pPr>
          </w:p>
        </w:tc>
        <w:tc>
          <w:tcPr>
            <w:tcW w:w="1543" w:type="dxa"/>
            <w:gridSpan w:val="2"/>
            <w:vMerge w:val="continue"/>
          </w:tcPr>
          <w:p w14:paraId="658FF4C6">
            <w:pPr>
              <w:rPr>
                <w:sz w:val="2"/>
                <w:szCs w:val="2"/>
              </w:rPr>
            </w:pPr>
          </w:p>
        </w:tc>
        <w:tc>
          <w:tcPr>
            <w:tcW w:w="1869" w:type="dxa"/>
          </w:tcPr>
          <w:p w14:paraId="6441C97E">
            <w:pPr>
              <w:pStyle w:val="38"/>
              <w:spacing w:before="140"/>
              <w:ind w:left="61" w:right="52"/>
              <w:jc w:val="center"/>
              <w:rPr>
                <w:sz w:val="21"/>
              </w:rPr>
            </w:pPr>
            <w:r>
              <w:rPr>
                <w:sz w:val="21"/>
              </w:rPr>
              <w:t>投标内容</w:t>
            </w:r>
          </w:p>
        </w:tc>
        <w:tc>
          <w:tcPr>
            <w:tcW w:w="6289" w:type="dxa"/>
            <w:gridSpan w:val="2"/>
            <w:vAlign w:val="center"/>
          </w:tcPr>
          <w:p w14:paraId="21D16776">
            <w:pPr>
              <w:pStyle w:val="38"/>
              <w:spacing w:before="140"/>
              <w:jc w:val="both"/>
              <w:rPr>
                <w:sz w:val="21"/>
              </w:rPr>
            </w:pPr>
            <w:r>
              <w:rPr>
                <w:sz w:val="21"/>
              </w:rPr>
              <w:t>符合第二章“</w:t>
            </w:r>
            <w:r>
              <w:rPr>
                <w:rFonts w:hint="eastAsia"/>
                <w:sz w:val="21"/>
                <w:lang w:val="en-US"/>
              </w:rPr>
              <w:t>供应商</w:t>
            </w:r>
            <w:r>
              <w:rPr>
                <w:sz w:val="21"/>
              </w:rPr>
              <w:t>须知”第</w:t>
            </w:r>
            <w:r>
              <w:rPr>
                <w:rFonts w:hint="eastAsia"/>
                <w:sz w:val="21"/>
                <w:lang w:val="en-US"/>
              </w:rPr>
              <w:t>1.3.1</w:t>
            </w:r>
            <w:r>
              <w:rPr>
                <w:sz w:val="21"/>
              </w:rPr>
              <w:t>项规定</w:t>
            </w:r>
          </w:p>
        </w:tc>
      </w:tr>
      <w:tr w14:paraId="12C1C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638" w:type="dxa"/>
            <w:gridSpan w:val="2"/>
            <w:vMerge w:val="continue"/>
          </w:tcPr>
          <w:p w14:paraId="452D0379">
            <w:pPr>
              <w:rPr>
                <w:sz w:val="2"/>
                <w:szCs w:val="2"/>
              </w:rPr>
            </w:pPr>
          </w:p>
        </w:tc>
        <w:tc>
          <w:tcPr>
            <w:tcW w:w="1543" w:type="dxa"/>
            <w:gridSpan w:val="2"/>
            <w:vMerge w:val="continue"/>
          </w:tcPr>
          <w:p w14:paraId="3DFD0AD8">
            <w:pPr>
              <w:rPr>
                <w:sz w:val="2"/>
                <w:szCs w:val="2"/>
              </w:rPr>
            </w:pPr>
          </w:p>
        </w:tc>
        <w:tc>
          <w:tcPr>
            <w:tcW w:w="1869" w:type="dxa"/>
          </w:tcPr>
          <w:p w14:paraId="2F64A5C9">
            <w:pPr>
              <w:pStyle w:val="38"/>
              <w:spacing w:before="140"/>
              <w:ind w:left="61" w:right="52"/>
              <w:jc w:val="center"/>
              <w:rPr>
                <w:sz w:val="21"/>
                <w:lang w:val="en-US"/>
              </w:rPr>
            </w:pPr>
            <w:r>
              <w:rPr>
                <w:rFonts w:hint="eastAsia"/>
                <w:sz w:val="21"/>
                <w:lang w:val="en-US"/>
              </w:rPr>
              <w:t>投报工期</w:t>
            </w:r>
          </w:p>
        </w:tc>
        <w:tc>
          <w:tcPr>
            <w:tcW w:w="6289" w:type="dxa"/>
            <w:gridSpan w:val="2"/>
            <w:vAlign w:val="center"/>
          </w:tcPr>
          <w:p w14:paraId="3C7FF822">
            <w:pPr>
              <w:pStyle w:val="38"/>
              <w:spacing w:before="140"/>
              <w:jc w:val="both"/>
              <w:rPr>
                <w:sz w:val="21"/>
              </w:rPr>
            </w:pPr>
            <w:r>
              <w:rPr>
                <w:sz w:val="21"/>
              </w:rPr>
              <w:t>符合第二章“</w:t>
            </w:r>
            <w:r>
              <w:rPr>
                <w:rFonts w:hint="eastAsia"/>
                <w:sz w:val="21"/>
                <w:lang w:val="en-US"/>
              </w:rPr>
              <w:t>供应商</w:t>
            </w:r>
            <w:r>
              <w:rPr>
                <w:sz w:val="21"/>
              </w:rPr>
              <w:t>须知”第1.3.</w:t>
            </w:r>
            <w:r>
              <w:rPr>
                <w:rFonts w:hint="eastAsia"/>
                <w:sz w:val="21"/>
                <w:lang w:val="en-US"/>
              </w:rPr>
              <w:t>2</w:t>
            </w:r>
            <w:r>
              <w:rPr>
                <w:sz w:val="21"/>
              </w:rPr>
              <w:t>项规定</w:t>
            </w:r>
          </w:p>
        </w:tc>
      </w:tr>
      <w:tr w14:paraId="72B31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638" w:type="dxa"/>
            <w:gridSpan w:val="2"/>
            <w:vMerge w:val="continue"/>
          </w:tcPr>
          <w:p w14:paraId="1F58325C">
            <w:pPr>
              <w:rPr>
                <w:sz w:val="2"/>
                <w:szCs w:val="2"/>
              </w:rPr>
            </w:pPr>
          </w:p>
        </w:tc>
        <w:tc>
          <w:tcPr>
            <w:tcW w:w="1543" w:type="dxa"/>
            <w:gridSpan w:val="2"/>
            <w:vMerge w:val="continue"/>
          </w:tcPr>
          <w:p w14:paraId="38106FAD">
            <w:pPr>
              <w:rPr>
                <w:sz w:val="2"/>
                <w:szCs w:val="2"/>
              </w:rPr>
            </w:pPr>
          </w:p>
        </w:tc>
        <w:tc>
          <w:tcPr>
            <w:tcW w:w="1869" w:type="dxa"/>
          </w:tcPr>
          <w:p w14:paraId="729DD93A">
            <w:pPr>
              <w:pStyle w:val="38"/>
              <w:spacing w:before="140"/>
              <w:ind w:left="61" w:right="52"/>
              <w:jc w:val="center"/>
              <w:rPr>
                <w:sz w:val="21"/>
                <w:lang w:val="en-US"/>
              </w:rPr>
            </w:pPr>
            <w:r>
              <w:rPr>
                <w:rFonts w:hint="eastAsia"/>
                <w:sz w:val="21"/>
                <w:lang w:val="en-US"/>
              </w:rPr>
              <w:t>合同履行期限</w:t>
            </w:r>
          </w:p>
        </w:tc>
        <w:tc>
          <w:tcPr>
            <w:tcW w:w="6289" w:type="dxa"/>
            <w:gridSpan w:val="2"/>
            <w:vAlign w:val="center"/>
          </w:tcPr>
          <w:p w14:paraId="475B0AC9">
            <w:pPr>
              <w:pStyle w:val="38"/>
              <w:spacing w:before="140"/>
              <w:jc w:val="both"/>
              <w:rPr>
                <w:sz w:val="21"/>
              </w:rPr>
            </w:pPr>
            <w:r>
              <w:rPr>
                <w:sz w:val="21"/>
              </w:rPr>
              <w:t>符合第二章“</w:t>
            </w:r>
            <w:r>
              <w:rPr>
                <w:rFonts w:hint="eastAsia"/>
                <w:sz w:val="21"/>
                <w:lang w:val="en-US"/>
              </w:rPr>
              <w:t>供应商</w:t>
            </w:r>
            <w:r>
              <w:rPr>
                <w:sz w:val="21"/>
              </w:rPr>
              <w:t>须知”第1.3.</w:t>
            </w:r>
            <w:r>
              <w:rPr>
                <w:rFonts w:hint="eastAsia"/>
                <w:sz w:val="21"/>
                <w:lang w:val="en-US"/>
              </w:rPr>
              <w:t>3</w:t>
            </w:r>
            <w:r>
              <w:rPr>
                <w:sz w:val="21"/>
              </w:rPr>
              <w:t>项规定</w:t>
            </w:r>
          </w:p>
        </w:tc>
      </w:tr>
      <w:tr w14:paraId="3BFA9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638" w:type="dxa"/>
            <w:gridSpan w:val="2"/>
            <w:vMerge w:val="continue"/>
          </w:tcPr>
          <w:p w14:paraId="6D6298B5">
            <w:pPr>
              <w:rPr>
                <w:sz w:val="2"/>
                <w:szCs w:val="2"/>
              </w:rPr>
            </w:pPr>
          </w:p>
        </w:tc>
        <w:tc>
          <w:tcPr>
            <w:tcW w:w="1543" w:type="dxa"/>
            <w:gridSpan w:val="2"/>
            <w:vMerge w:val="continue"/>
          </w:tcPr>
          <w:p w14:paraId="37682962">
            <w:pPr>
              <w:rPr>
                <w:sz w:val="2"/>
                <w:szCs w:val="2"/>
              </w:rPr>
            </w:pPr>
          </w:p>
        </w:tc>
        <w:tc>
          <w:tcPr>
            <w:tcW w:w="1869" w:type="dxa"/>
          </w:tcPr>
          <w:p w14:paraId="794BCAEC">
            <w:pPr>
              <w:pStyle w:val="38"/>
              <w:spacing w:before="140"/>
              <w:ind w:left="61" w:right="52"/>
              <w:jc w:val="center"/>
              <w:rPr>
                <w:sz w:val="21"/>
              </w:rPr>
            </w:pPr>
            <w:r>
              <w:rPr>
                <w:sz w:val="21"/>
              </w:rPr>
              <w:t>质量</w:t>
            </w:r>
            <w:r>
              <w:rPr>
                <w:rFonts w:hint="eastAsia"/>
                <w:sz w:val="21"/>
                <w:lang w:val="en-US"/>
              </w:rPr>
              <w:t>要求</w:t>
            </w:r>
          </w:p>
        </w:tc>
        <w:tc>
          <w:tcPr>
            <w:tcW w:w="6289" w:type="dxa"/>
            <w:gridSpan w:val="2"/>
          </w:tcPr>
          <w:p w14:paraId="37A43BAE">
            <w:pPr>
              <w:pStyle w:val="38"/>
              <w:spacing w:before="140"/>
              <w:ind w:left="108"/>
              <w:rPr>
                <w:sz w:val="21"/>
              </w:rPr>
            </w:pPr>
            <w:r>
              <w:rPr>
                <w:sz w:val="21"/>
              </w:rPr>
              <w:t>符合第二章“</w:t>
            </w:r>
            <w:r>
              <w:rPr>
                <w:rFonts w:hint="eastAsia"/>
                <w:sz w:val="21"/>
                <w:lang w:val="en-US"/>
              </w:rPr>
              <w:t>供应商</w:t>
            </w:r>
            <w:r>
              <w:rPr>
                <w:sz w:val="21"/>
              </w:rPr>
              <w:t>须知”第1.3.</w:t>
            </w:r>
            <w:r>
              <w:rPr>
                <w:rFonts w:hint="eastAsia"/>
                <w:sz w:val="21"/>
                <w:lang w:val="en-US"/>
              </w:rPr>
              <w:t>4</w:t>
            </w:r>
            <w:r>
              <w:rPr>
                <w:sz w:val="21"/>
              </w:rPr>
              <w:t>项规定</w:t>
            </w:r>
          </w:p>
        </w:tc>
      </w:tr>
      <w:tr w14:paraId="1D53D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638" w:type="dxa"/>
            <w:gridSpan w:val="2"/>
            <w:vMerge w:val="continue"/>
          </w:tcPr>
          <w:p w14:paraId="6AC682F8">
            <w:pPr>
              <w:rPr>
                <w:sz w:val="2"/>
                <w:szCs w:val="2"/>
              </w:rPr>
            </w:pPr>
          </w:p>
        </w:tc>
        <w:tc>
          <w:tcPr>
            <w:tcW w:w="1543" w:type="dxa"/>
            <w:gridSpan w:val="2"/>
            <w:vMerge w:val="continue"/>
          </w:tcPr>
          <w:p w14:paraId="3561B31C">
            <w:pPr>
              <w:rPr>
                <w:sz w:val="2"/>
                <w:szCs w:val="2"/>
              </w:rPr>
            </w:pPr>
          </w:p>
        </w:tc>
        <w:tc>
          <w:tcPr>
            <w:tcW w:w="1869" w:type="dxa"/>
          </w:tcPr>
          <w:p w14:paraId="73001604">
            <w:pPr>
              <w:pStyle w:val="38"/>
              <w:spacing w:before="140"/>
              <w:ind w:left="61" w:right="53"/>
              <w:jc w:val="center"/>
              <w:rPr>
                <w:sz w:val="21"/>
              </w:rPr>
            </w:pPr>
            <w:r>
              <w:rPr>
                <w:sz w:val="21"/>
              </w:rPr>
              <w:t>投标有效期</w:t>
            </w:r>
          </w:p>
        </w:tc>
        <w:tc>
          <w:tcPr>
            <w:tcW w:w="6289" w:type="dxa"/>
            <w:gridSpan w:val="2"/>
          </w:tcPr>
          <w:p w14:paraId="2F06B686">
            <w:pPr>
              <w:pStyle w:val="38"/>
              <w:spacing w:before="140"/>
              <w:ind w:left="108"/>
              <w:rPr>
                <w:sz w:val="21"/>
              </w:rPr>
            </w:pPr>
            <w:r>
              <w:rPr>
                <w:sz w:val="21"/>
              </w:rPr>
              <w:t>符合第二章“</w:t>
            </w:r>
            <w:r>
              <w:rPr>
                <w:rFonts w:hint="eastAsia"/>
                <w:sz w:val="21"/>
                <w:lang w:val="en-US"/>
              </w:rPr>
              <w:t>供应商</w:t>
            </w:r>
            <w:r>
              <w:rPr>
                <w:sz w:val="21"/>
              </w:rPr>
              <w:t>须知”第3.3.1项规定</w:t>
            </w:r>
          </w:p>
        </w:tc>
      </w:tr>
      <w:tr w14:paraId="0B1CD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638" w:type="dxa"/>
            <w:gridSpan w:val="2"/>
            <w:vMerge w:val="continue"/>
          </w:tcPr>
          <w:p w14:paraId="1BA0D583">
            <w:pPr>
              <w:rPr>
                <w:sz w:val="2"/>
                <w:szCs w:val="2"/>
              </w:rPr>
            </w:pPr>
          </w:p>
        </w:tc>
        <w:tc>
          <w:tcPr>
            <w:tcW w:w="1543" w:type="dxa"/>
            <w:gridSpan w:val="2"/>
            <w:vMerge w:val="continue"/>
          </w:tcPr>
          <w:p w14:paraId="0018EBED">
            <w:pPr>
              <w:rPr>
                <w:sz w:val="2"/>
                <w:szCs w:val="2"/>
              </w:rPr>
            </w:pPr>
          </w:p>
        </w:tc>
        <w:tc>
          <w:tcPr>
            <w:tcW w:w="1869" w:type="dxa"/>
          </w:tcPr>
          <w:p w14:paraId="2A36D8A7">
            <w:pPr>
              <w:pStyle w:val="38"/>
              <w:spacing w:before="140"/>
              <w:ind w:left="61" w:right="53"/>
              <w:jc w:val="center"/>
              <w:rPr>
                <w:sz w:val="21"/>
                <w:lang w:val="en-US"/>
              </w:rPr>
            </w:pPr>
            <w:r>
              <w:rPr>
                <w:sz w:val="21"/>
              </w:rPr>
              <w:t>已标价工程量清单</w:t>
            </w:r>
          </w:p>
        </w:tc>
        <w:tc>
          <w:tcPr>
            <w:tcW w:w="6289" w:type="dxa"/>
            <w:gridSpan w:val="2"/>
          </w:tcPr>
          <w:p w14:paraId="52C349A1">
            <w:pPr>
              <w:pStyle w:val="38"/>
              <w:spacing w:before="140"/>
              <w:ind w:left="108"/>
              <w:rPr>
                <w:sz w:val="21"/>
              </w:rPr>
            </w:pPr>
            <w:r>
              <w:rPr>
                <w:rFonts w:hint="eastAsia"/>
                <w:sz w:val="21"/>
              </w:rPr>
              <w:t>符合第五章“工程量清单”给出的子目编码、子目名称、子目特征、计量单位和工程量</w:t>
            </w:r>
          </w:p>
        </w:tc>
      </w:tr>
      <w:tr w14:paraId="59019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2181" w:type="dxa"/>
            <w:gridSpan w:val="4"/>
          </w:tcPr>
          <w:p w14:paraId="52FB3DC2">
            <w:pPr>
              <w:pStyle w:val="38"/>
              <w:spacing w:before="140"/>
              <w:ind w:left="674" w:right="666"/>
              <w:jc w:val="center"/>
              <w:rPr>
                <w:b/>
                <w:sz w:val="21"/>
              </w:rPr>
            </w:pPr>
            <w:r>
              <w:rPr>
                <w:b/>
                <w:sz w:val="21"/>
              </w:rPr>
              <w:t>条款号</w:t>
            </w:r>
          </w:p>
        </w:tc>
        <w:tc>
          <w:tcPr>
            <w:tcW w:w="1869" w:type="dxa"/>
          </w:tcPr>
          <w:p w14:paraId="7E08B1F7">
            <w:pPr>
              <w:pStyle w:val="38"/>
              <w:spacing w:before="140"/>
              <w:ind w:left="61" w:right="50"/>
              <w:jc w:val="center"/>
              <w:rPr>
                <w:b/>
                <w:sz w:val="21"/>
                <w:lang w:val="en-US"/>
              </w:rPr>
            </w:pPr>
            <w:r>
              <w:rPr>
                <w:rFonts w:hint="eastAsia"/>
                <w:b/>
                <w:sz w:val="21"/>
                <w:lang w:val="en-US"/>
              </w:rPr>
              <w:t>评审因素</w:t>
            </w:r>
          </w:p>
        </w:tc>
        <w:tc>
          <w:tcPr>
            <w:tcW w:w="6289" w:type="dxa"/>
            <w:gridSpan w:val="2"/>
          </w:tcPr>
          <w:p w14:paraId="5815153F">
            <w:pPr>
              <w:pStyle w:val="38"/>
              <w:spacing w:before="140"/>
              <w:ind w:left="1899" w:right="1886"/>
              <w:jc w:val="center"/>
              <w:rPr>
                <w:b/>
                <w:sz w:val="21"/>
                <w:lang w:val="en-US"/>
              </w:rPr>
            </w:pPr>
            <w:r>
              <w:rPr>
                <w:rFonts w:hint="eastAsia"/>
                <w:b/>
                <w:sz w:val="21"/>
                <w:lang w:val="en-US"/>
              </w:rPr>
              <w:t>评审标准</w:t>
            </w:r>
          </w:p>
        </w:tc>
      </w:tr>
      <w:tr w14:paraId="24502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2181" w:type="dxa"/>
            <w:gridSpan w:val="4"/>
          </w:tcPr>
          <w:p w14:paraId="6C104378">
            <w:pPr>
              <w:pStyle w:val="38"/>
              <w:spacing w:before="140"/>
              <w:ind w:left="674" w:right="666"/>
              <w:jc w:val="center"/>
              <w:rPr>
                <w:b/>
                <w:sz w:val="21"/>
                <w:lang w:val="en-US"/>
              </w:rPr>
            </w:pPr>
            <w:r>
              <w:rPr>
                <w:rFonts w:hint="eastAsia"/>
                <w:b/>
                <w:sz w:val="21"/>
                <w:lang w:val="en-US"/>
              </w:rPr>
              <w:t>3</w:t>
            </w:r>
          </w:p>
        </w:tc>
        <w:tc>
          <w:tcPr>
            <w:tcW w:w="8158" w:type="dxa"/>
            <w:gridSpan w:val="3"/>
          </w:tcPr>
          <w:p w14:paraId="7D733450">
            <w:pPr>
              <w:pStyle w:val="38"/>
              <w:spacing w:before="140"/>
              <w:ind w:left="1899" w:right="1886" w:firstLine="632" w:firstLineChars="300"/>
              <w:jc w:val="both"/>
              <w:rPr>
                <w:b/>
                <w:sz w:val="21"/>
                <w:lang w:val="en-US"/>
              </w:rPr>
            </w:pPr>
            <w:r>
              <w:rPr>
                <w:rFonts w:hint="eastAsia"/>
                <w:b/>
                <w:sz w:val="21"/>
                <w:lang w:val="en-US"/>
              </w:rPr>
              <w:t>详细评审</w:t>
            </w:r>
          </w:p>
        </w:tc>
      </w:tr>
      <w:tr w14:paraId="43FCEA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61" w:hRule="atLeast"/>
        </w:trPr>
        <w:tc>
          <w:tcPr>
            <w:tcW w:w="2181" w:type="dxa"/>
            <w:gridSpan w:val="4"/>
            <w:vAlign w:val="center"/>
          </w:tcPr>
          <w:p w14:paraId="013C9D63">
            <w:pPr>
              <w:spacing w:line="360" w:lineRule="auto"/>
              <w:ind w:firstLine="843" w:firstLineChars="400"/>
              <w:jc w:val="both"/>
              <w:rPr>
                <w:rFonts w:ascii="Times New Roman"/>
                <w:sz w:val="21"/>
                <w:lang w:val="en-US"/>
              </w:rPr>
            </w:pPr>
            <w:r>
              <w:rPr>
                <w:rFonts w:hint="eastAsia"/>
                <w:b/>
                <w:bCs/>
                <w:sz w:val="21"/>
                <w:szCs w:val="21"/>
                <w:lang w:val="en-US"/>
              </w:rPr>
              <w:t>3.1</w:t>
            </w:r>
          </w:p>
        </w:tc>
        <w:tc>
          <w:tcPr>
            <w:tcW w:w="1869" w:type="dxa"/>
            <w:vAlign w:val="center"/>
          </w:tcPr>
          <w:p w14:paraId="4BDF7875">
            <w:pPr>
              <w:spacing w:line="360" w:lineRule="auto"/>
              <w:jc w:val="center"/>
              <w:rPr>
                <w:sz w:val="21"/>
                <w:szCs w:val="21"/>
              </w:rPr>
            </w:pPr>
            <w:r>
              <w:rPr>
                <w:rFonts w:hint="eastAsia"/>
                <w:sz w:val="21"/>
                <w:szCs w:val="21"/>
              </w:rPr>
              <w:t>分值构成</w:t>
            </w:r>
          </w:p>
          <w:p w14:paraId="338B5C6E">
            <w:pPr>
              <w:spacing w:line="360" w:lineRule="auto"/>
              <w:jc w:val="center"/>
              <w:rPr>
                <w:sz w:val="21"/>
              </w:rPr>
            </w:pPr>
            <w:r>
              <w:rPr>
                <w:rFonts w:hint="eastAsia"/>
                <w:sz w:val="21"/>
                <w:szCs w:val="21"/>
              </w:rPr>
              <w:t>(总分100分)</w:t>
            </w:r>
          </w:p>
        </w:tc>
        <w:tc>
          <w:tcPr>
            <w:tcW w:w="6289" w:type="dxa"/>
            <w:gridSpan w:val="2"/>
            <w:vAlign w:val="center"/>
          </w:tcPr>
          <w:p w14:paraId="40BDD64F">
            <w:pPr>
              <w:spacing w:line="360" w:lineRule="auto"/>
              <w:rPr>
                <w:sz w:val="21"/>
                <w:lang w:val="en-US"/>
              </w:rPr>
            </w:pPr>
            <w:r>
              <w:rPr>
                <w:rFonts w:hint="eastAsia"/>
                <w:sz w:val="21"/>
                <w:lang w:val="en-US" w:eastAsia="zh-CN"/>
              </w:rPr>
              <w:t>商务</w:t>
            </w:r>
            <w:r>
              <w:rPr>
                <w:rFonts w:hint="eastAsia"/>
                <w:sz w:val="21"/>
                <w:lang w:val="en-US"/>
              </w:rPr>
              <w:t xml:space="preserve">部分：30分 </w:t>
            </w:r>
          </w:p>
          <w:p w14:paraId="3B923A68">
            <w:pPr>
              <w:spacing w:line="360" w:lineRule="auto"/>
              <w:rPr>
                <w:sz w:val="21"/>
                <w:lang w:val="en-US"/>
              </w:rPr>
            </w:pPr>
            <w:r>
              <w:rPr>
                <w:rFonts w:hint="eastAsia"/>
                <w:sz w:val="21"/>
                <w:lang w:val="en-US" w:eastAsia="zh-CN"/>
              </w:rPr>
              <w:t>技术</w:t>
            </w:r>
            <w:r>
              <w:rPr>
                <w:rFonts w:hint="eastAsia"/>
                <w:sz w:val="21"/>
                <w:lang w:val="en-US"/>
              </w:rPr>
              <w:t>部分：</w:t>
            </w:r>
            <w:r>
              <w:rPr>
                <w:rFonts w:hint="eastAsia"/>
                <w:sz w:val="21"/>
                <w:lang w:val="en-US" w:eastAsia="zh-CN"/>
              </w:rPr>
              <w:t>55</w:t>
            </w:r>
            <w:r>
              <w:rPr>
                <w:rFonts w:hint="eastAsia"/>
                <w:sz w:val="21"/>
                <w:lang w:val="en-US"/>
              </w:rPr>
              <w:t xml:space="preserve">分 </w:t>
            </w:r>
          </w:p>
          <w:p w14:paraId="72094E8E">
            <w:pPr>
              <w:spacing w:line="360" w:lineRule="auto"/>
              <w:rPr>
                <w:sz w:val="21"/>
                <w:lang w:val="en-US"/>
              </w:rPr>
            </w:pPr>
            <w:r>
              <w:rPr>
                <w:rFonts w:hint="eastAsia"/>
                <w:sz w:val="21"/>
                <w:lang w:val="en-US" w:eastAsia="zh-CN"/>
              </w:rPr>
              <w:t>综合</w:t>
            </w:r>
            <w:r>
              <w:rPr>
                <w:rFonts w:hint="eastAsia"/>
                <w:sz w:val="21"/>
                <w:lang w:val="en-US"/>
              </w:rPr>
              <w:t>部分：</w:t>
            </w:r>
            <w:r>
              <w:rPr>
                <w:rFonts w:hint="eastAsia"/>
                <w:sz w:val="21"/>
                <w:lang w:val="en-US" w:eastAsia="zh-CN"/>
              </w:rPr>
              <w:t>15</w:t>
            </w:r>
            <w:r>
              <w:rPr>
                <w:rFonts w:hint="eastAsia"/>
                <w:sz w:val="21"/>
                <w:lang w:val="en-US"/>
              </w:rPr>
              <w:t xml:space="preserve">分 </w:t>
            </w:r>
          </w:p>
          <w:p w14:paraId="3632A582">
            <w:pPr>
              <w:spacing w:line="360" w:lineRule="auto"/>
              <w:rPr>
                <w:sz w:val="21"/>
                <w:lang w:val="en-US"/>
              </w:rPr>
            </w:pPr>
            <w:r>
              <w:rPr>
                <w:rFonts w:hint="eastAsia"/>
                <w:sz w:val="21"/>
                <w:lang w:val="en-US"/>
              </w:rPr>
              <w:t>综合得分=</w:t>
            </w:r>
            <w:r>
              <w:rPr>
                <w:rFonts w:hint="eastAsia"/>
                <w:sz w:val="21"/>
                <w:lang w:val="en-US" w:eastAsia="zh-CN"/>
              </w:rPr>
              <w:t>商务</w:t>
            </w:r>
            <w:r>
              <w:rPr>
                <w:rFonts w:hint="eastAsia"/>
                <w:sz w:val="21"/>
                <w:lang w:val="en-US"/>
              </w:rPr>
              <w:t>部分＋</w:t>
            </w:r>
            <w:r>
              <w:rPr>
                <w:rFonts w:hint="eastAsia"/>
                <w:sz w:val="21"/>
                <w:lang w:val="en-US" w:eastAsia="zh-CN"/>
              </w:rPr>
              <w:t>技术</w:t>
            </w:r>
            <w:r>
              <w:rPr>
                <w:rFonts w:hint="eastAsia"/>
                <w:sz w:val="21"/>
                <w:lang w:val="en-US"/>
              </w:rPr>
              <w:t>部分＋</w:t>
            </w:r>
            <w:r>
              <w:rPr>
                <w:rFonts w:hint="eastAsia"/>
                <w:sz w:val="21"/>
                <w:lang w:val="en-US" w:eastAsia="zh-CN"/>
              </w:rPr>
              <w:t>综合</w:t>
            </w:r>
            <w:r>
              <w:rPr>
                <w:rFonts w:hint="eastAsia"/>
                <w:sz w:val="21"/>
                <w:lang w:val="en-US"/>
              </w:rPr>
              <w:t>部分</w:t>
            </w:r>
          </w:p>
          <w:p w14:paraId="2F76B42C">
            <w:pPr>
              <w:spacing w:line="360" w:lineRule="auto"/>
              <w:rPr>
                <w:sz w:val="21"/>
                <w:szCs w:val="21"/>
                <w:lang w:val="en-US"/>
              </w:rPr>
            </w:pPr>
            <w:r>
              <w:rPr>
                <w:rFonts w:hint="eastAsia"/>
                <w:sz w:val="21"/>
                <w:lang w:val="en-US"/>
              </w:rPr>
              <w:t>计算结果均保留小数点后两位，第三位四舍五入。</w:t>
            </w:r>
          </w:p>
        </w:tc>
      </w:tr>
      <w:tr w14:paraId="1D4FC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2736" w:hRule="atLeast"/>
          <w:jc w:val="center"/>
        </w:trPr>
        <w:tc>
          <w:tcPr>
            <w:tcW w:w="889" w:type="dxa"/>
            <w:gridSpan w:val="2"/>
            <w:noWrap w:val="0"/>
            <w:vAlign w:val="center"/>
          </w:tcPr>
          <w:p w14:paraId="2829AB3D">
            <w:pPr>
              <w:spacing w:line="400" w:lineRule="exact"/>
              <w:jc w:val="center"/>
              <w:rPr>
                <w:rFonts w:hint="default" w:ascii="宋体" w:hAnsi="宋体" w:eastAsia="宋体" w:cs="宋体"/>
                <w:color w:val="auto"/>
                <w:szCs w:val="21"/>
                <w:lang w:val="en-US" w:eastAsia="zh-CN"/>
              </w:rPr>
            </w:pPr>
            <w:bookmarkStart w:id="102" w:name="_TOC_250125"/>
            <w:bookmarkEnd w:id="102"/>
            <w:r>
              <w:rPr>
                <w:rFonts w:hint="eastAsia" w:ascii="宋体" w:hAnsi="宋体" w:cs="宋体"/>
                <w:b/>
                <w:bCs/>
                <w:color w:val="auto"/>
                <w:szCs w:val="21"/>
                <w:lang w:val="en-US" w:eastAsia="zh-CN"/>
              </w:rPr>
              <w:t>3.2</w:t>
            </w:r>
          </w:p>
        </w:tc>
        <w:tc>
          <w:tcPr>
            <w:tcW w:w="1167" w:type="dxa"/>
            <w:noWrap w:val="0"/>
            <w:vAlign w:val="center"/>
          </w:tcPr>
          <w:p w14:paraId="6554BA2A">
            <w:pPr>
              <w:spacing w:line="400" w:lineRule="exact"/>
              <w:jc w:val="center"/>
              <w:rPr>
                <w:rFonts w:hint="eastAsia" w:ascii="宋体" w:hAnsi="宋体" w:cs="宋体"/>
                <w:color w:val="auto"/>
                <w:szCs w:val="21"/>
              </w:rPr>
            </w:pPr>
            <w:r>
              <w:rPr>
                <w:rFonts w:hint="eastAsia" w:ascii="宋体" w:hAnsi="宋体" w:cs="宋体"/>
                <w:color w:val="auto"/>
                <w:szCs w:val="21"/>
              </w:rPr>
              <w:t>商务</w:t>
            </w:r>
          </w:p>
          <w:p w14:paraId="56EA75AD">
            <w:pPr>
              <w:spacing w:line="400" w:lineRule="exact"/>
              <w:jc w:val="center"/>
              <w:rPr>
                <w:rFonts w:hint="eastAsia" w:ascii="宋体" w:hAnsi="宋体" w:cs="宋体"/>
                <w:color w:val="auto"/>
                <w:szCs w:val="21"/>
              </w:rPr>
            </w:pPr>
            <w:r>
              <w:rPr>
                <w:rFonts w:hint="eastAsia" w:ascii="宋体" w:hAnsi="宋体" w:cs="宋体"/>
                <w:color w:val="auto"/>
                <w:szCs w:val="21"/>
              </w:rPr>
              <w:t>部分</w:t>
            </w:r>
          </w:p>
          <w:p w14:paraId="2BD19136">
            <w:pPr>
              <w:spacing w:line="400" w:lineRule="exact"/>
              <w:jc w:val="both"/>
              <w:rPr>
                <w:rFonts w:ascii="宋体" w:hAnsi="宋体" w:cs="宋体"/>
                <w:color w:val="auto"/>
                <w:szCs w:val="21"/>
              </w:rPr>
            </w:pPr>
            <w:r>
              <w:rPr>
                <w:rFonts w:hint="eastAsia" w:ascii="宋体" w:hAnsi="宋体" w:cs="宋体"/>
                <w:color w:val="auto"/>
                <w:szCs w:val="21"/>
                <w:lang w:eastAsia="zh-CN"/>
              </w:rPr>
              <w:t>（</w:t>
            </w:r>
            <w:r>
              <w:rPr>
                <w:rFonts w:hint="eastAsia" w:ascii="宋体" w:hAnsi="宋体" w:cs="宋体"/>
                <w:color w:val="auto"/>
                <w:szCs w:val="21"/>
                <w:lang w:val="en-US" w:eastAsia="zh-CN"/>
              </w:rPr>
              <w:t>30</w:t>
            </w:r>
            <w:r>
              <w:rPr>
                <w:rFonts w:hint="eastAsia" w:ascii="宋体" w:hAnsi="宋体" w:cs="宋体"/>
                <w:color w:val="auto"/>
                <w:szCs w:val="21"/>
              </w:rPr>
              <w:t>分）</w:t>
            </w:r>
          </w:p>
        </w:tc>
        <w:tc>
          <w:tcPr>
            <w:tcW w:w="1869" w:type="dxa"/>
            <w:noWrap w:val="0"/>
            <w:vAlign w:val="center"/>
          </w:tcPr>
          <w:p w14:paraId="7FAE4D54">
            <w:pPr>
              <w:spacing w:line="400" w:lineRule="exact"/>
              <w:jc w:val="center"/>
              <w:rPr>
                <w:rFonts w:hint="eastAsia" w:ascii="宋体" w:hAnsi="宋体" w:cs="宋体"/>
                <w:color w:val="auto"/>
                <w:szCs w:val="21"/>
              </w:rPr>
            </w:pPr>
            <w:r>
              <w:rPr>
                <w:rFonts w:hint="eastAsia" w:ascii="宋体" w:hAnsi="宋体" w:cs="宋体"/>
                <w:color w:val="auto"/>
                <w:szCs w:val="21"/>
              </w:rPr>
              <w:t>投标报价</w:t>
            </w:r>
          </w:p>
          <w:p w14:paraId="17E21B22">
            <w:pPr>
              <w:spacing w:line="400" w:lineRule="exact"/>
              <w:jc w:val="center"/>
              <w:rPr>
                <w:rFonts w:hint="eastAsia" w:ascii="宋体" w:hAnsi="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30</w:t>
            </w:r>
            <w:r>
              <w:rPr>
                <w:rFonts w:hint="eastAsia" w:ascii="宋体" w:hAnsi="宋体" w:cs="宋体"/>
                <w:color w:val="auto"/>
                <w:szCs w:val="21"/>
              </w:rPr>
              <w:t>分）</w:t>
            </w:r>
          </w:p>
        </w:tc>
        <w:tc>
          <w:tcPr>
            <w:tcW w:w="6289" w:type="dxa"/>
            <w:gridSpan w:val="2"/>
            <w:noWrap w:val="0"/>
            <w:vAlign w:val="center"/>
          </w:tcPr>
          <w:p w14:paraId="06E5AC54">
            <w:pPr>
              <w:spacing w:line="360" w:lineRule="auto"/>
              <w:rPr>
                <w:sz w:val="21"/>
                <w:lang w:val="en-US"/>
              </w:rPr>
            </w:pPr>
            <w:r>
              <w:rPr>
                <w:rFonts w:hint="eastAsia"/>
                <w:sz w:val="21"/>
                <w:lang w:val="en-US"/>
              </w:rPr>
              <w:t xml:space="preserve">1、通过初步审查的供应商为有效投标供应商，方能参与投标报价得分计算； </w:t>
            </w:r>
          </w:p>
          <w:p w14:paraId="46F9B2FD">
            <w:pPr>
              <w:spacing w:line="360" w:lineRule="auto"/>
              <w:rPr>
                <w:rFonts w:hint="eastAsia"/>
                <w:sz w:val="21"/>
                <w:lang w:val="en-US" w:eastAsia="zh-CN"/>
              </w:rPr>
            </w:pPr>
            <w:r>
              <w:rPr>
                <w:rFonts w:hint="eastAsia"/>
                <w:sz w:val="21"/>
                <w:lang w:val="en-US"/>
              </w:rPr>
              <w:t>2、本项目进行两轮报价，所有报价均不能超过磋商文件中载明的采购预算价，否则按无效标处理。满足磋商文件实质性要求的各有效投标供应商提交的最后（二次）报价参与价格分评比</w:t>
            </w:r>
            <w:r>
              <w:rPr>
                <w:rFonts w:hint="eastAsia"/>
                <w:sz w:val="21"/>
                <w:lang w:val="en-US" w:eastAsia="zh-CN"/>
              </w:rPr>
              <w:t>；</w:t>
            </w:r>
          </w:p>
          <w:p w14:paraId="5BA378BA">
            <w:pPr>
              <w:spacing w:line="360" w:lineRule="auto"/>
              <w:rPr>
                <w:sz w:val="21"/>
                <w:lang w:val="en-US"/>
              </w:rPr>
            </w:pPr>
            <w:r>
              <w:rPr>
                <w:rFonts w:hint="eastAsia"/>
                <w:sz w:val="21"/>
                <w:lang w:val="en-US"/>
              </w:rPr>
              <w:t>3、价格分采用低价优先法计算，即满足磋商文件要求且最后报价最低的供应商的价格为磋商基准价，其价格分为满分。其他供应商的价格分统一按照下列公式计算：</w:t>
            </w:r>
          </w:p>
          <w:p w14:paraId="420971B9">
            <w:pPr>
              <w:spacing w:line="360" w:lineRule="auto"/>
              <w:rPr>
                <w:rFonts w:hint="eastAsia"/>
                <w:sz w:val="21"/>
                <w:lang w:val="en-US"/>
              </w:rPr>
            </w:pPr>
            <w:r>
              <w:rPr>
                <w:rFonts w:hint="eastAsia"/>
                <w:sz w:val="21"/>
                <w:lang w:val="en-US"/>
              </w:rPr>
              <w:t>磋商报价得分=（磋商基准价/最后磋商报价）*30*100%</w:t>
            </w:r>
          </w:p>
          <w:p w14:paraId="749F0A5B">
            <w:pPr>
              <w:spacing w:line="360" w:lineRule="auto"/>
              <w:rPr>
                <w:lang w:val="en-US"/>
              </w:rPr>
            </w:pPr>
            <w:r>
              <w:rPr>
                <w:rFonts w:hint="eastAsia"/>
                <w:sz w:val="21"/>
                <w:lang w:val="en-US" w:eastAsia="zh-CN"/>
              </w:rPr>
              <w:t>注：按四舍五入法则，保留小数点后两位。</w:t>
            </w:r>
          </w:p>
          <w:p w14:paraId="6E065605">
            <w:pPr>
              <w:spacing w:line="400" w:lineRule="exact"/>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因本项目为专门面向中小企业采购，故所有投标供应商不再享受价格扣除政策</w:t>
            </w:r>
          </w:p>
          <w:p w14:paraId="6EE1F985">
            <w:pPr>
              <w:spacing w:line="400" w:lineRule="exact"/>
              <w:jc w:val="left"/>
              <w:rPr>
                <w:rFonts w:hint="eastAsia" w:ascii="宋体" w:hAnsi="宋体" w:eastAsia="宋体" w:cs="宋体"/>
                <w:color w:val="auto"/>
                <w:szCs w:val="21"/>
                <w:highlight w:val="none"/>
                <w:lang w:val="en-US" w:eastAsia="zh-CN"/>
              </w:rPr>
            </w:pPr>
            <w:r>
              <w:rPr>
                <w:rFonts w:hint="eastAsia" w:ascii="Times New Roman" w:hAnsi="Times New Roman" w:eastAsia="宋体" w:cs="Times New Roman"/>
              </w:rPr>
              <w:t>注：</w:t>
            </w:r>
            <w:r>
              <w:rPr>
                <w:rFonts w:hint="eastAsia" w:ascii="宋体" w:hAnsi="宋体" w:eastAsia="宋体" w:cs="宋体"/>
                <w:color w:val="auto"/>
                <w:szCs w:val="21"/>
                <w:highlight w:val="none"/>
                <w:lang w:val="en-US" w:eastAsia="zh-CN"/>
              </w:rPr>
              <w:t>根据《关于推动解决政府采购异常低价问题的通知》，采购评审中出现下列情形之一的，评审委员会应当启动异常低价投标（响应）审查程序：</w:t>
            </w:r>
          </w:p>
          <w:p w14:paraId="3A9E7917">
            <w:pPr>
              <w:keepNext w:val="0"/>
              <w:keepLines w:val="0"/>
              <w:pageBreakBefore w:val="0"/>
              <w:kinsoku/>
              <w:wordWrap/>
              <w:overflowPunct/>
              <w:topLinePunct w:val="0"/>
              <w:autoSpaceDE/>
              <w:autoSpaceDN/>
              <w:bidi w:val="0"/>
              <w:adjustRightInd/>
              <w:spacing w:line="360" w:lineRule="exact"/>
              <w:ind w:left="-18" w:leftChars="-8" w:firstLine="455" w:firstLineChars="207"/>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（1）投标（响应）报价低于全部通过初步审查供应商投标（响应）报价平均值65%的，即投标（响应）报价&lt;全部通过初步审查供应商投标（响应）报价平均值×65%；</w:t>
            </w:r>
          </w:p>
          <w:p w14:paraId="40F044F8">
            <w:pPr>
              <w:keepNext w:val="0"/>
              <w:keepLines w:val="0"/>
              <w:pageBreakBefore w:val="0"/>
              <w:kinsoku/>
              <w:wordWrap/>
              <w:overflowPunct/>
              <w:topLinePunct w:val="0"/>
              <w:autoSpaceDE/>
              <w:autoSpaceDN/>
              <w:bidi w:val="0"/>
              <w:adjustRightInd/>
              <w:spacing w:line="360" w:lineRule="exact"/>
              <w:ind w:left="-18" w:leftChars="-8" w:firstLine="455" w:firstLineChars="207"/>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（2）投标（响应）报价低于通过初步审查的次低报价供应商投标（响应）报价65%的，即投标（响应）报价&lt;通过初步审查的次低报价供应商投标（响应）报价×65%；</w:t>
            </w:r>
          </w:p>
          <w:p w14:paraId="25CDF988">
            <w:pPr>
              <w:keepNext w:val="0"/>
              <w:keepLines w:val="0"/>
              <w:pageBreakBefore w:val="0"/>
              <w:kinsoku/>
              <w:wordWrap/>
              <w:overflowPunct/>
              <w:topLinePunct w:val="0"/>
              <w:autoSpaceDE/>
              <w:autoSpaceDN/>
              <w:bidi w:val="0"/>
              <w:adjustRightInd/>
              <w:spacing w:line="360" w:lineRule="exact"/>
              <w:ind w:left="-18" w:leftChars="-8" w:firstLine="455" w:firstLineChars="207"/>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（3）投标（响应）报价低于采购项目最高限价65%的，即投标（响应）报价&lt;采购项目最高限价×65%；</w:t>
            </w:r>
          </w:p>
          <w:p w14:paraId="13AD3A34">
            <w:pPr>
              <w:keepNext w:val="0"/>
              <w:keepLines w:val="0"/>
              <w:pageBreakBefore w:val="0"/>
              <w:kinsoku/>
              <w:wordWrap/>
              <w:overflowPunct/>
              <w:topLinePunct w:val="0"/>
              <w:autoSpaceDE/>
              <w:autoSpaceDN/>
              <w:bidi w:val="0"/>
              <w:adjustRightInd/>
              <w:spacing w:line="360" w:lineRule="exact"/>
              <w:ind w:left="-18" w:leftChars="-8" w:firstLine="455" w:firstLineChars="207"/>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（4）评审委员会基于专业判断，认为供应商报价过低，有可能影响产品质量或者不能诚信履约的其他情形。</w:t>
            </w:r>
          </w:p>
          <w:p w14:paraId="3892D7EA">
            <w:pPr>
              <w:keepNext w:val="0"/>
              <w:keepLines w:val="0"/>
              <w:pageBreakBefore w:val="0"/>
              <w:kinsoku/>
              <w:wordWrap/>
              <w:overflowPunct/>
              <w:topLinePunct w:val="0"/>
              <w:autoSpaceDE/>
              <w:autoSpaceDN/>
              <w:bidi w:val="0"/>
              <w:adjustRightInd/>
              <w:spacing w:line="360" w:lineRule="exact"/>
              <w:ind w:left="-18" w:leftChars="-8" w:firstLine="673" w:firstLineChars="306"/>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61E3346">
            <w:pPr>
              <w:spacing w:line="400" w:lineRule="exact"/>
              <w:jc w:val="left"/>
              <w:rPr>
                <w:rFonts w:hint="default" w:eastAsia="宋体"/>
                <w:lang w:val="en-US" w:eastAsia="zh-CN"/>
              </w:rPr>
            </w:pPr>
            <w:r>
              <w:rPr>
                <w:rFonts w:hint="eastAsia" w:ascii="宋体" w:hAnsi="宋体" w:eastAsia="宋体" w:cs="宋体"/>
                <w:color w:val="auto"/>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auto"/>
                <w:szCs w:val="21"/>
                <w:highlight w:val="none"/>
              </w:rPr>
              <w:t>。</w:t>
            </w:r>
          </w:p>
        </w:tc>
      </w:tr>
      <w:tr w14:paraId="7F7CF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415" w:hRule="atLeast"/>
          <w:jc w:val="center"/>
        </w:trPr>
        <w:tc>
          <w:tcPr>
            <w:tcW w:w="889" w:type="dxa"/>
            <w:gridSpan w:val="2"/>
            <w:vMerge w:val="restart"/>
            <w:noWrap w:val="0"/>
            <w:vAlign w:val="center"/>
          </w:tcPr>
          <w:p w14:paraId="793353A9">
            <w:pPr>
              <w:spacing w:line="400" w:lineRule="exact"/>
              <w:jc w:val="center"/>
              <w:rPr>
                <w:rFonts w:hint="default" w:ascii="宋体" w:hAnsi="宋体" w:eastAsia="宋体" w:cs="宋体"/>
                <w:color w:val="auto"/>
                <w:szCs w:val="21"/>
                <w:lang w:val="en-US" w:eastAsia="zh-CN"/>
              </w:rPr>
            </w:pPr>
            <w:r>
              <w:rPr>
                <w:rFonts w:hint="eastAsia" w:ascii="宋体" w:hAnsi="宋体" w:cs="宋体"/>
                <w:b/>
                <w:bCs/>
                <w:color w:val="auto"/>
                <w:szCs w:val="21"/>
                <w:lang w:val="en-US" w:eastAsia="zh-CN"/>
              </w:rPr>
              <w:t>3.3</w:t>
            </w:r>
          </w:p>
        </w:tc>
        <w:tc>
          <w:tcPr>
            <w:tcW w:w="1167" w:type="dxa"/>
            <w:vMerge w:val="restart"/>
            <w:noWrap w:val="0"/>
            <w:vAlign w:val="center"/>
          </w:tcPr>
          <w:p w14:paraId="3BFBEAB8">
            <w:pPr>
              <w:spacing w:line="400" w:lineRule="exact"/>
              <w:jc w:val="both"/>
              <w:rPr>
                <w:rFonts w:hint="eastAsia" w:ascii="宋体" w:hAnsi="宋体" w:cs="宋体"/>
                <w:color w:val="auto"/>
                <w:szCs w:val="21"/>
              </w:rPr>
            </w:pPr>
          </w:p>
          <w:p w14:paraId="204C172E">
            <w:pPr>
              <w:spacing w:line="400" w:lineRule="exact"/>
              <w:jc w:val="center"/>
              <w:rPr>
                <w:rFonts w:hint="eastAsia" w:ascii="宋体" w:hAnsi="宋体" w:cs="宋体"/>
                <w:color w:val="auto"/>
                <w:szCs w:val="21"/>
              </w:rPr>
            </w:pPr>
            <w:r>
              <w:rPr>
                <w:rFonts w:hint="eastAsia" w:ascii="宋体" w:hAnsi="宋体" w:cs="宋体"/>
                <w:color w:val="auto"/>
                <w:szCs w:val="21"/>
              </w:rPr>
              <w:t>技术</w:t>
            </w:r>
          </w:p>
          <w:p w14:paraId="0D49136E">
            <w:pPr>
              <w:spacing w:line="400" w:lineRule="exact"/>
              <w:jc w:val="center"/>
              <w:rPr>
                <w:rFonts w:hint="eastAsia" w:ascii="宋体" w:hAnsi="宋体" w:cs="宋体"/>
                <w:color w:val="auto"/>
                <w:szCs w:val="21"/>
              </w:rPr>
            </w:pPr>
            <w:r>
              <w:rPr>
                <w:rFonts w:hint="eastAsia" w:ascii="宋体" w:hAnsi="宋体" w:cs="宋体"/>
                <w:color w:val="auto"/>
                <w:szCs w:val="21"/>
              </w:rPr>
              <w:t>部分</w:t>
            </w:r>
          </w:p>
          <w:p w14:paraId="0662FB21">
            <w:pPr>
              <w:spacing w:line="400" w:lineRule="exact"/>
              <w:jc w:val="center"/>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55</w:t>
            </w:r>
            <w:r>
              <w:rPr>
                <w:rFonts w:hint="eastAsia" w:ascii="宋体" w:hAnsi="宋体" w:cs="宋体"/>
                <w:color w:val="auto"/>
                <w:szCs w:val="21"/>
              </w:rPr>
              <w:t>分）</w:t>
            </w:r>
          </w:p>
        </w:tc>
        <w:tc>
          <w:tcPr>
            <w:tcW w:w="1869" w:type="dxa"/>
            <w:vMerge w:val="restart"/>
            <w:noWrap w:val="0"/>
            <w:vAlign w:val="center"/>
          </w:tcPr>
          <w:p w14:paraId="73329EDD">
            <w:pPr>
              <w:spacing w:line="360" w:lineRule="auto"/>
              <w:jc w:val="both"/>
              <w:rPr>
                <w:rFonts w:hint="eastAsia" w:ascii="宋体" w:hAnsi="宋体" w:cs="宋体"/>
                <w:color w:val="auto"/>
                <w:spacing w:val="1"/>
                <w:kern w:val="0"/>
                <w:szCs w:val="21"/>
              </w:rPr>
            </w:pPr>
          </w:p>
          <w:p w14:paraId="45213028">
            <w:pPr>
              <w:spacing w:line="360" w:lineRule="auto"/>
              <w:jc w:val="center"/>
              <w:rPr>
                <w:rFonts w:hint="eastAsia" w:ascii="宋体" w:hAnsi="宋体" w:cs="宋体"/>
                <w:color w:val="auto"/>
                <w:spacing w:val="1"/>
                <w:kern w:val="0"/>
                <w:szCs w:val="21"/>
              </w:rPr>
            </w:pPr>
          </w:p>
          <w:p w14:paraId="6B7AFD1C">
            <w:pPr>
              <w:spacing w:line="360" w:lineRule="auto"/>
              <w:jc w:val="center"/>
              <w:rPr>
                <w:rFonts w:hint="eastAsia" w:ascii="宋体" w:hAnsi="宋体" w:cs="宋体"/>
                <w:color w:val="auto"/>
                <w:spacing w:val="1"/>
                <w:kern w:val="0"/>
                <w:szCs w:val="21"/>
              </w:rPr>
            </w:pPr>
            <w:r>
              <w:rPr>
                <w:rFonts w:hint="eastAsia" w:ascii="宋体" w:hAnsi="宋体" w:cs="宋体"/>
                <w:color w:val="auto"/>
                <w:spacing w:val="1"/>
                <w:kern w:val="0"/>
                <w:szCs w:val="21"/>
              </w:rPr>
              <w:t>施工组织方案内容</w:t>
            </w:r>
          </w:p>
          <w:p w14:paraId="45A6261D">
            <w:pPr>
              <w:spacing w:line="360" w:lineRule="auto"/>
              <w:jc w:val="center"/>
              <w:rPr>
                <w:rFonts w:hint="eastAsia" w:ascii="宋体" w:hAnsi="宋体" w:cs="宋体"/>
                <w:color w:val="auto"/>
                <w:spacing w:val="1"/>
                <w:kern w:val="0"/>
                <w:szCs w:val="21"/>
              </w:rPr>
            </w:pPr>
            <w:r>
              <w:rPr>
                <w:rFonts w:hint="eastAsia" w:ascii="宋体" w:hAnsi="宋体" w:cs="宋体"/>
                <w:color w:val="auto"/>
                <w:spacing w:val="1"/>
                <w:kern w:val="0"/>
                <w:szCs w:val="21"/>
              </w:rPr>
              <w:t>（</w:t>
            </w:r>
            <w:r>
              <w:rPr>
                <w:rFonts w:hint="eastAsia" w:ascii="宋体" w:hAnsi="宋体" w:cs="宋体"/>
                <w:color w:val="auto"/>
                <w:spacing w:val="1"/>
                <w:kern w:val="0"/>
                <w:szCs w:val="21"/>
                <w:lang w:val="en-US" w:eastAsia="zh-CN"/>
              </w:rPr>
              <w:t>49</w:t>
            </w:r>
            <w:r>
              <w:rPr>
                <w:rFonts w:hint="eastAsia" w:ascii="宋体" w:hAnsi="宋体" w:cs="宋体"/>
                <w:color w:val="auto"/>
                <w:spacing w:val="1"/>
                <w:kern w:val="0"/>
                <w:szCs w:val="21"/>
              </w:rPr>
              <w:t>分）</w:t>
            </w:r>
          </w:p>
          <w:p w14:paraId="37ADDC7E">
            <w:pPr>
              <w:spacing w:line="360" w:lineRule="auto"/>
              <w:jc w:val="center"/>
              <w:rPr>
                <w:rFonts w:hint="eastAsia" w:ascii="宋体" w:hAnsi="宋体" w:cs="宋体"/>
                <w:color w:val="auto"/>
                <w:spacing w:val="1"/>
                <w:kern w:val="0"/>
                <w:szCs w:val="21"/>
              </w:rPr>
            </w:pPr>
          </w:p>
          <w:p w14:paraId="1EEEEFD5">
            <w:pPr>
              <w:spacing w:line="360" w:lineRule="auto"/>
              <w:jc w:val="center"/>
              <w:rPr>
                <w:rFonts w:hint="eastAsia" w:ascii="宋体" w:hAnsi="宋体" w:cs="宋体"/>
                <w:color w:val="auto"/>
                <w:spacing w:val="1"/>
                <w:kern w:val="0"/>
                <w:szCs w:val="21"/>
              </w:rPr>
            </w:pPr>
          </w:p>
          <w:p w14:paraId="55C04D9F">
            <w:pPr>
              <w:spacing w:line="360" w:lineRule="auto"/>
              <w:jc w:val="center"/>
              <w:rPr>
                <w:rFonts w:hint="eastAsia" w:ascii="宋体" w:hAnsi="宋体" w:cs="宋体"/>
                <w:color w:val="auto"/>
                <w:spacing w:val="1"/>
                <w:kern w:val="0"/>
                <w:szCs w:val="21"/>
              </w:rPr>
            </w:pPr>
          </w:p>
          <w:p w14:paraId="75DCE5A0">
            <w:pPr>
              <w:spacing w:line="360" w:lineRule="auto"/>
              <w:jc w:val="center"/>
              <w:rPr>
                <w:rFonts w:hint="eastAsia" w:ascii="宋体" w:hAnsi="宋体" w:cs="宋体"/>
                <w:color w:val="auto"/>
                <w:spacing w:val="1"/>
                <w:kern w:val="0"/>
                <w:szCs w:val="21"/>
              </w:rPr>
            </w:pPr>
          </w:p>
          <w:p w14:paraId="47A0E098">
            <w:pPr>
              <w:spacing w:line="360" w:lineRule="auto"/>
              <w:jc w:val="center"/>
              <w:rPr>
                <w:rFonts w:ascii="宋体" w:hAnsi="宋体"/>
                <w:color w:val="auto"/>
                <w:szCs w:val="21"/>
              </w:rPr>
            </w:pPr>
          </w:p>
        </w:tc>
        <w:tc>
          <w:tcPr>
            <w:tcW w:w="5286" w:type="dxa"/>
            <w:noWrap w:val="0"/>
            <w:vAlign w:val="center"/>
          </w:tcPr>
          <w:p w14:paraId="5B9DD7CD">
            <w:pPr>
              <w:autoSpaceDE w:val="0"/>
              <w:autoSpaceDN w:val="0"/>
              <w:adjustRightInd w:val="0"/>
              <w:snapToGrid w:val="0"/>
              <w:spacing w:line="360" w:lineRule="exact"/>
              <w:ind w:left="44" w:leftChars="20" w:right="44" w:rightChars="20"/>
              <w:jc w:val="left"/>
              <w:rPr>
                <w:rFonts w:hint="eastAsia"/>
                <w:color w:val="auto"/>
                <w:kern w:val="2"/>
                <w:sz w:val="21"/>
                <w:szCs w:val="24"/>
                <w:lang w:val="en-US" w:eastAsia="zh-CN" w:bidi="ar-SA"/>
              </w:rPr>
            </w:pPr>
            <w:r>
              <w:rPr>
                <w:rFonts w:hint="eastAsia" w:ascii="宋体" w:hAnsi="宋体" w:cs="宋体"/>
                <w:color w:val="auto"/>
                <w:spacing w:val="1"/>
                <w:kern w:val="0"/>
                <w:szCs w:val="21"/>
              </w:rPr>
              <w:t>主要施工办法</w:t>
            </w:r>
          </w:p>
        </w:tc>
        <w:tc>
          <w:tcPr>
            <w:tcW w:w="1003" w:type="dxa"/>
            <w:noWrap w:val="0"/>
            <w:vAlign w:val="center"/>
          </w:tcPr>
          <w:p w14:paraId="7678CF4C">
            <w:pPr>
              <w:autoSpaceDE w:val="0"/>
              <w:autoSpaceDN w:val="0"/>
              <w:adjustRightInd w:val="0"/>
              <w:snapToGrid w:val="0"/>
              <w:spacing w:line="360" w:lineRule="exact"/>
              <w:ind w:left="44" w:leftChars="20" w:right="44" w:rightChars="20"/>
              <w:jc w:val="center"/>
              <w:rPr>
                <w:rFonts w:hint="eastAsia"/>
                <w:color w:val="auto"/>
                <w:kern w:val="2"/>
                <w:sz w:val="21"/>
                <w:szCs w:val="24"/>
                <w:lang w:val="en-US" w:eastAsia="zh-CN" w:bidi="ar-SA"/>
              </w:rPr>
            </w:pPr>
            <w:r>
              <w:rPr>
                <w:rFonts w:hint="eastAsia" w:ascii="宋体" w:hAnsi="宋体" w:cs="宋体"/>
                <w:color w:val="auto"/>
                <w:spacing w:val="1"/>
                <w:kern w:val="0"/>
                <w:szCs w:val="21"/>
                <w:lang w:val="en-US" w:eastAsia="zh-CN"/>
              </w:rPr>
              <w:t>6</w:t>
            </w:r>
            <w:r>
              <w:rPr>
                <w:rFonts w:hint="eastAsia" w:ascii="宋体" w:hAnsi="宋体" w:cs="宋体"/>
                <w:color w:val="auto"/>
                <w:spacing w:val="1"/>
                <w:kern w:val="0"/>
                <w:szCs w:val="21"/>
              </w:rPr>
              <w:t>分</w:t>
            </w:r>
          </w:p>
        </w:tc>
      </w:tr>
      <w:tr w14:paraId="63704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340" w:hRule="atLeast"/>
          <w:jc w:val="center"/>
        </w:trPr>
        <w:tc>
          <w:tcPr>
            <w:tcW w:w="889" w:type="dxa"/>
            <w:gridSpan w:val="2"/>
            <w:vMerge w:val="continue"/>
            <w:noWrap w:val="0"/>
            <w:vAlign w:val="center"/>
          </w:tcPr>
          <w:p w14:paraId="5E90730E">
            <w:pPr>
              <w:spacing w:line="400" w:lineRule="exact"/>
              <w:jc w:val="left"/>
              <w:rPr>
                <w:rFonts w:ascii="宋体" w:hAnsi="宋体" w:cs="宋体"/>
                <w:color w:val="auto"/>
                <w:szCs w:val="21"/>
              </w:rPr>
            </w:pPr>
          </w:p>
        </w:tc>
        <w:tc>
          <w:tcPr>
            <w:tcW w:w="1167" w:type="dxa"/>
            <w:vMerge w:val="continue"/>
            <w:noWrap w:val="0"/>
            <w:vAlign w:val="center"/>
          </w:tcPr>
          <w:p w14:paraId="61696C3E">
            <w:pPr>
              <w:spacing w:line="400" w:lineRule="exact"/>
              <w:jc w:val="left"/>
              <w:rPr>
                <w:rFonts w:ascii="宋体" w:hAnsi="宋体" w:cs="宋体"/>
                <w:color w:val="auto"/>
                <w:szCs w:val="21"/>
              </w:rPr>
            </w:pPr>
          </w:p>
        </w:tc>
        <w:tc>
          <w:tcPr>
            <w:tcW w:w="1869" w:type="dxa"/>
            <w:vMerge w:val="continue"/>
            <w:noWrap w:val="0"/>
            <w:vAlign w:val="center"/>
          </w:tcPr>
          <w:p w14:paraId="243487CF">
            <w:pPr>
              <w:spacing w:line="360" w:lineRule="auto"/>
              <w:rPr>
                <w:rFonts w:ascii="宋体" w:hAnsi="宋体"/>
                <w:color w:val="auto"/>
                <w:szCs w:val="21"/>
              </w:rPr>
            </w:pPr>
          </w:p>
        </w:tc>
        <w:tc>
          <w:tcPr>
            <w:tcW w:w="5286" w:type="dxa"/>
            <w:noWrap w:val="0"/>
            <w:vAlign w:val="center"/>
          </w:tcPr>
          <w:p w14:paraId="6BDD3AE8">
            <w:pPr>
              <w:autoSpaceDE w:val="0"/>
              <w:autoSpaceDN w:val="0"/>
              <w:adjustRightInd w:val="0"/>
              <w:snapToGrid w:val="0"/>
              <w:spacing w:line="360" w:lineRule="exact"/>
              <w:ind w:left="44" w:leftChars="20" w:right="44" w:rightChars="20"/>
              <w:jc w:val="left"/>
              <w:rPr>
                <w:rFonts w:hint="eastAsia"/>
                <w:color w:val="auto"/>
                <w:kern w:val="2"/>
                <w:sz w:val="21"/>
                <w:szCs w:val="24"/>
                <w:lang w:val="en-US" w:eastAsia="zh-CN" w:bidi="ar-SA"/>
              </w:rPr>
            </w:pPr>
            <w:r>
              <w:rPr>
                <w:rFonts w:hint="eastAsia" w:ascii="宋体" w:hAnsi="宋体" w:cs="宋体"/>
                <w:color w:val="auto"/>
                <w:spacing w:val="1"/>
                <w:kern w:val="0"/>
                <w:szCs w:val="21"/>
              </w:rPr>
              <w:t>劳动力和材料投入计划及其保证措施</w:t>
            </w:r>
          </w:p>
        </w:tc>
        <w:tc>
          <w:tcPr>
            <w:tcW w:w="1003" w:type="dxa"/>
            <w:noWrap w:val="0"/>
            <w:vAlign w:val="center"/>
          </w:tcPr>
          <w:p w14:paraId="7BBAE681">
            <w:pPr>
              <w:autoSpaceDE w:val="0"/>
              <w:autoSpaceDN w:val="0"/>
              <w:adjustRightInd w:val="0"/>
              <w:snapToGrid w:val="0"/>
              <w:spacing w:line="360" w:lineRule="exact"/>
              <w:ind w:left="44" w:leftChars="20" w:right="44" w:rightChars="20"/>
              <w:jc w:val="center"/>
              <w:rPr>
                <w:rFonts w:hint="eastAsia"/>
                <w:color w:val="auto"/>
                <w:kern w:val="2"/>
                <w:sz w:val="21"/>
                <w:szCs w:val="24"/>
                <w:lang w:val="en-US" w:eastAsia="zh-CN" w:bidi="ar-SA"/>
              </w:rPr>
            </w:pPr>
            <w:r>
              <w:rPr>
                <w:rFonts w:hint="eastAsia" w:ascii="宋体" w:hAnsi="宋体" w:cs="宋体"/>
                <w:color w:val="auto"/>
                <w:spacing w:val="1"/>
                <w:kern w:val="0"/>
                <w:szCs w:val="21"/>
                <w:lang w:val="en-US" w:eastAsia="zh-CN"/>
              </w:rPr>
              <w:t>6</w:t>
            </w:r>
            <w:r>
              <w:rPr>
                <w:rFonts w:hint="eastAsia" w:ascii="宋体" w:hAnsi="宋体" w:cs="宋体"/>
                <w:color w:val="auto"/>
                <w:spacing w:val="1"/>
                <w:kern w:val="0"/>
                <w:szCs w:val="21"/>
              </w:rPr>
              <w:t>分</w:t>
            </w:r>
          </w:p>
        </w:tc>
      </w:tr>
      <w:tr w14:paraId="6267B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721" w:hRule="atLeast"/>
          <w:jc w:val="center"/>
        </w:trPr>
        <w:tc>
          <w:tcPr>
            <w:tcW w:w="889" w:type="dxa"/>
            <w:gridSpan w:val="2"/>
            <w:vMerge w:val="continue"/>
            <w:noWrap w:val="0"/>
            <w:vAlign w:val="center"/>
          </w:tcPr>
          <w:p w14:paraId="2E41FA37">
            <w:pPr>
              <w:spacing w:line="400" w:lineRule="exact"/>
              <w:jc w:val="left"/>
              <w:rPr>
                <w:rFonts w:ascii="宋体" w:hAnsi="宋体" w:cs="宋体"/>
                <w:color w:val="auto"/>
                <w:szCs w:val="21"/>
              </w:rPr>
            </w:pPr>
          </w:p>
        </w:tc>
        <w:tc>
          <w:tcPr>
            <w:tcW w:w="1167" w:type="dxa"/>
            <w:vMerge w:val="continue"/>
            <w:noWrap w:val="0"/>
            <w:vAlign w:val="center"/>
          </w:tcPr>
          <w:p w14:paraId="5AC1D199">
            <w:pPr>
              <w:spacing w:line="400" w:lineRule="exact"/>
              <w:jc w:val="left"/>
              <w:rPr>
                <w:rFonts w:ascii="宋体" w:hAnsi="宋体" w:cs="宋体"/>
                <w:color w:val="auto"/>
                <w:szCs w:val="21"/>
              </w:rPr>
            </w:pPr>
          </w:p>
        </w:tc>
        <w:tc>
          <w:tcPr>
            <w:tcW w:w="1869" w:type="dxa"/>
            <w:vMerge w:val="continue"/>
            <w:noWrap w:val="0"/>
            <w:vAlign w:val="center"/>
          </w:tcPr>
          <w:p w14:paraId="0C9EA6E2">
            <w:pPr>
              <w:spacing w:line="360" w:lineRule="auto"/>
              <w:rPr>
                <w:rFonts w:ascii="宋体" w:hAnsi="宋体"/>
                <w:color w:val="auto"/>
                <w:szCs w:val="21"/>
              </w:rPr>
            </w:pPr>
          </w:p>
        </w:tc>
        <w:tc>
          <w:tcPr>
            <w:tcW w:w="5286" w:type="dxa"/>
            <w:noWrap w:val="0"/>
            <w:vAlign w:val="center"/>
          </w:tcPr>
          <w:p w14:paraId="7686B6A9">
            <w:pPr>
              <w:autoSpaceDE w:val="0"/>
              <w:autoSpaceDN w:val="0"/>
              <w:adjustRightInd w:val="0"/>
              <w:snapToGrid w:val="0"/>
              <w:spacing w:line="360" w:lineRule="exact"/>
              <w:ind w:left="44" w:leftChars="20" w:right="44" w:rightChars="20"/>
              <w:jc w:val="left"/>
              <w:rPr>
                <w:rFonts w:hint="eastAsia"/>
                <w:color w:val="auto"/>
                <w:kern w:val="2"/>
                <w:sz w:val="21"/>
                <w:szCs w:val="24"/>
                <w:lang w:val="en-US" w:eastAsia="zh-CN" w:bidi="ar-SA"/>
              </w:rPr>
            </w:pPr>
            <w:r>
              <w:rPr>
                <w:rFonts w:hint="eastAsia" w:ascii="宋体" w:hAnsi="宋体" w:cs="宋体"/>
                <w:color w:val="auto"/>
                <w:spacing w:val="1"/>
                <w:kern w:val="0"/>
                <w:szCs w:val="21"/>
              </w:rPr>
              <w:t>工程投入的施工机械设备情况、主要施工机械进场计划</w:t>
            </w:r>
          </w:p>
        </w:tc>
        <w:tc>
          <w:tcPr>
            <w:tcW w:w="1003" w:type="dxa"/>
            <w:noWrap w:val="0"/>
            <w:vAlign w:val="center"/>
          </w:tcPr>
          <w:p w14:paraId="59EEAFC9">
            <w:pPr>
              <w:autoSpaceDE w:val="0"/>
              <w:autoSpaceDN w:val="0"/>
              <w:adjustRightInd w:val="0"/>
              <w:snapToGrid w:val="0"/>
              <w:spacing w:line="360" w:lineRule="exact"/>
              <w:ind w:left="44" w:leftChars="20" w:right="44" w:rightChars="20"/>
              <w:jc w:val="center"/>
              <w:rPr>
                <w:rFonts w:hint="eastAsia"/>
                <w:color w:val="auto"/>
                <w:kern w:val="2"/>
                <w:sz w:val="21"/>
                <w:szCs w:val="24"/>
                <w:lang w:val="en-US" w:eastAsia="zh-CN" w:bidi="ar-SA"/>
              </w:rPr>
            </w:pPr>
            <w:r>
              <w:rPr>
                <w:rFonts w:hint="eastAsia" w:ascii="宋体" w:hAnsi="宋体" w:cs="宋体"/>
                <w:color w:val="auto"/>
                <w:spacing w:val="1"/>
                <w:kern w:val="0"/>
                <w:szCs w:val="21"/>
                <w:lang w:val="en-US" w:eastAsia="zh-CN"/>
              </w:rPr>
              <w:t>6</w:t>
            </w:r>
            <w:r>
              <w:rPr>
                <w:rFonts w:hint="eastAsia" w:ascii="宋体" w:hAnsi="宋体" w:cs="宋体"/>
                <w:color w:val="auto"/>
                <w:spacing w:val="1"/>
                <w:kern w:val="0"/>
                <w:szCs w:val="21"/>
              </w:rPr>
              <w:t>分</w:t>
            </w:r>
          </w:p>
        </w:tc>
      </w:tr>
      <w:tr w14:paraId="385AE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406" w:hRule="atLeast"/>
          <w:jc w:val="center"/>
        </w:trPr>
        <w:tc>
          <w:tcPr>
            <w:tcW w:w="889" w:type="dxa"/>
            <w:gridSpan w:val="2"/>
            <w:vMerge w:val="continue"/>
            <w:noWrap w:val="0"/>
            <w:vAlign w:val="center"/>
          </w:tcPr>
          <w:p w14:paraId="0B5C88C3">
            <w:pPr>
              <w:spacing w:line="400" w:lineRule="exact"/>
              <w:jc w:val="left"/>
              <w:rPr>
                <w:rFonts w:ascii="宋体" w:hAnsi="宋体" w:cs="宋体"/>
                <w:color w:val="auto"/>
                <w:szCs w:val="21"/>
              </w:rPr>
            </w:pPr>
          </w:p>
        </w:tc>
        <w:tc>
          <w:tcPr>
            <w:tcW w:w="1167" w:type="dxa"/>
            <w:vMerge w:val="continue"/>
            <w:noWrap w:val="0"/>
            <w:vAlign w:val="center"/>
          </w:tcPr>
          <w:p w14:paraId="6E582CA5">
            <w:pPr>
              <w:spacing w:line="400" w:lineRule="exact"/>
              <w:jc w:val="left"/>
              <w:rPr>
                <w:rFonts w:ascii="宋体" w:hAnsi="宋体" w:cs="宋体"/>
                <w:color w:val="auto"/>
                <w:szCs w:val="21"/>
              </w:rPr>
            </w:pPr>
          </w:p>
        </w:tc>
        <w:tc>
          <w:tcPr>
            <w:tcW w:w="1869" w:type="dxa"/>
            <w:vMerge w:val="continue"/>
            <w:noWrap w:val="0"/>
            <w:vAlign w:val="center"/>
          </w:tcPr>
          <w:p w14:paraId="4605C589">
            <w:pPr>
              <w:spacing w:line="360" w:lineRule="auto"/>
              <w:rPr>
                <w:rFonts w:ascii="宋体" w:hAnsi="宋体"/>
                <w:color w:val="auto"/>
                <w:szCs w:val="21"/>
              </w:rPr>
            </w:pPr>
          </w:p>
        </w:tc>
        <w:tc>
          <w:tcPr>
            <w:tcW w:w="5286" w:type="dxa"/>
            <w:noWrap w:val="0"/>
            <w:vAlign w:val="center"/>
          </w:tcPr>
          <w:p w14:paraId="32C249A9">
            <w:pPr>
              <w:autoSpaceDE w:val="0"/>
              <w:autoSpaceDN w:val="0"/>
              <w:adjustRightInd w:val="0"/>
              <w:snapToGrid w:val="0"/>
              <w:spacing w:line="360" w:lineRule="exact"/>
              <w:ind w:left="44" w:leftChars="20" w:right="44" w:rightChars="20"/>
              <w:jc w:val="left"/>
              <w:rPr>
                <w:rFonts w:hint="eastAsia"/>
                <w:color w:val="auto"/>
                <w:kern w:val="2"/>
                <w:sz w:val="21"/>
                <w:szCs w:val="24"/>
                <w:lang w:val="en-US" w:eastAsia="zh-CN" w:bidi="ar-SA"/>
              </w:rPr>
            </w:pPr>
            <w:r>
              <w:rPr>
                <w:rFonts w:hint="eastAsia" w:ascii="宋体" w:hAnsi="宋体" w:cs="宋体"/>
                <w:color w:val="auto"/>
                <w:spacing w:val="1"/>
                <w:kern w:val="0"/>
                <w:szCs w:val="21"/>
              </w:rPr>
              <w:t>质量保证措施</w:t>
            </w:r>
          </w:p>
        </w:tc>
        <w:tc>
          <w:tcPr>
            <w:tcW w:w="1003" w:type="dxa"/>
            <w:noWrap w:val="0"/>
            <w:vAlign w:val="center"/>
          </w:tcPr>
          <w:p w14:paraId="05F4F14D">
            <w:pPr>
              <w:autoSpaceDE w:val="0"/>
              <w:autoSpaceDN w:val="0"/>
              <w:adjustRightInd w:val="0"/>
              <w:snapToGrid w:val="0"/>
              <w:spacing w:line="360" w:lineRule="exact"/>
              <w:ind w:left="44" w:leftChars="20" w:right="44" w:rightChars="20"/>
              <w:jc w:val="center"/>
              <w:rPr>
                <w:rFonts w:hint="eastAsia"/>
                <w:color w:val="auto"/>
                <w:kern w:val="2"/>
                <w:sz w:val="21"/>
                <w:szCs w:val="24"/>
                <w:lang w:val="en-US" w:eastAsia="zh-CN" w:bidi="ar-SA"/>
              </w:rPr>
            </w:pPr>
            <w:r>
              <w:rPr>
                <w:rFonts w:hint="eastAsia" w:ascii="宋体" w:hAnsi="宋体" w:cs="宋体"/>
                <w:color w:val="auto"/>
                <w:spacing w:val="1"/>
                <w:kern w:val="0"/>
                <w:szCs w:val="21"/>
                <w:lang w:val="en-US" w:eastAsia="zh-CN"/>
              </w:rPr>
              <w:t>6</w:t>
            </w:r>
            <w:r>
              <w:rPr>
                <w:rFonts w:hint="eastAsia" w:ascii="宋体" w:hAnsi="宋体" w:cs="宋体"/>
                <w:color w:val="auto"/>
                <w:spacing w:val="1"/>
                <w:kern w:val="0"/>
                <w:szCs w:val="21"/>
              </w:rPr>
              <w:t>分</w:t>
            </w:r>
          </w:p>
        </w:tc>
      </w:tr>
      <w:tr w14:paraId="1FD88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391" w:hRule="atLeast"/>
          <w:jc w:val="center"/>
        </w:trPr>
        <w:tc>
          <w:tcPr>
            <w:tcW w:w="889" w:type="dxa"/>
            <w:gridSpan w:val="2"/>
            <w:vMerge w:val="continue"/>
            <w:noWrap w:val="0"/>
            <w:vAlign w:val="center"/>
          </w:tcPr>
          <w:p w14:paraId="3C830BAD">
            <w:pPr>
              <w:spacing w:line="400" w:lineRule="exact"/>
              <w:jc w:val="left"/>
              <w:rPr>
                <w:rFonts w:ascii="宋体" w:hAnsi="宋体" w:cs="宋体"/>
                <w:color w:val="auto"/>
                <w:szCs w:val="21"/>
              </w:rPr>
            </w:pPr>
          </w:p>
        </w:tc>
        <w:tc>
          <w:tcPr>
            <w:tcW w:w="1167" w:type="dxa"/>
            <w:vMerge w:val="continue"/>
            <w:noWrap w:val="0"/>
            <w:vAlign w:val="center"/>
          </w:tcPr>
          <w:p w14:paraId="76013B39">
            <w:pPr>
              <w:spacing w:line="400" w:lineRule="exact"/>
              <w:jc w:val="left"/>
              <w:rPr>
                <w:rFonts w:ascii="宋体" w:hAnsi="宋体" w:cs="宋体"/>
                <w:color w:val="auto"/>
                <w:szCs w:val="21"/>
              </w:rPr>
            </w:pPr>
          </w:p>
        </w:tc>
        <w:tc>
          <w:tcPr>
            <w:tcW w:w="1869" w:type="dxa"/>
            <w:vMerge w:val="continue"/>
            <w:noWrap w:val="0"/>
            <w:vAlign w:val="center"/>
          </w:tcPr>
          <w:p w14:paraId="4696D1EF">
            <w:pPr>
              <w:spacing w:line="360" w:lineRule="auto"/>
              <w:rPr>
                <w:rFonts w:ascii="宋体" w:hAnsi="宋体"/>
                <w:color w:val="auto"/>
                <w:szCs w:val="21"/>
              </w:rPr>
            </w:pPr>
          </w:p>
        </w:tc>
        <w:tc>
          <w:tcPr>
            <w:tcW w:w="5286" w:type="dxa"/>
            <w:noWrap w:val="0"/>
            <w:vAlign w:val="center"/>
          </w:tcPr>
          <w:p w14:paraId="433111FE">
            <w:pPr>
              <w:autoSpaceDE w:val="0"/>
              <w:autoSpaceDN w:val="0"/>
              <w:adjustRightInd w:val="0"/>
              <w:snapToGrid w:val="0"/>
              <w:spacing w:line="360" w:lineRule="exact"/>
              <w:ind w:left="44" w:leftChars="20" w:right="44" w:rightChars="20"/>
              <w:jc w:val="left"/>
              <w:rPr>
                <w:rFonts w:hint="eastAsia"/>
                <w:color w:val="auto"/>
                <w:kern w:val="2"/>
                <w:sz w:val="21"/>
                <w:szCs w:val="24"/>
                <w:lang w:val="en-US" w:eastAsia="zh-CN" w:bidi="ar-SA"/>
              </w:rPr>
            </w:pPr>
            <w:r>
              <w:rPr>
                <w:rFonts w:hint="eastAsia" w:ascii="宋体" w:hAnsi="宋体" w:cs="宋体"/>
                <w:color w:val="auto"/>
                <w:spacing w:val="1"/>
                <w:kern w:val="0"/>
                <w:szCs w:val="21"/>
              </w:rPr>
              <w:t>安全文明施工的技术组织措施</w:t>
            </w:r>
          </w:p>
        </w:tc>
        <w:tc>
          <w:tcPr>
            <w:tcW w:w="1003" w:type="dxa"/>
            <w:noWrap w:val="0"/>
            <w:vAlign w:val="center"/>
          </w:tcPr>
          <w:p w14:paraId="2E92CBCC">
            <w:pPr>
              <w:autoSpaceDE w:val="0"/>
              <w:autoSpaceDN w:val="0"/>
              <w:adjustRightInd w:val="0"/>
              <w:snapToGrid w:val="0"/>
              <w:spacing w:line="360" w:lineRule="exact"/>
              <w:ind w:left="44" w:leftChars="20" w:right="44" w:rightChars="20"/>
              <w:jc w:val="center"/>
              <w:rPr>
                <w:rFonts w:hint="eastAsia"/>
                <w:color w:val="auto"/>
                <w:kern w:val="2"/>
                <w:sz w:val="21"/>
                <w:szCs w:val="24"/>
                <w:lang w:val="en-US" w:eastAsia="zh-CN" w:bidi="ar-SA"/>
              </w:rPr>
            </w:pPr>
            <w:r>
              <w:rPr>
                <w:rFonts w:hint="eastAsia" w:ascii="宋体" w:hAnsi="宋体" w:cs="宋体"/>
                <w:color w:val="auto"/>
                <w:spacing w:val="1"/>
                <w:kern w:val="0"/>
                <w:szCs w:val="21"/>
                <w:lang w:val="en-US" w:eastAsia="zh-CN"/>
              </w:rPr>
              <w:t>5</w:t>
            </w:r>
            <w:r>
              <w:rPr>
                <w:rFonts w:hint="eastAsia" w:ascii="宋体" w:hAnsi="宋体" w:cs="宋体"/>
                <w:color w:val="auto"/>
                <w:spacing w:val="1"/>
                <w:kern w:val="0"/>
                <w:szCs w:val="21"/>
              </w:rPr>
              <w:t>分</w:t>
            </w:r>
          </w:p>
        </w:tc>
      </w:tr>
      <w:tr w14:paraId="3A00E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495" w:hRule="atLeast"/>
          <w:jc w:val="center"/>
        </w:trPr>
        <w:tc>
          <w:tcPr>
            <w:tcW w:w="889" w:type="dxa"/>
            <w:gridSpan w:val="2"/>
            <w:vMerge w:val="continue"/>
            <w:noWrap w:val="0"/>
            <w:vAlign w:val="center"/>
          </w:tcPr>
          <w:p w14:paraId="354E46B8">
            <w:pPr>
              <w:spacing w:line="400" w:lineRule="exact"/>
              <w:jc w:val="left"/>
              <w:rPr>
                <w:rFonts w:ascii="宋体" w:hAnsi="宋体" w:cs="宋体"/>
                <w:color w:val="auto"/>
                <w:szCs w:val="21"/>
              </w:rPr>
            </w:pPr>
          </w:p>
        </w:tc>
        <w:tc>
          <w:tcPr>
            <w:tcW w:w="1167" w:type="dxa"/>
            <w:vMerge w:val="continue"/>
            <w:noWrap w:val="0"/>
            <w:vAlign w:val="center"/>
          </w:tcPr>
          <w:p w14:paraId="6754A0AE">
            <w:pPr>
              <w:spacing w:line="400" w:lineRule="exact"/>
              <w:jc w:val="left"/>
              <w:rPr>
                <w:rFonts w:ascii="宋体" w:hAnsi="宋体" w:cs="宋体"/>
                <w:color w:val="auto"/>
                <w:szCs w:val="21"/>
              </w:rPr>
            </w:pPr>
          </w:p>
        </w:tc>
        <w:tc>
          <w:tcPr>
            <w:tcW w:w="1869" w:type="dxa"/>
            <w:vMerge w:val="continue"/>
            <w:noWrap w:val="0"/>
            <w:vAlign w:val="center"/>
          </w:tcPr>
          <w:p w14:paraId="6FFAD044">
            <w:pPr>
              <w:spacing w:line="360" w:lineRule="auto"/>
              <w:rPr>
                <w:rFonts w:ascii="宋体" w:hAnsi="宋体"/>
                <w:color w:val="auto"/>
                <w:szCs w:val="21"/>
              </w:rPr>
            </w:pPr>
          </w:p>
        </w:tc>
        <w:tc>
          <w:tcPr>
            <w:tcW w:w="5286" w:type="dxa"/>
            <w:noWrap w:val="0"/>
            <w:vAlign w:val="center"/>
          </w:tcPr>
          <w:p w14:paraId="499CE0F9">
            <w:pPr>
              <w:autoSpaceDE w:val="0"/>
              <w:autoSpaceDN w:val="0"/>
              <w:adjustRightInd w:val="0"/>
              <w:snapToGrid w:val="0"/>
              <w:spacing w:line="360" w:lineRule="exact"/>
              <w:ind w:left="44" w:leftChars="20" w:right="44" w:rightChars="20"/>
              <w:jc w:val="left"/>
              <w:rPr>
                <w:rFonts w:hint="eastAsia"/>
                <w:color w:val="auto"/>
                <w:kern w:val="2"/>
                <w:sz w:val="21"/>
                <w:szCs w:val="24"/>
                <w:lang w:val="en-US" w:eastAsia="zh-CN" w:bidi="ar-SA"/>
              </w:rPr>
            </w:pPr>
            <w:r>
              <w:rPr>
                <w:rFonts w:hint="eastAsia" w:ascii="宋体" w:hAnsi="宋体" w:cs="宋体"/>
                <w:color w:val="auto"/>
                <w:spacing w:val="1"/>
                <w:kern w:val="0"/>
                <w:szCs w:val="21"/>
              </w:rPr>
              <w:t>工期保证措施</w:t>
            </w:r>
          </w:p>
        </w:tc>
        <w:tc>
          <w:tcPr>
            <w:tcW w:w="1003" w:type="dxa"/>
            <w:noWrap w:val="0"/>
            <w:vAlign w:val="center"/>
          </w:tcPr>
          <w:p w14:paraId="7759C2B9">
            <w:pPr>
              <w:autoSpaceDE w:val="0"/>
              <w:autoSpaceDN w:val="0"/>
              <w:adjustRightInd w:val="0"/>
              <w:snapToGrid w:val="0"/>
              <w:spacing w:line="360" w:lineRule="exact"/>
              <w:ind w:left="44" w:leftChars="20" w:right="44" w:rightChars="20"/>
              <w:jc w:val="center"/>
              <w:rPr>
                <w:rFonts w:hint="eastAsia"/>
                <w:color w:val="auto"/>
                <w:kern w:val="2"/>
                <w:sz w:val="21"/>
                <w:szCs w:val="24"/>
                <w:lang w:val="en-US" w:eastAsia="zh-CN" w:bidi="ar-SA"/>
              </w:rPr>
            </w:pPr>
            <w:r>
              <w:rPr>
                <w:rFonts w:hint="eastAsia" w:ascii="宋体" w:hAnsi="宋体" w:cs="宋体"/>
                <w:color w:val="auto"/>
                <w:spacing w:val="1"/>
                <w:kern w:val="0"/>
                <w:szCs w:val="21"/>
                <w:lang w:val="en-US" w:eastAsia="zh-CN"/>
              </w:rPr>
              <w:t>5</w:t>
            </w:r>
            <w:r>
              <w:rPr>
                <w:rFonts w:hint="eastAsia" w:ascii="宋体" w:hAnsi="宋体" w:cs="宋体"/>
                <w:color w:val="auto"/>
                <w:spacing w:val="1"/>
                <w:kern w:val="0"/>
                <w:szCs w:val="21"/>
              </w:rPr>
              <w:t>分</w:t>
            </w:r>
          </w:p>
        </w:tc>
      </w:tr>
      <w:tr w14:paraId="33462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478" w:hRule="atLeast"/>
          <w:jc w:val="center"/>
        </w:trPr>
        <w:tc>
          <w:tcPr>
            <w:tcW w:w="889" w:type="dxa"/>
            <w:gridSpan w:val="2"/>
            <w:vMerge w:val="continue"/>
            <w:noWrap w:val="0"/>
            <w:vAlign w:val="center"/>
          </w:tcPr>
          <w:p w14:paraId="6F3AA6F5">
            <w:pPr>
              <w:spacing w:line="400" w:lineRule="exact"/>
              <w:jc w:val="left"/>
              <w:rPr>
                <w:rFonts w:ascii="宋体" w:hAnsi="宋体" w:cs="宋体"/>
                <w:color w:val="auto"/>
                <w:szCs w:val="21"/>
              </w:rPr>
            </w:pPr>
          </w:p>
        </w:tc>
        <w:tc>
          <w:tcPr>
            <w:tcW w:w="1167" w:type="dxa"/>
            <w:vMerge w:val="continue"/>
            <w:noWrap w:val="0"/>
            <w:vAlign w:val="center"/>
          </w:tcPr>
          <w:p w14:paraId="4543E99D">
            <w:pPr>
              <w:spacing w:line="400" w:lineRule="exact"/>
              <w:jc w:val="left"/>
              <w:rPr>
                <w:rFonts w:ascii="宋体" w:hAnsi="宋体" w:cs="宋体"/>
                <w:color w:val="auto"/>
                <w:szCs w:val="21"/>
              </w:rPr>
            </w:pPr>
          </w:p>
        </w:tc>
        <w:tc>
          <w:tcPr>
            <w:tcW w:w="1869" w:type="dxa"/>
            <w:vMerge w:val="continue"/>
            <w:noWrap w:val="0"/>
            <w:vAlign w:val="center"/>
          </w:tcPr>
          <w:p w14:paraId="2CC8BD07">
            <w:pPr>
              <w:spacing w:line="360" w:lineRule="auto"/>
              <w:rPr>
                <w:rFonts w:ascii="宋体" w:hAnsi="宋体"/>
                <w:color w:val="auto"/>
                <w:szCs w:val="21"/>
              </w:rPr>
            </w:pPr>
          </w:p>
        </w:tc>
        <w:tc>
          <w:tcPr>
            <w:tcW w:w="5286" w:type="dxa"/>
            <w:noWrap w:val="0"/>
            <w:vAlign w:val="center"/>
          </w:tcPr>
          <w:p w14:paraId="6B50F55E">
            <w:pPr>
              <w:autoSpaceDE w:val="0"/>
              <w:autoSpaceDN w:val="0"/>
              <w:adjustRightInd w:val="0"/>
              <w:snapToGrid w:val="0"/>
              <w:spacing w:line="360" w:lineRule="exact"/>
              <w:ind w:left="44" w:leftChars="20" w:right="44" w:rightChars="20"/>
              <w:jc w:val="left"/>
              <w:rPr>
                <w:rFonts w:hint="eastAsia"/>
                <w:color w:val="auto"/>
                <w:kern w:val="2"/>
                <w:sz w:val="21"/>
                <w:szCs w:val="24"/>
                <w:lang w:val="en-US" w:eastAsia="zh-CN" w:bidi="ar-SA"/>
              </w:rPr>
            </w:pPr>
            <w:r>
              <w:rPr>
                <w:rFonts w:hint="eastAsia" w:ascii="宋体" w:hAnsi="宋体" w:cs="宋体"/>
                <w:color w:val="auto"/>
                <w:spacing w:val="1"/>
                <w:kern w:val="0"/>
                <w:szCs w:val="21"/>
              </w:rPr>
              <w:t>关键施工技术、工艺、重点、难点分析和解决方案</w:t>
            </w:r>
          </w:p>
        </w:tc>
        <w:tc>
          <w:tcPr>
            <w:tcW w:w="1003" w:type="dxa"/>
            <w:noWrap w:val="0"/>
            <w:vAlign w:val="center"/>
          </w:tcPr>
          <w:p w14:paraId="615F71A0">
            <w:pPr>
              <w:autoSpaceDE w:val="0"/>
              <w:autoSpaceDN w:val="0"/>
              <w:adjustRightInd w:val="0"/>
              <w:snapToGrid w:val="0"/>
              <w:spacing w:line="360" w:lineRule="exact"/>
              <w:ind w:left="44" w:leftChars="20" w:right="44" w:rightChars="20"/>
              <w:jc w:val="center"/>
              <w:rPr>
                <w:rFonts w:hint="eastAsia"/>
                <w:color w:val="auto"/>
                <w:kern w:val="2"/>
                <w:sz w:val="21"/>
                <w:szCs w:val="24"/>
                <w:lang w:val="en-US" w:eastAsia="zh-CN" w:bidi="ar-SA"/>
              </w:rPr>
            </w:pPr>
            <w:r>
              <w:rPr>
                <w:rFonts w:hint="eastAsia" w:ascii="宋体" w:hAnsi="宋体" w:cs="宋体"/>
                <w:color w:val="auto"/>
                <w:spacing w:val="1"/>
                <w:kern w:val="0"/>
                <w:szCs w:val="21"/>
                <w:lang w:val="en-US" w:eastAsia="zh-CN"/>
              </w:rPr>
              <w:t>5</w:t>
            </w:r>
            <w:r>
              <w:rPr>
                <w:rFonts w:hint="eastAsia" w:ascii="宋体" w:hAnsi="宋体" w:cs="宋体"/>
                <w:color w:val="auto"/>
                <w:spacing w:val="1"/>
                <w:kern w:val="0"/>
                <w:szCs w:val="21"/>
              </w:rPr>
              <w:t>分</w:t>
            </w:r>
          </w:p>
        </w:tc>
      </w:tr>
      <w:tr w14:paraId="47014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496" w:hRule="atLeast"/>
          <w:jc w:val="center"/>
        </w:trPr>
        <w:tc>
          <w:tcPr>
            <w:tcW w:w="889" w:type="dxa"/>
            <w:gridSpan w:val="2"/>
            <w:vMerge w:val="continue"/>
            <w:noWrap w:val="0"/>
            <w:vAlign w:val="center"/>
          </w:tcPr>
          <w:p w14:paraId="5257688F">
            <w:pPr>
              <w:spacing w:line="400" w:lineRule="exact"/>
              <w:jc w:val="left"/>
              <w:rPr>
                <w:rFonts w:ascii="宋体" w:hAnsi="宋体" w:cs="宋体"/>
                <w:color w:val="auto"/>
                <w:szCs w:val="21"/>
              </w:rPr>
            </w:pPr>
          </w:p>
        </w:tc>
        <w:tc>
          <w:tcPr>
            <w:tcW w:w="1167" w:type="dxa"/>
            <w:vMerge w:val="continue"/>
            <w:noWrap w:val="0"/>
            <w:vAlign w:val="center"/>
          </w:tcPr>
          <w:p w14:paraId="197E7809">
            <w:pPr>
              <w:spacing w:line="400" w:lineRule="exact"/>
              <w:jc w:val="left"/>
              <w:rPr>
                <w:rFonts w:ascii="宋体" w:hAnsi="宋体" w:cs="宋体"/>
                <w:color w:val="auto"/>
                <w:szCs w:val="21"/>
              </w:rPr>
            </w:pPr>
          </w:p>
        </w:tc>
        <w:tc>
          <w:tcPr>
            <w:tcW w:w="1869" w:type="dxa"/>
            <w:vMerge w:val="continue"/>
            <w:noWrap w:val="0"/>
            <w:vAlign w:val="center"/>
          </w:tcPr>
          <w:p w14:paraId="77BD5EC1">
            <w:pPr>
              <w:spacing w:line="360" w:lineRule="auto"/>
              <w:rPr>
                <w:rFonts w:hint="eastAsia"/>
                <w:color w:val="auto"/>
                <w:kern w:val="2"/>
                <w:sz w:val="21"/>
                <w:szCs w:val="24"/>
                <w:lang w:val="en-US" w:eastAsia="zh-CN" w:bidi="ar-SA"/>
              </w:rPr>
            </w:pPr>
          </w:p>
        </w:tc>
        <w:tc>
          <w:tcPr>
            <w:tcW w:w="5286" w:type="dxa"/>
            <w:noWrap w:val="0"/>
            <w:vAlign w:val="center"/>
          </w:tcPr>
          <w:p w14:paraId="24C45101">
            <w:pPr>
              <w:autoSpaceDE w:val="0"/>
              <w:autoSpaceDN w:val="0"/>
              <w:adjustRightInd w:val="0"/>
              <w:snapToGrid w:val="0"/>
              <w:spacing w:line="360" w:lineRule="exact"/>
              <w:ind w:left="44" w:leftChars="20" w:right="44" w:rightChars="20"/>
              <w:jc w:val="left"/>
            </w:pPr>
            <w:r>
              <w:rPr>
                <w:rFonts w:hint="eastAsia" w:ascii="宋体" w:hAnsi="宋体" w:cs="宋体"/>
                <w:color w:val="auto"/>
                <w:spacing w:val="1"/>
                <w:kern w:val="0"/>
                <w:szCs w:val="21"/>
              </w:rPr>
              <w:t>施工总进度表或工期网络图</w:t>
            </w:r>
          </w:p>
        </w:tc>
        <w:tc>
          <w:tcPr>
            <w:tcW w:w="1003" w:type="dxa"/>
            <w:noWrap w:val="0"/>
            <w:vAlign w:val="center"/>
          </w:tcPr>
          <w:p w14:paraId="05E17E8F">
            <w:pPr>
              <w:autoSpaceDE w:val="0"/>
              <w:autoSpaceDN w:val="0"/>
              <w:adjustRightInd w:val="0"/>
              <w:snapToGrid w:val="0"/>
              <w:spacing w:line="360" w:lineRule="exact"/>
              <w:ind w:left="44" w:leftChars="20" w:right="44" w:rightChars="20"/>
              <w:jc w:val="center"/>
            </w:pPr>
            <w:r>
              <w:rPr>
                <w:rFonts w:hint="eastAsia" w:ascii="宋体" w:hAnsi="宋体" w:cs="宋体"/>
                <w:color w:val="auto"/>
                <w:spacing w:val="1"/>
                <w:kern w:val="0"/>
                <w:szCs w:val="21"/>
                <w:lang w:val="en-US" w:eastAsia="zh-CN"/>
              </w:rPr>
              <w:t>5</w:t>
            </w:r>
            <w:r>
              <w:rPr>
                <w:rFonts w:hint="eastAsia" w:ascii="宋体" w:hAnsi="宋体" w:cs="宋体"/>
                <w:color w:val="auto"/>
                <w:spacing w:val="1"/>
                <w:kern w:val="0"/>
                <w:szCs w:val="21"/>
              </w:rPr>
              <w:t>分</w:t>
            </w:r>
          </w:p>
        </w:tc>
      </w:tr>
      <w:tr w14:paraId="7157F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495" w:hRule="atLeast"/>
          <w:jc w:val="center"/>
        </w:trPr>
        <w:tc>
          <w:tcPr>
            <w:tcW w:w="889" w:type="dxa"/>
            <w:gridSpan w:val="2"/>
            <w:vMerge w:val="continue"/>
            <w:noWrap w:val="0"/>
            <w:vAlign w:val="center"/>
          </w:tcPr>
          <w:p w14:paraId="1DA28C4F">
            <w:pPr>
              <w:spacing w:line="400" w:lineRule="exact"/>
              <w:jc w:val="left"/>
              <w:rPr>
                <w:rFonts w:ascii="宋体" w:hAnsi="宋体" w:cs="宋体"/>
                <w:color w:val="auto"/>
                <w:szCs w:val="21"/>
              </w:rPr>
            </w:pPr>
          </w:p>
        </w:tc>
        <w:tc>
          <w:tcPr>
            <w:tcW w:w="1167" w:type="dxa"/>
            <w:vMerge w:val="continue"/>
            <w:noWrap w:val="0"/>
            <w:vAlign w:val="center"/>
          </w:tcPr>
          <w:p w14:paraId="1A11BAB0">
            <w:pPr>
              <w:spacing w:line="400" w:lineRule="exact"/>
              <w:jc w:val="left"/>
              <w:rPr>
                <w:rFonts w:ascii="宋体" w:hAnsi="宋体" w:cs="宋体"/>
                <w:color w:val="auto"/>
                <w:szCs w:val="21"/>
              </w:rPr>
            </w:pPr>
          </w:p>
        </w:tc>
        <w:tc>
          <w:tcPr>
            <w:tcW w:w="1869" w:type="dxa"/>
            <w:vMerge w:val="continue"/>
            <w:noWrap w:val="0"/>
            <w:vAlign w:val="center"/>
          </w:tcPr>
          <w:p w14:paraId="63F8373D">
            <w:pPr>
              <w:spacing w:line="360" w:lineRule="auto"/>
              <w:rPr>
                <w:rFonts w:hint="eastAsia"/>
                <w:color w:val="auto"/>
                <w:kern w:val="2"/>
                <w:sz w:val="21"/>
                <w:szCs w:val="24"/>
                <w:lang w:val="en-US" w:eastAsia="zh-CN" w:bidi="ar-SA"/>
              </w:rPr>
            </w:pPr>
          </w:p>
        </w:tc>
        <w:tc>
          <w:tcPr>
            <w:tcW w:w="5286" w:type="dxa"/>
            <w:noWrap w:val="0"/>
            <w:vAlign w:val="center"/>
          </w:tcPr>
          <w:p w14:paraId="050A7D85">
            <w:pPr>
              <w:autoSpaceDE w:val="0"/>
              <w:autoSpaceDN w:val="0"/>
              <w:adjustRightInd w:val="0"/>
              <w:snapToGrid w:val="0"/>
              <w:spacing w:line="360" w:lineRule="exact"/>
              <w:ind w:left="44" w:leftChars="20" w:right="44" w:rightChars="20"/>
              <w:jc w:val="both"/>
              <w:rPr>
                <w:rFonts w:hint="eastAsia" w:ascii="宋体" w:hAnsi="宋体" w:cs="宋体"/>
                <w:color w:val="auto"/>
                <w:spacing w:val="1"/>
                <w:kern w:val="0"/>
                <w:szCs w:val="21"/>
              </w:rPr>
            </w:pPr>
            <w:r>
              <w:rPr>
                <w:rFonts w:hint="eastAsia" w:ascii="宋体" w:hAnsi="宋体" w:cs="宋体"/>
                <w:color w:val="auto"/>
                <w:spacing w:val="1"/>
                <w:kern w:val="0"/>
                <w:szCs w:val="21"/>
              </w:rPr>
              <w:t>紧急情况的处理措施、应急预案及风险控制</w:t>
            </w:r>
          </w:p>
        </w:tc>
        <w:tc>
          <w:tcPr>
            <w:tcW w:w="1003" w:type="dxa"/>
            <w:noWrap w:val="0"/>
            <w:vAlign w:val="center"/>
          </w:tcPr>
          <w:p w14:paraId="06FDB1B3">
            <w:pPr>
              <w:autoSpaceDE w:val="0"/>
              <w:autoSpaceDN w:val="0"/>
              <w:adjustRightInd w:val="0"/>
              <w:snapToGrid w:val="0"/>
              <w:spacing w:line="360" w:lineRule="exact"/>
              <w:ind w:left="44" w:leftChars="20" w:right="44" w:rightChars="20"/>
              <w:jc w:val="center"/>
              <w:rPr>
                <w:rFonts w:hint="eastAsia" w:ascii="宋体" w:hAnsi="宋体" w:cs="宋体"/>
                <w:color w:val="auto"/>
                <w:spacing w:val="1"/>
                <w:kern w:val="0"/>
                <w:szCs w:val="21"/>
                <w:lang w:val="en-US" w:eastAsia="zh-CN"/>
              </w:rPr>
            </w:pPr>
            <w:r>
              <w:rPr>
                <w:rFonts w:hint="eastAsia" w:ascii="宋体" w:hAnsi="宋体" w:cs="宋体"/>
                <w:color w:val="auto"/>
                <w:spacing w:val="1"/>
                <w:kern w:val="0"/>
                <w:szCs w:val="21"/>
                <w:lang w:val="en-US" w:eastAsia="zh-CN"/>
              </w:rPr>
              <w:t>5</w:t>
            </w:r>
            <w:r>
              <w:rPr>
                <w:rFonts w:hint="eastAsia" w:ascii="宋体" w:hAnsi="宋体" w:cs="宋体"/>
                <w:color w:val="auto"/>
                <w:spacing w:val="1"/>
                <w:kern w:val="0"/>
                <w:szCs w:val="21"/>
              </w:rPr>
              <w:t>分</w:t>
            </w:r>
          </w:p>
        </w:tc>
      </w:tr>
      <w:tr w14:paraId="24CA9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575" w:hRule="atLeast"/>
          <w:jc w:val="center"/>
        </w:trPr>
        <w:tc>
          <w:tcPr>
            <w:tcW w:w="889" w:type="dxa"/>
            <w:gridSpan w:val="2"/>
            <w:vMerge w:val="continue"/>
            <w:noWrap w:val="0"/>
            <w:vAlign w:val="center"/>
          </w:tcPr>
          <w:p w14:paraId="5B74BC2E">
            <w:pPr>
              <w:spacing w:line="400" w:lineRule="exact"/>
              <w:jc w:val="left"/>
              <w:rPr>
                <w:rFonts w:ascii="宋体" w:hAnsi="宋体" w:cs="宋体"/>
                <w:color w:val="auto"/>
                <w:szCs w:val="21"/>
              </w:rPr>
            </w:pPr>
          </w:p>
        </w:tc>
        <w:tc>
          <w:tcPr>
            <w:tcW w:w="1167" w:type="dxa"/>
            <w:vMerge w:val="continue"/>
            <w:noWrap w:val="0"/>
            <w:vAlign w:val="center"/>
          </w:tcPr>
          <w:p w14:paraId="0DDA041C">
            <w:pPr>
              <w:spacing w:line="400" w:lineRule="exact"/>
              <w:jc w:val="left"/>
              <w:rPr>
                <w:rFonts w:hint="eastAsia" w:ascii="宋体" w:hAnsi="宋体"/>
                <w:color w:val="auto"/>
                <w:szCs w:val="21"/>
              </w:rPr>
            </w:pPr>
          </w:p>
        </w:tc>
        <w:tc>
          <w:tcPr>
            <w:tcW w:w="8158" w:type="dxa"/>
            <w:gridSpan w:val="3"/>
            <w:noWrap w:val="0"/>
            <w:vAlign w:val="center"/>
          </w:tcPr>
          <w:p w14:paraId="6DB1C1AB">
            <w:pPr>
              <w:autoSpaceDE w:val="0"/>
              <w:autoSpaceDN w:val="0"/>
              <w:adjustRightInd w:val="0"/>
              <w:snapToGrid w:val="0"/>
              <w:spacing w:line="360" w:lineRule="exact"/>
              <w:ind w:left="44" w:leftChars="20" w:right="44" w:rightChars="20"/>
              <w:jc w:val="left"/>
              <w:rPr>
                <w:rFonts w:hint="eastAsia" w:ascii="宋体" w:hAnsi="宋体" w:eastAsia="宋体" w:cs="宋体"/>
                <w:color w:val="auto"/>
                <w:szCs w:val="21"/>
                <w:lang w:eastAsia="zh-CN"/>
              </w:rPr>
            </w:pPr>
            <w:r>
              <w:rPr>
                <w:rFonts w:hint="eastAsia" w:ascii="宋体" w:hAnsi="宋体" w:cs="宋体"/>
                <w:color w:val="auto"/>
                <w:spacing w:val="1"/>
                <w:kern w:val="0"/>
                <w:szCs w:val="21"/>
              </w:rPr>
              <w:t>说明：以上各分项按所示分值得分，未提供分项相应内容的该分项不得分。</w:t>
            </w:r>
          </w:p>
        </w:tc>
      </w:tr>
      <w:tr w14:paraId="2F2DE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425" w:hRule="atLeast"/>
          <w:jc w:val="center"/>
        </w:trPr>
        <w:tc>
          <w:tcPr>
            <w:tcW w:w="889" w:type="dxa"/>
            <w:gridSpan w:val="2"/>
            <w:vMerge w:val="continue"/>
            <w:noWrap w:val="0"/>
            <w:vAlign w:val="center"/>
          </w:tcPr>
          <w:p w14:paraId="3453D8C6">
            <w:pPr>
              <w:spacing w:line="400" w:lineRule="exact"/>
              <w:jc w:val="left"/>
              <w:rPr>
                <w:rFonts w:ascii="宋体" w:hAnsi="宋体" w:cs="宋体"/>
                <w:color w:val="auto"/>
                <w:szCs w:val="21"/>
              </w:rPr>
            </w:pPr>
          </w:p>
        </w:tc>
        <w:tc>
          <w:tcPr>
            <w:tcW w:w="1167" w:type="dxa"/>
            <w:vMerge w:val="continue"/>
            <w:noWrap w:val="0"/>
            <w:vAlign w:val="center"/>
          </w:tcPr>
          <w:p w14:paraId="6A406A35">
            <w:pPr>
              <w:spacing w:line="400" w:lineRule="exact"/>
              <w:jc w:val="left"/>
              <w:rPr>
                <w:rFonts w:hint="eastAsia" w:ascii="宋体" w:hAnsi="宋体"/>
                <w:color w:val="auto"/>
                <w:szCs w:val="21"/>
              </w:rPr>
            </w:pPr>
          </w:p>
        </w:tc>
        <w:tc>
          <w:tcPr>
            <w:tcW w:w="1869" w:type="dxa"/>
            <w:vMerge w:val="restart"/>
            <w:noWrap w:val="0"/>
            <w:vAlign w:val="center"/>
          </w:tcPr>
          <w:p w14:paraId="08D593A5">
            <w:pPr>
              <w:autoSpaceDE w:val="0"/>
              <w:autoSpaceDN w:val="0"/>
              <w:adjustRightInd w:val="0"/>
              <w:snapToGrid w:val="0"/>
              <w:spacing w:line="400" w:lineRule="exact"/>
              <w:ind w:left="44" w:leftChars="20" w:right="44" w:rightChars="20"/>
              <w:jc w:val="center"/>
              <w:rPr>
                <w:rFonts w:hint="eastAsia" w:ascii="宋体" w:hAnsi="宋体" w:cs="宋体"/>
                <w:color w:val="auto"/>
                <w:spacing w:val="1"/>
                <w:kern w:val="0"/>
                <w:szCs w:val="21"/>
              </w:rPr>
            </w:pPr>
            <w:r>
              <w:rPr>
                <w:rFonts w:hint="eastAsia" w:ascii="宋体" w:hAnsi="宋体" w:cs="宋体"/>
                <w:color w:val="auto"/>
                <w:spacing w:val="1"/>
                <w:kern w:val="0"/>
                <w:szCs w:val="21"/>
              </w:rPr>
              <w:t>施工组织方</w:t>
            </w:r>
          </w:p>
          <w:p w14:paraId="488424C0">
            <w:pPr>
              <w:autoSpaceDE w:val="0"/>
              <w:autoSpaceDN w:val="0"/>
              <w:adjustRightInd w:val="0"/>
              <w:snapToGrid w:val="0"/>
              <w:spacing w:line="400" w:lineRule="exact"/>
              <w:ind w:left="44" w:leftChars="20" w:right="44" w:rightChars="20"/>
              <w:jc w:val="center"/>
              <w:rPr>
                <w:rFonts w:hint="eastAsia" w:ascii="宋体" w:hAnsi="宋体" w:cs="宋体"/>
                <w:color w:val="auto"/>
                <w:spacing w:val="1"/>
                <w:kern w:val="0"/>
                <w:szCs w:val="21"/>
              </w:rPr>
            </w:pPr>
            <w:r>
              <w:rPr>
                <w:rFonts w:hint="eastAsia" w:ascii="宋体" w:hAnsi="宋体" w:cs="宋体"/>
                <w:color w:val="auto"/>
                <w:spacing w:val="1"/>
                <w:kern w:val="0"/>
                <w:szCs w:val="21"/>
              </w:rPr>
              <w:t>案水平</w:t>
            </w:r>
          </w:p>
          <w:p w14:paraId="5065D962">
            <w:pPr>
              <w:autoSpaceDE w:val="0"/>
              <w:autoSpaceDN w:val="0"/>
              <w:adjustRightInd w:val="0"/>
              <w:snapToGrid w:val="0"/>
              <w:spacing w:line="400" w:lineRule="exact"/>
              <w:ind w:left="44" w:leftChars="20" w:right="44" w:rightChars="20"/>
              <w:jc w:val="center"/>
              <w:rPr>
                <w:rFonts w:ascii="宋体" w:hAnsi="宋体"/>
                <w:color w:val="auto"/>
                <w:szCs w:val="21"/>
              </w:rPr>
            </w:pPr>
            <w:r>
              <w:rPr>
                <w:rFonts w:hint="eastAsia" w:ascii="宋体" w:hAnsi="宋体" w:cs="宋体"/>
                <w:color w:val="auto"/>
                <w:spacing w:val="1"/>
                <w:kern w:val="0"/>
                <w:szCs w:val="21"/>
              </w:rPr>
              <w:t>（</w:t>
            </w:r>
            <w:r>
              <w:rPr>
                <w:rFonts w:hint="eastAsia" w:ascii="宋体" w:hAnsi="宋体" w:cs="宋体"/>
                <w:color w:val="auto"/>
                <w:spacing w:val="1"/>
                <w:kern w:val="0"/>
                <w:szCs w:val="21"/>
                <w:lang w:val="en-US" w:eastAsia="zh-CN"/>
              </w:rPr>
              <w:t>6</w:t>
            </w:r>
            <w:r>
              <w:rPr>
                <w:rFonts w:hint="eastAsia" w:ascii="宋体" w:hAnsi="宋体" w:cs="宋体"/>
                <w:color w:val="auto"/>
                <w:spacing w:val="1"/>
                <w:kern w:val="0"/>
                <w:szCs w:val="21"/>
              </w:rPr>
              <w:t>分）</w:t>
            </w:r>
          </w:p>
        </w:tc>
        <w:tc>
          <w:tcPr>
            <w:tcW w:w="5286" w:type="dxa"/>
            <w:noWrap w:val="0"/>
            <w:vAlign w:val="center"/>
          </w:tcPr>
          <w:p w14:paraId="3C3092D0">
            <w:pPr>
              <w:autoSpaceDE w:val="0"/>
              <w:autoSpaceDN w:val="0"/>
              <w:adjustRightInd w:val="0"/>
              <w:snapToGrid w:val="0"/>
              <w:spacing w:line="400" w:lineRule="exact"/>
              <w:ind w:left="44" w:leftChars="20" w:right="44" w:rightChars="20"/>
              <w:jc w:val="left"/>
              <w:rPr>
                <w:rFonts w:hint="eastAsia" w:ascii="宋体" w:hAnsi="宋体" w:cs="宋体"/>
                <w:color w:val="auto"/>
                <w:spacing w:val="1"/>
                <w:kern w:val="0"/>
                <w:szCs w:val="21"/>
              </w:rPr>
            </w:pPr>
            <w:r>
              <w:rPr>
                <w:rFonts w:hint="eastAsia" w:ascii="宋体" w:hAnsi="宋体" w:cs="宋体"/>
                <w:color w:val="auto"/>
                <w:spacing w:val="1"/>
                <w:kern w:val="0"/>
                <w:szCs w:val="21"/>
              </w:rPr>
              <w:t>有关“施工组织”内容是否齐全、准确、清晰及表达的准确性、条理性等进行打分。</w:t>
            </w:r>
          </w:p>
          <w:p w14:paraId="63826764">
            <w:pPr>
              <w:autoSpaceDE w:val="0"/>
              <w:autoSpaceDN w:val="0"/>
              <w:adjustRightInd w:val="0"/>
              <w:snapToGrid w:val="0"/>
              <w:spacing w:line="400" w:lineRule="exact"/>
              <w:ind w:left="44" w:leftChars="20" w:right="44" w:rightChars="20"/>
              <w:jc w:val="left"/>
              <w:rPr>
                <w:rFonts w:hint="eastAsia" w:ascii="宋体" w:hAnsi="宋体" w:cs="宋体"/>
                <w:color w:val="auto"/>
                <w:spacing w:val="1"/>
                <w:kern w:val="0"/>
                <w:szCs w:val="21"/>
              </w:rPr>
            </w:pPr>
            <w:r>
              <w:rPr>
                <w:rFonts w:hint="eastAsia" w:ascii="宋体" w:hAnsi="宋体" w:cs="宋体"/>
                <w:color w:val="auto"/>
                <w:spacing w:val="1"/>
                <w:kern w:val="0"/>
                <w:szCs w:val="21"/>
              </w:rPr>
              <w:t>方案内容设计全面、符合现场实际情况、具有很强的可操作性，得3分；</w:t>
            </w:r>
          </w:p>
          <w:p w14:paraId="4489C05C">
            <w:pPr>
              <w:autoSpaceDE w:val="0"/>
              <w:autoSpaceDN w:val="0"/>
              <w:adjustRightInd w:val="0"/>
              <w:snapToGrid w:val="0"/>
              <w:spacing w:line="400" w:lineRule="exact"/>
              <w:ind w:left="44" w:leftChars="20" w:right="44" w:rightChars="20"/>
              <w:jc w:val="left"/>
              <w:rPr>
                <w:rFonts w:hint="eastAsia" w:ascii="宋体" w:hAnsi="宋体" w:cs="宋体"/>
                <w:color w:val="auto"/>
                <w:spacing w:val="1"/>
                <w:kern w:val="0"/>
                <w:szCs w:val="21"/>
              </w:rPr>
            </w:pPr>
            <w:r>
              <w:rPr>
                <w:rFonts w:hint="eastAsia" w:ascii="宋体" w:hAnsi="宋体" w:cs="宋体"/>
                <w:color w:val="auto"/>
                <w:spacing w:val="1"/>
                <w:kern w:val="0"/>
                <w:szCs w:val="21"/>
              </w:rPr>
              <w:t>方案内容设计基本全面、基本符合现场实际情况、具有可操作性设计，得1分；</w:t>
            </w:r>
          </w:p>
          <w:p w14:paraId="62924AD2">
            <w:pPr>
              <w:autoSpaceDE w:val="0"/>
              <w:autoSpaceDN w:val="0"/>
              <w:adjustRightInd w:val="0"/>
              <w:snapToGrid w:val="0"/>
              <w:spacing w:line="400" w:lineRule="exact"/>
              <w:ind w:left="44" w:leftChars="20" w:right="44" w:rightChars="20"/>
              <w:jc w:val="left"/>
              <w:rPr>
                <w:rFonts w:hint="eastAsia"/>
                <w:lang w:eastAsia="zh-CN"/>
              </w:rPr>
            </w:pPr>
            <w:r>
              <w:rPr>
                <w:rFonts w:hint="eastAsia" w:ascii="宋体" w:hAnsi="宋体" w:cs="宋体"/>
                <w:color w:val="auto"/>
                <w:spacing w:val="1"/>
                <w:kern w:val="0"/>
                <w:szCs w:val="21"/>
              </w:rPr>
              <w:t>方案内容设计不够全面、不太符合实际情况、可操作性一般的，得0.5分。</w:t>
            </w:r>
          </w:p>
        </w:tc>
        <w:tc>
          <w:tcPr>
            <w:tcW w:w="1003" w:type="dxa"/>
            <w:noWrap w:val="0"/>
            <w:vAlign w:val="center"/>
          </w:tcPr>
          <w:p w14:paraId="7984908E">
            <w:pPr>
              <w:autoSpaceDE w:val="0"/>
              <w:autoSpaceDN w:val="0"/>
              <w:adjustRightInd w:val="0"/>
              <w:snapToGrid w:val="0"/>
              <w:spacing w:line="400" w:lineRule="exact"/>
              <w:ind w:left="44" w:leftChars="20" w:right="44" w:rightChars="20"/>
              <w:jc w:val="center"/>
            </w:pPr>
            <w:r>
              <w:rPr>
                <w:rFonts w:hint="eastAsia" w:ascii="宋体" w:hAnsi="宋体" w:cs="宋体"/>
                <w:color w:val="auto"/>
                <w:spacing w:val="1"/>
                <w:kern w:val="0"/>
                <w:szCs w:val="21"/>
              </w:rPr>
              <w:t>3分</w:t>
            </w:r>
          </w:p>
        </w:tc>
      </w:tr>
      <w:tr w14:paraId="43DDC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781" w:hRule="atLeast"/>
          <w:jc w:val="center"/>
        </w:trPr>
        <w:tc>
          <w:tcPr>
            <w:tcW w:w="889" w:type="dxa"/>
            <w:gridSpan w:val="2"/>
            <w:vMerge w:val="continue"/>
            <w:noWrap w:val="0"/>
            <w:vAlign w:val="center"/>
          </w:tcPr>
          <w:p w14:paraId="319F9846">
            <w:pPr>
              <w:spacing w:line="400" w:lineRule="exact"/>
              <w:jc w:val="left"/>
              <w:rPr>
                <w:rFonts w:ascii="宋体" w:hAnsi="宋体" w:cs="宋体"/>
                <w:color w:val="auto"/>
                <w:szCs w:val="21"/>
              </w:rPr>
            </w:pPr>
          </w:p>
        </w:tc>
        <w:tc>
          <w:tcPr>
            <w:tcW w:w="1167" w:type="dxa"/>
            <w:vMerge w:val="continue"/>
            <w:noWrap w:val="0"/>
            <w:vAlign w:val="center"/>
          </w:tcPr>
          <w:p w14:paraId="3F0047CB">
            <w:pPr>
              <w:spacing w:line="400" w:lineRule="exact"/>
              <w:jc w:val="left"/>
              <w:rPr>
                <w:rFonts w:hint="eastAsia" w:ascii="宋体" w:hAnsi="宋体"/>
                <w:color w:val="auto"/>
                <w:szCs w:val="21"/>
              </w:rPr>
            </w:pPr>
          </w:p>
        </w:tc>
        <w:tc>
          <w:tcPr>
            <w:tcW w:w="1869" w:type="dxa"/>
            <w:vMerge w:val="continue"/>
            <w:noWrap w:val="0"/>
            <w:vAlign w:val="center"/>
          </w:tcPr>
          <w:p w14:paraId="7822794B">
            <w:pPr>
              <w:autoSpaceDE w:val="0"/>
              <w:autoSpaceDN w:val="0"/>
              <w:adjustRightInd w:val="0"/>
              <w:snapToGrid w:val="0"/>
              <w:spacing w:line="400" w:lineRule="exact"/>
              <w:ind w:left="44" w:leftChars="20" w:right="44" w:rightChars="20"/>
              <w:jc w:val="left"/>
              <w:rPr>
                <w:rFonts w:hint="eastAsia" w:ascii="宋体" w:hAnsi="宋体" w:eastAsia="宋体" w:cs="宋体"/>
                <w:color w:val="auto"/>
                <w:kern w:val="0"/>
                <w:sz w:val="21"/>
                <w:szCs w:val="21"/>
                <w:lang w:val="en-US" w:eastAsia="zh-CN" w:bidi="ar-SA"/>
              </w:rPr>
            </w:pPr>
          </w:p>
        </w:tc>
        <w:tc>
          <w:tcPr>
            <w:tcW w:w="5286" w:type="dxa"/>
            <w:noWrap w:val="0"/>
            <w:vAlign w:val="center"/>
          </w:tcPr>
          <w:p w14:paraId="079D6FBD">
            <w:pPr>
              <w:autoSpaceDE w:val="0"/>
              <w:autoSpaceDN w:val="0"/>
              <w:adjustRightInd w:val="0"/>
              <w:snapToGrid w:val="0"/>
              <w:spacing w:line="400" w:lineRule="exact"/>
              <w:ind w:left="44" w:leftChars="20" w:right="44" w:rightChars="20"/>
              <w:jc w:val="left"/>
              <w:rPr>
                <w:rFonts w:hint="eastAsia" w:ascii="宋体" w:hAnsi="宋体" w:cs="宋体"/>
                <w:color w:val="auto"/>
                <w:spacing w:val="1"/>
                <w:kern w:val="0"/>
                <w:szCs w:val="21"/>
              </w:rPr>
            </w:pPr>
            <w:r>
              <w:rPr>
                <w:rFonts w:hint="eastAsia" w:ascii="宋体" w:hAnsi="宋体" w:cs="宋体"/>
                <w:color w:val="auto"/>
                <w:spacing w:val="1"/>
                <w:kern w:val="0"/>
                <w:szCs w:val="21"/>
              </w:rPr>
              <w:t>有关“施工组织”各项主要内容的措施是否稳妥、计划是否周密、流水段的划分、各项交叉作业是否科学、切合实际、合理等可行进行打分。</w:t>
            </w:r>
          </w:p>
          <w:p w14:paraId="611CEBBB">
            <w:pPr>
              <w:autoSpaceDE w:val="0"/>
              <w:autoSpaceDN w:val="0"/>
              <w:adjustRightInd w:val="0"/>
              <w:snapToGrid w:val="0"/>
              <w:spacing w:line="400" w:lineRule="exact"/>
              <w:ind w:left="44" w:leftChars="20" w:right="44" w:rightChars="20"/>
              <w:jc w:val="left"/>
              <w:rPr>
                <w:rFonts w:hint="eastAsia" w:ascii="宋体" w:hAnsi="宋体" w:cs="宋体"/>
                <w:color w:val="auto"/>
                <w:spacing w:val="1"/>
                <w:kern w:val="0"/>
                <w:szCs w:val="21"/>
              </w:rPr>
            </w:pPr>
            <w:r>
              <w:rPr>
                <w:rFonts w:hint="eastAsia" w:ascii="宋体" w:hAnsi="宋体" w:cs="宋体"/>
                <w:color w:val="auto"/>
                <w:spacing w:val="1"/>
                <w:kern w:val="0"/>
                <w:szCs w:val="21"/>
              </w:rPr>
              <w:t>编制完整详细且合理可行，得3分；</w:t>
            </w:r>
          </w:p>
          <w:p w14:paraId="0267DCF2">
            <w:pPr>
              <w:autoSpaceDE w:val="0"/>
              <w:autoSpaceDN w:val="0"/>
              <w:adjustRightInd w:val="0"/>
              <w:snapToGrid w:val="0"/>
              <w:spacing w:line="400" w:lineRule="exact"/>
              <w:ind w:left="44" w:leftChars="20" w:right="44" w:rightChars="20"/>
              <w:jc w:val="left"/>
              <w:rPr>
                <w:rFonts w:hint="eastAsia" w:ascii="宋体" w:hAnsi="宋体" w:cs="宋体"/>
                <w:color w:val="auto"/>
                <w:spacing w:val="1"/>
                <w:kern w:val="0"/>
                <w:szCs w:val="21"/>
              </w:rPr>
            </w:pPr>
            <w:r>
              <w:rPr>
                <w:rFonts w:hint="eastAsia" w:ascii="宋体" w:hAnsi="宋体" w:cs="宋体"/>
                <w:color w:val="auto"/>
                <w:spacing w:val="1"/>
                <w:kern w:val="0"/>
                <w:szCs w:val="21"/>
              </w:rPr>
              <w:t>编制较完整、较合理可行，得1分；</w:t>
            </w:r>
          </w:p>
          <w:p w14:paraId="38F2F93C">
            <w:pPr>
              <w:autoSpaceDE w:val="0"/>
              <w:autoSpaceDN w:val="0"/>
              <w:adjustRightInd w:val="0"/>
              <w:snapToGrid w:val="0"/>
              <w:spacing w:line="400" w:lineRule="exact"/>
              <w:ind w:left="44" w:leftChars="20" w:right="44" w:rightChars="20"/>
              <w:jc w:val="left"/>
              <w:rPr>
                <w:rFonts w:hint="eastAsia"/>
                <w:lang w:val="en-US" w:eastAsia="zh-CN"/>
              </w:rPr>
            </w:pPr>
            <w:r>
              <w:rPr>
                <w:rFonts w:hint="eastAsia" w:ascii="宋体" w:hAnsi="宋体" w:cs="宋体"/>
                <w:color w:val="auto"/>
                <w:spacing w:val="1"/>
                <w:kern w:val="0"/>
                <w:szCs w:val="21"/>
              </w:rPr>
              <w:t>编制不够完整、不够合理，可行性一般，得0.5分。</w:t>
            </w:r>
          </w:p>
        </w:tc>
        <w:tc>
          <w:tcPr>
            <w:tcW w:w="1003" w:type="dxa"/>
            <w:noWrap w:val="0"/>
            <w:vAlign w:val="center"/>
          </w:tcPr>
          <w:p w14:paraId="064773A0">
            <w:pPr>
              <w:autoSpaceDE w:val="0"/>
              <w:autoSpaceDN w:val="0"/>
              <w:adjustRightInd w:val="0"/>
              <w:snapToGrid w:val="0"/>
              <w:spacing w:line="400" w:lineRule="exact"/>
              <w:ind w:left="44" w:leftChars="20" w:right="44" w:rightChars="20"/>
              <w:jc w:val="center"/>
            </w:pPr>
            <w:r>
              <w:rPr>
                <w:rFonts w:hint="eastAsia" w:ascii="宋体" w:hAnsi="宋体" w:cs="宋体"/>
                <w:color w:val="auto"/>
                <w:spacing w:val="1"/>
                <w:kern w:val="0"/>
                <w:szCs w:val="21"/>
                <w:lang w:val="en-US" w:eastAsia="zh-CN"/>
              </w:rPr>
              <w:t>3</w:t>
            </w:r>
            <w:r>
              <w:rPr>
                <w:rFonts w:hint="eastAsia" w:ascii="宋体" w:hAnsi="宋体" w:cs="宋体"/>
                <w:color w:val="auto"/>
                <w:spacing w:val="1"/>
                <w:kern w:val="0"/>
                <w:szCs w:val="21"/>
              </w:rPr>
              <w:t>分</w:t>
            </w:r>
          </w:p>
        </w:tc>
      </w:tr>
      <w:tr w14:paraId="4732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1354" w:hRule="atLeast"/>
          <w:jc w:val="center"/>
        </w:trPr>
        <w:tc>
          <w:tcPr>
            <w:tcW w:w="889" w:type="dxa"/>
            <w:gridSpan w:val="2"/>
            <w:vMerge w:val="restart"/>
            <w:noWrap w:val="0"/>
            <w:vAlign w:val="center"/>
          </w:tcPr>
          <w:p w14:paraId="007B8FB8">
            <w:pPr>
              <w:spacing w:line="400" w:lineRule="exact"/>
              <w:jc w:val="center"/>
              <w:rPr>
                <w:rFonts w:hint="default" w:ascii="宋体" w:hAnsi="宋体" w:eastAsia="宋体" w:cs="宋体"/>
                <w:color w:val="auto"/>
                <w:szCs w:val="21"/>
                <w:lang w:val="en-US" w:eastAsia="zh-CN"/>
              </w:rPr>
            </w:pPr>
            <w:r>
              <w:rPr>
                <w:rFonts w:hint="eastAsia" w:ascii="宋体" w:hAnsi="宋体" w:cs="宋体"/>
                <w:b/>
                <w:bCs/>
                <w:color w:val="auto"/>
                <w:szCs w:val="21"/>
                <w:lang w:val="en-US" w:eastAsia="zh-CN"/>
              </w:rPr>
              <w:t>3.4</w:t>
            </w:r>
          </w:p>
        </w:tc>
        <w:tc>
          <w:tcPr>
            <w:tcW w:w="1167" w:type="dxa"/>
            <w:vMerge w:val="restart"/>
            <w:noWrap w:val="0"/>
            <w:vAlign w:val="center"/>
          </w:tcPr>
          <w:p w14:paraId="5F9C2652">
            <w:pPr>
              <w:spacing w:line="400" w:lineRule="exact"/>
              <w:rPr>
                <w:rFonts w:hint="eastAsia" w:ascii="宋体" w:hAnsi="宋体" w:cs="宋体"/>
                <w:color w:val="auto"/>
                <w:szCs w:val="21"/>
              </w:rPr>
            </w:pPr>
            <w:r>
              <w:rPr>
                <w:rFonts w:hint="eastAsia" w:ascii="宋体" w:hAnsi="宋体" w:cs="宋体"/>
                <w:color w:val="auto"/>
                <w:szCs w:val="21"/>
              </w:rPr>
              <w:t>综合部分</w:t>
            </w:r>
          </w:p>
          <w:p w14:paraId="0A26FA54">
            <w:pPr>
              <w:spacing w:line="400" w:lineRule="exact"/>
              <w:jc w:val="center"/>
              <w:rPr>
                <w:rFonts w:hint="eastAsia" w:ascii="宋体" w:hAnsi="宋体" w:cs="宋体"/>
                <w:bCs/>
                <w:color w:val="auto"/>
                <w:szCs w:val="21"/>
              </w:rPr>
            </w:pPr>
            <w:r>
              <w:rPr>
                <w:rFonts w:hint="eastAsia" w:ascii="宋体" w:hAnsi="宋体" w:cs="宋体"/>
                <w:color w:val="auto"/>
                <w:szCs w:val="21"/>
              </w:rPr>
              <w:t>（</w:t>
            </w:r>
            <w:r>
              <w:rPr>
                <w:rFonts w:hint="eastAsia" w:ascii="宋体" w:hAnsi="宋体" w:cs="宋体"/>
                <w:color w:val="auto"/>
                <w:szCs w:val="21"/>
                <w:lang w:val="en-US" w:eastAsia="zh-CN"/>
              </w:rPr>
              <w:t>15</w:t>
            </w:r>
            <w:r>
              <w:rPr>
                <w:rFonts w:hint="eastAsia" w:ascii="宋体" w:hAnsi="宋体" w:cs="宋体"/>
                <w:color w:val="auto"/>
                <w:szCs w:val="21"/>
              </w:rPr>
              <w:t>分）</w:t>
            </w:r>
          </w:p>
        </w:tc>
        <w:tc>
          <w:tcPr>
            <w:tcW w:w="1869" w:type="dxa"/>
            <w:noWrap w:val="0"/>
            <w:vAlign w:val="center"/>
          </w:tcPr>
          <w:p w14:paraId="7238A5BC">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企业业绩</w:t>
            </w:r>
          </w:p>
          <w:p w14:paraId="5B1469D8">
            <w:pPr>
              <w:jc w:val="center"/>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w:t>
            </w:r>
            <w:r>
              <w:rPr>
                <w:rFonts w:hint="eastAsia" w:ascii="宋体" w:hAnsi="宋体" w:cs="宋体"/>
                <w:color w:val="000000" w:themeColor="text1"/>
                <w:kern w:val="0"/>
                <w:szCs w:val="21"/>
                <w:lang w:val="en-US" w:eastAsia="zh-CN"/>
                <w14:textFill>
                  <w14:solidFill>
                    <w14:schemeClr w14:val="tx1"/>
                  </w14:solidFill>
                </w14:textFill>
              </w:rPr>
              <w:t>6</w:t>
            </w:r>
            <w:r>
              <w:rPr>
                <w:rFonts w:hint="eastAsia" w:ascii="宋体" w:hAnsi="宋体" w:cs="宋体"/>
                <w:color w:val="000000" w:themeColor="text1"/>
                <w:kern w:val="0"/>
                <w:szCs w:val="21"/>
                <w14:textFill>
                  <w14:solidFill>
                    <w14:schemeClr w14:val="tx1"/>
                  </w14:solidFill>
                </w14:textFill>
              </w:rPr>
              <w:t>分）</w:t>
            </w:r>
          </w:p>
        </w:tc>
        <w:tc>
          <w:tcPr>
            <w:tcW w:w="6289" w:type="dxa"/>
            <w:gridSpan w:val="2"/>
            <w:noWrap w:val="0"/>
            <w:vAlign w:val="center"/>
          </w:tcPr>
          <w:p w14:paraId="3F79B996">
            <w:pPr>
              <w:spacing w:line="400" w:lineRule="exact"/>
              <w:jc w:val="left"/>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sz w:val="21"/>
                <w:lang w:val="en-US" w:eastAsia="zh-CN"/>
              </w:rPr>
              <w:t>供应商提供近三年（自2023年8月1日以来，以合同签订日期为准）以来承担的类似工程项目业绩，每份得3分，二个及以上最多得6分（需提供业绩项目中标通知书或直接发包通知书（直接发包备案书）及合同协议书，未提供齐全不得分；若按照要求提供的业绩证明材料中体现不出或体现不完整或体现不清晰本项目的主要实施内容，供应商还需提供其它有效证明材料能够体现项目的主要实施内容)</w:t>
            </w:r>
          </w:p>
        </w:tc>
      </w:tr>
      <w:tr w14:paraId="023B3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499" w:hRule="atLeast"/>
          <w:jc w:val="center"/>
        </w:trPr>
        <w:tc>
          <w:tcPr>
            <w:tcW w:w="889" w:type="dxa"/>
            <w:gridSpan w:val="2"/>
            <w:vMerge w:val="continue"/>
            <w:noWrap w:val="0"/>
            <w:vAlign w:val="center"/>
          </w:tcPr>
          <w:p w14:paraId="4C3CA454">
            <w:pPr>
              <w:spacing w:line="400" w:lineRule="exact"/>
              <w:jc w:val="center"/>
              <w:rPr>
                <w:rFonts w:hint="eastAsia" w:ascii="宋体" w:hAnsi="宋体" w:eastAsia="宋体" w:cs="宋体"/>
                <w:color w:val="auto"/>
                <w:kern w:val="2"/>
                <w:sz w:val="21"/>
                <w:szCs w:val="21"/>
                <w:lang w:val="en-US" w:eastAsia="zh-CN" w:bidi="ar-SA"/>
              </w:rPr>
            </w:pPr>
          </w:p>
        </w:tc>
        <w:tc>
          <w:tcPr>
            <w:tcW w:w="1167" w:type="dxa"/>
            <w:vMerge w:val="continue"/>
            <w:noWrap w:val="0"/>
            <w:vAlign w:val="center"/>
          </w:tcPr>
          <w:p w14:paraId="6CCCE340">
            <w:pPr>
              <w:spacing w:line="400" w:lineRule="exact"/>
              <w:jc w:val="center"/>
            </w:pPr>
          </w:p>
        </w:tc>
        <w:tc>
          <w:tcPr>
            <w:tcW w:w="1869" w:type="dxa"/>
            <w:noWrap w:val="0"/>
            <w:vAlign w:val="center"/>
          </w:tcPr>
          <w:p w14:paraId="218AD1FC">
            <w:pPr>
              <w:pStyle w:val="37"/>
              <w:autoSpaceDE w:val="0"/>
              <w:autoSpaceDN w:val="0"/>
              <w:ind w:firstLine="0" w:firstLineChars="0"/>
              <w:jc w:val="center"/>
              <w:rPr>
                <w:rFonts w:hint="eastAsia" w:ascii="宋体" w:hAnsi="宋体" w:cs="宋体"/>
                <w:color w:val="auto"/>
                <w:kern w:val="0"/>
                <w:szCs w:val="21"/>
              </w:rPr>
            </w:pPr>
            <w:r>
              <w:rPr>
                <w:rFonts w:hint="eastAsia" w:ascii="宋体" w:hAnsi="宋体" w:cs="宋体"/>
                <w:color w:val="auto"/>
                <w:kern w:val="0"/>
                <w:szCs w:val="21"/>
              </w:rPr>
              <w:t>履职尽责</w:t>
            </w:r>
          </w:p>
          <w:p w14:paraId="59FF779D">
            <w:pPr>
              <w:pStyle w:val="37"/>
              <w:autoSpaceDE w:val="0"/>
              <w:autoSpaceDN w:val="0"/>
              <w:ind w:firstLine="0" w:firstLineChars="0"/>
              <w:jc w:val="center"/>
              <w:rPr>
                <w:rFonts w:hint="eastAsia" w:ascii="宋体" w:hAnsi="宋体" w:cs="宋体"/>
                <w:color w:val="auto"/>
                <w:kern w:val="0"/>
                <w:szCs w:val="21"/>
              </w:rPr>
            </w:pPr>
            <w:r>
              <w:rPr>
                <w:rFonts w:hint="eastAsia" w:ascii="宋体" w:hAnsi="宋体" w:cs="宋体"/>
                <w:color w:val="auto"/>
                <w:kern w:val="0"/>
                <w:szCs w:val="21"/>
              </w:rPr>
              <w:t>承诺</w:t>
            </w:r>
          </w:p>
          <w:p w14:paraId="6627C3C6">
            <w:pPr>
              <w:pStyle w:val="37"/>
              <w:autoSpaceDE w:val="0"/>
              <w:autoSpaceDN w:val="0"/>
              <w:ind w:firstLine="0" w:firstLineChars="0"/>
              <w:jc w:val="center"/>
            </w:pPr>
            <w:r>
              <w:rPr>
                <w:rFonts w:hint="eastAsia" w:ascii="宋体" w:hAnsi="宋体" w:cs="宋体"/>
                <w:color w:val="auto"/>
                <w:kern w:val="0"/>
                <w:szCs w:val="21"/>
              </w:rPr>
              <w:t>（</w:t>
            </w:r>
            <w:r>
              <w:rPr>
                <w:rFonts w:hint="eastAsia" w:ascii="宋体" w:hAnsi="宋体" w:cs="宋体"/>
                <w:color w:val="auto"/>
                <w:kern w:val="0"/>
                <w:szCs w:val="21"/>
                <w:lang w:val="en-US" w:eastAsia="zh-CN"/>
              </w:rPr>
              <w:t>3</w:t>
            </w:r>
            <w:r>
              <w:rPr>
                <w:rFonts w:hint="eastAsia" w:ascii="宋体" w:hAnsi="宋体" w:cs="宋体"/>
                <w:color w:val="auto"/>
                <w:kern w:val="0"/>
                <w:szCs w:val="21"/>
              </w:rPr>
              <w:t>分）</w:t>
            </w:r>
          </w:p>
        </w:tc>
        <w:tc>
          <w:tcPr>
            <w:tcW w:w="6289" w:type="dxa"/>
            <w:gridSpan w:val="2"/>
            <w:noWrap w:val="0"/>
            <w:vAlign w:val="center"/>
          </w:tcPr>
          <w:p w14:paraId="1D26A8BB">
            <w:pPr>
              <w:spacing w:line="360" w:lineRule="auto"/>
              <w:rPr>
                <w:rFonts w:hint="eastAsia"/>
                <w:sz w:val="21"/>
                <w:lang w:val="en-US" w:eastAsia="zh-CN"/>
              </w:rPr>
            </w:pPr>
            <w:r>
              <w:rPr>
                <w:rFonts w:hint="eastAsia" w:ascii="宋体" w:hAnsi="宋体" w:cs="宋体"/>
                <w:color w:val="auto"/>
                <w:szCs w:val="21"/>
                <w:lang w:eastAsia="zh-CN"/>
              </w:rPr>
              <w:t>根据</w:t>
            </w:r>
            <w:r>
              <w:rPr>
                <w:rFonts w:hint="eastAsia"/>
                <w:sz w:val="21"/>
                <w:lang w:val="en-US" w:eastAsia="zh-CN"/>
              </w:rPr>
              <w:t>供应商提出的履职尽责承诺方面内容，是否具有全面、详实、可行、合法有效的书面保证技术措施落实到位的承诺和落实不到位的处理承诺，其中包括各关键岗位人员（项目经理、技术负责人、质量员、安全员、材料员、测量员等相关技术管理人员）的在岗、更换等履职尽责承诺，提供承包商履约保证等：</w:t>
            </w:r>
          </w:p>
          <w:p w14:paraId="49327AAB">
            <w:pPr>
              <w:spacing w:line="360" w:lineRule="auto"/>
              <w:rPr>
                <w:rFonts w:hint="eastAsia"/>
                <w:sz w:val="21"/>
                <w:lang w:val="en-US" w:eastAsia="zh-CN"/>
              </w:rPr>
            </w:pPr>
            <w:r>
              <w:rPr>
                <w:rFonts w:hint="eastAsia"/>
                <w:sz w:val="21"/>
                <w:lang w:val="en-US" w:eastAsia="zh-CN"/>
              </w:rPr>
              <w:t>(1)履职尽责书面保证技术措施全面详实、合法有效，关键岗位人员履职尽责承诺详尽适用，具有详实合理的履约保证等，得3分；</w:t>
            </w:r>
          </w:p>
          <w:p w14:paraId="751C451A">
            <w:pPr>
              <w:spacing w:line="360" w:lineRule="auto"/>
              <w:rPr>
                <w:rFonts w:hint="eastAsia"/>
                <w:sz w:val="21"/>
                <w:lang w:val="en-US" w:eastAsia="zh-CN"/>
              </w:rPr>
            </w:pPr>
            <w:r>
              <w:rPr>
                <w:rFonts w:hint="eastAsia"/>
                <w:sz w:val="21"/>
                <w:lang w:val="en-US" w:eastAsia="zh-CN"/>
              </w:rPr>
              <w:t>(2)履职尽责书面保证技术措施比较详实有效，关键岗位人员履职尽责承诺比较详尽适用，具有比较详实合理的履约保证等，得1分；</w:t>
            </w:r>
          </w:p>
          <w:p w14:paraId="0053321D">
            <w:pPr>
              <w:spacing w:line="360" w:lineRule="auto"/>
              <w:rPr>
                <w:rFonts w:hint="default"/>
                <w:sz w:val="21"/>
                <w:lang w:val="en-US" w:eastAsia="zh-CN"/>
              </w:rPr>
            </w:pPr>
            <w:r>
              <w:rPr>
                <w:rFonts w:hint="eastAsia"/>
                <w:sz w:val="21"/>
                <w:lang w:val="en-US" w:eastAsia="zh-CN"/>
              </w:rPr>
              <w:t>(3)履职尽责书面保证技术措施详实有效性一般，关键岗位人员履职尽责承诺详尽适用性一般，具有基本的履约保证等，得0.5分；</w:t>
            </w:r>
          </w:p>
          <w:p w14:paraId="3A31C763">
            <w:pPr>
              <w:pStyle w:val="37"/>
              <w:autoSpaceDE w:val="0"/>
              <w:autoSpaceDN w:val="0"/>
              <w:spacing w:line="400" w:lineRule="exact"/>
              <w:ind w:left="0" w:leftChars="0" w:firstLine="0" w:firstLineChars="0"/>
              <w:jc w:val="left"/>
            </w:pPr>
            <w:r>
              <w:rPr>
                <w:rFonts w:hint="eastAsia"/>
                <w:sz w:val="21"/>
                <w:lang w:val="en-US" w:eastAsia="zh-CN"/>
              </w:rPr>
              <w:t>(4)</w:t>
            </w:r>
            <w:r>
              <w:rPr>
                <w:rFonts w:hint="eastAsia"/>
                <w:sz w:val="21"/>
                <w:lang w:val="zh-CN" w:eastAsia="zh-CN"/>
              </w:rPr>
              <w:t>无此项内容不得分。</w:t>
            </w:r>
          </w:p>
        </w:tc>
      </w:tr>
      <w:tr w14:paraId="78A4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1515" w:hRule="atLeast"/>
          <w:jc w:val="center"/>
        </w:trPr>
        <w:tc>
          <w:tcPr>
            <w:tcW w:w="889" w:type="dxa"/>
            <w:gridSpan w:val="2"/>
            <w:vMerge w:val="continue"/>
            <w:noWrap w:val="0"/>
            <w:vAlign w:val="center"/>
          </w:tcPr>
          <w:p w14:paraId="44137FB9">
            <w:pPr>
              <w:spacing w:line="400" w:lineRule="exact"/>
              <w:jc w:val="center"/>
              <w:rPr>
                <w:rFonts w:hint="eastAsia" w:ascii="宋体" w:hAnsi="宋体" w:eastAsia="宋体" w:cs="宋体"/>
                <w:color w:val="auto"/>
                <w:kern w:val="2"/>
                <w:sz w:val="21"/>
                <w:szCs w:val="21"/>
                <w:lang w:val="en-US" w:eastAsia="zh-CN" w:bidi="ar-SA"/>
              </w:rPr>
            </w:pPr>
          </w:p>
        </w:tc>
        <w:tc>
          <w:tcPr>
            <w:tcW w:w="1167" w:type="dxa"/>
            <w:vMerge w:val="continue"/>
            <w:noWrap w:val="0"/>
            <w:vAlign w:val="center"/>
          </w:tcPr>
          <w:p w14:paraId="73423F91">
            <w:pPr>
              <w:spacing w:line="400" w:lineRule="exact"/>
              <w:jc w:val="center"/>
            </w:pPr>
          </w:p>
        </w:tc>
        <w:tc>
          <w:tcPr>
            <w:tcW w:w="1869" w:type="dxa"/>
            <w:noWrap w:val="0"/>
            <w:vAlign w:val="center"/>
          </w:tcPr>
          <w:p w14:paraId="6C5F17DB">
            <w:pPr>
              <w:pStyle w:val="25"/>
              <w:ind w:firstLine="0" w:firstLineChars="0"/>
              <w:jc w:val="center"/>
              <w:rPr>
                <w:rFonts w:hint="eastAsia" w:ascii="宋体" w:hAnsi="宋体" w:cs="宋体"/>
                <w:color w:val="auto"/>
                <w:szCs w:val="21"/>
              </w:rPr>
            </w:pPr>
            <w:r>
              <w:rPr>
                <w:rFonts w:hint="eastAsia" w:ascii="宋体" w:hAnsi="宋体" w:cs="宋体"/>
                <w:color w:val="auto"/>
                <w:szCs w:val="21"/>
              </w:rPr>
              <w:t>服务承诺</w:t>
            </w:r>
          </w:p>
          <w:p w14:paraId="617352D7">
            <w:pPr>
              <w:pStyle w:val="25"/>
              <w:ind w:left="0" w:leftChars="0" w:right="0" w:rightChars="0" w:firstLine="0" w:firstLineChars="0"/>
              <w:jc w:val="center"/>
              <w:rPr>
                <w:rFonts w:hint="eastAsia" w:ascii="宋体" w:hAnsi="宋体" w:cs="宋体"/>
                <w:color w:val="auto"/>
                <w:kern w:val="0"/>
                <w:szCs w:val="21"/>
              </w:rPr>
            </w:pPr>
            <w:r>
              <w:rPr>
                <w:rFonts w:hint="eastAsia" w:ascii="宋体" w:hAnsi="宋体" w:cs="宋体"/>
                <w:color w:val="auto"/>
                <w:szCs w:val="21"/>
              </w:rPr>
              <w:t>（3分）</w:t>
            </w:r>
          </w:p>
        </w:tc>
        <w:tc>
          <w:tcPr>
            <w:tcW w:w="6289" w:type="dxa"/>
            <w:gridSpan w:val="2"/>
            <w:noWrap w:val="0"/>
            <w:vAlign w:val="center"/>
          </w:tcPr>
          <w:p w14:paraId="601376CF">
            <w:pPr>
              <w:numPr>
                <w:ilvl w:val="0"/>
                <w:numId w:val="0"/>
              </w:numPr>
              <w:spacing w:line="360" w:lineRule="auto"/>
              <w:rPr>
                <w:rFonts w:hint="eastAsia"/>
                <w:sz w:val="21"/>
                <w:lang w:val="en-US" w:eastAsia="zh-CN"/>
              </w:rPr>
            </w:pPr>
            <w:r>
              <w:rPr>
                <w:rFonts w:hint="eastAsia"/>
                <w:sz w:val="21"/>
                <w:lang w:val="en-US" w:eastAsia="zh-CN"/>
              </w:rPr>
              <w:t>根据供应商制定的优惠服务体系和计划服务措施进行评审和比</w:t>
            </w:r>
          </w:p>
          <w:p w14:paraId="6509138A">
            <w:pPr>
              <w:numPr>
                <w:ilvl w:val="0"/>
                <w:numId w:val="0"/>
              </w:numPr>
              <w:spacing w:line="360" w:lineRule="auto"/>
              <w:rPr>
                <w:rFonts w:hint="eastAsia"/>
                <w:sz w:val="21"/>
                <w:lang w:val="en-US" w:eastAsia="zh-CN"/>
              </w:rPr>
            </w:pPr>
            <w:r>
              <w:rPr>
                <w:rFonts w:hint="eastAsia"/>
                <w:sz w:val="21"/>
                <w:lang w:val="en-US" w:eastAsia="zh-CN"/>
              </w:rPr>
              <w:t>较，制定的施工期间优惠服务体系及计划服务措施是否明确、合理、科学；工程竣工验收合格后在质量缺陷责任期内，是否提出切实有效的跟踪维护服务计划措施等：</w:t>
            </w:r>
          </w:p>
          <w:p w14:paraId="25DFEF44">
            <w:pPr>
              <w:spacing w:line="360" w:lineRule="auto"/>
              <w:rPr>
                <w:rFonts w:hint="eastAsia"/>
                <w:sz w:val="21"/>
                <w:lang w:val="en-US" w:eastAsia="zh-CN"/>
              </w:rPr>
            </w:pPr>
            <w:r>
              <w:rPr>
                <w:rFonts w:hint="eastAsia"/>
                <w:sz w:val="21"/>
                <w:lang w:val="zh-CN" w:eastAsia="zh-CN"/>
              </w:rPr>
              <w:t>（</w:t>
            </w:r>
            <w:r>
              <w:rPr>
                <w:rFonts w:hint="eastAsia"/>
                <w:sz w:val="21"/>
                <w:lang w:val="en-US" w:eastAsia="zh-CN"/>
              </w:rPr>
              <w:t>1</w:t>
            </w:r>
            <w:r>
              <w:rPr>
                <w:rFonts w:hint="eastAsia"/>
                <w:sz w:val="21"/>
                <w:lang w:val="zh-CN" w:eastAsia="zh-CN"/>
              </w:rPr>
              <w:t>）施工期间的优惠服务体系及措施科学合理、内容明确详尽，质量缺陷责任期的跟踪服务计划措施切实有效、合理适用，得</w:t>
            </w:r>
            <w:r>
              <w:rPr>
                <w:rFonts w:hint="eastAsia"/>
                <w:sz w:val="21"/>
                <w:lang w:val="en-US" w:eastAsia="zh-CN"/>
              </w:rPr>
              <w:t>3分；</w:t>
            </w:r>
          </w:p>
          <w:p w14:paraId="721FC2DB">
            <w:pPr>
              <w:spacing w:line="360" w:lineRule="auto"/>
              <w:rPr>
                <w:rFonts w:hint="eastAsia"/>
                <w:sz w:val="21"/>
                <w:lang w:val="en-US" w:eastAsia="zh-CN"/>
              </w:rPr>
            </w:pPr>
            <w:r>
              <w:rPr>
                <w:rFonts w:hint="eastAsia"/>
                <w:sz w:val="21"/>
                <w:lang w:val="zh-CN" w:eastAsia="zh-CN"/>
              </w:rPr>
              <w:t>（</w:t>
            </w:r>
            <w:r>
              <w:rPr>
                <w:rFonts w:hint="eastAsia"/>
                <w:sz w:val="21"/>
                <w:lang w:val="en-US" w:eastAsia="zh-CN"/>
              </w:rPr>
              <w:t>2</w:t>
            </w:r>
            <w:r>
              <w:rPr>
                <w:rFonts w:hint="eastAsia"/>
                <w:sz w:val="21"/>
                <w:lang w:val="zh-CN" w:eastAsia="zh-CN"/>
              </w:rPr>
              <w:t>）施工期间的优惠服务体系及措施比较科学合理、内容比较明确详尽，质量缺陷责任期的跟踪服务计划措施比较切实有效、比较合理适用，得</w:t>
            </w:r>
            <w:r>
              <w:rPr>
                <w:rFonts w:hint="eastAsia"/>
                <w:sz w:val="21"/>
                <w:lang w:val="en-US" w:eastAsia="zh-CN"/>
              </w:rPr>
              <w:t>1分；</w:t>
            </w:r>
          </w:p>
          <w:p w14:paraId="5AEC4409">
            <w:pPr>
              <w:spacing w:line="360" w:lineRule="auto"/>
              <w:rPr>
                <w:rFonts w:hint="eastAsia"/>
                <w:sz w:val="21"/>
                <w:lang w:val="en-US" w:eastAsia="zh-CN"/>
              </w:rPr>
            </w:pPr>
            <w:r>
              <w:rPr>
                <w:rFonts w:hint="eastAsia"/>
                <w:sz w:val="21"/>
                <w:lang w:val="zh-CN" w:eastAsia="zh-CN"/>
              </w:rPr>
              <w:t>（</w:t>
            </w:r>
            <w:r>
              <w:rPr>
                <w:rFonts w:hint="eastAsia"/>
                <w:sz w:val="21"/>
                <w:lang w:val="en-US" w:eastAsia="zh-CN"/>
              </w:rPr>
              <w:t>3</w:t>
            </w:r>
            <w:r>
              <w:rPr>
                <w:rFonts w:hint="eastAsia"/>
                <w:sz w:val="21"/>
                <w:lang w:val="zh-CN" w:eastAsia="zh-CN"/>
              </w:rPr>
              <w:t>）施工期间的优惠服务体系及措施科学合理性一般、内容明确详尽性一般，质量缺陷责任期的跟踪服务计划措施切实有效性一般，得</w:t>
            </w:r>
            <w:r>
              <w:rPr>
                <w:rFonts w:hint="eastAsia"/>
                <w:sz w:val="21"/>
                <w:lang w:val="en-US" w:eastAsia="zh-CN"/>
              </w:rPr>
              <w:t>0.5分；</w:t>
            </w:r>
          </w:p>
          <w:p w14:paraId="045C9B8E">
            <w:pPr>
              <w:spacing w:line="360" w:lineRule="auto"/>
              <w:rPr>
                <w:rFonts w:hint="eastAsia" w:ascii="宋体" w:hAnsi="宋体" w:cs="宋体"/>
                <w:color w:val="auto"/>
                <w:szCs w:val="21"/>
              </w:rPr>
            </w:pPr>
            <w:r>
              <w:rPr>
                <w:rFonts w:hint="eastAsia"/>
                <w:sz w:val="21"/>
                <w:lang w:val="en-US" w:eastAsia="zh-CN"/>
              </w:rPr>
              <w:t>（4）无此项内容不得分。</w:t>
            </w:r>
          </w:p>
        </w:tc>
      </w:tr>
      <w:tr w14:paraId="3AAC2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287" w:hRule="atLeast"/>
          <w:jc w:val="center"/>
        </w:trPr>
        <w:tc>
          <w:tcPr>
            <w:tcW w:w="889" w:type="dxa"/>
            <w:gridSpan w:val="2"/>
            <w:vMerge w:val="continue"/>
            <w:noWrap w:val="0"/>
            <w:vAlign w:val="center"/>
          </w:tcPr>
          <w:p w14:paraId="21909D26">
            <w:pPr>
              <w:spacing w:line="400" w:lineRule="exact"/>
              <w:jc w:val="center"/>
              <w:rPr>
                <w:rFonts w:hint="eastAsia" w:ascii="宋体" w:hAnsi="宋体" w:eastAsia="宋体" w:cs="宋体"/>
                <w:color w:val="auto"/>
                <w:kern w:val="2"/>
                <w:sz w:val="21"/>
                <w:szCs w:val="21"/>
                <w:lang w:val="en-US" w:eastAsia="zh-CN" w:bidi="ar-SA"/>
              </w:rPr>
            </w:pPr>
          </w:p>
        </w:tc>
        <w:tc>
          <w:tcPr>
            <w:tcW w:w="1167" w:type="dxa"/>
            <w:vMerge w:val="continue"/>
            <w:noWrap w:val="0"/>
            <w:vAlign w:val="center"/>
          </w:tcPr>
          <w:p w14:paraId="68BC30E7">
            <w:pPr>
              <w:spacing w:line="400" w:lineRule="exact"/>
              <w:jc w:val="center"/>
            </w:pPr>
          </w:p>
        </w:tc>
        <w:tc>
          <w:tcPr>
            <w:tcW w:w="1869" w:type="dxa"/>
            <w:noWrap w:val="0"/>
            <w:vAlign w:val="center"/>
          </w:tcPr>
          <w:p w14:paraId="4B9AD85F">
            <w:pPr>
              <w:spacing w:line="360" w:lineRule="auto"/>
              <w:ind w:left="420" w:hanging="420" w:hangingChars="200"/>
              <w:rPr>
                <w:rFonts w:hint="eastAsia" w:ascii="宋体" w:hAnsi="宋体" w:eastAsia="宋体" w:cs="宋体"/>
                <w:sz w:val="21"/>
                <w:lang w:val="zh-CN" w:eastAsia="zh-CN"/>
              </w:rPr>
            </w:pPr>
            <w:r>
              <w:rPr>
                <w:rFonts w:hint="eastAsia" w:ascii="宋体" w:hAnsi="宋体" w:eastAsia="宋体" w:cs="宋体"/>
                <w:sz w:val="21"/>
                <w:lang w:val="en-US" w:eastAsia="zh-CN"/>
              </w:rPr>
              <w:t>不拖欠农民工工资承诺</w:t>
            </w:r>
          </w:p>
          <w:p w14:paraId="2FB26602">
            <w:pPr>
              <w:spacing w:line="360" w:lineRule="auto"/>
              <w:ind w:firstLine="420" w:firstLineChars="200"/>
              <w:rPr>
                <w:rFonts w:hint="eastAsia" w:ascii="宋体" w:hAnsi="宋体" w:cs="宋体"/>
                <w:color w:val="auto"/>
                <w:kern w:val="0"/>
                <w:szCs w:val="21"/>
              </w:rPr>
            </w:pPr>
            <w:r>
              <w:rPr>
                <w:rFonts w:hint="eastAsia" w:ascii="宋体" w:hAnsi="宋体" w:eastAsia="宋体" w:cs="宋体"/>
                <w:sz w:val="21"/>
                <w:lang w:val="zh-CN" w:eastAsia="zh-CN"/>
              </w:rPr>
              <w:t>（</w:t>
            </w:r>
            <w:r>
              <w:rPr>
                <w:rFonts w:hint="eastAsia" w:ascii="宋体" w:hAnsi="宋体" w:eastAsia="宋体" w:cs="宋体"/>
                <w:sz w:val="21"/>
                <w:lang w:val="en-US" w:eastAsia="zh-CN"/>
              </w:rPr>
              <w:t>3</w:t>
            </w:r>
            <w:r>
              <w:rPr>
                <w:rFonts w:hint="eastAsia" w:ascii="宋体" w:hAnsi="宋体" w:eastAsia="宋体" w:cs="宋体"/>
                <w:sz w:val="21"/>
                <w:lang w:val="zh-CN" w:eastAsia="zh-CN"/>
              </w:rPr>
              <w:t>分）</w:t>
            </w:r>
          </w:p>
        </w:tc>
        <w:tc>
          <w:tcPr>
            <w:tcW w:w="6289" w:type="dxa"/>
            <w:gridSpan w:val="2"/>
            <w:noWrap w:val="0"/>
            <w:vAlign w:val="center"/>
          </w:tcPr>
          <w:p w14:paraId="44719FAF">
            <w:pPr>
              <w:spacing w:line="400" w:lineRule="exact"/>
              <w:rPr>
                <w:rFonts w:hint="eastAsia" w:ascii="宋体" w:hAnsi="宋体" w:eastAsia="宋体" w:cs="宋体"/>
                <w:sz w:val="21"/>
                <w:lang w:val="en-US" w:eastAsia="zh-CN"/>
              </w:rPr>
            </w:pPr>
            <w:r>
              <w:rPr>
                <w:rFonts w:hint="eastAsia" w:ascii="宋体" w:hAnsi="宋体" w:eastAsia="宋体" w:cs="宋体"/>
                <w:sz w:val="21"/>
                <w:lang w:val="en-US" w:eastAsia="zh-CN"/>
              </w:rPr>
              <w:t>根据供应商提供的具有不拖欠农民工工资的具体承诺、相应措施等：</w:t>
            </w:r>
          </w:p>
          <w:p w14:paraId="3281071E">
            <w:pPr>
              <w:numPr>
                <w:ilvl w:val="0"/>
                <w:numId w:val="4"/>
              </w:numPr>
              <w:spacing w:line="400" w:lineRule="exact"/>
              <w:rPr>
                <w:rFonts w:hint="eastAsia" w:ascii="宋体" w:hAnsi="宋体" w:eastAsia="宋体" w:cs="宋体"/>
                <w:sz w:val="21"/>
                <w:lang w:val="en-US" w:eastAsia="zh-CN"/>
              </w:rPr>
            </w:pPr>
            <w:r>
              <w:rPr>
                <w:rFonts w:hint="eastAsia" w:ascii="宋体" w:hAnsi="宋体" w:eastAsia="宋体" w:cs="宋体"/>
                <w:sz w:val="21"/>
                <w:lang w:val="en-US" w:eastAsia="zh-CN"/>
              </w:rPr>
              <w:t>明确作出不拖欠农民工工资的保证，配套措施全面、细化、可落地、涵盖工资专户管理、按月足额发放、考勤台账、维权告知、应急处置、违约追责等内容，权责清晰、约束力与执行性强得3分；</w:t>
            </w:r>
          </w:p>
          <w:p w14:paraId="472F8433">
            <w:pPr>
              <w:numPr>
                <w:ilvl w:val="0"/>
                <w:numId w:val="4"/>
              </w:numPr>
              <w:spacing w:line="400" w:lineRule="exact"/>
              <w:rPr>
                <w:rFonts w:hint="eastAsia" w:ascii="宋体" w:hAnsi="宋体" w:cs="宋体"/>
                <w:color w:val="auto"/>
                <w:szCs w:val="21"/>
              </w:rPr>
            </w:pPr>
            <w:r>
              <w:rPr>
                <w:rFonts w:hint="eastAsia" w:ascii="宋体" w:hAnsi="宋体" w:eastAsia="宋体" w:cs="宋体"/>
                <w:sz w:val="21"/>
                <w:lang w:val="en-US" w:eastAsia="zh-CN"/>
              </w:rPr>
              <w:t>有较为合理的保障措施，内容较为完整，配套措施及权责划分较为细化清晰，整体具备基本约束力与执行效力得1分；</w:t>
            </w:r>
          </w:p>
          <w:p w14:paraId="3A87DB71">
            <w:pPr>
              <w:numPr>
                <w:ilvl w:val="0"/>
                <w:numId w:val="4"/>
              </w:numPr>
              <w:spacing w:line="400" w:lineRule="exact"/>
              <w:rPr>
                <w:rFonts w:hint="eastAsia" w:ascii="宋体" w:hAnsi="宋体" w:cs="宋体"/>
                <w:color w:val="auto"/>
                <w:szCs w:val="21"/>
              </w:rPr>
            </w:pPr>
            <w:r>
              <w:rPr>
                <w:rFonts w:hint="eastAsia" w:ascii="宋体" w:hAnsi="宋体" w:eastAsia="宋体" w:cs="宋体"/>
                <w:sz w:val="21"/>
                <w:lang w:val="en-US" w:eastAsia="zh-CN"/>
              </w:rPr>
              <w:t>具体保障措施一般，或承诺内容模糊、条款缺失，未建立有效工资发放相关管理办法，约束性与可执行性较差的得 0.5分；（4）无此项内容不得分。</w:t>
            </w:r>
          </w:p>
        </w:tc>
      </w:tr>
      <w:tr w14:paraId="2B29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25" w:type="dxa"/>
          <w:trHeight w:val="933" w:hRule="atLeast"/>
          <w:jc w:val="center"/>
        </w:trPr>
        <w:tc>
          <w:tcPr>
            <w:tcW w:w="10214" w:type="dxa"/>
            <w:gridSpan w:val="6"/>
            <w:noWrap w:val="0"/>
            <w:vAlign w:val="center"/>
          </w:tcPr>
          <w:p w14:paraId="7D6D435A">
            <w:pPr>
              <w:spacing w:line="360" w:lineRule="auto"/>
              <w:rPr>
                <w:sz w:val="21"/>
                <w:lang w:val="en-US"/>
              </w:rPr>
            </w:pPr>
            <w:r>
              <w:rPr>
                <w:rFonts w:hint="eastAsia"/>
                <w:sz w:val="21"/>
                <w:lang w:val="en-US"/>
              </w:rPr>
              <w:t>注：(1)磋商小组不对供应商提供的证明、证件等相关资料的真实性负责，但有权提出质疑，供应商应在规定的时间和地点提交澄清。</w:t>
            </w:r>
          </w:p>
          <w:p w14:paraId="322E70D7">
            <w:pPr>
              <w:spacing w:line="360" w:lineRule="auto"/>
              <w:rPr>
                <w:sz w:val="21"/>
                <w:lang w:val="en-US"/>
              </w:rPr>
            </w:pPr>
            <w:r>
              <w:rPr>
                <w:rFonts w:hint="eastAsia"/>
                <w:sz w:val="21"/>
                <w:lang w:val="en-US"/>
              </w:rPr>
              <w:t>（2）供应商应对其提供的证明及证件等资料的真实性和有效性负责，否则将取消其成交资格，并按相关规定处理。</w:t>
            </w:r>
          </w:p>
          <w:p w14:paraId="2D085292">
            <w:pPr>
              <w:spacing w:line="360" w:lineRule="auto"/>
              <w:jc w:val="center"/>
              <w:rPr>
                <w:rFonts w:hint="eastAsia"/>
                <w:sz w:val="21"/>
                <w:lang w:val="en-US"/>
              </w:rPr>
            </w:pPr>
            <w:r>
              <w:rPr>
                <w:rFonts w:hint="eastAsia"/>
                <w:sz w:val="21"/>
                <w:lang w:val="en-US"/>
              </w:rPr>
              <w:t>（3）供应商编制响应文件时，涉及营业执照、资质、业绩、获奖、人员、财务、纳税、各类证书等内容，原</w:t>
            </w:r>
          </w:p>
          <w:p w14:paraId="5288B430">
            <w:pPr>
              <w:numPr>
                <w:ilvl w:val="0"/>
                <w:numId w:val="0"/>
              </w:numPr>
              <w:spacing w:line="400" w:lineRule="exact"/>
              <w:rPr>
                <w:rFonts w:hint="eastAsia" w:ascii="宋体" w:hAnsi="宋体" w:eastAsia="宋体" w:cs="宋体"/>
                <w:sz w:val="21"/>
                <w:lang w:val="en-US" w:eastAsia="zh-CN"/>
              </w:rPr>
            </w:pPr>
            <w:r>
              <w:rPr>
                <w:rFonts w:hint="eastAsia"/>
                <w:sz w:val="21"/>
                <w:lang w:val="en-US"/>
              </w:rPr>
              <w:t>件扫描编制在响应文件内，并作为评分依据，磋商小组不再核查原件，以递交的响应文件中的内容为准。</w:t>
            </w:r>
          </w:p>
        </w:tc>
      </w:tr>
    </w:tbl>
    <w:p w14:paraId="7163B92E">
      <w:pPr>
        <w:pStyle w:val="3"/>
        <w:tabs>
          <w:tab w:val="left" w:pos="640"/>
        </w:tabs>
        <w:spacing w:before="65" w:after="120" w:afterLines="50"/>
        <w:ind w:left="0" w:firstLine="0"/>
        <w:rPr>
          <w:rFonts w:hint="eastAsia" w:ascii="宋体" w:hAnsi="宋体" w:eastAsia="宋体" w:cs="宋体"/>
          <w:lang w:val="en-US"/>
        </w:rPr>
      </w:pPr>
    </w:p>
    <w:p w14:paraId="555CD825">
      <w:pPr>
        <w:pStyle w:val="3"/>
        <w:tabs>
          <w:tab w:val="left" w:pos="640"/>
        </w:tabs>
        <w:spacing w:before="65" w:after="120" w:afterLines="50"/>
        <w:ind w:left="0" w:firstLine="0"/>
        <w:rPr>
          <w:rFonts w:hint="eastAsia" w:ascii="宋体" w:hAnsi="宋体" w:eastAsia="宋体" w:cs="宋体"/>
          <w:lang w:val="en-US"/>
        </w:rPr>
      </w:pPr>
    </w:p>
    <w:p w14:paraId="63041344">
      <w:pPr>
        <w:pStyle w:val="3"/>
        <w:tabs>
          <w:tab w:val="left" w:pos="640"/>
        </w:tabs>
        <w:spacing w:before="65" w:after="120" w:afterLines="50"/>
        <w:ind w:left="0" w:firstLine="0"/>
        <w:rPr>
          <w:rFonts w:hint="eastAsia" w:ascii="宋体" w:hAnsi="宋体" w:eastAsia="宋体" w:cs="宋体"/>
          <w:lang w:val="en-US"/>
        </w:rPr>
      </w:pPr>
    </w:p>
    <w:p w14:paraId="3C122A9E">
      <w:pPr>
        <w:pStyle w:val="3"/>
        <w:tabs>
          <w:tab w:val="left" w:pos="640"/>
        </w:tabs>
        <w:spacing w:before="65" w:after="120" w:afterLines="50"/>
        <w:ind w:left="0" w:firstLine="0"/>
        <w:rPr>
          <w:rFonts w:ascii="宋体" w:hAnsi="宋体" w:eastAsia="宋体" w:cs="宋体"/>
        </w:rPr>
      </w:pPr>
      <w:r>
        <w:rPr>
          <w:rFonts w:hint="eastAsia" w:ascii="宋体" w:hAnsi="宋体" w:eastAsia="宋体" w:cs="宋体"/>
          <w:lang w:val="en-US"/>
        </w:rPr>
        <w:t>1.评审</w:t>
      </w:r>
      <w:r>
        <w:rPr>
          <w:rFonts w:hint="eastAsia" w:ascii="宋体" w:hAnsi="宋体" w:eastAsia="宋体" w:cs="宋体"/>
        </w:rPr>
        <w:t>方法</w:t>
      </w:r>
    </w:p>
    <w:p w14:paraId="35868932">
      <w:pPr>
        <w:pStyle w:val="12"/>
        <w:spacing w:line="364" w:lineRule="auto"/>
        <w:ind w:left="240" w:right="704" w:firstLine="420"/>
        <w:jc w:val="both"/>
        <w:rPr>
          <w:rFonts w:hint="eastAsia"/>
          <w:szCs w:val="22"/>
          <w:lang w:val="en-US"/>
        </w:rPr>
      </w:pPr>
      <w:r>
        <w:rPr>
          <w:rFonts w:hint="eastAsia"/>
          <w:szCs w:val="22"/>
          <w:lang w:val="en-US"/>
        </w:rPr>
        <w:t>本次评审采用综合评分法。磋商小组对满足磋商文件实质性要求且提交最后报价的响应文件，</w:t>
      </w:r>
    </w:p>
    <w:p w14:paraId="114104F6">
      <w:pPr>
        <w:pStyle w:val="12"/>
        <w:spacing w:line="364" w:lineRule="auto"/>
        <w:ind w:right="704"/>
        <w:jc w:val="both"/>
        <w:rPr>
          <w:spacing w:val="-2"/>
          <w:lang w:val="en-US"/>
        </w:rPr>
      </w:pPr>
      <w:r>
        <w:rPr>
          <w:rFonts w:hint="eastAsia"/>
          <w:szCs w:val="22"/>
          <w:lang w:val="en-US"/>
        </w:rPr>
        <w:t>按照本章第3款规定的评分标准进行打分，并按得分由高到低顺序推荐成交候选供应商名单。</w:t>
      </w:r>
      <w:r>
        <w:rPr>
          <w:rFonts w:hint="eastAsia"/>
          <w:spacing w:val="-2"/>
          <w:lang w:val="en-US"/>
        </w:rPr>
        <w:t>评审得分相同的，按照投标报价由低到高的顺序推荐；评审得分且报价相同的并列</w:t>
      </w:r>
      <w:r>
        <w:rPr>
          <w:rFonts w:hint="eastAsia"/>
          <w:spacing w:val="-2"/>
          <w:lang w:val="en-US" w:eastAsia="zh-CN"/>
        </w:rPr>
        <w:t>，按照技术指标优劣顺序推荐</w:t>
      </w:r>
      <w:r>
        <w:rPr>
          <w:rFonts w:hint="eastAsia"/>
          <w:spacing w:val="-2"/>
          <w:lang w:val="en-US"/>
        </w:rPr>
        <w:t>。</w:t>
      </w:r>
    </w:p>
    <w:p w14:paraId="3F700CA1">
      <w:pPr>
        <w:pStyle w:val="3"/>
        <w:numPr>
          <w:ilvl w:val="0"/>
          <w:numId w:val="5"/>
        </w:numPr>
        <w:tabs>
          <w:tab w:val="left" w:pos="640"/>
        </w:tabs>
        <w:spacing w:before="65" w:after="120" w:afterLines="50"/>
        <w:ind w:left="635" w:hanging="397"/>
        <w:rPr>
          <w:b/>
          <w:sz w:val="43"/>
        </w:rPr>
      </w:pPr>
      <w:bookmarkStart w:id="103" w:name="_TOC_250124"/>
      <w:bookmarkEnd w:id="103"/>
      <w:r>
        <w:rPr>
          <w:rFonts w:hint="eastAsia" w:ascii="宋体" w:hAnsi="宋体" w:eastAsia="宋体" w:cs="宋体"/>
        </w:rPr>
        <w:t>评审标准</w:t>
      </w:r>
    </w:p>
    <w:p w14:paraId="4A89E5B9"/>
    <w:p w14:paraId="3E3839CD">
      <w:pPr>
        <w:pStyle w:val="4"/>
        <w:numPr>
          <w:ilvl w:val="1"/>
          <w:numId w:val="5"/>
        </w:numPr>
        <w:tabs>
          <w:tab w:val="left" w:pos="867"/>
        </w:tabs>
        <w:spacing w:before="1"/>
        <w:rPr>
          <w:sz w:val="21"/>
        </w:rPr>
      </w:pPr>
      <w:bookmarkStart w:id="104" w:name="_TOC_250123"/>
      <w:bookmarkEnd w:id="104"/>
      <w:r>
        <w:rPr>
          <w:rFonts w:hint="eastAsia" w:ascii="宋体" w:hAnsi="宋体" w:eastAsia="宋体" w:cs="宋体"/>
          <w:b/>
        </w:rPr>
        <w:t>初步评审标准</w:t>
      </w:r>
    </w:p>
    <w:p w14:paraId="70EBDFF0"/>
    <w:p w14:paraId="35688588">
      <w:pPr>
        <w:pStyle w:val="37"/>
        <w:numPr>
          <w:ilvl w:val="2"/>
          <w:numId w:val="5"/>
        </w:numPr>
        <w:tabs>
          <w:tab w:val="left" w:pos="1185"/>
        </w:tabs>
        <w:spacing w:before="131"/>
        <w:ind w:hanging="524"/>
        <w:rPr>
          <w:sz w:val="21"/>
        </w:rPr>
      </w:pPr>
      <w:r>
        <w:rPr>
          <w:sz w:val="21"/>
        </w:rPr>
        <w:t>资格评审标准：见</w:t>
      </w:r>
      <w:r>
        <w:rPr>
          <w:rFonts w:hint="eastAsia"/>
          <w:sz w:val="21"/>
          <w:lang w:val="en-US"/>
        </w:rPr>
        <w:t>评审</w:t>
      </w:r>
      <w:r>
        <w:rPr>
          <w:sz w:val="21"/>
        </w:rPr>
        <w:t>办法前附表。</w:t>
      </w:r>
    </w:p>
    <w:p w14:paraId="071BDA38">
      <w:pPr>
        <w:pStyle w:val="37"/>
        <w:numPr>
          <w:ilvl w:val="2"/>
          <w:numId w:val="5"/>
        </w:numPr>
        <w:tabs>
          <w:tab w:val="left" w:pos="1185"/>
        </w:tabs>
        <w:spacing w:before="131"/>
        <w:ind w:hanging="524"/>
        <w:rPr>
          <w:sz w:val="21"/>
        </w:rPr>
      </w:pPr>
      <w:r>
        <w:rPr>
          <w:rFonts w:hint="eastAsia"/>
          <w:sz w:val="21"/>
        </w:rPr>
        <w:t>符合</w:t>
      </w:r>
      <w:r>
        <w:rPr>
          <w:sz w:val="21"/>
        </w:rPr>
        <w:t>性评审标准：见</w:t>
      </w:r>
      <w:r>
        <w:rPr>
          <w:rFonts w:hint="eastAsia"/>
          <w:sz w:val="21"/>
          <w:lang w:val="en-US"/>
        </w:rPr>
        <w:t>评审</w:t>
      </w:r>
      <w:r>
        <w:rPr>
          <w:sz w:val="21"/>
        </w:rPr>
        <w:t>办法前附表。</w:t>
      </w:r>
    </w:p>
    <w:p w14:paraId="64B21C84">
      <w:pPr>
        <w:pStyle w:val="12"/>
        <w:spacing w:before="2"/>
        <w:rPr>
          <w:b/>
          <w:sz w:val="28"/>
          <w:szCs w:val="28"/>
        </w:rPr>
      </w:pPr>
    </w:p>
    <w:p w14:paraId="7894A8F0">
      <w:pPr>
        <w:pStyle w:val="4"/>
        <w:numPr>
          <w:ilvl w:val="1"/>
          <w:numId w:val="5"/>
        </w:numPr>
        <w:tabs>
          <w:tab w:val="left" w:pos="867"/>
        </w:tabs>
        <w:rPr>
          <w:rFonts w:ascii="宋体" w:hAnsi="宋体" w:eastAsia="宋体" w:cs="宋体"/>
          <w:b/>
        </w:rPr>
      </w:pPr>
      <w:bookmarkStart w:id="105" w:name="_TOC_250122"/>
      <w:bookmarkEnd w:id="105"/>
      <w:r>
        <w:rPr>
          <w:rFonts w:hint="eastAsia" w:ascii="宋体" w:hAnsi="宋体" w:eastAsia="宋体" w:cs="宋体"/>
          <w:b/>
        </w:rPr>
        <w:t>分值构成与评分标准</w:t>
      </w:r>
    </w:p>
    <w:p w14:paraId="1B5E0D56">
      <w:pPr>
        <w:pStyle w:val="12"/>
        <w:rPr>
          <w:rFonts w:ascii="黑体"/>
          <w:sz w:val="29"/>
        </w:rPr>
      </w:pPr>
    </w:p>
    <w:p w14:paraId="550DBA94">
      <w:pPr>
        <w:pStyle w:val="37"/>
        <w:numPr>
          <w:ilvl w:val="2"/>
          <w:numId w:val="5"/>
        </w:numPr>
        <w:tabs>
          <w:tab w:val="left" w:pos="1185"/>
        </w:tabs>
        <w:ind w:hanging="524"/>
        <w:rPr>
          <w:sz w:val="21"/>
        </w:rPr>
      </w:pPr>
      <w:r>
        <w:rPr>
          <w:sz w:val="21"/>
        </w:rPr>
        <w:t>分值构成</w:t>
      </w:r>
    </w:p>
    <w:p w14:paraId="0C614BD4">
      <w:pPr>
        <w:pStyle w:val="37"/>
        <w:numPr>
          <w:ilvl w:val="0"/>
          <w:numId w:val="6"/>
        </w:numPr>
        <w:tabs>
          <w:tab w:val="left" w:pos="1186"/>
        </w:tabs>
        <w:spacing w:before="130"/>
        <w:ind w:hanging="525"/>
        <w:rPr>
          <w:sz w:val="21"/>
        </w:rPr>
      </w:pPr>
      <w:r>
        <w:rPr>
          <w:rFonts w:hint="eastAsia"/>
          <w:sz w:val="21"/>
          <w:lang w:val="en-US" w:eastAsia="zh-CN"/>
        </w:rPr>
        <w:t>商务</w:t>
      </w:r>
      <w:r>
        <w:rPr>
          <w:sz w:val="21"/>
        </w:rPr>
        <w:t>部分：见</w:t>
      </w:r>
      <w:r>
        <w:rPr>
          <w:rFonts w:hint="eastAsia"/>
          <w:sz w:val="21"/>
          <w:lang w:val="en-US"/>
        </w:rPr>
        <w:t>评审</w:t>
      </w:r>
      <w:r>
        <w:rPr>
          <w:sz w:val="21"/>
        </w:rPr>
        <w:t>办法前附表；</w:t>
      </w:r>
    </w:p>
    <w:p w14:paraId="45EFEFA8">
      <w:pPr>
        <w:pStyle w:val="37"/>
        <w:numPr>
          <w:ilvl w:val="0"/>
          <w:numId w:val="6"/>
        </w:numPr>
        <w:tabs>
          <w:tab w:val="left" w:pos="1186"/>
        </w:tabs>
        <w:spacing w:before="132"/>
        <w:ind w:hanging="525"/>
        <w:rPr>
          <w:sz w:val="21"/>
        </w:rPr>
      </w:pPr>
      <w:r>
        <w:rPr>
          <w:rFonts w:hint="eastAsia"/>
          <w:sz w:val="21"/>
          <w:lang w:val="en-US" w:eastAsia="zh-CN"/>
        </w:rPr>
        <w:t>技术</w:t>
      </w:r>
      <w:r>
        <w:rPr>
          <w:sz w:val="21"/>
        </w:rPr>
        <w:t>部分：见</w:t>
      </w:r>
      <w:r>
        <w:rPr>
          <w:rFonts w:hint="eastAsia"/>
          <w:sz w:val="21"/>
          <w:lang w:val="en-US"/>
        </w:rPr>
        <w:t>评审</w:t>
      </w:r>
      <w:r>
        <w:rPr>
          <w:sz w:val="21"/>
        </w:rPr>
        <w:t>办法前附表；</w:t>
      </w:r>
    </w:p>
    <w:p w14:paraId="26129842">
      <w:pPr>
        <w:pStyle w:val="37"/>
        <w:numPr>
          <w:ilvl w:val="0"/>
          <w:numId w:val="6"/>
        </w:numPr>
        <w:tabs>
          <w:tab w:val="left" w:pos="1186"/>
        </w:tabs>
        <w:spacing w:before="131"/>
        <w:ind w:hanging="525"/>
        <w:rPr>
          <w:sz w:val="21"/>
        </w:rPr>
      </w:pPr>
      <w:r>
        <w:rPr>
          <w:rFonts w:hint="eastAsia"/>
          <w:sz w:val="21"/>
          <w:lang w:val="en-US" w:eastAsia="zh-CN"/>
        </w:rPr>
        <w:t>综合</w:t>
      </w:r>
      <w:r>
        <w:rPr>
          <w:rFonts w:hint="eastAsia"/>
          <w:sz w:val="21"/>
          <w:lang w:val="en-US"/>
        </w:rPr>
        <w:t>部分</w:t>
      </w:r>
      <w:r>
        <w:rPr>
          <w:sz w:val="21"/>
        </w:rPr>
        <w:t>：见</w:t>
      </w:r>
      <w:r>
        <w:rPr>
          <w:rFonts w:hint="eastAsia"/>
          <w:sz w:val="21"/>
          <w:lang w:val="en-US"/>
        </w:rPr>
        <w:t>评审</w:t>
      </w:r>
      <w:r>
        <w:rPr>
          <w:sz w:val="21"/>
        </w:rPr>
        <w:t>办法前附表；</w:t>
      </w:r>
    </w:p>
    <w:p w14:paraId="20F43AE0">
      <w:pPr>
        <w:pStyle w:val="37"/>
        <w:numPr>
          <w:ilvl w:val="2"/>
          <w:numId w:val="5"/>
        </w:numPr>
        <w:tabs>
          <w:tab w:val="left" w:pos="1185"/>
        </w:tabs>
        <w:spacing w:before="132"/>
        <w:ind w:hanging="524"/>
        <w:rPr>
          <w:sz w:val="21"/>
        </w:rPr>
      </w:pPr>
      <w:r>
        <w:rPr>
          <w:rFonts w:hint="eastAsia"/>
          <w:sz w:val="21"/>
          <w:lang w:val="en-US"/>
        </w:rPr>
        <w:t>评审</w:t>
      </w:r>
      <w:r>
        <w:rPr>
          <w:sz w:val="21"/>
        </w:rPr>
        <w:t>基准价计算</w:t>
      </w:r>
    </w:p>
    <w:p w14:paraId="26182897">
      <w:pPr>
        <w:pStyle w:val="12"/>
        <w:spacing w:before="131"/>
        <w:ind w:left="660"/>
      </w:pPr>
      <w:r>
        <w:rPr>
          <w:rFonts w:hint="eastAsia"/>
          <w:lang w:val="en-US"/>
        </w:rPr>
        <w:t>评审</w:t>
      </w:r>
      <w:r>
        <w:t>基准价计算方法：见</w:t>
      </w:r>
      <w:r>
        <w:rPr>
          <w:rFonts w:hint="eastAsia"/>
          <w:lang w:val="en-US"/>
        </w:rPr>
        <w:t>评审</w:t>
      </w:r>
      <w:r>
        <w:t>办法前附表。</w:t>
      </w:r>
    </w:p>
    <w:p w14:paraId="317ABB2C">
      <w:pPr>
        <w:pStyle w:val="37"/>
        <w:numPr>
          <w:ilvl w:val="2"/>
          <w:numId w:val="5"/>
        </w:numPr>
        <w:tabs>
          <w:tab w:val="left" w:pos="1185"/>
        </w:tabs>
        <w:spacing w:before="130"/>
        <w:ind w:hanging="524"/>
        <w:rPr>
          <w:sz w:val="21"/>
        </w:rPr>
      </w:pPr>
      <w:r>
        <w:rPr>
          <w:sz w:val="21"/>
        </w:rPr>
        <w:t>评分标准</w:t>
      </w:r>
    </w:p>
    <w:p w14:paraId="6F86405C">
      <w:pPr>
        <w:pStyle w:val="37"/>
        <w:numPr>
          <w:ilvl w:val="0"/>
          <w:numId w:val="7"/>
        </w:numPr>
        <w:tabs>
          <w:tab w:val="left" w:pos="1186"/>
        </w:tabs>
        <w:spacing w:before="131"/>
        <w:ind w:hanging="525"/>
        <w:rPr>
          <w:sz w:val="21"/>
        </w:rPr>
      </w:pPr>
      <w:r>
        <w:rPr>
          <w:rFonts w:hint="eastAsia"/>
          <w:sz w:val="21"/>
          <w:lang w:val="en-US" w:eastAsia="zh-CN"/>
        </w:rPr>
        <w:t>商务</w:t>
      </w:r>
      <w:r>
        <w:rPr>
          <w:rFonts w:hint="eastAsia"/>
          <w:sz w:val="21"/>
          <w:lang w:val="en-US"/>
        </w:rPr>
        <w:t>部分</w:t>
      </w:r>
      <w:r>
        <w:rPr>
          <w:sz w:val="21"/>
        </w:rPr>
        <w:t>：见</w:t>
      </w:r>
      <w:r>
        <w:rPr>
          <w:rFonts w:hint="eastAsia"/>
          <w:sz w:val="21"/>
          <w:lang w:val="en-US"/>
        </w:rPr>
        <w:t>评审</w:t>
      </w:r>
      <w:r>
        <w:rPr>
          <w:sz w:val="21"/>
        </w:rPr>
        <w:t>办法前附表；</w:t>
      </w:r>
    </w:p>
    <w:p w14:paraId="4388E522">
      <w:pPr>
        <w:pStyle w:val="37"/>
        <w:tabs>
          <w:tab w:val="left" w:pos="1186"/>
        </w:tabs>
        <w:spacing w:before="132"/>
        <w:ind w:left="660" w:firstLine="0"/>
        <w:rPr>
          <w:sz w:val="21"/>
        </w:rPr>
      </w:pPr>
      <w:r>
        <w:rPr>
          <w:rFonts w:hint="eastAsia"/>
          <w:sz w:val="21"/>
          <w:lang w:val="en-US"/>
        </w:rPr>
        <w:t>（2）</w:t>
      </w:r>
      <w:r>
        <w:rPr>
          <w:rFonts w:hint="eastAsia"/>
          <w:sz w:val="21"/>
          <w:lang w:val="en-US" w:eastAsia="zh-CN"/>
        </w:rPr>
        <w:t>技术</w:t>
      </w:r>
      <w:r>
        <w:rPr>
          <w:sz w:val="21"/>
        </w:rPr>
        <w:t>部分：见</w:t>
      </w:r>
      <w:r>
        <w:rPr>
          <w:rFonts w:hint="eastAsia"/>
          <w:sz w:val="21"/>
          <w:lang w:val="en-US"/>
        </w:rPr>
        <w:t>评审</w:t>
      </w:r>
      <w:r>
        <w:rPr>
          <w:sz w:val="21"/>
        </w:rPr>
        <w:t>办法前附表；</w:t>
      </w:r>
    </w:p>
    <w:p w14:paraId="37E73FEF">
      <w:pPr>
        <w:pStyle w:val="37"/>
        <w:tabs>
          <w:tab w:val="left" w:pos="1186"/>
        </w:tabs>
        <w:spacing w:before="130"/>
        <w:ind w:left="660" w:firstLine="0"/>
        <w:rPr>
          <w:sz w:val="21"/>
        </w:rPr>
      </w:pPr>
      <w:r>
        <w:rPr>
          <w:rFonts w:hint="eastAsia"/>
          <w:sz w:val="21"/>
          <w:lang w:val="en-US"/>
        </w:rPr>
        <w:t>（3）</w:t>
      </w:r>
      <w:r>
        <w:rPr>
          <w:rFonts w:hint="eastAsia"/>
          <w:sz w:val="21"/>
          <w:lang w:val="en-US" w:eastAsia="zh-CN"/>
        </w:rPr>
        <w:t>综合</w:t>
      </w:r>
      <w:r>
        <w:rPr>
          <w:rFonts w:hint="eastAsia"/>
          <w:sz w:val="21"/>
          <w:lang w:val="en-US"/>
        </w:rPr>
        <w:t>部分</w:t>
      </w:r>
      <w:r>
        <w:rPr>
          <w:sz w:val="21"/>
        </w:rPr>
        <w:t>：见</w:t>
      </w:r>
      <w:r>
        <w:rPr>
          <w:rFonts w:hint="eastAsia"/>
          <w:sz w:val="21"/>
          <w:lang w:val="en-US"/>
        </w:rPr>
        <w:t>评审</w:t>
      </w:r>
      <w:r>
        <w:rPr>
          <w:sz w:val="21"/>
        </w:rPr>
        <w:t>办法前附表；</w:t>
      </w:r>
    </w:p>
    <w:p w14:paraId="14DCE90C">
      <w:pPr>
        <w:pStyle w:val="12"/>
        <w:spacing w:before="1"/>
        <w:rPr>
          <w:b/>
          <w:bCs/>
          <w:sz w:val="22"/>
        </w:rPr>
      </w:pPr>
    </w:p>
    <w:p w14:paraId="2515A3E5">
      <w:pPr>
        <w:pStyle w:val="3"/>
        <w:numPr>
          <w:ilvl w:val="0"/>
          <w:numId w:val="5"/>
        </w:numPr>
        <w:tabs>
          <w:tab w:val="left" w:pos="640"/>
        </w:tabs>
        <w:ind w:hanging="399"/>
        <w:rPr>
          <w:rFonts w:ascii="宋体" w:hAnsi="宋体" w:eastAsia="宋体" w:cs="宋体"/>
          <w:sz w:val="43"/>
        </w:rPr>
      </w:pPr>
      <w:bookmarkStart w:id="106" w:name="_TOC_250121"/>
      <w:bookmarkEnd w:id="106"/>
      <w:r>
        <w:rPr>
          <w:rFonts w:hint="eastAsia" w:ascii="宋体" w:hAnsi="宋体" w:eastAsia="宋体" w:cs="宋体"/>
          <w:lang w:val="en-US"/>
        </w:rPr>
        <w:t>评审</w:t>
      </w:r>
      <w:r>
        <w:rPr>
          <w:rFonts w:hint="eastAsia" w:ascii="宋体" w:hAnsi="宋体" w:eastAsia="宋体" w:cs="宋体"/>
        </w:rPr>
        <w:t>程序</w:t>
      </w:r>
    </w:p>
    <w:p w14:paraId="6AFD95F9"/>
    <w:p w14:paraId="4F9A666D">
      <w:pPr>
        <w:pStyle w:val="4"/>
        <w:numPr>
          <w:ilvl w:val="1"/>
          <w:numId w:val="5"/>
        </w:numPr>
        <w:tabs>
          <w:tab w:val="left" w:pos="867"/>
        </w:tabs>
        <w:rPr>
          <w:rFonts w:ascii="宋体" w:hAnsi="宋体" w:eastAsia="宋体" w:cs="宋体"/>
          <w:b/>
        </w:rPr>
      </w:pPr>
      <w:bookmarkStart w:id="107" w:name="_TOC_250120"/>
      <w:bookmarkEnd w:id="107"/>
      <w:r>
        <w:rPr>
          <w:rFonts w:hint="eastAsia" w:ascii="宋体" w:hAnsi="宋体" w:eastAsia="宋体" w:cs="宋体"/>
          <w:b/>
        </w:rPr>
        <w:t>初步评审</w:t>
      </w:r>
    </w:p>
    <w:p w14:paraId="7D7D0B5B">
      <w:pPr>
        <w:pStyle w:val="12"/>
        <w:spacing w:before="12"/>
        <w:rPr>
          <w:rFonts w:ascii="黑体"/>
          <w:sz w:val="28"/>
        </w:rPr>
      </w:pPr>
    </w:p>
    <w:p w14:paraId="2F0FA077">
      <w:pPr>
        <w:pStyle w:val="37"/>
        <w:numPr>
          <w:ilvl w:val="2"/>
          <w:numId w:val="5"/>
        </w:numPr>
        <w:tabs>
          <w:tab w:val="left" w:pos="1185"/>
        </w:tabs>
        <w:spacing w:line="358" w:lineRule="auto"/>
        <w:ind w:left="238" w:firstLine="420"/>
        <w:jc w:val="both"/>
        <w:rPr>
          <w:sz w:val="21"/>
        </w:rPr>
      </w:pPr>
      <w:r>
        <w:rPr>
          <w:rFonts w:hint="eastAsia"/>
          <w:spacing w:val="-2"/>
          <w:sz w:val="21"/>
          <w:lang w:val="en-US"/>
        </w:rPr>
        <w:t>磋商小组</w:t>
      </w:r>
      <w:r>
        <w:rPr>
          <w:spacing w:val="-2"/>
          <w:sz w:val="21"/>
        </w:rPr>
        <w:t>依据本章第</w:t>
      </w:r>
      <w:r>
        <w:rPr>
          <w:rFonts w:ascii="Times New Roman" w:hAnsi="Times New Roman" w:eastAsia="Times New Roman"/>
          <w:sz w:val="21"/>
        </w:rPr>
        <w:t>2</w:t>
      </w:r>
      <w:r>
        <w:rPr>
          <w:sz w:val="21"/>
        </w:rPr>
        <w:t>款规定的标准对</w:t>
      </w:r>
      <w:r>
        <w:rPr>
          <w:rFonts w:hint="eastAsia"/>
          <w:sz w:val="21"/>
          <w:lang w:val="en-US"/>
        </w:rPr>
        <w:t>响应</w:t>
      </w:r>
      <w:r>
        <w:rPr>
          <w:sz w:val="21"/>
        </w:rPr>
        <w:t>文件进行初步评审。有一项不符合评审标准的，</w:t>
      </w:r>
      <w:r>
        <w:rPr>
          <w:rFonts w:hint="eastAsia"/>
          <w:sz w:val="21"/>
        </w:rPr>
        <w:t>磋商小组</w:t>
      </w:r>
      <w:r>
        <w:rPr>
          <w:sz w:val="21"/>
        </w:rPr>
        <w:t>应当否决其投标。</w:t>
      </w:r>
      <w:r>
        <w:rPr>
          <w:rFonts w:hint="eastAsia"/>
          <w:sz w:val="21"/>
          <w:lang w:val="en-US"/>
        </w:rPr>
        <w:t>经磋商确定实质性响应及提交最后报价的供应商后，由磋商小组采用第3款规定的评审办法对提交最后报价的供应商的响应文件和最后报价进行综合评分。</w:t>
      </w:r>
    </w:p>
    <w:p w14:paraId="72010609">
      <w:pPr>
        <w:pStyle w:val="37"/>
        <w:numPr>
          <w:ilvl w:val="2"/>
          <w:numId w:val="5"/>
        </w:numPr>
        <w:tabs>
          <w:tab w:val="left" w:pos="1185"/>
        </w:tabs>
        <w:spacing w:line="357" w:lineRule="auto"/>
        <w:ind w:left="239" w:right="645" w:firstLine="421"/>
        <w:jc w:val="both"/>
        <w:rPr>
          <w:sz w:val="21"/>
        </w:rPr>
      </w:pPr>
      <w:r>
        <w:rPr>
          <w:rFonts w:hint="eastAsia"/>
          <w:sz w:val="21"/>
          <w:lang w:val="en-US"/>
        </w:rPr>
        <w:t>供应商</w:t>
      </w:r>
      <w:r>
        <w:rPr>
          <w:sz w:val="21"/>
        </w:rPr>
        <w:t>有以下情形之一的，</w:t>
      </w:r>
      <w:r>
        <w:rPr>
          <w:rFonts w:hint="eastAsia"/>
          <w:sz w:val="21"/>
          <w:lang w:val="en-US"/>
        </w:rPr>
        <w:t>磋商小组</w:t>
      </w:r>
      <w:r>
        <w:rPr>
          <w:sz w:val="21"/>
        </w:rPr>
        <w:t>应当否决其投标：</w:t>
      </w:r>
    </w:p>
    <w:p w14:paraId="69ABD562">
      <w:pPr>
        <w:pStyle w:val="37"/>
        <w:tabs>
          <w:tab w:val="left" w:pos="1185"/>
        </w:tabs>
        <w:spacing w:line="358" w:lineRule="auto"/>
        <w:ind w:left="658" w:firstLine="0"/>
        <w:jc w:val="both"/>
        <w:rPr>
          <w:sz w:val="21"/>
        </w:rPr>
      </w:pPr>
      <w:r>
        <w:rPr>
          <w:rFonts w:hint="eastAsia"/>
          <w:sz w:val="21"/>
        </w:rPr>
        <w:t>（</w:t>
      </w:r>
      <w:r>
        <w:rPr>
          <w:rFonts w:hint="eastAsia"/>
          <w:sz w:val="21"/>
          <w:lang w:val="en-US"/>
        </w:rPr>
        <w:t>1</w:t>
      </w:r>
      <w:r>
        <w:rPr>
          <w:rFonts w:hint="eastAsia"/>
          <w:sz w:val="21"/>
        </w:rPr>
        <w:t>）</w:t>
      </w:r>
      <w:r>
        <w:rPr>
          <w:rFonts w:hint="eastAsia"/>
          <w:sz w:val="21"/>
          <w:lang w:val="en-US"/>
        </w:rPr>
        <w:t>响应</w:t>
      </w:r>
      <w:r>
        <w:rPr>
          <w:sz w:val="21"/>
        </w:rPr>
        <w:t>文件没有对</w:t>
      </w:r>
      <w:r>
        <w:rPr>
          <w:rFonts w:hint="eastAsia"/>
          <w:sz w:val="21"/>
          <w:lang w:val="en-US"/>
        </w:rPr>
        <w:t>磋商</w:t>
      </w:r>
      <w:r>
        <w:rPr>
          <w:sz w:val="21"/>
        </w:rPr>
        <w:t>文件的实质性要求和条件作出响应，或者对</w:t>
      </w:r>
      <w:r>
        <w:rPr>
          <w:rFonts w:hint="eastAsia"/>
          <w:sz w:val="21"/>
          <w:lang w:val="en-US"/>
        </w:rPr>
        <w:t>磋商</w:t>
      </w:r>
      <w:r>
        <w:rPr>
          <w:sz w:val="21"/>
        </w:rPr>
        <w:t>文件的偏差超出</w:t>
      </w:r>
      <w:r>
        <w:rPr>
          <w:rFonts w:hint="eastAsia"/>
          <w:sz w:val="21"/>
          <w:lang w:val="en-US"/>
        </w:rPr>
        <w:t>磋商</w:t>
      </w:r>
      <w:r>
        <w:rPr>
          <w:sz w:val="21"/>
        </w:rPr>
        <w:t>文件规定的偏差范围或最高项数；</w:t>
      </w:r>
    </w:p>
    <w:p w14:paraId="57DFA58D">
      <w:pPr>
        <w:pStyle w:val="37"/>
        <w:tabs>
          <w:tab w:val="left" w:pos="1185"/>
        </w:tabs>
        <w:spacing w:line="357" w:lineRule="auto"/>
        <w:ind w:left="660" w:right="645" w:firstLine="0"/>
        <w:jc w:val="both"/>
        <w:rPr>
          <w:sz w:val="21"/>
        </w:rPr>
      </w:pPr>
      <w:r>
        <w:rPr>
          <w:rFonts w:hint="eastAsia"/>
          <w:sz w:val="21"/>
        </w:rPr>
        <w:t>（</w:t>
      </w:r>
      <w:r>
        <w:rPr>
          <w:rFonts w:hint="eastAsia"/>
          <w:sz w:val="21"/>
          <w:lang w:val="en-US"/>
        </w:rPr>
        <w:t>2</w:t>
      </w:r>
      <w:r>
        <w:rPr>
          <w:rFonts w:hint="eastAsia"/>
          <w:sz w:val="21"/>
        </w:rPr>
        <w:t>）</w:t>
      </w:r>
      <w:r>
        <w:rPr>
          <w:sz w:val="21"/>
        </w:rPr>
        <w:t>有串通投标、弄虚作假、行贿等违法行为</w:t>
      </w:r>
      <w:r>
        <w:rPr>
          <w:rFonts w:hint="eastAsia"/>
          <w:sz w:val="21"/>
        </w:rPr>
        <w:t>；</w:t>
      </w:r>
    </w:p>
    <w:p w14:paraId="0F283F60">
      <w:pPr>
        <w:pStyle w:val="37"/>
        <w:tabs>
          <w:tab w:val="left" w:pos="1185"/>
        </w:tabs>
        <w:spacing w:line="357" w:lineRule="auto"/>
        <w:ind w:left="660" w:right="645" w:firstLine="0"/>
        <w:jc w:val="both"/>
        <w:rPr>
          <w:sz w:val="21"/>
        </w:rPr>
      </w:pPr>
      <w:r>
        <w:rPr>
          <w:rFonts w:hint="eastAsia"/>
          <w:sz w:val="21"/>
          <w:lang w:val="en-US"/>
        </w:rPr>
        <w:t>（3）不按磋商小组要求进行澄清、说明或补正的；</w:t>
      </w:r>
    </w:p>
    <w:p w14:paraId="5D6B4EE2">
      <w:pPr>
        <w:pStyle w:val="37"/>
        <w:tabs>
          <w:tab w:val="left" w:pos="1185"/>
        </w:tabs>
        <w:spacing w:line="360" w:lineRule="auto"/>
        <w:ind w:left="660" w:right="645" w:firstLine="0"/>
        <w:jc w:val="both"/>
        <w:rPr>
          <w:sz w:val="21"/>
        </w:rPr>
      </w:pPr>
      <w:r>
        <w:rPr>
          <w:rFonts w:hint="eastAsia"/>
          <w:sz w:val="21"/>
          <w:lang w:val="en-US"/>
        </w:rPr>
        <w:t>（4）响应文件未按磋商文件要求正确签署的；</w:t>
      </w:r>
    </w:p>
    <w:p w14:paraId="53C7E251">
      <w:pPr>
        <w:pStyle w:val="37"/>
        <w:tabs>
          <w:tab w:val="left" w:pos="1185"/>
        </w:tabs>
        <w:spacing w:line="360" w:lineRule="auto"/>
        <w:ind w:left="660" w:right="645" w:firstLine="0"/>
        <w:jc w:val="both"/>
        <w:rPr>
          <w:sz w:val="21"/>
          <w:lang w:val="en-US"/>
        </w:rPr>
      </w:pPr>
      <w:r>
        <w:rPr>
          <w:rFonts w:hint="eastAsia"/>
          <w:sz w:val="21"/>
          <w:lang w:val="en-US"/>
        </w:rPr>
        <w:t>（5）响应文件中附有采购人不能接受的条件；</w:t>
      </w:r>
    </w:p>
    <w:p w14:paraId="6181C3B6">
      <w:pPr>
        <w:pStyle w:val="37"/>
        <w:tabs>
          <w:tab w:val="left" w:pos="1185"/>
        </w:tabs>
        <w:spacing w:line="360" w:lineRule="auto"/>
        <w:ind w:left="660" w:right="645" w:firstLine="0"/>
        <w:jc w:val="both"/>
        <w:rPr>
          <w:sz w:val="21"/>
          <w:lang w:val="en-US"/>
        </w:rPr>
      </w:pPr>
      <w:r>
        <w:rPr>
          <w:rFonts w:hint="eastAsia"/>
          <w:sz w:val="21"/>
          <w:lang w:val="en-US"/>
        </w:rPr>
        <w:t>（6）不符合第二章“供应商须知”第1.4.1项规定的任何一种情形的。</w:t>
      </w:r>
    </w:p>
    <w:p w14:paraId="1E9BB31E">
      <w:pPr>
        <w:pStyle w:val="37"/>
        <w:tabs>
          <w:tab w:val="left" w:pos="1185"/>
        </w:tabs>
        <w:spacing w:before="130" w:line="360" w:lineRule="auto"/>
        <w:ind w:left="0" w:right="698" w:firstLine="594" w:firstLineChars="300"/>
        <w:rPr>
          <w:sz w:val="21"/>
        </w:rPr>
      </w:pPr>
      <w:r>
        <w:rPr>
          <w:rFonts w:hint="eastAsia"/>
          <w:spacing w:val="-6"/>
          <w:sz w:val="21"/>
          <w:lang w:val="en-US"/>
        </w:rPr>
        <w:t xml:space="preserve">2.1.3 </w:t>
      </w:r>
      <w:r>
        <w:rPr>
          <w:spacing w:val="-6"/>
          <w:sz w:val="21"/>
        </w:rPr>
        <w:t>投标报价有算术错误及其他错误的，</w:t>
      </w:r>
      <w:r>
        <w:rPr>
          <w:rFonts w:hint="eastAsia"/>
          <w:spacing w:val="-6"/>
          <w:sz w:val="21"/>
          <w:lang w:val="en-US"/>
        </w:rPr>
        <w:t>磋商小组</w:t>
      </w:r>
      <w:r>
        <w:rPr>
          <w:spacing w:val="-6"/>
          <w:sz w:val="21"/>
        </w:rPr>
        <w:t>按以下原则要求</w:t>
      </w:r>
      <w:r>
        <w:rPr>
          <w:rFonts w:hint="eastAsia"/>
          <w:spacing w:val="-6"/>
          <w:sz w:val="21"/>
          <w:lang w:val="en-US"/>
        </w:rPr>
        <w:t>供应商</w:t>
      </w:r>
      <w:r>
        <w:rPr>
          <w:spacing w:val="-6"/>
          <w:sz w:val="21"/>
        </w:rPr>
        <w:t>对投标报价进</w:t>
      </w:r>
      <w:r>
        <w:rPr>
          <w:sz w:val="21"/>
        </w:rPr>
        <w:t>行</w:t>
      </w:r>
    </w:p>
    <w:p w14:paraId="4DDE7FF8">
      <w:pPr>
        <w:pStyle w:val="37"/>
        <w:tabs>
          <w:tab w:val="left" w:pos="1185"/>
        </w:tabs>
        <w:spacing w:before="130" w:line="360" w:lineRule="auto"/>
        <w:ind w:left="0" w:leftChars="0" w:right="698" w:firstLine="0" w:firstLineChars="0"/>
        <w:rPr>
          <w:sz w:val="21"/>
        </w:rPr>
      </w:pPr>
      <w:r>
        <w:rPr>
          <w:sz w:val="21"/>
        </w:rPr>
        <w:t>修正，并要求</w:t>
      </w:r>
      <w:r>
        <w:rPr>
          <w:rFonts w:hint="eastAsia"/>
          <w:sz w:val="21"/>
          <w:lang w:val="en-US"/>
        </w:rPr>
        <w:t>供应商</w:t>
      </w:r>
      <w:r>
        <w:rPr>
          <w:sz w:val="21"/>
        </w:rPr>
        <w:t>书面澄清确认。</w:t>
      </w:r>
      <w:r>
        <w:rPr>
          <w:rFonts w:hint="eastAsia"/>
          <w:sz w:val="21"/>
          <w:lang w:val="en-US"/>
        </w:rPr>
        <w:t>供应商</w:t>
      </w:r>
      <w:r>
        <w:rPr>
          <w:sz w:val="21"/>
        </w:rPr>
        <w:t>拒不澄清确认的，</w:t>
      </w:r>
      <w:r>
        <w:rPr>
          <w:rFonts w:hint="eastAsia"/>
          <w:sz w:val="21"/>
          <w:lang w:val="en-US"/>
        </w:rPr>
        <w:t>磋商小组</w:t>
      </w:r>
      <w:r>
        <w:rPr>
          <w:sz w:val="21"/>
        </w:rPr>
        <w:t>应当否决其投标：</w:t>
      </w:r>
    </w:p>
    <w:p w14:paraId="04351966">
      <w:pPr>
        <w:pStyle w:val="37"/>
        <w:numPr>
          <w:ilvl w:val="0"/>
          <w:numId w:val="8"/>
        </w:numPr>
        <w:tabs>
          <w:tab w:val="left" w:pos="1186"/>
        </w:tabs>
        <w:spacing w:before="131" w:line="360" w:lineRule="auto"/>
        <w:ind w:left="239" w:right="698" w:firstLine="420"/>
        <w:rPr>
          <w:sz w:val="21"/>
        </w:rPr>
      </w:pPr>
      <w:r>
        <w:rPr>
          <w:rFonts w:hint="eastAsia"/>
          <w:spacing w:val="-4"/>
          <w:sz w:val="21"/>
          <w:lang w:val="en-US"/>
        </w:rPr>
        <w:t>总价金</w:t>
      </w:r>
      <w:r>
        <w:rPr>
          <w:spacing w:val="-4"/>
          <w:sz w:val="21"/>
        </w:rPr>
        <w:t>额与</w:t>
      </w:r>
      <w:r>
        <w:rPr>
          <w:rFonts w:hint="eastAsia"/>
          <w:spacing w:val="-4"/>
          <w:sz w:val="21"/>
          <w:lang w:val="en-US"/>
        </w:rPr>
        <w:t>依据单价计算出的结果</w:t>
      </w:r>
      <w:r>
        <w:rPr>
          <w:spacing w:val="-4"/>
          <w:sz w:val="21"/>
        </w:rPr>
        <w:t>不一致的，以单价金额为准</w:t>
      </w:r>
      <w:r>
        <w:rPr>
          <w:rFonts w:hint="eastAsia"/>
          <w:spacing w:val="-4"/>
          <w:sz w:val="21"/>
          <w:lang w:val="en-US"/>
        </w:rPr>
        <w:t>修正总价</w:t>
      </w:r>
      <w:r>
        <w:rPr>
          <w:spacing w:val="-4"/>
          <w:sz w:val="21"/>
        </w:rPr>
        <w:t>，但单价金额小数点有明显错误的</w:t>
      </w:r>
      <w:r>
        <w:rPr>
          <w:spacing w:val="-6"/>
          <w:sz w:val="21"/>
        </w:rPr>
        <w:t>除外</w:t>
      </w:r>
      <w:r>
        <w:rPr>
          <w:rFonts w:hint="eastAsia"/>
          <w:spacing w:val="-6"/>
          <w:sz w:val="21"/>
        </w:rPr>
        <w:t>；</w:t>
      </w:r>
    </w:p>
    <w:p w14:paraId="777EAF83">
      <w:pPr>
        <w:pStyle w:val="37"/>
        <w:numPr>
          <w:ilvl w:val="0"/>
          <w:numId w:val="8"/>
        </w:numPr>
        <w:tabs>
          <w:tab w:val="left" w:pos="1186"/>
        </w:tabs>
        <w:spacing w:before="131" w:line="360" w:lineRule="auto"/>
        <w:ind w:left="239" w:right="698" w:firstLine="420"/>
        <w:rPr>
          <w:sz w:val="21"/>
        </w:rPr>
      </w:pPr>
      <w:r>
        <w:rPr>
          <w:rFonts w:hint="eastAsia"/>
          <w:spacing w:val="-6"/>
          <w:sz w:val="21"/>
          <w:lang w:val="en-US"/>
        </w:rPr>
        <w:t>响应文件中的大写金额与小写金额不一致的，以大写金额为准。</w:t>
      </w:r>
    </w:p>
    <w:p w14:paraId="32004617">
      <w:pPr>
        <w:pStyle w:val="4"/>
        <w:numPr>
          <w:ilvl w:val="1"/>
          <w:numId w:val="5"/>
        </w:numPr>
        <w:tabs>
          <w:tab w:val="left" w:pos="867"/>
        </w:tabs>
        <w:rPr>
          <w:rFonts w:ascii="黑体"/>
          <w:sz w:val="28"/>
        </w:rPr>
      </w:pPr>
      <w:bookmarkStart w:id="108" w:name="_TOC_250119"/>
      <w:bookmarkEnd w:id="108"/>
      <w:r>
        <w:rPr>
          <w:rFonts w:hint="eastAsia" w:ascii="宋体" w:hAnsi="宋体" w:eastAsia="宋体" w:cs="宋体"/>
          <w:b/>
        </w:rPr>
        <w:t>详细评审</w:t>
      </w:r>
    </w:p>
    <w:p w14:paraId="54763FC0">
      <w:pPr>
        <w:pStyle w:val="37"/>
        <w:numPr>
          <w:ilvl w:val="2"/>
          <w:numId w:val="5"/>
        </w:numPr>
        <w:tabs>
          <w:tab w:val="left" w:pos="1185"/>
        </w:tabs>
        <w:ind w:hanging="524"/>
        <w:rPr>
          <w:rFonts w:hint="eastAsia" w:ascii="宋体" w:hAnsi="宋体" w:eastAsia="宋体" w:cs="宋体"/>
          <w:sz w:val="21"/>
          <w:szCs w:val="21"/>
        </w:rPr>
      </w:pPr>
      <w:r>
        <w:rPr>
          <w:rFonts w:hint="eastAsia" w:ascii="宋体" w:hAnsi="宋体" w:eastAsia="宋体" w:cs="宋体"/>
          <w:spacing w:val="-7"/>
          <w:sz w:val="21"/>
          <w:szCs w:val="21"/>
          <w:lang w:val="en-US"/>
        </w:rPr>
        <w:t>磋商小组</w:t>
      </w:r>
      <w:r>
        <w:rPr>
          <w:rFonts w:hint="eastAsia" w:ascii="宋体" w:hAnsi="宋体" w:eastAsia="宋体" w:cs="宋体"/>
          <w:spacing w:val="-7"/>
          <w:sz w:val="21"/>
          <w:szCs w:val="21"/>
        </w:rPr>
        <w:t>按本章第</w:t>
      </w:r>
      <w:r>
        <w:rPr>
          <w:rFonts w:hint="eastAsia" w:ascii="宋体" w:hAnsi="宋体" w:eastAsia="宋体" w:cs="宋体"/>
          <w:spacing w:val="-7"/>
          <w:sz w:val="21"/>
          <w:szCs w:val="21"/>
          <w:lang w:val="en-US"/>
        </w:rPr>
        <w:t>3</w:t>
      </w:r>
      <w:r>
        <w:rPr>
          <w:rFonts w:hint="eastAsia" w:ascii="宋体" w:hAnsi="宋体" w:eastAsia="宋体" w:cs="宋体"/>
          <w:spacing w:val="-7"/>
          <w:sz w:val="21"/>
          <w:szCs w:val="21"/>
        </w:rPr>
        <w:t>款规定的量化因素和分值进行打分，并计算出综合评估得分。</w:t>
      </w:r>
    </w:p>
    <w:p w14:paraId="4C145A88">
      <w:pPr>
        <w:pStyle w:val="37"/>
        <w:tabs>
          <w:tab w:val="left" w:pos="1186"/>
        </w:tabs>
        <w:spacing w:before="131"/>
        <w:ind w:left="659" w:firstLine="0"/>
        <w:rPr>
          <w:rFonts w:hint="eastAsia" w:ascii="宋体" w:hAnsi="宋体" w:eastAsia="宋体" w:cs="宋体"/>
          <w:sz w:val="21"/>
          <w:szCs w:val="21"/>
        </w:rPr>
      </w:pPr>
      <w:r>
        <w:rPr>
          <w:rFonts w:hint="eastAsia" w:ascii="宋体" w:hAnsi="宋体" w:eastAsia="宋体" w:cs="宋体"/>
          <w:spacing w:val="-11"/>
          <w:sz w:val="21"/>
          <w:szCs w:val="21"/>
        </w:rPr>
        <w:t>（</w:t>
      </w:r>
      <w:r>
        <w:rPr>
          <w:rFonts w:hint="eastAsia" w:ascii="宋体" w:hAnsi="宋体" w:eastAsia="宋体" w:cs="宋体"/>
          <w:spacing w:val="-11"/>
          <w:sz w:val="21"/>
          <w:szCs w:val="21"/>
          <w:lang w:val="en-US"/>
        </w:rPr>
        <w:t>1</w:t>
      </w:r>
      <w:r>
        <w:rPr>
          <w:rFonts w:hint="eastAsia" w:ascii="宋体" w:hAnsi="宋体" w:eastAsia="宋体" w:cs="宋体"/>
          <w:spacing w:val="-11"/>
          <w:sz w:val="21"/>
          <w:szCs w:val="21"/>
        </w:rPr>
        <w:t>）按本章第</w:t>
      </w:r>
      <w:r>
        <w:rPr>
          <w:rFonts w:hint="eastAsia" w:ascii="宋体" w:hAnsi="宋体" w:eastAsia="宋体" w:cs="宋体"/>
          <w:spacing w:val="-11"/>
          <w:sz w:val="21"/>
          <w:szCs w:val="21"/>
          <w:lang w:val="en-US"/>
        </w:rPr>
        <w:t>3.2款</w:t>
      </w:r>
      <w:r>
        <w:rPr>
          <w:rFonts w:hint="eastAsia" w:ascii="宋体" w:hAnsi="宋体" w:eastAsia="宋体" w:cs="宋体"/>
          <w:spacing w:val="-3"/>
          <w:sz w:val="21"/>
          <w:szCs w:val="21"/>
        </w:rPr>
        <w:t>规定的评审因素和分值对</w:t>
      </w:r>
      <w:r>
        <w:rPr>
          <w:rFonts w:hint="eastAsia" w:ascii="宋体" w:hAnsi="宋体" w:eastAsia="宋体" w:cs="宋体"/>
          <w:spacing w:val="-3"/>
          <w:sz w:val="21"/>
          <w:szCs w:val="21"/>
          <w:lang w:val="en-US"/>
        </w:rPr>
        <w:t>价格</w:t>
      </w:r>
      <w:r>
        <w:rPr>
          <w:rFonts w:hint="eastAsia" w:ascii="宋体" w:hAnsi="宋体" w:eastAsia="宋体" w:cs="宋体"/>
          <w:spacing w:val="-3"/>
          <w:sz w:val="21"/>
          <w:szCs w:val="21"/>
        </w:rPr>
        <w:t xml:space="preserve">部分计算出得分 </w:t>
      </w:r>
      <w:r>
        <w:rPr>
          <w:rFonts w:hint="eastAsia" w:ascii="宋体" w:hAnsi="宋体" w:eastAsia="宋体" w:cs="宋体"/>
          <w:sz w:val="21"/>
          <w:szCs w:val="21"/>
        </w:rPr>
        <w:t>A；</w:t>
      </w:r>
    </w:p>
    <w:p w14:paraId="61686D8C">
      <w:pPr>
        <w:pStyle w:val="37"/>
        <w:tabs>
          <w:tab w:val="left" w:pos="1186"/>
        </w:tabs>
        <w:spacing w:before="130"/>
        <w:ind w:left="659" w:firstLine="0"/>
        <w:rPr>
          <w:rFonts w:hint="eastAsia" w:ascii="宋体" w:hAnsi="宋体" w:eastAsia="宋体" w:cs="宋体"/>
          <w:sz w:val="21"/>
          <w:szCs w:val="21"/>
        </w:rPr>
      </w:pPr>
      <w:r>
        <w:rPr>
          <w:rFonts w:hint="eastAsia" w:ascii="宋体" w:hAnsi="宋体" w:eastAsia="宋体" w:cs="宋体"/>
          <w:spacing w:val="-11"/>
          <w:sz w:val="21"/>
          <w:szCs w:val="21"/>
        </w:rPr>
        <w:t>（</w:t>
      </w:r>
      <w:r>
        <w:rPr>
          <w:rFonts w:hint="eastAsia" w:ascii="宋体" w:hAnsi="宋体" w:eastAsia="宋体" w:cs="宋体"/>
          <w:spacing w:val="-11"/>
          <w:sz w:val="21"/>
          <w:szCs w:val="21"/>
          <w:lang w:val="en-US"/>
        </w:rPr>
        <w:t>2</w:t>
      </w:r>
      <w:r>
        <w:rPr>
          <w:rFonts w:hint="eastAsia" w:ascii="宋体" w:hAnsi="宋体" w:eastAsia="宋体" w:cs="宋体"/>
          <w:spacing w:val="-11"/>
          <w:sz w:val="21"/>
          <w:szCs w:val="21"/>
        </w:rPr>
        <w:t>）按本章第</w:t>
      </w:r>
      <w:r>
        <w:rPr>
          <w:rFonts w:hint="eastAsia" w:ascii="宋体" w:hAnsi="宋体" w:eastAsia="宋体" w:cs="宋体"/>
          <w:sz w:val="21"/>
          <w:szCs w:val="21"/>
          <w:lang w:val="en-US"/>
        </w:rPr>
        <w:t>3.3</w:t>
      </w:r>
      <w:r>
        <w:rPr>
          <w:rFonts w:hint="eastAsia" w:ascii="宋体" w:hAnsi="宋体" w:eastAsia="宋体" w:cs="宋体"/>
          <w:spacing w:val="-3"/>
          <w:sz w:val="21"/>
          <w:szCs w:val="21"/>
          <w:lang w:val="en-US"/>
        </w:rPr>
        <w:t>款</w:t>
      </w:r>
      <w:r>
        <w:rPr>
          <w:rFonts w:hint="eastAsia" w:ascii="宋体" w:hAnsi="宋体" w:eastAsia="宋体" w:cs="宋体"/>
          <w:spacing w:val="-3"/>
          <w:sz w:val="21"/>
          <w:szCs w:val="21"/>
        </w:rPr>
        <w:t>规定的评审因素和分值对</w:t>
      </w:r>
      <w:r>
        <w:rPr>
          <w:rFonts w:hint="eastAsia" w:cs="宋体"/>
          <w:spacing w:val="-3"/>
          <w:sz w:val="21"/>
          <w:szCs w:val="21"/>
          <w:lang w:val="en-US" w:eastAsia="zh-CN"/>
        </w:rPr>
        <w:t>技术</w:t>
      </w:r>
      <w:r>
        <w:rPr>
          <w:rFonts w:hint="eastAsia" w:ascii="宋体" w:hAnsi="宋体" w:eastAsia="宋体" w:cs="宋体"/>
          <w:spacing w:val="-3"/>
          <w:sz w:val="21"/>
          <w:szCs w:val="21"/>
        </w:rPr>
        <w:t xml:space="preserve">部分计算出得分 </w:t>
      </w:r>
      <w:r>
        <w:rPr>
          <w:rFonts w:hint="eastAsia" w:ascii="宋体" w:hAnsi="宋体" w:eastAsia="宋体" w:cs="宋体"/>
          <w:sz w:val="21"/>
          <w:szCs w:val="21"/>
        </w:rPr>
        <w:t>B；</w:t>
      </w:r>
    </w:p>
    <w:p w14:paraId="70CEAC76">
      <w:pPr>
        <w:pStyle w:val="37"/>
        <w:tabs>
          <w:tab w:val="left" w:pos="1186"/>
        </w:tabs>
        <w:spacing w:before="132"/>
        <w:ind w:left="659" w:firstLine="0"/>
        <w:rPr>
          <w:rFonts w:hint="eastAsia" w:ascii="宋体" w:hAnsi="宋体" w:eastAsia="宋体" w:cs="宋体"/>
          <w:sz w:val="21"/>
          <w:szCs w:val="21"/>
        </w:rPr>
      </w:pPr>
      <w:r>
        <w:rPr>
          <w:rFonts w:hint="eastAsia" w:ascii="宋体" w:hAnsi="宋体" w:eastAsia="宋体" w:cs="宋体"/>
          <w:spacing w:val="-11"/>
          <w:sz w:val="21"/>
          <w:szCs w:val="21"/>
        </w:rPr>
        <w:t>（</w:t>
      </w:r>
      <w:r>
        <w:rPr>
          <w:rFonts w:hint="eastAsia" w:ascii="宋体" w:hAnsi="宋体" w:eastAsia="宋体" w:cs="宋体"/>
          <w:spacing w:val="-11"/>
          <w:sz w:val="21"/>
          <w:szCs w:val="21"/>
          <w:lang w:val="en-US"/>
        </w:rPr>
        <w:t>3</w:t>
      </w:r>
      <w:r>
        <w:rPr>
          <w:rFonts w:hint="eastAsia" w:ascii="宋体" w:hAnsi="宋体" w:eastAsia="宋体" w:cs="宋体"/>
          <w:spacing w:val="-11"/>
          <w:sz w:val="21"/>
          <w:szCs w:val="21"/>
        </w:rPr>
        <w:t>）按本章第</w:t>
      </w:r>
      <w:r>
        <w:rPr>
          <w:rFonts w:hint="eastAsia" w:ascii="宋体" w:hAnsi="宋体" w:eastAsia="宋体" w:cs="宋体"/>
          <w:spacing w:val="-11"/>
          <w:sz w:val="21"/>
          <w:szCs w:val="21"/>
          <w:lang w:val="en-US"/>
        </w:rPr>
        <w:t>3.4款</w:t>
      </w:r>
      <w:r>
        <w:rPr>
          <w:rFonts w:hint="eastAsia" w:ascii="宋体" w:hAnsi="宋体" w:eastAsia="宋体" w:cs="宋体"/>
          <w:spacing w:val="-3"/>
          <w:sz w:val="21"/>
          <w:szCs w:val="21"/>
        </w:rPr>
        <w:t>规定的评审因素和分值对</w:t>
      </w:r>
      <w:r>
        <w:rPr>
          <w:rFonts w:hint="eastAsia" w:cs="宋体"/>
          <w:spacing w:val="-3"/>
          <w:sz w:val="21"/>
          <w:szCs w:val="21"/>
          <w:lang w:val="en-US" w:eastAsia="zh-CN"/>
        </w:rPr>
        <w:t>综合</w:t>
      </w:r>
      <w:r>
        <w:rPr>
          <w:rFonts w:hint="eastAsia" w:ascii="宋体" w:hAnsi="宋体" w:eastAsia="宋体" w:cs="宋体"/>
          <w:spacing w:val="-3"/>
          <w:sz w:val="21"/>
          <w:szCs w:val="21"/>
          <w:lang w:val="en-US"/>
        </w:rPr>
        <w:t>部分</w:t>
      </w:r>
      <w:r>
        <w:rPr>
          <w:rFonts w:hint="eastAsia" w:ascii="宋体" w:hAnsi="宋体" w:eastAsia="宋体" w:cs="宋体"/>
          <w:spacing w:val="-3"/>
          <w:sz w:val="21"/>
          <w:szCs w:val="21"/>
        </w:rPr>
        <w:t xml:space="preserve">计算出得分 </w:t>
      </w:r>
      <w:r>
        <w:rPr>
          <w:rFonts w:hint="eastAsia" w:ascii="宋体" w:hAnsi="宋体" w:eastAsia="宋体" w:cs="宋体"/>
          <w:sz w:val="21"/>
          <w:szCs w:val="21"/>
        </w:rPr>
        <w:t>C。</w:t>
      </w:r>
    </w:p>
    <w:p w14:paraId="51113B21">
      <w:pPr>
        <w:pStyle w:val="37"/>
        <w:numPr>
          <w:ilvl w:val="2"/>
          <w:numId w:val="5"/>
        </w:numPr>
        <w:tabs>
          <w:tab w:val="left" w:pos="1185"/>
        </w:tabs>
        <w:spacing w:before="130"/>
        <w:rPr>
          <w:rFonts w:hint="eastAsia" w:ascii="宋体" w:hAnsi="宋体" w:eastAsia="宋体" w:cs="宋体"/>
          <w:sz w:val="21"/>
          <w:szCs w:val="21"/>
        </w:rPr>
      </w:pPr>
      <w:r>
        <w:rPr>
          <w:rFonts w:hint="eastAsia" w:ascii="宋体" w:hAnsi="宋体" w:eastAsia="宋体" w:cs="宋体"/>
          <w:sz w:val="21"/>
          <w:szCs w:val="21"/>
        </w:rPr>
        <w:t>评分分值计算保留小数点后两位，小数点后第三位“四舍五入”。</w:t>
      </w:r>
    </w:p>
    <w:p w14:paraId="79487C10">
      <w:pPr>
        <w:pStyle w:val="37"/>
        <w:numPr>
          <w:ilvl w:val="2"/>
          <w:numId w:val="5"/>
        </w:numPr>
        <w:tabs>
          <w:tab w:val="left" w:pos="1185"/>
        </w:tabs>
        <w:spacing w:before="132"/>
        <w:rPr>
          <w:rFonts w:hint="eastAsia" w:ascii="宋体" w:hAnsi="宋体" w:eastAsia="宋体" w:cs="宋体"/>
          <w:sz w:val="21"/>
          <w:szCs w:val="21"/>
        </w:rPr>
      </w:pPr>
      <w:r>
        <w:rPr>
          <w:rFonts w:hint="eastAsia" w:ascii="宋体" w:hAnsi="宋体" w:eastAsia="宋体" w:cs="宋体"/>
          <w:sz w:val="21"/>
          <w:szCs w:val="21"/>
          <w:lang w:val="en-US"/>
        </w:rPr>
        <w:t>供应商</w:t>
      </w:r>
      <w:r>
        <w:rPr>
          <w:rFonts w:hint="eastAsia" w:ascii="宋体" w:hAnsi="宋体" w:eastAsia="宋体" w:cs="宋体"/>
          <w:sz w:val="21"/>
          <w:szCs w:val="21"/>
        </w:rPr>
        <w:t>得分=A+B+C。</w:t>
      </w:r>
    </w:p>
    <w:p w14:paraId="5C4801A4">
      <w:pPr>
        <w:pStyle w:val="37"/>
        <w:numPr>
          <w:ilvl w:val="2"/>
          <w:numId w:val="5"/>
        </w:numPr>
        <w:tabs>
          <w:tab w:val="left" w:pos="1185"/>
        </w:tabs>
        <w:spacing w:before="130" w:line="358" w:lineRule="auto"/>
        <w:ind w:left="238" w:firstLine="420"/>
        <w:jc w:val="both"/>
        <w:rPr>
          <w:sz w:val="21"/>
        </w:rPr>
      </w:pPr>
      <w:bookmarkStart w:id="109" w:name="_TOC_250118"/>
      <w:bookmarkEnd w:id="109"/>
      <w:r>
        <w:rPr>
          <w:rFonts w:hint="eastAsia" w:ascii="宋体" w:hAnsi="宋体" w:eastAsia="宋体" w:cs="宋体"/>
          <w:spacing w:val="-9"/>
          <w:sz w:val="21"/>
          <w:szCs w:val="21"/>
          <w:lang w:val="en-US"/>
        </w:rPr>
        <w:t>磋商小组</w:t>
      </w:r>
      <w:r>
        <w:rPr>
          <w:rFonts w:hint="eastAsia" w:ascii="宋体" w:hAnsi="宋体" w:eastAsia="宋体" w:cs="宋体"/>
          <w:sz w:val="21"/>
          <w:szCs w:val="21"/>
        </w:rPr>
        <w:t>认为投标人的报价明显低于其他通过符合性审查投标人的报价，有可能影响产品质量或者不能诚信履约的，应当要求其在评标现场合理的时间内提供书面说明，必要时提交相关证明材料；供应商不能证明其报价合理性的，磋商小组应当将其作为无效投标处理</w:t>
      </w:r>
      <w:r>
        <w:rPr>
          <w:rFonts w:hint="eastAsia" w:ascii="宋体" w:hAnsi="宋体" w:eastAsia="宋体" w:cs="宋体"/>
          <w:spacing w:val="-9"/>
          <w:sz w:val="21"/>
          <w:szCs w:val="21"/>
        </w:rPr>
        <w:t>。</w:t>
      </w:r>
    </w:p>
    <w:p w14:paraId="30CE56CC">
      <w:pPr>
        <w:pStyle w:val="4"/>
        <w:numPr>
          <w:ilvl w:val="1"/>
          <w:numId w:val="5"/>
        </w:numPr>
        <w:tabs>
          <w:tab w:val="left" w:pos="867"/>
        </w:tabs>
        <w:rPr>
          <w:rFonts w:ascii="宋体" w:hAnsi="宋体" w:eastAsia="宋体" w:cs="宋体"/>
          <w:b/>
        </w:rPr>
      </w:pPr>
      <w:r>
        <w:rPr>
          <w:rFonts w:hint="eastAsia" w:ascii="宋体" w:hAnsi="宋体" w:eastAsia="宋体" w:cs="宋体"/>
          <w:b/>
          <w:lang w:val="en-US"/>
        </w:rPr>
        <w:t>响应</w:t>
      </w:r>
      <w:r>
        <w:rPr>
          <w:rFonts w:hint="eastAsia" w:ascii="宋体" w:hAnsi="宋体" w:eastAsia="宋体" w:cs="宋体"/>
          <w:b/>
        </w:rPr>
        <w:t>文件的澄清</w:t>
      </w:r>
      <w:r>
        <w:rPr>
          <w:rFonts w:hint="eastAsia" w:ascii="宋体" w:hAnsi="宋体" w:eastAsia="宋体" w:cs="宋体"/>
          <w:b/>
          <w:lang w:val="en-US"/>
        </w:rPr>
        <w:t>与补正</w:t>
      </w:r>
    </w:p>
    <w:p w14:paraId="52DB398D">
      <w:pPr>
        <w:pStyle w:val="12"/>
        <w:spacing w:before="12"/>
        <w:rPr>
          <w:rFonts w:ascii="黑体"/>
          <w:sz w:val="28"/>
        </w:rPr>
      </w:pPr>
    </w:p>
    <w:p w14:paraId="10803E8C">
      <w:pPr>
        <w:pStyle w:val="37"/>
        <w:numPr>
          <w:ilvl w:val="2"/>
          <w:numId w:val="5"/>
        </w:numPr>
        <w:tabs>
          <w:tab w:val="left" w:pos="1185"/>
        </w:tabs>
        <w:spacing w:line="358" w:lineRule="auto"/>
        <w:ind w:left="238" w:firstLine="420"/>
        <w:jc w:val="both"/>
        <w:rPr>
          <w:sz w:val="21"/>
        </w:rPr>
      </w:pPr>
      <w:r>
        <w:rPr>
          <w:spacing w:val="-8"/>
          <w:sz w:val="21"/>
        </w:rPr>
        <w:t>在</w:t>
      </w:r>
      <w:r>
        <w:rPr>
          <w:rFonts w:hint="eastAsia"/>
          <w:spacing w:val="-8"/>
          <w:sz w:val="21"/>
          <w:lang w:val="en-US"/>
        </w:rPr>
        <w:t>评审</w:t>
      </w:r>
      <w:r>
        <w:rPr>
          <w:spacing w:val="-8"/>
          <w:sz w:val="21"/>
        </w:rPr>
        <w:t>过程中，</w:t>
      </w:r>
      <w:r>
        <w:rPr>
          <w:rFonts w:hint="eastAsia"/>
          <w:spacing w:val="-8"/>
          <w:sz w:val="21"/>
          <w:lang w:val="en-US"/>
        </w:rPr>
        <w:t>磋商小组</w:t>
      </w:r>
      <w:r>
        <w:rPr>
          <w:spacing w:val="-8"/>
          <w:sz w:val="21"/>
        </w:rPr>
        <w:t>可以书面形式要求</w:t>
      </w:r>
      <w:r>
        <w:rPr>
          <w:rFonts w:hint="eastAsia"/>
          <w:spacing w:val="-8"/>
          <w:sz w:val="21"/>
          <w:lang w:val="en-US"/>
        </w:rPr>
        <w:t>供应商</w:t>
      </w:r>
      <w:r>
        <w:rPr>
          <w:spacing w:val="-8"/>
          <w:sz w:val="21"/>
        </w:rPr>
        <w:t>对</w:t>
      </w:r>
      <w:r>
        <w:rPr>
          <w:rFonts w:hint="eastAsia"/>
          <w:spacing w:val="-8"/>
          <w:sz w:val="21"/>
          <w:lang w:val="en-US"/>
        </w:rPr>
        <w:t>响应</w:t>
      </w:r>
      <w:r>
        <w:rPr>
          <w:spacing w:val="-8"/>
          <w:sz w:val="21"/>
        </w:rPr>
        <w:t>文件中含义不明确、对同</w:t>
      </w:r>
      <w:r>
        <w:rPr>
          <w:sz w:val="21"/>
        </w:rPr>
        <w:t>类问题表述不一致或者有明显文字和计算错误的内容作必要的澄清、说明或补正。澄清、说明或补正应以书面方式进行。</w:t>
      </w:r>
      <w:r>
        <w:rPr>
          <w:rFonts w:hint="eastAsia"/>
          <w:sz w:val="21"/>
          <w:lang w:val="en-US"/>
        </w:rPr>
        <w:t>磋商小组</w:t>
      </w:r>
      <w:r>
        <w:rPr>
          <w:sz w:val="21"/>
        </w:rPr>
        <w:t>不接受</w:t>
      </w:r>
      <w:r>
        <w:rPr>
          <w:rFonts w:hint="eastAsia"/>
          <w:sz w:val="21"/>
          <w:lang w:val="en-US"/>
        </w:rPr>
        <w:t>供应商</w:t>
      </w:r>
      <w:r>
        <w:rPr>
          <w:sz w:val="21"/>
        </w:rPr>
        <w:t>主动提出的澄清、说明或补正。</w:t>
      </w:r>
    </w:p>
    <w:p w14:paraId="6E5AEEB0">
      <w:pPr>
        <w:pStyle w:val="37"/>
        <w:numPr>
          <w:ilvl w:val="2"/>
          <w:numId w:val="5"/>
        </w:numPr>
        <w:tabs>
          <w:tab w:val="left" w:pos="1185"/>
        </w:tabs>
        <w:spacing w:line="358" w:lineRule="auto"/>
        <w:ind w:left="238" w:firstLine="420"/>
        <w:jc w:val="both"/>
        <w:rPr>
          <w:sz w:val="21"/>
        </w:rPr>
      </w:pPr>
      <w:r>
        <w:rPr>
          <w:spacing w:val="-8"/>
          <w:sz w:val="21"/>
        </w:rPr>
        <w:t>澄清、说明或补正不得超出</w:t>
      </w:r>
      <w:r>
        <w:rPr>
          <w:rFonts w:hint="eastAsia"/>
          <w:spacing w:val="-8"/>
          <w:sz w:val="21"/>
          <w:lang w:val="en-US"/>
        </w:rPr>
        <w:t>响应</w:t>
      </w:r>
      <w:r>
        <w:rPr>
          <w:spacing w:val="-8"/>
          <w:sz w:val="21"/>
        </w:rPr>
        <w:t>文件的范围且不得改变</w:t>
      </w:r>
      <w:r>
        <w:rPr>
          <w:rFonts w:hint="eastAsia"/>
          <w:spacing w:val="-8"/>
          <w:sz w:val="21"/>
          <w:lang w:val="en-US"/>
        </w:rPr>
        <w:t>响应</w:t>
      </w:r>
      <w:r>
        <w:rPr>
          <w:spacing w:val="-8"/>
          <w:sz w:val="21"/>
        </w:rPr>
        <w:t>文件的实质性内容，并构</w:t>
      </w:r>
      <w:r>
        <w:rPr>
          <w:sz w:val="21"/>
        </w:rPr>
        <w:t>成</w:t>
      </w:r>
      <w:r>
        <w:rPr>
          <w:rFonts w:hint="eastAsia"/>
          <w:sz w:val="21"/>
          <w:lang w:val="en-US"/>
        </w:rPr>
        <w:t>响应</w:t>
      </w:r>
      <w:r>
        <w:rPr>
          <w:sz w:val="21"/>
        </w:rPr>
        <w:t>文件的组成部分。</w:t>
      </w:r>
    </w:p>
    <w:p w14:paraId="7D1A4164">
      <w:pPr>
        <w:pStyle w:val="37"/>
        <w:numPr>
          <w:ilvl w:val="2"/>
          <w:numId w:val="5"/>
        </w:numPr>
        <w:tabs>
          <w:tab w:val="left" w:pos="1185"/>
        </w:tabs>
        <w:spacing w:line="358" w:lineRule="auto"/>
        <w:ind w:left="238" w:firstLine="420"/>
        <w:rPr>
          <w:sz w:val="24"/>
        </w:rPr>
      </w:pPr>
      <w:r>
        <w:rPr>
          <w:rFonts w:hint="eastAsia"/>
          <w:spacing w:val="-11"/>
          <w:sz w:val="21"/>
          <w:lang w:val="en-US"/>
        </w:rPr>
        <w:t>磋商小组</w:t>
      </w:r>
      <w:r>
        <w:rPr>
          <w:spacing w:val="-11"/>
          <w:sz w:val="21"/>
        </w:rPr>
        <w:t>对</w:t>
      </w:r>
      <w:r>
        <w:rPr>
          <w:rFonts w:hint="eastAsia"/>
          <w:spacing w:val="-11"/>
          <w:sz w:val="21"/>
          <w:lang w:val="en-US"/>
        </w:rPr>
        <w:t>供应商</w:t>
      </w:r>
      <w:r>
        <w:rPr>
          <w:spacing w:val="-11"/>
          <w:sz w:val="21"/>
        </w:rPr>
        <w:t>提交的澄清、说明或补正有疑问的，可以要求</w:t>
      </w:r>
      <w:r>
        <w:rPr>
          <w:rFonts w:hint="eastAsia"/>
          <w:spacing w:val="-11"/>
          <w:sz w:val="21"/>
          <w:lang w:val="en-US"/>
        </w:rPr>
        <w:t>供应商</w:t>
      </w:r>
      <w:r>
        <w:rPr>
          <w:spacing w:val="-11"/>
          <w:sz w:val="21"/>
        </w:rPr>
        <w:t>进一步澄清、</w:t>
      </w:r>
      <w:r>
        <w:rPr>
          <w:sz w:val="21"/>
        </w:rPr>
        <w:t>说明或补正，直至满足</w:t>
      </w:r>
      <w:r>
        <w:rPr>
          <w:rFonts w:hint="eastAsia"/>
          <w:sz w:val="21"/>
          <w:lang w:val="en-US"/>
        </w:rPr>
        <w:t>磋商小组</w:t>
      </w:r>
      <w:r>
        <w:rPr>
          <w:sz w:val="21"/>
        </w:rPr>
        <w:t>的要求。</w:t>
      </w:r>
    </w:p>
    <w:p w14:paraId="3486942C">
      <w:pPr>
        <w:pStyle w:val="37"/>
        <w:tabs>
          <w:tab w:val="left" w:pos="1196"/>
        </w:tabs>
        <w:spacing w:line="360" w:lineRule="auto"/>
        <w:ind w:left="0" w:leftChars="0" w:firstLine="562" w:firstLineChars="200"/>
        <w:rPr>
          <w:rFonts w:hint="eastAsia" w:ascii="宋体" w:hAnsi="宋体" w:eastAsia="宋体" w:cs="宋体"/>
          <w:b/>
          <w:sz w:val="28"/>
          <w:szCs w:val="28"/>
          <w:lang w:val="zh-CN" w:eastAsia="zh-CN" w:bidi="zh-CN"/>
        </w:rPr>
      </w:pPr>
      <w:r>
        <w:rPr>
          <w:rFonts w:hint="eastAsia" w:ascii="宋体" w:hAnsi="宋体" w:eastAsia="宋体" w:cs="宋体"/>
          <w:b/>
          <w:sz w:val="28"/>
          <w:szCs w:val="28"/>
          <w:lang w:val="zh-CN" w:eastAsia="zh-CN" w:bidi="zh-CN"/>
        </w:rPr>
        <w:t>2.4</w:t>
      </w:r>
      <w:r>
        <w:rPr>
          <w:rFonts w:hint="eastAsia" w:cs="宋体"/>
          <w:b/>
          <w:sz w:val="28"/>
          <w:szCs w:val="28"/>
          <w:lang w:val="en-US" w:eastAsia="zh-CN" w:bidi="zh-CN"/>
        </w:rPr>
        <w:t xml:space="preserve"> </w:t>
      </w:r>
      <w:r>
        <w:rPr>
          <w:rFonts w:hint="eastAsia" w:ascii="宋体" w:hAnsi="宋体" w:eastAsia="宋体" w:cs="宋体"/>
          <w:b/>
          <w:sz w:val="28"/>
          <w:szCs w:val="28"/>
          <w:lang w:val="zh-CN" w:eastAsia="zh-CN" w:bidi="zh-CN"/>
        </w:rPr>
        <w:t>最终报价</w:t>
      </w:r>
    </w:p>
    <w:p w14:paraId="5528A44D">
      <w:pPr>
        <w:pStyle w:val="37"/>
        <w:numPr>
          <w:ilvl w:val="0"/>
          <w:numId w:val="0"/>
        </w:numPr>
        <w:tabs>
          <w:tab w:val="left" w:pos="1185"/>
        </w:tabs>
        <w:spacing w:line="358" w:lineRule="auto"/>
        <w:ind w:left="658" w:leftChars="0"/>
        <w:jc w:val="both"/>
        <w:rPr>
          <w:rFonts w:hint="eastAsia"/>
          <w:spacing w:val="-8"/>
          <w:sz w:val="21"/>
        </w:rPr>
      </w:pPr>
      <w:r>
        <w:rPr>
          <w:rFonts w:hint="eastAsia"/>
          <w:spacing w:val="-8"/>
          <w:sz w:val="21"/>
        </w:rPr>
        <w:t>2.4.1</w:t>
      </w:r>
      <w:r>
        <w:rPr>
          <w:rFonts w:hint="eastAsia"/>
          <w:spacing w:val="-8"/>
          <w:sz w:val="21"/>
          <w:lang w:val="en-US" w:eastAsia="zh-CN"/>
        </w:rPr>
        <w:t xml:space="preserve"> </w:t>
      </w:r>
      <w:r>
        <w:rPr>
          <w:rFonts w:hint="eastAsia"/>
          <w:spacing w:val="-8"/>
          <w:sz w:val="21"/>
        </w:rPr>
        <w:t>本次竞争性磋商有二次报价，第一次报价为响应文件中书面（</w:t>
      </w:r>
      <w:r>
        <w:rPr>
          <w:rFonts w:hint="eastAsia"/>
          <w:spacing w:val="-8"/>
          <w:sz w:val="21"/>
          <w:lang w:eastAsia="zh-CN"/>
        </w:rPr>
        <w:t>首</w:t>
      </w:r>
      <w:r>
        <w:rPr>
          <w:rFonts w:hint="eastAsia"/>
          <w:spacing w:val="-8"/>
          <w:sz w:val="21"/>
        </w:rPr>
        <w:t>次报价一览表） 报价，第二次报价</w:t>
      </w:r>
    </w:p>
    <w:p w14:paraId="346FCEBB">
      <w:pPr>
        <w:pStyle w:val="37"/>
        <w:numPr>
          <w:ilvl w:val="0"/>
          <w:numId w:val="0"/>
        </w:numPr>
        <w:tabs>
          <w:tab w:val="left" w:pos="1185"/>
        </w:tabs>
        <w:spacing w:line="358" w:lineRule="auto"/>
        <w:ind w:firstLine="194" w:firstLineChars="100"/>
        <w:jc w:val="both"/>
        <w:rPr>
          <w:spacing w:val="-8"/>
          <w:sz w:val="21"/>
        </w:rPr>
      </w:pPr>
      <w:r>
        <w:rPr>
          <w:rFonts w:hint="eastAsia"/>
          <w:spacing w:val="-8"/>
          <w:sz w:val="21"/>
        </w:rPr>
        <w:t>为有效供应商</w:t>
      </w:r>
      <w:r>
        <w:rPr>
          <w:rFonts w:hint="eastAsia"/>
          <w:spacing w:val="-8"/>
          <w:sz w:val="21"/>
          <w:lang w:eastAsia="zh-CN"/>
        </w:rPr>
        <w:t>的</w:t>
      </w:r>
      <w:r>
        <w:rPr>
          <w:rFonts w:hint="eastAsia"/>
          <w:spacing w:val="-8"/>
          <w:sz w:val="21"/>
        </w:rPr>
        <w:t>磋商</w:t>
      </w:r>
      <w:r>
        <w:rPr>
          <w:rFonts w:hint="eastAsia"/>
          <w:spacing w:val="-8"/>
          <w:sz w:val="21"/>
          <w:lang w:eastAsia="zh-CN"/>
        </w:rPr>
        <w:t>最终</w:t>
      </w:r>
      <w:r>
        <w:rPr>
          <w:rFonts w:hint="eastAsia"/>
          <w:spacing w:val="-8"/>
          <w:sz w:val="21"/>
        </w:rPr>
        <w:t>报价</w:t>
      </w:r>
      <w:r>
        <w:rPr>
          <w:rFonts w:hint="eastAsia"/>
          <w:spacing w:val="-8"/>
          <w:sz w:val="21"/>
          <w:lang w:eastAsia="zh-CN"/>
        </w:rPr>
        <w:t>，最终报价参与详细评审中报价得分的评审</w:t>
      </w:r>
      <w:r>
        <w:rPr>
          <w:rFonts w:hint="eastAsia"/>
          <w:spacing w:val="-8"/>
          <w:sz w:val="21"/>
        </w:rPr>
        <w:t>。经磋商确定实质性响应的供应商后，磋商小组要求所有实质性响应的供应商在规定时间内提交最后报价，提交最后报价的供应商不得小于 3 家；根据《政府采购竞争性磋商采购方式管理暂行办法》（财库[2014]214 号） 第二十一条规定：符合《政府采购竞争性磋商采购方式管理暂行办法》第三条第四条情形的，提交最后报价的供应商可以为 2 家。</w:t>
      </w:r>
    </w:p>
    <w:p w14:paraId="6D953A19">
      <w:pPr>
        <w:pStyle w:val="37"/>
        <w:numPr>
          <w:ilvl w:val="0"/>
          <w:numId w:val="0"/>
        </w:numPr>
        <w:tabs>
          <w:tab w:val="left" w:pos="1185"/>
        </w:tabs>
        <w:spacing w:line="358" w:lineRule="auto"/>
        <w:ind w:left="658" w:leftChars="0"/>
        <w:jc w:val="both"/>
        <w:rPr>
          <w:rFonts w:hint="eastAsia"/>
          <w:spacing w:val="-8"/>
          <w:sz w:val="21"/>
        </w:rPr>
      </w:pPr>
      <w:r>
        <w:rPr>
          <w:rFonts w:hint="eastAsia"/>
          <w:spacing w:val="-8"/>
          <w:sz w:val="21"/>
        </w:rPr>
        <w:t>2.4.2</w:t>
      </w:r>
      <w:r>
        <w:rPr>
          <w:rFonts w:hint="eastAsia"/>
          <w:spacing w:val="-8"/>
          <w:sz w:val="21"/>
          <w:lang w:val="en-US" w:eastAsia="zh-CN"/>
        </w:rPr>
        <w:t xml:space="preserve"> </w:t>
      </w:r>
      <w:r>
        <w:rPr>
          <w:rFonts w:hint="eastAsia"/>
          <w:spacing w:val="-8"/>
          <w:sz w:val="21"/>
        </w:rPr>
        <w:t>经磋商确定最终采购需求和提交最后报价的供应商后，由磋商小组采用综合评分法对提交最后报价</w:t>
      </w:r>
    </w:p>
    <w:p w14:paraId="45F13C42">
      <w:pPr>
        <w:pStyle w:val="37"/>
        <w:numPr>
          <w:ilvl w:val="0"/>
          <w:numId w:val="0"/>
        </w:numPr>
        <w:tabs>
          <w:tab w:val="left" w:pos="1185"/>
        </w:tabs>
        <w:spacing w:line="358" w:lineRule="auto"/>
        <w:jc w:val="both"/>
        <w:rPr>
          <w:spacing w:val="-8"/>
          <w:sz w:val="21"/>
        </w:rPr>
      </w:pPr>
      <w:r>
        <w:rPr>
          <w:rFonts w:hint="eastAsia"/>
          <w:spacing w:val="-8"/>
          <w:sz w:val="21"/>
        </w:rPr>
        <w:t>的供应商的响应文件和最后报价进行综合评分，择优选择综合实力较强的候选供应商。</w:t>
      </w:r>
    </w:p>
    <w:p w14:paraId="6F62267C">
      <w:pPr>
        <w:pStyle w:val="37"/>
        <w:numPr>
          <w:ilvl w:val="0"/>
          <w:numId w:val="0"/>
        </w:numPr>
        <w:tabs>
          <w:tab w:val="left" w:pos="1185"/>
        </w:tabs>
        <w:spacing w:line="358" w:lineRule="auto"/>
        <w:ind w:firstLine="582" w:firstLineChars="300"/>
        <w:jc w:val="both"/>
        <w:rPr>
          <w:spacing w:val="-8"/>
          <w:sz w:val="21"/>
        </w:rPr>
      </w:pPr>
      <w:r>
        <w:rPr>
          <w:rFonts w:hint="eastAsia"/>
          <w:spacing w:val="-8"/>
          <w:sz w:val="21"/>
        </w:rPr>
        <w:t>2.4.3</w:t>
      </w:r>
      <w:r>
        <w:rPr>
          <w:rFonts w:hint="eastAsia"/>
          <w:spacing w:val="-8"/>
          <w:sz w:val="21"/>
          <w:lang w:val="en-US" w:eastAsia="zh-CN"/>
        </w:rPr>
        <w:t xml:space="preserve"> </w:t>
      </w:r>
      <w:r>
        <w:rPr>
          <w:rFonts w:hint="eastAsia"/>
          <w:spacing w:val="-8"/>
          <w:sz w:val="21"/>
        </w:rPr>
        <w:t>供应商第二次报价中出现下列情况的为无效报价：未按规定时间提交最后报价的。</w:t>
      </w:r>
    </w:p>
    <w:p w14:paraId="68BFE3D7">
      <w:pPr>
        <w:pStyle w:val="37"/>
        <w:numPr>
          <w:ilvl w:val="0"/>
          <w:numId w:val="0"/>
        </w:numPr>
        <w:tabs>
          <w:tab w:val="left" w:pos="1185"/>
        </w:tabs>
        <w:spacing w:line="358" w:lineRule="auto"/>
        <w:ind w:firstLine="582" w:firstLineChars="300"/>
        <w:jc w:val="both"/>
        <w:rPr>
          <w:rFonts w:hint="default" w:eastAsia="宋体"/>
          <w:sz w:val="21"/>
          <w:lang w:val="en-US" w:eastAsia="zh-CN"/>
        </w:rPr>
      </w:pPr>
      <w:r>
        <w:rPr>
          <w:rFonts w:hint="eastAsia"/>
          <w:spacing w:val="-8"/>
          <w:sz w:val="21"/>
        </w:rPr>
        <w:t>2.4.4</w:t>
      </w:r>
      <w:r>
        <w:rPr>
          <w:rFonts w:hint="eastAsia"/>
          <w:spacing w:val="-8"/>
          <w:sz w:val="21"/>
          <w:lang w:val="en-US" w:eastAsia="zh-CN"/>
        </w:rPr>
        <w:t xml:space="preserve"> </w:t>
      </w:r>
      <w:r>
        <w:rPr>
          <w:rFonts w:hint="eastAsia"/>
          <w:spacing w:val="-8"/>
          <w:sz w:val="21"/>
        </w:rPr>
        <w:t>最终报价是响应文件的有效组成部分。</w:t>
      </w:r>
    </w:p>
    <w:p w14:paraId="14188491">
      <w:pPr>
        <w:pStyle w:val="37"/>
        <w:tabs>
          <w:tab w:val="left" w:pos="1185"/>
        </w:tabs>
        <w:spacing w:line="357" w:lineRule="auto"/>
        <w:ind w:left="0" w:right="592" w:firstLine="281" w:firstLineChars="100"/>
        <w:outlineLvl w:val="2"/>
        <w:rPr>
          <w:rFonts w:hint="eastAsia" w:ascii="宋体" w:hAnsi="宋体" w:eastAsia="宋体" w:cs="宋体"/>
          <w:sz w:val="28"/>
          <w:szCs w:val="28"/>
          <w:lang w:val="en-US"/>
        </w:rPr>
      </w:pPr>
      <w:r>
        <w:rPr>
          <w:rFonts w:hint="eastAsia" w:ascii="宋体" w:hAnsi="宋体" w:eastAsia="宋体" w:cs="宋体"/>
          <w:b/>
          <w:sz w:val="28"/>
          <w:szCs w:val="28"/>
          <w:lang w:val="en-US" w:eastAsia="zh-CN" w:bidi="zh-CN"/>
        </w:rPr>
        <w:t>3.4</w:t>
      </w:r>
      <w:r>
        <w:rPr>
          <w:rFonts w:hint="eastAsia" w:ascii="宋体" w:hAnsi="宋体" w:eastAsia="宋体" w:cs="宋体"/>
          <w:b/>
          <w:sz w:val="28"/>
          <w:szCs w:val="28"/>
          <w:lang w:val="en-US"/>
        </w:rPr>
        <w:t xml:space="preserve"> 评审结果</w:t>
      </w:r>
    </w:p>
    <w:p w14:paraId="6823BD18">
      <w:pPr>
        <w:pStyle w:val="37"/>
        <w:numPr>
          <w:ilvl w:val="0"/>
          <w:numId w:val="0"/>
        </w:numPr>
        <w:tabs>
          <w:tab w:val="left" w:pos="1185"/>
        </w:tabs>
        <w:spacing w:line="358" w:lineRule="auto"/>
        <w:ind w:firstLine="564" w:firstLineChars="300"/>
        <w:rPr>
          <w:spacing w:val="-11"/>
          <w:sz w:val="21"/>
        </w:rPr>
      </w:pPr>
      <w:bookmarkStart w:id="110" w:name="_TOC_250117"/>
      <w:bookmarkEnd w:id="110"/>
      <w:r>
        <w:rPr>
          <w:rFonts w:hint="eastAsia"/>
          <w:spacing w:val="-11"/>
          <w:sz w:val="21"/>
          <w:lang w:val="en-US"/>
        </w:rPr>
        <w:t>3.4.1</w:t>
      </w:r>
      <w:r>
        <w:rPr>
          <w:rFonts w:hint="eastAsia"/>
          <w:spacing w:val="-11"/>
          <w:sz w:val="21"/>
          <w:lang w:val="en-US" w:eastAsia="zh-CN"/>
        </w:rPr>
        <w:t xml:space="preserve"> </w:t>
      </w:r>
      <w:r>
        <w:rPr>
          <w:rFonts w:hint="eastAsia"/>
          <w:spacing w:val="-11"/>
          <w:sz w:val="21"/>
          <w:lang w:val="en-US"/>
        </w:rPr>
        <w:t>磋商小组</w:t>
      </w:r>
      <w:r>
        <w:rPr>
          <w:spacing w:val="-11"/>
          <w:sz w:val="21"/>
        </w:rPr>
        <w:t>按照</w:t>
      </w:r>
      <w:r>
        <w:rPr>
          <w:rFonts w:hint="eastAsia"/>
          <w:spacing w:val="-11"/>
          <w:sz w:val="21"/>
          <w:lang w:val="en-US"/>
        </w:rPr>
        <w:t>综合</w:t>
      </w:r>
      <w:r>
        <w:rPr>
          <w:spacing w:val="-11"/>
          <w:sz w:val="21"/>
        </w:rPr>
        <w:t>得分由高到低的顺序推荐</w:t>
      </w:r>
      <w:r>
        <w:rPr>
          <w:rFonts w:hint="eastAsia"/>
          <w:spacing w:val="-11"/>
          <w:sz w:val="21"/>
          <w:lang w:val="en-US"/>
        </w:rPr>
        <w:t>成交候选供应商</w:t>
      </w:r>
      <w:r>
        <w:rPr>
          <w:spacing w:val="-11"/>
          <w:sz w:val="21"/>
        </w:rPr>
        <w:t>。</w:t>
      </w:r>
    </w:p>
    <w:p w14:paraId="40A26573">
      <w:pPr>
        <w:pStyle w:val="37"/>
        <w:numPr>
          <w:ilvl w:val="0"/>
          <w:numId w:val="0"/>
        </w:numPr>
        <w:tabs>
          <w:tab w:val="left" w:pos="1185"/>
        </w:tabs>
        <w:spacing w:line="358" w:lineRule="auto"/>
        <w:ind w:firstLine="564" w:firstLineChars="300"/>
        <w:rPr>
          <w:rFonts w:hint="eastAsia" w:ascii="宋体" w:hAnsi="宋体" w:eastAsia="宋体" w:cs="宋体"/>
          <w:b/>
          <w:bCs w:val="0"/>
          <w:sz w:val="28"/>
          <w:szCs w:val="28"/>
          <w:lang w:val="en-US" w:eastAsia="zh-CN" w:bidi="zh-CN"/>
        </w:rPr>
      </w:pPr>
      <w:r>
        <w:rPr>
          <w:rFonts w:hint="eastAsia"/>
          <w:spacing w:val="-11"/>
          <w:sz w:val="21"/>
          <w:lang w:val="en-US"/>
        </w:rPr>
        <w:t>3.4.2</w:t>
      </w:r>
      <w:r>
        <w:rPr>
          <w:rFonts w:hint="eastAsia"/>
          <w:spacing w:val="-11"/>
          <w:sz w:val="21"/>
          <w:lang w:val="en-US" w:eastAsia="zh-CN"/>
        </w:rPr>
        <w:t xml:space="preserve"> </w:t>
      </w:r>
      <w:r>
        <w:rPr>
          <w:rFonts w:hint="eastAsia"/>
          <w:spacing w:val="-11"/>
          <w:sz w:val="21"/>
          <w:lang w:val="en-US"/>
        </w:rPr>
        <w:t>磋商小组完成评审后，应当向采购人提交书面评审报告。</w:t>
      </w:r>
    </w:p>
    <w:p w14:paraId="29DA5B77">
      <w:pPr>
        <w:pStyle w:val="8"/>
        <w:tabs>
          <w:tab w:val="left" w:pos="721"/>
        </w:tabs>
        <w:spacing w:before="0" w:after="0" w:line="360" w:lineRule="auto"/>
        <w:ind w:right="322" w:firstLine="281" w:firstLineChars="100"/>
        <w:rPr>
          <w:rFonts w:hint="eastAsia" w:ascii="宋体" w:hAnsi="宋体" w:eastAsia="宋体" w:cs="宋体"/>
          <w:b/>
          <w:bCs w:val="0"/>
          <w:sz w:val="28"/>
          <w:szCs w:val="28"/>
          <w:lang w:val="en-US" w:eastAsia="zh-CN" w:bidi="zh-CN"/>
        </w:rPr>
      </w:pPr>
      <w:r>
        <w:rPr>
          <w:rFonts w:hint="eastAsia" w:ascii="宋体" w:hAnsi="宋体" w:eastAsia="宋体" w:cs="宋体"/>
          <w:b/>
          <w:bCs w:val="0"/>
          <w:sz w:val="28"/>
          <w:szCs w:val="28"/>
          <w:lang w:val="en-US" w:eastAsia="zh-CN" w:bidi="zh-CN"/>
        </w:rPr>
        <w:t>3.5.出现下列情形之一的，采购人或者采购代理机构应当终止竞争性磋商采购活动，发布项目终止公告并说明原因，重新开展采购活动：</w:t>
      </w:r>
    </w:p>
    <w:p w14:paraId="1A3B7008">
      <w:pPr>
        <w:pStyle w:val="37"/>
        <w:numPr>
          <w:ilvl w:val="0"/>
          <w:numId w:val="0"/>
        </w:numPr>
        <w:tabs>
          <w:tab w:val="left" w:pos="1185"/>
        </w:tabs>
        <w:spacing w:line="358" w:lineRule="auto"/>
        <w:ind w:firstLine="376" w:firstLineChars="200"/>
        <w:rPr>
          <w:rFonts w:hint="eastAsia"/>
          <w:spacing w:val="-11"/>
          <w:sz w:val="21"/>
          <w:lang w:val="en-US"/>
        </w:rPr>
      </w:pPr>
      <w:r>
        <w:rPr>
          <w:rFonts w:hint="eastAsia"/>
          <w:spacing w:val="-11"/>
          <w:sz w:val="21"/>
          <w:lang w:val="en-US" w:eastAsia="zh-CN"/>
        </w:rPr>
        <w:t xml:space="preserve">3.5.1 </w:t>
      </w:r>
      <w:r>
        <w:rPr>
          <w:rFonts w:hint="eastAsia"/>
          <w:spacing w:val="-11"/>
          <w:sz w:val="21"/>
          <w:lang w:val="en-US"/>
        </w:rPr>
        <w:t>因情况变化，不再符合规定的竞争性磋商采购方式适用情形的；</w:t>
      </w:r>
    </w:p>
    <w:p w14:paraId="76B84F5C">
      <w:pPr>
        <w:pStyle w:val="37"/>
        <w:numPr>
          <w:ilvl w:val="0"/>
          <w:numId w:val="0"/>
        </w:numPr>
        <w:tabs>
          <w:tab w:val="left" w:pos="1185"/>
        </w:tabs>
        <w:spacing w:line="358" w:lineRule="auto"/>
        <w:ind w:firstLine="376" w:firstLineChars="200"/>
        <w:rPr>
          <w:rFonts w:hint="eastAsia"/>
          <w:spacing w:val="-11"/>
          <w:sz w:val="21"/>
          <w:lang w:val="en-US"/>
        </w:rPr>
      </w:pPr>
      <w:r>
        <w:rPr>
          <w:rFonts w:hint="eastAsia"/>
          <w:spacing w:val="-11"/>
          <w:sz w:val="21"/>
          <w:lang w:val="en-US" w:eastAsia="zh-CN"/>
        </w:rPr>
        <w:t xml:space="preserve">3.5.2 </w:t>
      </w:r>
      <w:r>
        <w:rPr>
          <w:rFonts w:hint="eastAsia"/>
          <w:spacing w:val="-11"/>
          <w:sz w:val="21"/>
          <w:lang w:val="en-US"/>
        </w:rPr>
        <w:t>出现影响采购公正的违法、违规行为的；</w:t>
      </w:r>
    </w:p>
    <w:p w14:paraId="25957F87">
      <w:pPr>
        <w:pStyle w:val="37"/>
        <w:numPr>
          <w:ilvl w:val="0"/>
          <w:numId w:val="0"/>
        </w:numPr>
        <w:tabs>
          <w:tab w:val="left" w:pos="1185"/>
        </w:tabs>
        <w:spacing w:line="358" w:lineRule="auto"/>
        <w:ind w:firstLine="376" w:firstLineChars="200"/>
        <w:rPr>
          <w:rFonts w:hint="default"/>
          <w:spacing w:val="-11"/>
          <w:sz w:val="21"/>
          <w:lang w:val="en-US" w:eastAsia="zh-CN"/>
        </w:rPr>
        <w:sectPr>
          <w:pgSz w:w="12240" w:h="15840"/>
          <w:pgMar w:top="1440" w:right="1080" w:bottom="1440" w:left="1080" w:header="0" w:footer="844" w:gutter="0"/>
          <w:pgNumType w:fmt="decimal"/>
          <w:cols w:space="720" w:num="1"/>
        </w:sectPr>
      </w:pPr>
      <w:r>
        <w:rPr>
          <w:rFonts w:hint="eastAsia"/>
          <w:spacing w:val="-11"/>
          <w:sz w:val="21"/>
          <w:lang w:val="en-US" w:eastAsia="zh-CN"/>
        </w:rPr>
        <w:t xml:space="preserve">3.5.3 </w:t>
      </w:r>
      <w:r>
        <w:rPr>
          <w:rFonts w:hint="eastAsia"/>
          <w:spacing w:val="-11"/>
          <w:sz w:val="21"/>
          <w:lang w:val="en-US"/>
        </w:rPr>
        <w:t>除《政府采购竞争性磋商采购方式管理暂定办法》第二十一条第三款规定的情形外，在采购过程中符合要求的供应商或者报价未超过采购预算的供应商不足 3 家的。</w:t>
      </w:r>
    </w:p>
    <w:p w14:paraId="6861EFA0">
      <w:pPr>
        <w:pStyle w:val="2"/>
        <w:spacing w:before="38"/>
        <w:ind w:firstLine="2209" w:firstLineChars="500"/>
        <w:rPr>
          <w:sz w:val="18"/>
        </w:rPr>
      </w:pPr>
      <w:bookmarkStart w:id="111" w:name="_TOC_250116"/>
      <w:bookmarkEnd w:id="111"/>
      <w:bookmarkStart w:id="112" w:name="_Toc10126"/>
      <w:r>
        <w:t>第四章</w:t>
      </w:r>
      <w:r>
        <w:rPr>
          <w:rFonts w:hint="eastAsia"/>
          <w:lang w:val="en-US"/>
        </w:rPr>
        <w:t xml:space="preserve">  </w:t>
      </w:r>
      <w:r>
        <w:t>合同条款及格式</w:t>
      </w:r>
      <w:bookmarkEnd w:id="112"/>
    </w:p>
    <w:p w14:paraId="6C22DB22">
      <w:pPr>
        <w:pStyle w:val="12"/>
        <w:spacing w:before="7"/>
        <w:rPr>
          <w:sz w:val="19"/>
        </w:rPr>
      </w:pPr>
    </w:p>
    <w:p w14:paraId="19235C19">
      <w:pPr>
        <w:pStyle w:val="12"/>
        <w:spacing w:line="358" w:lineRule="auto"/>
        <w:ind w:firstLine="420" w:firstLineChars="200"/>
        <w:rPr>
          <w:lang w:val="en-US"/>
        </w:rPr>
      </w:pPr>
    </w:p>
    <w:p w14:paraId="4F65650E">
      <w:pPr>
        <w:pStyle w:val="12"/>
        <w:spacing w:line="358" w:lineRule="auto"/>
        <w:ind w:firstLine="420" w:firstLineChars="200"/>
        <w:rPr>
          <w:lang w:val="en-US"/>
        </w:rPr>
      </w:pPr>
      <w:r>
        <w:rPr>
          <w:rFonts w:hint="eastAsia"/>
          <w:lang w:val="en-US"/>
        </w:rPr>
        <w:t>以下所附合同内容只供采购人与成交供应商参考，合同的签订最终以采购人与成交供应商在平等自愿、公正合理的基础上完成。</w:t>
      </w:r>
    </w:p>
    <w:p w14:paraId="3D502434">
      <w:pPr>
        <w:rPr>
          <w:lang w:val="en-US"/>
        </w:rPr>
      </w:pPr>
      <w:r>
        <w:rPr>
          <w:rFonts w:hint="eastAsia"/>
          <w:lang w:val="en-US"/>
        </w:rPr>
        <w:t xml:space="preserve">     </w:t>
      </w:r>
    </w:p>
    <w:p w14:paraId="553697E4">
      <w:pPr>
        <w:rPr>
          <w:lang w:val="en-US"/>
        </w:rPr>
      </w:pPr>
    </w:p>
    <w:p w14:paraId="5C75FA39">
      <w:pPr>
        <w:rPr>
          <w:lang w:val="en-US"/>
        </w:rPr>
      </w:pPr>
    </w:p>
    <w:p w14:paraId="00B380F6">
      <w:pPr>
        <w:rPr>
          <w:lang w:val="en-US"/>
        </w:rPr>
      </w:pPr>
    </w:p>
    <w:p w14:paraId="60C07F13">
      <w:pPr>
        <w:rPr>
          <w:lang w:val="en-US"/>
        </w:rPr>
      </w:pPr>
    </w:p>
    <w:p w14:paraId="028D18CF">
      <w:pPr>
        <w:rPr>
          <w:lang w:val="en-US"/>
        </w:rPr>
      </w:pPr>
    </w:p>
    <w:p w14:paraId="7BC49994">
      <w:pPr>
        <w:rPr>
          <w:lang w:val="en-US"/>
        </w:rPr>
      </w:pPr>
    </w:p>
    <w:p w14:paraId="7CDA8BDF">
      <w:pPr>
        <w:rPr>
          <w:lang w:val="en-US"/>
        </w:rPr>
      </w:pPr>
    </w:p>
    <w:p w14:paraId="213038A7">
      <w:pPr>
        <w:rPr>
          <w:lang w:val="en-US"/>
        </w:rPr>
      </w:pPr>
    </w:p>
    <w:p w14:paraId="3F4CD34D">
      <w:pPr>
        <w:rPr>
          <w:lang w:val="en-US"/>
        </w:rPr>
      </w:pPr>
    </w:p>
    <w:p w14:paraId="176EC801">
      <w:pPr>
        <w:rPr>
          <w:lang w:val="en-US"/>
        </w:rPr>
      </w:pPr>
    </w:p>
    <w:p w14:paraId="7866856F">
      <w:pPr>
        <w:rPr>
          <w:lang w:val="en-US"/>
        </w:rPr>
      </w:pPr>
    </w:p>
    <w:p w14:paraId="32B06077">
      <w:pPr>
        <w:rPr>
          <w:lang w:val="en-US"/>
        </w:rPr>
      </w:pPr>
    </w:p>
    <w:p w14:paraId="5BF4CE52">
      <w:pPr>
        <w:rPr>
          <w:lang w:val="en-US"/>
        </w:rPr>
      </w:pPr>
    </w:p>
    <w:p w14:paraId="0DD92ADB">
      <w:pPr>
        <w:rPr>
          <w:lang w:val="en-US"/>
        </w:rPr>
      </w:pPr>
    </w:p>
    <w:p w14:paraId="0C5B37C4">
      <w:pPr>
        <w:rPr>
          <w:lang w:val="en-US"/>
        </w:rPr>
      </w:pPr>
    </w:p>
    <w:p w14:paraId="045CBB72">
      <w:pPr>
        <w:rPr>
          <w:lang w:val="en-US"/>
        </w:rPr>
      </w:pPr>
    </w:p>
    <w:p w14:paraId="3E889DAC">
      <w:pPr>
        <w:rPr>
          <w:lang w:val="en-US"/>
        </w:rPr>
      </w:pPr>
    </w:p>
    <w:p w14:paraId="55720B47">
      <w:pPr>
        <w:rPr>
          <w:lang w:val="en-US"/>
        </w:rPr>
      </w:pPr>
    </w:p>
    <w:p w14:paraId="30A6A0BB">
      <w:pPr>
        <w:rPr>
          <w:lang w:val="en-US"/>
        </w:rPr>
      </w:pPr>
    </w:p>
    <w:p w14:paraId="0A053CE1">
      <w:pPr>
        <w:rPr>
          <w:lang w:val="en-US"/>
        </w:rPr>
      </w:pPr>
    </w:p>
    <w:p w14:paraId="6DA2B5DC">
      <w:pPr>
        <w:rPr>
          <w:lang w:val="en-US"/>
        </w:rPr>
      </w:pPr>
    </w:p>
    <w:p w14:paraId="4105D04B">
      <w:pPr>
        <w:rPr>
          <w:lang w:val="en-US"/>
        </w:rPr>
      </w:pPr>
    </w:p>
    <w:p w14:paraId="7A577F4E">
      <w:pPr>
        <w:rPr>
          <w:lang w:val="en-US"/>
        </w:rPr>
      </w:pPr>
    </w:p>
    <w:p w14:paraId="4F9AA4E3">
      <w:pPr>
        <w:rPr>
          <w:lang w:val="en-US"/>
        </w:rPr>
      </w:pPr>
    </w:p>
    <w:p w14:paraId="7A858859">
      <w:pPr>
        <w:rPr>
          <w:lang w:val="en-US"/>
        </w:rPr>
      </w:pPr>
    </w:p>
    <w:p w14:paraId="24A7C85E">
      <w:pPr>
        <w:rPr>
          <w:lang w:val="en-US"/>
        </w:rPr>
      </w:pPr>
    </w:p>
    <w:p w14:paraId="559FC67F">
      <w:pPr>
        <w:rPr>
          <w:lang w:val="en-US"/>
        </w:rPr>
      </w:pPr>
    </w:p>
    <w:p w14:paraId="67FEDE8C">
      <w:pPr>
        <w:rPr>
          <w:lang w:val="en-US"/>
        </w:rPr>
      </w:pPr>
    </w:p>
    <w:p w14:paraId="33160733">
      <w:pPr>
        <w:rPr>
          <w:lang w:val="en-US"/>
        </w:rPr>
      </w:pPr>
    </w:p>
    <w:p w14:paraId="4B35791C">
      <w:pPr>
        <w:rPr>
          <w:lang w:val="en-US"/>
        </w:rPr>
      </w:pPr>
    </w:p>
    <w:p w14:paraId="73A9B043">
      <w:pPr>
        <w:rPr>
          <w:lang w:val="en-US"/>
        </w:rPr>
      </w:pPr>
    </w:p>
    <w:p w14:paraId="5BAFA1CD">
      <w:pPr>
        <w:rPr>
          <w:lang w:val="en-US"/>
        </w:rPr>
      </w:pPr>
    </w:p>
    <w:p w14:paraId="6EC16025">
      <w:pPr>
        <w:rPr>
          <w:lang w:val="en-US"/>
        </w:rPr>
      </w:pPr>
    </w:p>
    <w:p w14:paraId="67DC15F5">
      <w:pPr>
        <w:rPr>
          <w:lang w:val="en-US"/>
        </w:rPr>
      </w:pPr>
    </w:p>
    <w:p w14:paraId="0B3C906D">
      <w:pPr>
        <w:rPr>
          <w:lang w:val="en-US"/>
        </w:rPr>
      </w:pPr>
    </w:p>
    <w:p w14:paraId="3D9F869F">
      <w:pPr>
        <w:rPr>
          <w:lang w:val="en-US"/>
        </w:rPr>
      </w:pPr>
    </w:p>
    <w:p w14:paraId="5E92CD5B">
      <w:pPr>
        <w:rPr>
          <w:lang w:val="en-US"/>
        </w:rPr>
      </w:pPr>
    </w:p>
    <w:p w14:paraId="4C3C8129">
      <w:pPr>
        <w:rPr>
          <w:lang w:val="en-US"/>
        </w:rPr>
      </w:pPr>
    </w:p>
    <w:p w14:paraId="524A2F7C">
      <w:pPr>
        <w:rPr>
          <w:rFonts w:ascii="Times New Roman" w:hAnsi="Times New Roman" w:eastAsia="仿宋_GB2312"/>
          <w:bCs/>
          <w:color w:val="000000"/>
          <w:sz w:val="32"/>
          <w:szCs w:val="32"/>
        </w:rPr>
      </w:pPr>
      <w:r>
        <w:rPr>
          <w:rFonts w:hint="eastAsia"/>
          <w:lang w:val="en-US"/>
        </w:rPr>
        <w:t xml:space="preserve">  </w:t>
      </w:r>
      <w:r>
        <w:rPr>
          <w:rFonts w:ascii="Times New Roman" w:hAnsi="Times New Roman" w:eastAsia="仿宋_GB2312"/>
          <w:bCs/>
          <w:color w:val="000000"/>
          <w:sz w:val="32"/>
          <w:szCs w:val="32"/>
        </w:rPr>
        <w:t>GF—201</w:t>
      </w:r>
      <w:r>
        <w:rPr>
          <w:rFonts w:hint="eastAsia" w:ascii="Times New Roman" w:hAnsi="Times New Roman" w:eastAsia="仿宋_GB2312"/>
          <w:bCs/>
          <w:color w:val="000000"/>
          <w:sz w:val="32"/>
          <w:szCs w:val="32"/>
          <w:lang w:val="en-US"/>
        </w:rPr>
        <w:t>8</w:t>
      </w:r>
      <w:r>
        <w:rPr>
          <w:rFonts w:ascii="Times New Roman" w:hAnsi="Times New Roman" w:eastAsia="仿宋_GB2312"/>
          <w:bCs/>
          <w:color w:val="000000"/>
          <w:sz w:val="32"/>
          <w:szCs w:val="32"/>
        </w:rPr>
        <w:t>—</w:t>
      </w:r>
      <w:r>
        <w:rPr>
          <w:rFonts w:hint="eastAsia" w:ascii="Times New Roman" w:hAnsi="Times New Roman" w:eastAsia="仿宋_GB2312"/>
          <w:bCs/>
          <w:color w:val="000000"/>
          <w:sz w:val="32"/>
          <w:szCs w:val="32"/>
        </w:rPr>
        <w:t>0201</w:t>
      </w:r>
    </w:p>
    <w:p w14:paraId="5F0E1C07">
      <w:pPr>
        <w:wordWrap w:val="0"/>
        <w:jc w:val="right"/>
        <w:rPr>
          <w:rFonts w:ascii="仿宋_GB2312" w:hAnsi="Times New Roman" w:eastAsia="仿宋_GB2312"/>
          <w:b/>
          <w:color w:val="000000"/>
          <w:sz w:val="32"/>
          <w:szCs w:val="32"/>
          <w:u w:val="single"/>
        </w:rPr>
      </w:pPr>
      <w:r>
        <w:rPr>
          <w:rFonts w:hint="eastAsia" w:ascii="仿宋_GB2312" w:hAnsi="Times New Roman" w:eastAsia="仿宋_GB2312"/>
          <w:b/>
          <w:color w:val="000000"/>
          <w:sz w:val="32"/>
          <w:szCs w:val="32"/>
        </w:rPr>
        <w:t>合同编号：</w:t>
      </w:r>
      <w:r>
        <w:rPr>
          <w:rFonts w:hint="eastAsia" w:ascii="仿宋_GB2312" w:hAnsi="Times New Roman" w:eastAsia="仿宋_GB2312"/>
          <w:bCs/>
          <w:color w:val="000000"/>
          <w:sz w:val="32"/>
          <w:szCs w:val="32"/>
          <w:u w:val="single"/>
        </w:rPr>
        <w:t xml:space="preserve">             </w:t>
      </w:r>
    </w:p>
    <w:p w14:paraId="09381173">
      <w:pPr>
        <w:tabs>
          <w:tab w:val="left" w:pos="5460"/>
        </w:tabs>
        <w:rPr>
          <w:rFonts w:ascii="黑体" w:eastAsia="黑体"/>
          <w:color w:val="000000"/>
          <w:sz w:val="72"/>
          <w:szCs w:val="52"/>
        </w:rPr>
      </w:pPr>
    </w:p>
    <w:p w14:paraId="502F02DE">
      <w:pPr>
        <w:jc w:val="center"/>
        <w:rPr>
          <w:rFonts w:ascii="Times New Roman" w:hAnsi="Times New Roman" w:eastAsia="华文中宋"/>
          <w:b/>
          <w:color w:val="000000"/>
          <w:sz w:val="52"/>
          <w:szCs w:val="52"/>
        </w:rPr>
      </w:pPr>
      <w:r>
        <w:rPr>
          <w:rFonts w:hint="eastAsia" w:ascii="黑体" w:eastAsia="黑体"/>
          <w:color w:val="000000"/>
          <w:sz w:val="72"/>
          <w:szCs w:val="52"/>
        </w:rPr>
        <w:t>建设工程施工合同</w:t>
      </w:r>
      <w:r>
        <w:rPr>
          <w:rFonts w:ascii="Times New Roman" w:hAnsi="Times New Roman" w:eastAsia="华文中宋"/>
          <w:b/>
          <w:color w:val="000000"/>
          <w:sz w:val="52"/>
          <w:szCs w:val="52"/>
        </w:rPr>
        <w:br w:type="textWrapping"/>
      </w:r>
    </w:p>
    <w:p w14:paraId="781129B1">
      <w:pPr>
        <w:wordWrap w:val="0"/>
        <w:jc w:val="center"/>
        <w:rPr>
          <w:rFonts w:ascii="仿宋_GB2312" w:hAnsi="Times New Roman" w:eastAsia="仿宋_GB2312"/>
          <w:b/>
          <w:color w:val="000000"/>
          <w:sz w:val="24"/>
          <w:szCs w:val="24"/>
        </w:rPr>
      </w:pPr>
      <w:r>
        <w:rPr>
          <w:rFonts w:hint="eastAsia" w:ascii="仿宋_GB2312" w:hAnsi="Times New Roman" w:eastAsia="仿宋_GB2312"/>
          <w:b/>
          <w:color w:val="000000"/>
          <w:sz w:val="24"/>
          <w:szCs w:val="24"/>
        </w:rPr>
        <w:t xml:space="preserve">                                      </w:t>
      </w:r>
    </w:p>
    <w:p w14:paraId="1D7798D9">
      <w:pPr>
        <w:wordWrap w:val="0"/>
        <w:jc w:val="center"/>
        <w:rPr>
          <w:rFonts w:ascii="仿宋_GB2312" w:hAnsi="Times New Roman" w:eastAsia="仿宋_GB2312"/>
          <w:b/>
          <w:color w:val="000000"/>
          <w:sz w:val="24"/>
          <w:szCs w:val="24"/>
        </w:rPr>
      </w:pPr>
    </w:p>
    <w:p w14:paraId="4DCF054A">
      <w:pPr>
        <w:wordWrap w:val="0"/>
        <w:jc w:val="center"/>
        <w:rPr>
          <w:rFonts w:ascii="仿宋_GB2312" w:hAnsi="Times New Roman" w:eastAsia="仿宋_GB2312"/>
          <w:b/>
          <w:color w:val="000000"/>
          <w:sz w:val="24"/>
          <w:szCs w:val="24"/>
        </w:rPr>
      </w:pPr>
    </w:p>
    <w:p w14:paraId="750E76FA">
      <w:pPr>
        <w:jc w:val="center"/>
        <w:rPr>
          <w:rFonts w:ascii="楷体_GB2312" w:hAnsi="Times New Roman"/>
          <w:b/>
          <w:color w:val="0000FF"/>
          <w:sz w:val="32"/>
          <w:szCs w:val="32"/>
        </w:rPr>
      </w:pPr>
    </w:p>
    <w:p w14:paraId="21DBED31">
      <w:pPr>
        <w:jc w:val="center"/>
        <w:rPr>
          <w:rFonts w:ascii="楷体_GB2312" w:hAnsi="Times New Roman"/>
          <w:b/>
          <w:color w:val="0000FF"/>
          <w:sz w:val="28"/>
          <w:szCs w:val="28"/>
        </w:rPr>
      </w:pPr>
    </w:p>
    <w:p w14:paraId="1E76AC65">
      <w:pPr>
        <w:jc w:val="right"/>
        <w:rPr>
          <w:rFonts w:ascii="楷体_GB2312" w:hAnsi="Times New Roman" w:eastAsia="楷体_GB2312"/>
          <w:b/>
          <w:color w:val="0000FF"/>
          <w:sz w:val="32"/>
          <w:szCs w:val="32"/>
        </w:rPr>
      </w:pPr>
    </w:p>
    <w:p w14:paraId="03A9EF5C">
      <w:pPr>
        <w:jc w:val="right"/>
        <w:rPr>
          <w:rFonts w:ascii="楷体_GB2312" w:hAnsi="Times New Roman" w:eastAsia="楷体_GB2312"/>
          <w:b/>
          <w:color w:val="0000FF"/>
          <w:sz w:val="32"/>
          <w:szCs w:val="32"/>
        </w:rPr>
      </w:pPr>
    </w:p>
    <w:p w14:paraId="26982CD2">
      <w:pPr>
        <w:jc w:val="right"/>
        <w:rPr>
          <w:rFonts w:ascii="楷体_GB2312" w:hAnsi="Times New Roman" w:eastAsia="楷体_GB2312"/>
          <w:b/>
          <w:color w:val="0000FF"/>
          <w:sz w:val="32"/>
          <w:szCs w:val="32"/>
        </w:rPr>
      </w:pPr>
    </w:p>
    <w:p w14:paraId="66289DC2">
      <w:pPr>
        <w:jc w:val="center"/>
        <w:rPr>
          <w:rFonts w:ascii="楷体_GB2312" w:hAnsi="Times New Roman" w:eastAsia="楷体_GB2312"/>
          <w:b/>
          <w:color w:val="0000FF"/>
          <w:sz w:val="32"/>
          <w:szCs w:val="32"/>
        </w:rPr>
      </w:pPr>
    </w:p>
    <w:p w14:paraId="1E73784B">
      <w:pPr>
        <w:jc w:val="center"/>
        <w:rPr>
          <w:rFonts w:ascii="Times New Roman" w:hAnsi="Times New Roman" w:eastAsia="黑体"/>
          <w:b/>
          <w:color w:val="000000"/>
          <w:sz w:val="72"/>
          <w:szCs w:val="72"/>
        </w:rPr>
      </w:pPr>
    </w:p>
    <w:p w14:paraId="2C29581D">
      <w:pPr>
        <w:rPr>
          <w:rFonts w:ascii="Times New Roman" w:hAnsi="Times New Roman" w:eastAsia="楷体_GB2312"/>
          <w:b/>
          <w:color w:val="000000"/>
          <w:sz w:val="72"/>
          <w:szCs w:val="72"/>
        </w:rPr>
      </w:pPr>
    </w:p>
    <w:p w14:paraId="4159EDCA">
      <w:pPr>
        <w:rPr>
          <w:rFonts w:ascii="Times New Roman" w:hAnsi="Times New Roman"/>
          <w:b/>
          <w:color w:val="000000"/>
          <w:sz w:val="28"/>
          <w:szCs w:val="28"/>
        </w:rPr>
      </w:pPr>
    </w:p>
    <w:p w14:paraId="22332AB6">
      <w:pPr>
        <w:ind w:right="2640" w:rightChars="1200" w:firstLine="939" w:firstLineChars="261"/>
        <w:jc w:val="distribute"/>
        <w:rPr>
          <w:rFonts w:ascii="Times New Roman" w:hAnsi="Times New Roman"/>
          <w:b/>
          <w:color w:val="000000"/>
          <w:sz w:val="36"/>
          <w:szCs w:val="36"/>
        </w:rPr>
      </w:pPr>
      <w:r>
        <w:rPr>
          <w:rFonts w:ascii="Times New Roman" w:hAnsi="Times New Roman"/>
          <w:sz w:val="36"/>
          <w:szCs w:val="36"/>
          <w:lang w:val="en-US" w:bidi="ar-SA"/>
        </w:rPr>
        <mc:AlternateContent>
          <mc:Choice Requires="wps">
            <w:drawing>
              <wp:anchor distT="0" distB="0" distL="114300" distR="114300" simplePos="0" relativeHeight="251659264" behindDoc="0" locked="0" layoutInCell="1" allowOverlap="1">
                <wp:simplePos x="0" y="0"/>
                <wp:positionH relativeFrom="column">
                  <wp:posOffset>4267200</wp:posOffset>
                </wp:positionH>
                <wp:positionV relativeFrom="paragraph">
                  <wp:posOffset>120015</wp:posOffset>
                </wp:positionV>
                <wp:extent cx="897255" cy="573405"/>
                <wp:effectExtent l="5080" t="5080" r="12065" b="12065"/>
                <wp:wrapNone/>
                <wp:docPr id="2" name="文本框 2"/>
                <wp:cNvGraphicFramePr/>
                <a:graphic xmlns:a="http://schemas.openxmlformats.org/drawingml/2006/main">
                  <a:graphicData uri="http://schemas.microsoft.com/office/word/2010/wordprocessingShape">
                    <wps:wsp>
                      <wps:cNvSpPr txBox="1"/>
                      <wps:spPr>
                        <a:xfrm>
                          <a:off x="0" y="0"/>
                          <a:ext cx="897255" cy="573405"/>
                        </a:xfrm>
                        <a:prstGeom prst="rect">
                          <a:avLst/>
                        </a:prstGeom>
                        <a:noFill/>
                        <a:ln w="9525" cap="flat" cmpd="sng">
                          <a:solidFill>
                            <a:srgbClr val="FFFFFF"/>
                          </a:solidFill>
                          <a:prstDash val="solid"/>
                          <a:miter/>
                          <a:headEnd type="none" w="med" len="med"/>
                          <a:tailEnd type="none" w="med" len="med"/>
                        </a:ln>
                      </wps:spPr>
                      <wps:txbx>
                        <w:txbxContent>
                          <w:p w14:paraId="67A46BB8">
                            <w:pPr>
                              <w:rPr>
                                <w:b/>
                                <w:bCs/>
                                <w:sz w:val="44"/>
                                <w:szCs w:val="44"/>
                              </w:rPr>
                            </w:pPr>
                            <w:r>
                              <w:rPr>
                                <w:rFonts w:hint="eastAsia"/>
                                <w:b/>
                                <w:bCs/>
                                <w:sz w:val="44"/>
                                <w:szCs w:val="44"/>
                              </w:rPr>
                              <w:t>制 定</w:t>
                            </w:r>
                          </w:p>
                        </w:txbxContent>
                      </wps:txbx>
                      <wps:bodyPr upright="1"/>
                    </wps:wsp>
                  </a:graphicData>
                </a:graphic>
              </wp:anchor>
            </w:drawing>
          </mc:Choice>
          <mc:Fallback>
            <w:pict>
              <v:shape id="_x0000_s1026" o:spid="_x0000_s1026" o:spt="202" type="#_x0000_t202" style="position:absolute;left:0pt;margin-left:336pt;margin-top:9.45pt;height:45.15pt;width:70.65pt;z-index:251659264;mso-width-relative:page;mso-height-relative:page;" filled="f" stroked="t" coordsize="21600,21600" o:gfxdata="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MayRtdkAAAAKAQAADwAAAAAAAAABACAAAAAiAAAA&#10;ZHJzL2Rvd25yZXYueG1sUEsBAhQAFAAAAAgAh07iQDFg1X4GAgAADAQAAA4AAAAAAAAAAQAgAAAA&#10;KAEAAGRycy9lMm9Eb2MueG1sUEsFBgAAAAAGAAYAWQEAAKAFAAAAAA==&#10;">
                <v:fill on="f" focussize="0,0"/>
                <v:stroke color="#FFFFFF" joinstyle="miter"/>
                <v:imagedata o:title=""/>
                <o:lock v:ext="edit" aspectratio="f"/>
                <v:textbox>
                  <w:txbxContent>
                    <w:p w14:paraId="67A46BB8">
                      <w:pPr>
                        <w:rPr>
                          <w:b/>
                          <w:bCs/>
                          <w:sz w:val="44"/>
                          <w:szCs w:val="44"/>
                        </w:rPr>
                      </w:pPr>
                      <w:r>
                        <w:rPr>
                          <w:rFonts w:hint="eastAsia"/>
                          <w:b/>
                          <w:bCs/>
                          <w:sz w:val="44"/>
                          <w:szCs w:val="44"/>
                        </w:rPr>
                        <w:t>制 定</w:t>
                      </w:r>
                    </w:p>
                  </w:txbxContent>
                </v:textbox>
              </v:shape>
            </w:pict>
          </mc:Fallback>
        </mc:AlternateContent>
      </w:r>
      <w:r>
        <w:rPr>
          <w:rFonts w:ascii="Times New Roman" w:hAnsi="Times New Roman"/>
          <w:b/>
          <w:color w:val="000000"/>
          <w:sz w:val="36"/>
          <w:szCs w:val="36"/>
        </w:rPr>
        <w:t>住房和城乡建设部</w:t>
      </w:r>
    </w:p>
    <w:p w14:paraId="0F46B847">
      <w:pPr>
        <w:ind w:right="2640" w:rightChars="1200" w:firstLine="943" w:firstLineChars="261"/>
        <w:jc w:val="distribute"/>
        <w:rPr>
          <w:rFonts w:ascii="Times New Roman" w:hAnsi="Times New Roman"/>
          <w:b/>
          <w:color w:val="000000"/>
          <w:sz w:val="36"/>
          <w:szCs w:val="36"/>
        </w:rPr>
      </w:pPr>
      <w:r>
        <w:rPr>
          <w:rFonts w:ascii="Times New Roman" w:hAnsi="Times New Roman"/>
          <w:b/>
          <w:color w:val="000000"/>
          <w:sz w:val="36"/>
          <w:szCs w:val="36"/>
        </w:rPr>
        <w:t>国家工商行政管理总局</w:t>
      </w:r>
    </w:p>
    <w:p w14:paraId="3707D190">
      <w:bookmarkStart w:id="113" w:name="_Toc351203480"/>
      <w:bookmarkStart w:id="114" w:name="_Toc296503025"/>
      <w:bookmarkStart w:id="115" w:name="_Toc296890982"/>
    </w:p>
    <w:p w14:paraId="42B6E6ED"/>
    <w:p w14:paraId="07591040"/>
    <w:p w14:paraId="4BFFC031">
      <w:pPr>
        <w:sectPr>
          <w:headerReference r:id="rId10" w:type="first"/>
          <w:footerReference r:id="rId13" w:type="first"/>
          <w:headerReference r:id="rId8" w:type="default"/>
          <w:footerReference r:id="rId11" w:type="default"/>
          <w:headerReference r:id="rId9" w:type="even"/>
          <w:footerReference r:id="rId12" w:type="even"/>
          <w:pgSz w:w="11906" w:h="16838"/>
          <w:pgMar w:top="1440" w:right="1080" w:bottom="1440" w:left="1080" w:header="851" w:footer="992" w:gutter="0"/>
          <w:pgNumType w:fmt="decimal"/>
          <w:cols w:space="720" w:num="1"/>
          <w:titlePg/>
          <w:docGrid w:type="lines" w:linePitch="312" w:charSpace="0"/>
        </w:sectPr>
      </w:pPr>
    </w:p>
    <w:p w14:paraId="5065B7B5">
      <w:pPr>
        <w:jc w:val="center"/>
        <w:rPr>
          <w:b/>
          <w:bCs/>
          <w:sz w:val="52"/>
          <w:szCs w:val="56"/>
        </w:rPr>
      </w:pPr>
      <w:r>
        <w:rPr>
          <w:b/>
          <w:bCs/>
          <w:sz w:val="52"/>
          <w:szCs w:val="56"/>
        </w:rPr>
        <w:t>目</w:t>
      </w:r>
      <w:r>
        <w:rPr>
          <w:rFonts w:hint="eastAsia"/>
          <w:b/>
          <w:bCs/>
          <w:sz w:val="52"/>
          <w:szCs w:val="56"/>
        </w:rPr>
        <w:t xml:space="preserve">  </w:t>
      </w:r>
      <w:r>
        <w:rPr>
          <w:b/>
          <w:bCs/>
          <w:sz w:val="52"/>
          <w:szCs w:val="56"/>
        </w:rPr>
        <w:t>录</w:t>
      </w:r>
    </w:p>
    <w:p w14:paraId="4E39FEDE">
      <w:pPr>
        <w:jc w:val="center"/>
        <w:rPr>
          <w:b/>
          <w:bCs/>
          <w:sz w:val="52"/>
          <w:szCs w:val="56"/>
        </w:rPr>
      </w:pPr>
    </w:p>
    <w:p w14:paraId="3DDBC015">
      <w:pPr>
        <w:pStyle w:val="18"/>
        <w:tabs>
          <w:tab w:val="right" w:leader="dot" w:pos="9240"/>
        </w:tabs>
        <w:ind w:left="0" w:leftChars="0" w:firstLine="0" w:firstLineChars="0"/>
        <w:rPr>
          <w:rFonts w:hint="default" w:eastAsia="宋体"/>
          <w:lang w:val="en-US" w:eastAsia="zh-CN"/>
        </w:rPr>
      </w:pPr>
      <w:r>
        <w:fldChar w:fldCharType="begin"/>
      </w:r>
      <w:r>
        <w:instrText xml:space="preserve">TOC \o "1-3" \h \u </w:instrText>
      </w:r>
      <w:r>
        <w:fldChar w:fldCharType="separate"/>
      </w:r>
      <w:r>
        <w:rPr>
          <w:rFonts w:hint="eastAsia" w:ascii="黑体" w:hAnsi="黑体" w:eastAsia="黑体" w:cs="黑体"/>
          <w:b w:val="0"/>
          <w:bCs w:val="0"/>
          <w:lang w:val="en-US" w:eastAsia="zh-CN"/>
        </w:rPr>
        <w:t>第一部分 合同协议书</w:t>
      </w:r>
      <w:r>
        <w:rPr>
          <w:rFonts w:hint="eastAsia"/>
          <w:lang w:val="en-US" w:eastAsia="zh-CN"/>
        </w:rPr>
        <w:t>.....................................................................</w:t>
      </w:r>
    </w:p>
    <w:p w14:paraId="0F06E0BB">
      <w:pPr>
        <w:pStyle w:val="18"/>
        <w:tabs>
          <w:tab w:val="right" w:leader="dot" w:pos="9240"/>
        </w:tabs>
      </w:pPr>
      <w:r>
        <w:fldChar w:fldCharType="begin"/>
      </w:r>
      <w:r>
        <w:instrText xml:space="preserve"> HYPERLINK \l "_Toc13062" </w:instrText>
      </w:r>
      <w:r>
        <w:fldChar w:fldCharType="separate"/>
      </w:r>
      <w:r>
        <w:rPr>
          <w:rFonts w:ascii="黑体" w:hAnsi="黑体" w:eastAsia="黑体"/>
          <w:szCs w:val="24"/>
        </w:rPr>
        <w:t>一、工程概况</w:t>
      </w:r>
      <w:r>
        <w:tab/>
      </w:r>
      <w:r>
        <w:fldChar w:fldCharType="end"/>
      </w:r>
    </w:p>
    <w:p w14:paraId="0CCB9696">
      <w:pPr>
        <w:pStyle w:val="18"/>
        <w:tabs>
          <w:tab w:val="right" w:leader="dot" w:pos="9240"/>
        </w:tabs>
      </w:pPr>
      <w:r>
        <w:fldChar w:fldCharType="begin"/>
      </w:r>
      <w:r>
        <w:instrText xml:space="preserve"> HYPERLINK \l "_Toc23215" </w:instrText>
      </w:r>
      <w:r>
        <w:fldChar w:fldCharType="separate"/>
      </w:r>
      <w:r>
        <w:rPr>
          <w:rFonts w:ascii="Times New Roman" w:hAnsi="Times New Roman" w:eastAsia="黑体"/>
          <w:szCs w:val="24"/>
        </w:rPr>
        <w:t>二、合同工期</w:t>
      </w:r>
      <w:r>
        <w:tab/>
      </w:r>
      <w:r>
        <w:fldChar w:fldCharType="end"/>
      </w:r>
    </w:p>
    <w:p w14:paraId="526404FB">
      <w:pPr>
        <w:pStyle w:val="18"/>
        <w:tabs>
          <w:tab w:val="right" w:leader="dot" w:pos="9240"/>
        </w:tabs>
      </w:pPr>
      <w:r>
        <w:fldChar w:fldCharType="begin"/>
      </w:r>
      <w:r>
        <w:instrText xml:space="preserve"> HYPERLINK \l "_Toc3799" </w:instrText>
      </w:r>
      <w:r>
        <w:fldChar w:fldCharType="separate"/>
      </w:r>
      <w:r>
        <w:rPr>
          <w:rFonts w:ascii="Times New Roman" w:hAnsi="Times New Roman" w:eastAsia="黑体"/>
          <w:szCs w:val="24"/>
        </w:rPr>
        <w:t>三、质量标准</w:t>
      </w:r>
      <w:r>
        <w:tab/>
      </w:r>
      <w:r>
        <w:fldChar w:fldCharType="end"/>
      </w:r>
    </w:p>
    <w:p w14:paraId="0D3FBB40">
      <w:pPr>
        <w:pStyle w:val="18"/>
        <w:tabs>
          <w:tab w:val="right" w:leader="dot" w:pos="9240"/>
        </w:tabs>
      </w:pPr>
      <w:r>
        <w:fldChar w:fldCharType="begin"/>
      </w:r>
      <w:r>
        <w:instrText xml:space="preserve"> HYPERLINK \l "_Toc28324" </w:instrText>
      </w:r>
      <w:r>
        <w:fldChar w:fldCharType="separate"/>
      </w:r>
      <w:r>
        <w:rPr>
          <w:rFonts w:ascii="Times New Roman" w:hAnsi="Times New Roman" w:eastAsia="黑体"/>
          <w:szCs w:val="24"/>
        </w:rPr>
        <w:t>四、签约合同价与合同价格形式</w:t>
      </w:r>
      <w:r>
        <w:tab/>
      </w:r>
      <w:r>
        <w:fldChar w:fldCharType="end"/>
      </w:r>
    </w:p>
    <w:p w14:paraId="640D77E5">
      <w:pPr>
        <w:pStyle w:val="18"/>
        <w:tabs>
          <w:tab w:val="right" w:leader="dot" w:pos="9240"/>
        </w:tabs>
      </w:pPr>
      <w:r>
        <w:fldChar w:fldCharType="begin"/>
      </w:r>
      <w:r>
        <w:instrText xml:space="preserve"> HYPERLINK \l "_Toc8542" </w:instrText>
      </w:r>
      <w:r>
        <w:fldChar w:fldCharType="separate"/>
      </w:r>
      <w:r>
        <w:rPr>
          <w:rFonts w:ascii="Times New Roman" w:hAnsi="Times New Roman" w:eastAsia="黑体"/>
          <w:szCs w:val="24"/>
        </w:rPr>
        <w:t>五、项目经理</w:t>
      </w:r>
      <w:r>
        <w:tab/>
      </w:r>
      <w:r>
        <w:fldChar w:fldCharType="end"/>
      </w:r>
    </w:p>
    <w:p w14:paraId="40424572">
      <w:pPr>
        <w:pStyle w:val="18"/>
        <w:tabs>
          <w:tab w:val="right" w:leader="dot" w:pos="9240"/>
        </w:tabs>
      </w:pPr>
      <w:r>
        <w:fldChar w:fldCharType="begin"/>
      </w:r>
      <w:r>
        <w:instrText xml:space="preserve"> HYPERLINK \l "_Toc32254" </w:instrText>
      </w:r>
      <w:r>
        <w:fldChar w:fldCharType="separate"/>
      </w:r>
      <w:r>
        <w:rPr>
          <w:rFonts w:ascii="Times New Roman" w:hAnsi="Times New Roman" w:eastAsia="黑体"/>
          <w:szCs w:val="24"/>
        </w:rPr>
        <w:t>六、合同文件构成</w:t>
      </w:r>
      <w:r>
        <w:tab/>
      </w:r>
      <w:r>
        <w:fldChar w:fldCharType="end"/>
      </w:r>
    </w:p>
    <w:p w14:paraId="6ACD8314">
      <w:pPr>
        <w:pStyle w:val="18"/>
        <w:tabs>
          <w:tab w:val="right" w:leader="dot" w:pos="9240"/>
        </w:tabs>
      </w:pPr>
      <w:r>
        <w:fldChar w:fldCharType="begin"/>
      </w:r>
      <w:r>
        <w:instrText xml:space="preserve"> HYPERLINK \l "_Toc2088" </w:instrText>
      </w:r>
      <w:r>
        <w:fldChar w:fldCharType="separate"/>
      </w:r>
      <w:r>
        <w:rPr>
          <w:rFonts w:ascii="Times New Roman" w:hAnsi="Times New Roman" w:eastAsia="黑体"/>
          <w:szCs w:val="24"/>
        </w:rPr>
        <w:t>七、承诺</w:t>
      </w:r>
      <w:r>
        <w:tab/>
      </w:r>
      <w:r>
        <w:fldChar w:fldCharType="end"/>
      </w:r>
    </w:p>
    <w:p w14:paraId="453DF05C">
      <w:pPr>
        <w:pStyle w:val="18"/>
        <w:tabs>
          <w:tab w:val="right" w:leader="dot" w:pos="9240"/>
        </w:tabs>
      </w:pPr>
      <w:r>
        <w:fldChar w:fldCharType="begin"/>
      </w:r>
      <w:r>
        <w:instrText xml:space="preserve"> HYPERLINK \l "_Toc20029" </w:instrText>
      </w:r>
      <w:r>
        <w:fldChar w:fldCharType="separate"/>
      </w:r>
      <w:r>
        <w:rPr>
          <w:rFonts w:ascii="Times New Roman" w:hAnsi="Times New Roman" w:eastAsia="黑体"/>
          <w:szCs w:val="24"/>
        </w:rPr>
        <w:t>八、词语含义</w:t>
      </w:r>
      <w:r>
        <w:tab/>
      </w:r>
      <w:r>
        <w:fldChar w:fldCharType="end"/>
      </w:r>
    </w:p>
    <w:p w14:paraId="742FC5E9">
      <w:pPr>
        <w:pStyle w:val="18"/>
        <w:tabs>
          <w:tab w:val="right" w:leader="dot" w:pos="9240"/>
        </w:tabs>
      </w:pPr>
      <w:r>
        <w:fldChar w:fldCharType="begin"/>
      </w:r>
      <w:r>
        <w:instrText xml:space="preserve"> HYPERLINK \l "_Toc16435" </w:instrText>
      </w:r>
      <w:r>
        <w:fldChar w:fldCharType="separate"/>
      </w:r>
      <w:r>
        <w:rPr>
          <w:rFonts w:ascii="Times New Roman" w:hAnsi="Times New Roman" w:eastAsia="黑体"/>
          <w:szCs w:val="24"/>
        </w:rPr>
        <w:t>九、签订时间</w:t>
      </w:r>
      <w:r>
        <w:tab/>
      </w:r>
      <w:r>
        <w:fldChar w:fldCharType="end"/>
      </w:r>
    </w:p>
    <w:p w14:paraId="4795D0F2">
      <w:pPr>
        <w:pStyle w:val="18"/>
        <w:tabs>
          <w:tab w:val="right" w:leader="dot" w:pos="9240"/>
        </w:tabs>
      </w:pPr>
      <w:r>
        <w:fldChar w:fldCharType="begin"/>
      </w:r>
      <w:r>
        <w:instrText xml:space="preserve"> HYPERLINK \l "_Toc2019" </w:instrText>
      </w:r>
      <w:r>
        <w:fldChar w:fldCharType="separate"/>
      </w:r>
      <w:r>
        <w:rPr>
          <w:rFonts w:ascii="Times New Roman" w:hAnsi="Times New Roman" w:eastAsia="黑体"/>
          <w:szCs w:val="24"/>
        </w:rPr>
        <w:t>十、签订地点</w:t>
      </w:r>
      <w:r>
        <w:tab/>
      </w:r>
      <w:r>
        <w:fldChar w:fldCharType="end"/>
      </w:r>
    </w:p>
    <w:p w14:paraId="3352ED9A">
      <w:pPr>
        <w:pStyle w:val="18"/>
        <w:tabs>
          <w:tab w:val="right" w:leader="dot" w:pos="9240"/>
        </w:tabs>
      </w:pPr>
      <w:r>
        <w:fldChar w:fldCharType="begin"/>
      </w:r>
      <w:r>
        <w:instrText xml:space="preserve"> HYPERLINK \l "_Toc22924" </w:instrText>
      </w:r>
      <w:r>
        <w:fldChar w:fldCharType="separate"/>
      </w:r>
      <w:r>
        <w:rPr>
          <w:rFonts w:ascii="Times New Roman" w:hAnsi="Times New Roman" w:eastAsia="黑体"/>
          <w:szCs w:val="24"/>
        </w:rPr>
        <w:t>十一、补充协议</w:t>
      </w:r>
      <w:r>
        <w:tab/>
      </w:r>
      <w:r>
        <w:fldChar w:fldCharType="end"/>
      </w:r>
    </w:p>
    <w:p w14:paraId="1F269260">
      <w:pPr>
        <w:pStyle w:val="18"/>
        <w:tabs>
          <w:tab w:val="right" w:leader="dot" w:pos="9240"/>
        </w:tabs>
      </w:pPr>
      <w:r>
        <w:fldChar w:fldCharType="begin"/>
      </w:r>
      <w:r>
        <w:instrText xml:space="preserve"> HYPERLINK \l "_Toc9744" </w:instrText>
      </w:r>
      <w:r>
        <w:fldChar w:fldCharType="separate"/>
      </w:r>
      <w:r>
        <w:rPr>
          <w:rFonts w:ascii="Times New Roman" w:hAnsi="Times New Roman" w:eastAsia="黑体"/>
          <w:szCs w:val="24"/>
        </w:rPr>
        <w:t>十二、合同生效</w:t>
      </w:r>
      <w:r>
        <w:tab/>
      </w:r>
      <w:r>
        <w:fldChar w:fldCharType="end"/>
      </w:r>
    </w:p>
    <w:p w14:paraId="51EC10B7">
      <w:pPr>
        <w:pStyle w:val="18"/>
        <w:tabs>
          <w:tab w:val="right" w:leader="dot" w:pos="9240"/>
        </w:tabs>
      </w:pPr>
      <w:r>
        <w:fldChar w:fldCharType="begin"/>
      </w:r>
      <w:r>
        <w:instrText xml:space="preserve"> HYPERLINK \l "_Toc2298" </w:instrText>
      </w:r>
      <w:r>
        <w:fldChar w:fldCharType="separate"/>
      </w:r>
      <w:r>
        <w:rPr>
          <w:rFonts w:ascii="Times New Roman" w:hAnsi="Times New Roman" w:eastAsia="黑体"/>
          <w:szCs w:val="24"/>
        </w:rPr>
        <w:t>十三、合同份数</w:t>
      </w:r>
      <w:r>
        <w:tab/>
      </w:r>
      <w:r>
        <w:fldChar w:fldCharType="end"/>
      </w:r>
    </w:p>
    <w:p w14:paraId="7A078F24">
      <w:pPr>
        <w:pStyle w:val="21"/>
        <w:tabs>
          <w:tab w:val="right" w:leader="dot" w:pos="9240"/>
        </w:tabs>
      </w:pPr>
      <w:r>
        <w:fldChar w:fldCharType="begin"/>
      </w:r>
      <w:r>
        <w:instrText xml:space="preserve"> HYPERLINK \l "_Toc8207" </w:instrText>
      </w:r>
      <w:r>
        <w:fldChar w:fldCharType="separate"/>
      </w:r>
      <w:r>
        <w:rPr>
          <w:rFonts w:ascii="黑体" w:hAnsi="华文中宋" w:eastAsia="黑体"/>
          <w:szCs w:val="24"/>
        </w:rPr>
        <w:t xml:space="preserve">第二部分 </w:t>
      </w:r>
      <w:r>
        <w:rPr>
          <w:rFonts w:hint="eastAsia" w:ascii="黑体" w:hAnsi="华文中宋" w:eastAsia="黑体"/>
          <w:szCs w:val="24"/>
        </w:rPr>
        <w:t>通用合同条款（另附）</w:t>
      </w:r>
      <w:r>
        <w:tab/>
      </w:r>
      <w:r>
        <w:fldChar w:fldCharType="end"/>
      </w:r>
    </w:p>
    <w:p w14:paraId="27A8E760">
      <w:pPr>
        <w:pStyle w:val="21"/>
        <w:tabs>
          <w:tab w:val="right" w:leader="dot" w:pos="9240"/>
        </w:tabs>
      </w:pPr>
      <w:r>
        <w:fldChar w:fldCharType="begin"/>
      </w:r>
      <w:r>
        <w:instrText xml:space="preserve"> HYPERLINK \l "_Toc4040" </w:instrText>
      </w:r>
      <w:r>
        <w:fldChar w:fldCharType="separate"/>
      </w:r>
      <w:r>
        <w:rPr>
          <w:rFonts w:ascii="华文中宋" w:hAnsi="华文中宋" w:eastAsia="华文中宋"/>
          <w:szCs w:val="24"/>
        </w:rPr>
        <w:t xml:space="preserve">第三部分 </w:t>
      </w:r>
      <w:r>
        <w:rPr>
          <w:rFonts w:hint="eastAsia" w:ascii="黑体" w:hAnsi="华文中宋" w:eastAsia="黑体"/>
          <w:szCs w:val="24"/>
        </w:rPr>
        <w:t>专用合同条款</w:t>
      </w:r>
      <w:r>
        <w:tab/>
      </w:r>
      <w:r>
        <w:fldChar w:fldCharType="end"/>
      </w:r>
    </w:p>
    <w:p w14:paraId="76B97560">
      <w:pPr>
        <w:pStyle w:val="18"/>
        <w:tabs>
          <w:tab w:val="right" w:leader="dot" w:pos="9240"/>
        </w:tabs>
      </w:pPr>
      <w:r>
        <w:fldChar w:fldCharType="begin"/>
      </w:r>
      <w:r>
        <w:instrText xml:space="preserve"> HYPERLINK \l "_Toc1121" </w:instrText>
      </w:r>
      <w:r>
        <w:fldChar w:fldCharType="separate"/>
      </w:r>
      <w:r>
        <w:rPr>
          <w:rFonts w:hint="eastAsia" w:ascii="Times New Roman" w:hAnsi="Times New Roman" w:eastAsia="黑体"/>
          <w:szCs w:val="24"/>
          <w:lang w:val="en-US"/>
        </w:rPr>
        <w:t>1.</w:t>
      </w:r>
      <w:r>
        <w:rPr>
          <w:rFonts w:ascii="Times New Roman" w:hAnsi="Times New Roman" w:eastAsia="黑体"/>
          <w:szCs w:val="24"/>
        </w:rPr>
        <w:t>一般约定</w:t>
      </w:r>
      <w:r>
        <w:tab/>
      </w:r>
      <w:r>
        <w:fldChar w:fldCharType="end"/>
      </w:r>
    </w:p>
    <w:p w14:paraId="42250865">
      <w:pPr>
        <w:pStyle w:val="18"/>
        <w:tabs>
          <w:tab w:val="right" w:leader="dot" w:pos="9240"/>
        </w:tabs>
      </w:pPr>
      <w:r>
        <w:fldChar w:fldCharType="begin"/>
      </w:r>
      <w:r>
        <w:instrText xml:space="preserve"> HYPERLINK \l "_Toc29494" </w:instrText>
      </w:r>
      <w:r>
        <w:fldChar w:fldCharType="separate"/>
      </w:r>
      <w:r>
        <w:rPr>
          <w:rFonts w:ascii="Times New Roman" w:hAnsi="Times New Roman" w:eastAsia="黑体"/>
          <w:szCs w:val="24"/>
        </w:rPr>
        <w:t>2. 发包人</w:t>
      </w:r>
      <w:r>
        <w:tab/>
      </w:r>
      <w:r>
        <w:fldChar w:fldCharType="end"/>
      </w:r>
    </w:p>
    <w:p w14:paraId="28DF4506">
      <w:pPr>
        <w:pStyle w:val="18"/>
        <w:tabs>
          <w:tab w:val="right" w:leader="dot" w:pos="9240"/>
        </w:tabs>
      </w:pPr>
      <w:r>
        <w:fldChar w:fldCharType="begin"/>
      </w:r>
      <w:r>
        <w:instrText xml:space="preserve"> HYPERLINK \l "_Toc14599" </w:instrText>
      </w:r>
      <w:r>
        <w:fldChar w:fldCharType="separate"/>
      </w:r>
      <w:r>
        <w:rPr>
          <w:rFonts w:ascii="Times New Roman" w:hAnsi="Times New Roman" w:eastAsia="黑体"/>
          <w:szCs w:val="24"/>
        </w:rPr>
        <w:t>3. 承包人</w:t>
      </w:r>
      <w:r>
        <w:tab/>
      </w:r>
      <w:r>
        <w:fldChar w:fldCharType="end"/>
      </w:r>
    </w:p>
    <w:p w14:paraId="4CFBC5E9">
      <w:pPr>
        <w:pStyle w:val="18"/>
        <w:tabs>
          <w:tab w:val="right" w:leader="dot" w:pos="9240"/>
        </w:tabs>
      </w:pPr>
      <w:r>
        <w:fldChar w:fldCharType="begin"/>
      </w:r>
      <w:r>
        <w:instrText xml:space="preserve"> HYPERLINK \l "_Toc2071" </w:instrText>
      </w:r>
      <w:r>
        <w:fldChar w:fldCharType="separate"/>
      </w:r>
      <w:r>
        <w:rPr>
          <w:rFonts w:ascii="Times New Roman" w:hAnsi="Times New Roman" w:eastAsia="黑体"/>
          <w:szCs w:val="24"/>
        </w:rPr>
        <w:t>4. 监理人</w:t>
      </w:r>
      <w:r>
        <w:tab/>
      </w:r>
      <w:r>
        <w:fldChar w:fldCharType="end"/>
      </w:r>
    </w:p>
    <w:p w14:paraId="69BD4C37">
      <w:pPr>
        <w:pStyle w:val="18"/>
        <w:tabs>
          <w:tab w:val="right" w:leader="dot" w:pos="9240"/>
        </w:tabs>
      </w:pPr>
      <w:r>
        <w:fldChar w:fldCharType="begin"/>
      </w:r>
      <w:r>
        <w:instrText xml:space="preserve"> HYPERLINK \l "_Toc29456" </w:instrText>
      </w:r>
      <w:r>
        <w:fldChar w:fldCharType="separate"/>
      </w:r>
      <w:r>
        <w:rPr>
          <w:rFonts w:ascii="Times New Roman" w:hAnsi="Times New Roman" w:eastAsia="黑体"/>
          <w:szCs w:val="24"/>
        </w:rPr>
        <w:t>5. 工程质量</w:t>
      </w:r>
      <w:r>
        <w:tab/>
      </w:r>
      <w:r>
        <w:fldChar w:fldCharType="end"/>
      </w:r>
    </w:p>
    <w:p w14:paraId="66E4CEBB">
      <w:pPr>
        <w:pStyle w:val="18"/>
        <w:tabs>
          <w:tab w:val="right" w:leader="dot" w:pos="9240"/>
        </w:tabs>
      </w:pPr>
      <w:r>
        <w:fldChar w:fldCharType="begin"/>
      </w:r>
      <w:r>
        <w:instrText xml:space="preserve"> HYPERLINK \l "_Toc15516" </w:instrText>
      </w:r>
      <w:r>
        <w:fldChar w:fldCharType="separate"/>
      </w:r>
      <w:r>
        <w:rPr>
          <w:rFonts w:ascii="Times New Roman" w:hAnsi="Times New Roman" w:eastAsia="黑体"/>
          <w:szCs w:val="24"/>
        </w:rPr>
        <w:t>6. 安全文明施工与环境保护</w:t>
      </w:r>
      <w:r>
        <w:tab/>
      </w:r>
      <w:r>
        <w:fldChar w:fldCharType="end"/>
      </w:r>
    </w:p>
    <w:p w14:paraId="3660F2EE">
      <w:pPr>
        <w:pStyle w:val="18"/>
        <w:tabs>
          <w:tab w:val="right" w:leader="dot" w:pos="9240"/>
        </w:tabs>
      </w:pPr>
      <w:r>
        <w:fldChar w:fldCharType="begin"/>
      </w:r>
      <w:r>
        <w:instrText xml:space="preserve"> HYPERLINK \l "_Toc18367" </w:instrText>
      </w:r>
      <w:r>
        <w:fldChar w:fldCharType="separate"/>
      </w:r>
      <w:r>
        <w:rPr>
          <w:rFonts w:ascii="Times New Roman" w:hAnsi="Times New Roman" w:eastAsia="黑体"/>
          <w:szCs w:val="24"/>
        </w:rPr>
        <w:t>7. 工期和进度</w:t>
      </w:r>
      <w:r>
        <w:tab/>
      </w:r>
      <w:r>
        <w:fldChar w:fldCharType="end"/>
      </w:r>
    </w:p>
    <w:p w14:paraId="3CBABD0F">
      <w:pPr>
        <w:pStyle w:val="18"/>
        <w:tabs>
          <w:tab w:val="right" w:leader="dot" w:pos="9240"/>
        </w:tabs>
      </w:pPr>
      <w:r>
        <w:fldChar w:fldCharType="begin"/>
      </w:r>
      <w:r>
        <w:instrText xml:space="preserve"> HYPERLINK \l "_Toc6510" </w:instrText>
      </w:r>
      <w:r>
        <w:fldChar w:fldCharType="separate"/>
      </w:r>
      <w:r>
        <w:rPr>
          <w:rFonts w:ascii="Times New Roman" w:hAnsi="Times New Roman" w:eastAsia="黑体"/>
          <w:szCs w:val="24"/>
        </w:rPr>
        <w:t>8. 材料与设备</w:t>
      </w:r>
      <w:r>
        <w:tab/>
      </w:r>
      <w:r>
        <w:fldChar w:fldCharType="end"/>
      </w:r>
    </w:p>
    <w:p w14:paraId="536CC786">
      <w:pPr>
        <w:pStyle w:val="18"/>
        <w:tabs>
          <w:tab w:val="right" w:leader="dot" w:pos="9240"/>
        </w:tabs>
      </w:pPr>
      <w:r>
        <w:fldChar w:fldCharType="begin"/>
      </w:r>
      <w:r>
        <w:instrText xml:space="preserve"> HYPERLINK \l "_Toc3016" </w:instrText>
      </w:r>
      <w:r>
        <w:fldChar w:fldCharType="separate"/>
      </w:r>
      <w:r>
        <w:rPr>
          <w:rFonts w:ascii="Times New Roman" w:hAnsi="Times New Roman" w:eastAsia="黑体"/>
          <w:szCs w:val="24"/>
        </w:rPr>
        <w:t>9. 试验与检验</w:t>
      </w:r>
      <w:r>
        <w:tab/>
      </w:r>
      <w:r>
        <w:fldChar w:fldCharType="end"/>
      </w:r>
    </w:p>
    <w:p w14:paraId="1E771A54">
      <w:pPr>
        <w:pStyle w:val="18"/>
        <w:tabs>
          <w:tab w:val="right" w:leader="dot" w:pos="9240"/>
        </w:tabs>
      </w:pPr>
      <w:r>
        <w:fldChar w:fldCharType="begin"/>
      </w:r>
      <w:r>
        <w:instrText xml:space="preserve"> HYPERLINK \l "_Toc31861" </w:instrText>
      </w:r>
      <w:r>
        <w:fldChar w:fldCharType="separate"/>
      </w:r>
      <w:r>
        <w:rPr>
          <w:rFonts w:ascii="Times New Roman" w:hAnsi="Times New Roman" w:eastAsia="黑体"/>
          <w:szCs w:val="24"/>
        </w:rPr>
        <w:t>10. 变更</w:t>
      </w:r>
      <w:r>
        <w:tab/>
      </w:r>
      <w:r>
        <w:fldChar w:fldCharType="end"/>
      </w:r>
    </w:p>
    <w:p w14:paraId="3D942812">
      <w:pPr>
        <w:pStyle w:val="18"/>
        <w:tabs>
          <w:tab w:val="right" w:leader="dot" w:pos="9240"/>
        </w:tabs>
      </w:pPr>
      <w:r>
        <w:fldChar w:fldCharType="begin"/>
      </w:r>
      <w:r>
        <w:instrText xml:space="preserve"> HYPERLINK \l "_Toc6507" </w:instrText>
      </w:r>
      <w:r>
        <w:fldChar w:fldCharType="separate"/>
      </w:r>
      <w:r>
        <w:rPr>
          <w:rFonts w:ascii="Times New Roman" w:hAnsi="Times New Roman" w:eastAsia="黑体"/>
          <w:szCs w:val="24"/>
        </w:rPr>
        <w:t>11. 价格调整</w:t>
      </w:r>
      <w:r>
        <w:tab/>
      </w:r>
      <w:r>
        <w:fldChar w:fldCharType="end"/>
      </w:r>
    </w:p>
    <w:p w14:paraId="79002A47">
      <w:pPr>
        <w:pStyle w:val="18"/>
        <w:tabs>
          <w:tab w:val="right" w:leader="dot" w:pos="9240"/>
        </w:tabs>
      </w:pPr>
      <w:r>
        <w:fldChar w:fldCharType="begin"/>
      </w:r>
      <w:r>
        <w:instrText xml:space="preserve"> HYPERLINK \l "_Toc25348" </w:instrText>
      </w:r>
      <w:r>
        <w:fldChar w:fldCharType="separate"/>
      </w:r>
      <w:r>
        <w:rPr>
          <w:rFonts w:ascii="Times New Roman" w:hAnsi="Times New Roman" w:eastAsia="黑体"/>
          <w:szCs w:val="24"/>
        </w:rPr>
        <w:t>12. 合同价格、计量与支付</w:t>
      </w:r>
      <w:r>
        <w:tab/>
      </w:r>
      <w:r>
        <w:fldChar w:fldCharType="end"/>
      </w:r>
    </w:p>
    <w:p w14:paraId="6F1AD8E4">
      <w:pPr>
        <w:pStyle w:val="18"/>
        <w:tabs>
          <w:tab w:val="right" w:leader="dot" w:pos="9240"/>
        </w:tabs>
      </w:pPr>
      <w:r>
        <w:fldChar w:fldCharType="begin"/>
      </w:r>
      <w:r>
        <w:instrText xml:space="preserve"> HYPERLINK \l "_Toc7290" </w:instrText>
      </w:r>
      <w:r>
        <w:fldChar w:fldCharType="separate"/>
      </w:r>
      <w:r>
        <w:rPr>
          <w:rFonts w:ascii="Times New Roman" w:hAnsi="Times New Roman" w:eastAsia="黑体"/>
          <w:szCs w:val="24"/>
        </w:rPr>
        <w:t>13.</w:t>
      </w:r>
      <w:r>
        <w:rPr>
          <w:rFonts w:hint="eastAsia" w:ascii="Times New Roman" w:hAnsi="Times New Roman" w:eastAsia="黑体"/>
          <w:szCs w:val="24"/>
        </w:rPr>
        <w:t xml:space="preserve"> </w:t>
      </w:r>
      <w:r>
        <w:rPr>
          <w:rFonts w:ascii="Times New Roman" w:hAnsi="Times New Roman" w:eastAsia="黑体"/>
          <w:szCs w:val="24"/>
        </w:rPr>
        <w:t>验收和工程试车</w:t>
      </w:r>
      <w:r>
        <w:tab/>
      </w:r>
      <w:r>
        <w:fldChar w:fldCharType="end"/>
      </w:r>
    </w:p>
    <w:p w14:paraId="1C0983C2">
      <w:pPr>
        <w:pStyle w:val="18"/>
        <w:tabs>
          <w:tab w:val="right" w:leader="dot" w:pos="9240"/>
        </w:tabs>
      </w:pPr>
      <w:r>
        <w:fldChar w:fldCharType="begin"/>
      </w:r>
      <w:r>
        <w:instrText xml:space="preserve"> HYPERLINK \l "_Toc1605" </w:instrText>
      </w:r>
      <w:r>
        <w:fldChar w:fldCharType="separate"/>
      </w:r>
      <w:r>
        <w:rPr>
          <w:rFonts w:ascii="Times New Roman" w:hAnsi="Times New Roman" w:eastAsia="黑体"/>
          <w:szCs w:val="24"/>
        </w:rPr>
        <w:t>14. 竣工结算</w:t>
      </w:r>
      <w:r>
        <w:tab/>
      </w:r>
      <w:r>
        <w:fldChar w:fldCharType="end"/>
      </w:r>
    </w:p>
    <w:p w14:paraId="0881E37F">
      <w:pPr>
        <w:pStyle w:val="18"/>
        <w:tabs>
          <w:tab w:val="right" w:leader="dot" w:pos="9240"/>
        </w:tabs>
      </w:pPr>
      <w:r>
        <w:fldChar w:fldCharType="begin"/>
      </w:r>
      <w:r>
        <w:instrText xml:space="preserve"> HYPERLINK \l "_Toc15250" </w:instrText>
      </w:r>
      <w:r>
        <w:fldChar w:fldCharType="separate"/>
      </w:r>
      <w:r>
        <w:rPr>
          <w:rFonts w:ascii="Times New Roman" w:hAnsi="Times New Roman" w:eastAsia="黑体"/>
          <w:szCs w:val="24"/>
        </w:rPr>
        <w:t>15. 缺陷责任期与保修</w:t>
      </w:r>
      <w:r>
        <w:tab/>
      </w:r>
      <w:r>
        <w:fldChar w:fldCharType="end"/>
      </w:r>
    </w:p>
    <w:p w14:paraId="3660F88D">
      <w:pPr>
        <w:pStyle w:val="18"/>
        <w:tabs>
          <w:tab w:val="right" w:leader="dot" w:pos="9240"/>
        </w:tabs>
      </w:pPr>
      <w:r>
        <w:fldChar w:fldCharType="begin"/>
      </w:r>
      <w:r>
        <w:instrText xml:space="preserve"> HYPERLINK \l "_Toc25618" </w:instrText>
      </w:r>
      <w:r>
        <w:fldChar w:fldCharType="separate"/>
      </w:r>
      <w:r>
        <w:rPr>
          <w:rFonts w:ascii="Times New Roman" w:hAnsi="Times New Roman" w:eastAsia="黑体"/>
          <w:szCs w:val="24"/>
        </w:rPr>
        <w:t>16. 违约</w:t>
      </w:r>
      <w:r>
        <w:tab/>
      </w:r>
      <w:r>
        <w:fldChar w:fldCharType="end"/>
      </w:r>
    </w:p>
    <w:p w14:paraId="013D52F1">
      <w:pPr>
        <w:pStyle w:val="18"/>
        <w:tabs>
          <w:tab w:val="right" w:leader="dot" w:pos="9240"/>
        </w:tabs>
      </w:pPr>
      <w:r>
        <w:fldChar w:fldCharType="begin"/>
      </w:r>
      <w:r>
        <w:instrText xml:space="preserve"> HYPERLINK \l "_Toc28682" </w:instrText>
      </w:r>
      <w:r>
        <w:fldChar w:fldCharType="separate"/>
      </w:r>
      <w:r>
        <w:rPr>
          <w:rFonts w:ascii="Times New Roman" w:hAnsi="Times New Roman" w:eastAsia="黑体"/>
          <w:szCs w:val="24"/>
        </w:rPr>
        <w:t>17. 不可抗力</w:t>
      </w:r>
      <w:r>
        <w:tab/>
      </w:r>
      <w:r>
        <w:fldChar w:fldCharType="end"/>
      </w:r>
    </w:p>
    <w:p w14:paraId="50DCB4B4">
      <w:pPr>
        <w:pStyle w:val="18"/>
        <w:tabs>
          <w:tab w:val="right" w:leader="dot" w:pos="9240"/>
        </w:tabs>
      </w:pPr>
      <w:r>
        <w:fldChar w:fldCharType="begin"/>
      </w:r>
      <w:r>
        <w:instrText xml:space="preserve"> HYPERLINK \l "_Toc24490" </w:instrText>
      </w:r>
      <w:r>
        <w:fldChar w:fldCharType="separate"/>
      </w:r>
      <w:r>
        <w:rPr>
          <w:rFonts w:ascii="Times New Roman" w:hAnsi="Times New Roman" w:eastAsia="黑体"/>
          <w:szCs w:val="24"/>
        </w:rPr>
        <w:t>18. 保险</w:t>
      </w:r>
      <w:r>
        <w:tab/>
      </w:r>
      <w:r>
        <w:fldChar w:fldCharType="end"/>
      </w:r>
    </w:p>
    <w:p w14:paraId="124DA860">
      <w:pPr>
        <w:pStyle w:val="18"/>
        <w:tabs>
          <w:tab w:val="right" w:leader="dot" w:pos="9240"/>
        </w:tabs>
      </w:pPr>
      <w:r>
        <w:fldChar w:fldCharType="begin"/>
      </w:r>
      <w:r>
        <w:instrText xml:space="preserve"> HYPERLINK \l "_Toc10852" </w:instrText>
      </w:r>
      <w:r>
        <w:fldChar w:fldCharType="separate"/>
      </w:r>
      <w:r>
        <w:rPr>
          <w:rFonts w:hint="eastAsia" w:ascii="Times New Roman" w:hAnsi="Times New Roman" w:eastAsia="黑体"/>
          <w:szCs w:val="24"/>
          <w:lang w:val="en-US"/>
        </w:rPr>
        <w:t>19</w:t>
      </w:r>
      <w:r>
        <w:rPr>
          <w:rFonts w:ascii="Times New Roman" w:hAnsi="Times New Roman" w:eastAsia="黑体"/>
          <w:szCs w:val="24"/>
        </w:rPr>
        <w:t>. 争议解决</w:t>
      </w:r>
      <w:r>
        <w:tab/>
      </w:r>
      <w:r>
        <w:fldChar w:fldCharType="end"/>
      </w:r>
    </w:p>
    <w:p w14:paraId="5A267C38">
      <w:pPr>
        <w:pStyle w:val="18"/>
        <w:tabs>
          <w:tab w:val="right" w:leader="dot" w:pos="9240"/>
        </w:tabs>
      </w:pPr>
      <w:r>
        <w:fldChar w:fldCharType="begin"/>
      </w:r>
      <w:r>
        <w:instrText xml:space="preserve"> HYPERLINK \l "_Toc16599" </w:instrText>
      </w:r>
      <w:r>
        <w:fldChar w:fldCharType="separate"/>
      </w:r>
      <w:r>
        <w:rPr>
          <w:rFonts w:ascii="Times New Roman" w:hAnsi="Times New Roman" w:eastAsia="黑体"/>
          <w:szCs w:val="24"/>
        </w:rPr>
        <w:t>2</w:t>
      </w:r>
      <w:r>
        <w:rPr>
          <w:rFonts w:hint="eastAsia" w:ascii="Times New Roman" w:hAnsi="Times New Roman" w:eastAsia="黑体"/>
          <w:szCs w:val="24"/>
          <w:lang w:val="en-US"/>
        </w:rPr>
        <w:t>0</w:t>
      </w:r>
      <w:r>
        <w:rPr>
          <w:rFonts w:ascii="Times New Roman" w:hAnsi="Times New Roman" w:eastAsia="黑体"/>
          <w:szCs w:val="24"/>
        </w:rPr>
        <w:t>.</w:t>
      </w:r>
      <w:r>
        <w:rPr>
          <w:rFonts w:hint="eastAsia" w:ascii="Times New Roman" w:hAnsi="Times New Roman" w:eastAsia="黑体"/>
          <w:szCs w:val="24"/>
        </w:rPr>
        <w:t xml:space="preserve"> 补充条款</w:t>
      </w:r>
      <w:r>
        <w:tab/>
      </w:r>
      <w:r>
        <w:fldChar w:fldCharType="end"/>
      </w:r>
    </w:p>
    <w:p w14:paraId="771F529D">
      <w:r>
        <w:fldChar w:fldCharType="end"/>
      </w:r>
      <w:bookmarkStart w:id="116" w:name="_Toc9522"/>
      <w:bookmarkStart w:id="117" w:name="_Toc13566"/>
      <w:bookmarkStart w:id="118" w:name="_Toc20671"/>
    </w:p>
    <w:p w14:paraId="1D19EF97"/>
    <w:p w14:paraId="7584A559">
      <w:pPr>
        <w:jc w:val="both"/>
        <w:rPr>
          <w:rFonts w:ascii="黑体" w:hAnsi="华文中宋" w:eastAsia="黑体"/>
          <w:b/>
          <w:bCs/>
          <w:kern w:val="44"/>
          <w:sz w:val="36"/>
          <w:szCs w:val="36"/>
          <w:lang w:val="en-US" w:bidi="ar-SA"/>
        </w:rPr>
        <w:sectPr>
          <w:footerReference r:id="rId15" w:type="first"/>
          <w:footerReference r:id="rId14" w:type="default"/>
          <w:pgSz w:w="11906" w:h="16838"/>
          <w:pgMar w:top="1440" w:right="1080" w:bottom="1440" w:left="1080" w:header="851" w:footer="992" w:gutter="0"/>
          <w:pgNumType w:fmt="decimal"/>
          <w:cols w:space="720" w:num="1"/>
          <w:docGrid w:type="lines" w:linePitch="312" w:charSpace="0"/>
        </w:sectPr>
      </w:pPr>
    </w:p>
    <w:p w14:paraId="67047B86">
      <w:pPr>
        <w:jc w:val="center"/>
        <w:rPr>
          <w:rFonts w:ascii="黑体" w:hAnsi="华文中宋" w:eastAsia="黑体"/>
          <w:b/>
          <w:bCs/>
          <w:kern w:val="44"/>
          <w:sz w:val="36"/>
          <w:szCs w:val="36"/>
          <w:lang w:val="en-US" w:bidi="ar-SA"/>
        </w:rPr>
      </w:pPr>
      <w:r>
        <w:rPr>
          <w:rFonts w:hint="eastAsia" w:ascii="黑体" w:hAnsi="华文中宋" w:eastAsia="黑体"/>
          <w:b/>
          <w:bCs/>
          <w:kern w:val="44"/>
          <w:sz w:val="36"/>
          <w:szCs w:val="36"/>
          <w:lang w:val="en-US" w:bidi="ar-SA"/>
        </w:rPr>
        <w:t>第一部分 合同协议书</w:t>
      </w:r>
      <w:bookmarkEnd w:id="113"/>
      <w:bookmarkEnd w:id="114"/>
      <w:bookmarkEnd w:id="115"/>
      <w:bookmarkEnd w:id="116"/>
      <w:bookmarkEnd w:id="117"/>
      <w:bookmarkEnd w:id="118"/>
    </w:p>
    <w:p w14:paraId="56182131">
      <w:pPr>
        <w:jc w:val="both"/>
        <w:rPr>
          <w:rFonts w:ascii="黑体" w:hAnsi="华文中宋" w:eastAsia="黑体"/>
          <w:b/>
          <w:bCs/>
          <w:kern w:val="44"/>
          <w:sz w:val="36"/>
          <w:szCs w:val="36"/>
          <w:lang w:val="en-US" w:bidi="ar-SA"/>
        </w:rPr>
      </w:pPr>
    </w:p>
    <w:p w14:paraId="0F0AB85B">
      <w:pPr>
        <w:spacing w:line="560" w:lineRule="exact"/>
        <w:rPr>
          <w:rFonts w:ascii="楷体_GB2312" w:hAnsi="Times New Roman" w:eastAsia="楷体_GB2312"/>
          <w:b/>
          <w:spacing w:val="10"/>
          <w:sz w:val="24"/>
          <w:szCs w:val="24"/>
          <w:lang w:val="en-US"/>
        </w:rPr>
      </w:pPr>
      <w:r>
        <w:rPr>
          <w:rFonts w:ascii="Times New Roman" w:hAnsi="Times New Roman" w:eastAsia="仿宋_GB2312"/>
          <w:b/>
          <w:sz w:val="24"/>
          <w:szCs w:val="24"/>
        </w:rPr>
        <w:t>发包人（全称）：</w:t>
      </w:r>
      <w:r>
        <w:rPr>
          <w:rFonts w:hint="eastAsia" w:ascii="楷体_GB2312" w:hAnsi="Times New Roman" w:eastAsia="楷体_GB2312"/>
          <w:b/>
          <w:spacing w:val="10"/>
          <w:sz w:val="24"/>
          <w:szCs w:val="24"/>
          <w:u w:val="single"/>
        </w:rPr>
        <w:t>（简称甲方）</w:t>
      </w:r>
      <w:r>
        <w:rPr>
          <w:rFonts w:hint="eastAsia" w:ascii="楷体_GB2312" w:hAnsi="Times New Roman" w:eastAsia="楷体_GB2312"/>
          <w:b/>
          <w:spacing w:val="10"/>
          <w:sz w:val="24"/>
          <w:szCs w:val="24"/>
          <w:u w:val="single"/>
          <w:lang w:val="en-US"/>
        </w:rPr>
        <w:t xml:space="preserve">                            </w:t>
      </w:r>
    </w:p>
    <w:p w14:paraId="612CD4A6">
      <w:pPr>
        <w:spacing w:line="560" w:lineRule="exact"/>
        <w:rPr>
          <w:rFonts w:ascii="Times New Roman" w:hAnsi="Times New Roman" w:eastAsia="楷体_GB2312"/>
          <w:b/>
          <w:sz w:val="24"/>
          <w:szCs w:val="24"/>
          <w:u w:val="single"/>
          <w:lang w:val="en-US"/>
        </w:rPr>
      </w:pPr>
      <w:r>
        <w:rPr>
          <w:rFonts w:ascii="Times New Roman" w:hAnsi="Times New Roman" w:eastAsia="仿宋_GB2312"/>
          <w:b/>
          <w:sz w:val="24"/>
          <w:szCs w:val="24"/>
        </w:rPr>
        <w:t>承包人（全称）：</w:t>
      </w:r>
      <w:r>
        <w:rPr>
          <w:rFonts w:hint="eastAsia" w:ascii="楷体_GB2312" w:hAnsi="Times New Roman" w:eastAsia="楷体_GB2312"/>
          <w:b/>
          <w:spacing w:val="10"/>
          <w:sz w:val="24"/>
          <w:szCs w:val="24"/>
          <w:u w:val="single"/>
        </w:rPr>
        <w:t>（简称乙方）</w:t>
      </w:r>
      <w:r>
        <w:rPr>
          <w:rFonts w:hint="eastAsia" w:ascii="楷体_GB2312" w:hAnsi="Times New Roman" w:eastAsia="楷体_GB2312"/>
          <w:b/>
          <w:spacing w:val="10"/>
          <w:sz w:val="24"/>
          <w:szCs w:val="24"/>
          <w:u w:val="single"/>
          <w:lang w:val="en-US"/>
        </w:rPr>
        <w:t xml:space="preserve">                            </w:t>
      </w:r>
    </w:p>
    <w:p w14:paraId="169252F9">
      <w:pPr>
        <w:spacing w:line="56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根据《中华人民共和国</w:t>
      </w:r>
      <w:r>
        <w:rPr>
          <w:rFonts w:hint="eastAsia" w:ascii="Times New Roman" w:hAnsi="Times New Roman" w:eastAsia="仿宋_GB2312"/>
          <w:color w:val="000000"/>
          <w:sz w:val="24"/>
          <w:szCs w:val="24"/>
        </w:rPr>
        <w:t>民法典</w:t>
      </w:r>
      <w:r>
        <w:rPr>
          <w:rFonts w:ascii="Times New Roman" w:hAnsi="Times New Roman" w:eastAsia="仿宋_GB2312"/>
          <w:color w:val="000000"/>
          <w:sz w:val="24"/>
          <w:szCs w:val="24"/>
        </w:rPr>
        <w:t>》《中华人民共和国建筑法》及有关法律规定，遵循平等、自愿、公平和诚实信用的原则，双</w:t>
      </w:r>
      <w:r>
        <w:rPr>
          <w:rFonts w:ascii="Times New Roman" w:hAnsi="Times New Roman" w:eastAsia="仿宋_GB2312"/>
          <w:color w:val="000000"/>
        </w:rPr>
        <w:t>方</w:t>
      </w:r>
      <w:r>
        <w:rPr>
          <w:rFonts w:hint="eastAsia" w:ascii="Times New Roman" w:hAnsi="Times New Roman" w:eastAsia="仿宋_GB2312"/>
          <w:color w:val="000000"/>
        </w:rPr>
        <w:t>就本</w:t>
      </w:r>
      <w:r>
        <w:rPr>
          <w:rFonts w:hint="eastAsia" w:ascii="Times New Roman" w:hAnsi="Times New Roman" w:eastAsia="仿宋_GB2312"/>
          <w:color w:val="000000"/>
          <w:sz w:val="24"/>
          <w:szCs w:val="24"/>
        </w:rPr>
        <w:t>工程</w:t>
      </w:r>
      <w:r>
        <w:rPr>
          <w:rFonts w:ascii="Times New Roman" w:hAnsi="Times New Roman" w:eastAsia="仿宋_GB2312"/>
          <w:color w:val="000000"/>
          <w:sz w:val="24"/>
          <w:szCs w:val="24"/>
        </w:rPr>
        <w:t>施工及有关事项协商一致</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共同达成如下协议：</w:t>
      </w:r>
    </w:p>
    <w:p w14:paraId="26F3516F">
      <w:pPr>
        <w:pStyle w:val="3"/>
        <w:spacing w:before="120" w:after="120" w:line="560" w:lineRule="exact"/>
        <w:ind w:left="0" w:leftChars="0" w:firstLine="0" w:firstLineChars="0"/>
        <w:rPr>
          <w:sz w:val="24"/>
          <w:szCs w:val="24"/>
        </w:rPr>
      </w:pPr>
      <w:r>
        <w:rPr>
          <w:sz w:val="24"/>
          <w:szCs w:val="24"/>
        </w:rPr>
        <w:t xml:space="preserve">   </w:t>
      </w:r>
      <w:bookmarkStart w:id="119" w:name="_Toc13062"/>
      <w:bookmarkStart w:id="120" w:name="_Toc3681"/>
      <w:bookmarkStart w:id="121" w:name="_Toc351203481"/>
      <w:bookmarkStart w:id="122" w:name="_Toc31518"/>
      <w:bookmarkStart w:id="123" w:name="_Toc13225"/>
      <w:r>
        <w:rPr>
          <w:sz w:val="24"/>
          <w:szCs w:val="24"/>
        </w:rPr>
        <w:t>一、工程概况</w:t>
      </w:r>
      <w:bookmarkEnd w:id="119"/>
      <w:bookmarkEnd w:id="120"/>
      <w:bookmarkEnd w:id="121"/>
      <w:bookmarkEnd w:id="122"/>
      <w:bookmarkEnd w:id="123"/>
      <w:r>
        <w:rPr>
          <w:rFonts w:hint="eastAsia"/>
          <w:sz w:val="24"/>
          <w:szCs w:val="24"/>
        </w:rPr>
        <w:t xml:space="preserve"> </w:t>
      </w:r>
    </w:p>
    <w:p w14:paraId="0CC1ACAC">
      <w:pPr>
        <w:pStyle w:val="5"/>
        <w:spacing w:before="120" w:after="120" w:line="560" w:lineRule="exact"/>
        <w:ind w:left="0" w:leftChars="0" w:firstLine="480" w:firstLineChars="200"/>
        <w:rPr>
          <w:rFonts w:ascii="Times New Roman" w:hAnsi="Times New Roman" w:eastAsia="黑体"/>
          <w:color w:val="000000"/>
        </w:rPr>
      </w:pPr>
      <w:r>
        <w:rPr>
          <w:rFonts w:ascii="Times New Roman" w:hAnsi="Times New Roman" w:eastAsia="仿宋_GB2312"/>
          <w:color w:val="000000"/>
        </w:rPr>
        <w:t>1.工程名称</w:t>
      </w:r>
      <w:r>
        <w:rPr>
          <w:rFonts w:hint="eastAsia" w:ascii="Times New Roman" w:hAnsi="Times New Roman" w:eastAsia="仿宋_GB2312"/>
          <w:color w:val="000000"/>
        </w:rPr>
        <w:t>：</w:t>
      </w:r>
      <w:r>
        <w:rPr>
          <w:rFonts w:hint="eastAsia" w:ascii="Times New Roman" w:hAnsi="Times New Roman" w:eastAsia="仿宋_GB2312"/>
          <w:color w:val="000000"/>
          <w:u w:val="single"/>
          <w:lang w:val="en-US"/>
        </w:rPr>
        <w:t xml:space="preserve">                                              </w:t>
      </w:r>
      <w:r>
        <w:rPr>
          <w:rFonts w:hint="eastAsia" w:ascii="Times New Roman" w:hAnsi="Times New Roman" w:eastAsia="仿宋_GB2312"/>
          <w:color w:val="000000"/>
        </w:rPr>
        <w:t>。</w:t>
      </w:r>
    </w:p>
    <w:p w14:paraId="469B9E6B">
      <w:pPr>
        <w:pStyle w:val="5"/>
        <w:spacing w:before="120" w:after="120" w:line="560" w:lineRule="exact"/>
        <w:ind w:left="0" w:leftChars="0" w:firstLine="480" w:firstLineChars="200"/>
        <w:rPr>
          <w:rFonts w:ascii="Times New Roman" w:hAnsi="Times New Roman" w:eastAsia="仿宋_GB2312"/>
          <w:color w:val="000000"/>
        </w:rPr>
      </w:pPr>
      <w:r>
        <w:rPr>
          <w:rFonts w:ascii="Times New Roman" w:hAnsi="Times New Roman" w:eastAsia="仿宋_GB2312"/>
          <w:color w:val="000000"/>
        </w:rPr>
        <w:t>2.工程地点：</w:t>
      </w:r>
      <w:r>
        <w:rPr>
          <w:rFonts w:hint="eastAsia" w:ascii="仿宋" w:hAnsi="仿宋" w:eastAsia="仿宋" w:cs="仿宋"/>
          <w:bCs/>
          <w:color w:val="000000"/>
          <w:u w:val="single"/>
        </w:rPr>
        <w:t xml:space="preserve"> </w:t>
      </w:r>
      <w:r>
        <w:rPr>
          <w:rFonts w:hint="eastAsia" w:ascii="仿宋" w:hAnsi="仿宋" w:eastAsia="仿宋" w:cs="仿宋"/>
          <w:bCs/>
          <w:color w:val="000000"/>
          <w:u w:val="single"/>
          <w:lang w:val="en-US"/>
        </w:rPr>
        <w:t xml:space="preserve">                                             </w:t>
      </w:r>
      <w:r>
        <w:rPr>
          <w:rFonts w:hint="eastAsia" w:ascii="Times New Roman" w:hAnsi="Times New Roman" w:eastAsia="仿宋_GB2312"/>
          <w:color w:val="000000"/>
        </w:rPr>
        <w:t>。</w:t>
      </w:r>
    </w:p>
    <w:p w14:paraId="248C026A">
      <w:pPr>
        <w:spacing w:line="560" w:lineRule="exact"/>
        <w:ind w:firstLine="470" w:firstLineChars="196"/>
        <w:rPr>
          <w:rFonts w:ascii="Times New Roman" w:hAnsi="Times New Roman" w:eastAsia="仿宋_GB2312"/>
          <w:bCs/>
          <w:color w:val="000000"/>
          <w:sz w:val="24"/>
          <w:szCs w:val="24"/>
        </w:rPr>
      </w:pPr>
      <w:r>
        <w:rPr>
          <w:rFonts w:ascii="Times New Roman" w:hAnsi="Times New Roman" w:eastAsia="仿宋_GB2312"/>
          <w:bCs/>
          <w:color w:val="000000"/>
          <w:sz w:val="24"/>
          <w:szCs w:val="24"/>
        </w:rPr>
        <w:t>3.工程立项批准文号：</w:t>
      </w:r>
      <w:r>
        <w:rPr>
          <w:rFonts w:hint="eastAsia"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lang w:val="en-US"/>
        </w:rPr>
        <w:t xml:space="preserve">                </w:t>
      </w:r>
      <w:r>
        <w:rPr>
          <w:rFonts w:hint="eastAsia"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lang w:val="en-US"/>
        </w:rPr>
        <w:t xml:space="preserve">                 </w:t>
      </w:r>
      <w:r>
        <w:rPr>
          <w:rFonts w:hint="eastAsia" w:ascii="Times New Roman" w:hAnsi="Times New Roman" w:eastAsia="仿宋_GB2312"/>
          <w:bCs/>
          <w:color w:val="000000"/>
          <w:sz w:val="24"/>
          <w:szCs w:val="24"/>
        </w:rPr>
        <w:t>。</w:t>
      </w:r>
    </w:p>
    <w:p w14:paraId="17033A9E">
      <w:pPr>
        <w:spacing w:line="560" w:lineRule="exact"/>
        <w:ind w:firstLine="470" w:firstLineChars="196"/>
        <w:rPr>
          <w:rFonts w:ascii="Times New Roman" w:hAnsi="Times New Roman" w:eastAsia="仿宋_GB2312"/>
          <w:bCs/>
          <w:color w:val="000000"/>
          <w:sz w:val="24"/>
          <w:szCs w:val="24"/>
        </w:rPr>
      </w:pPr>
      <w:r>
        <w:rPr>
          <w:rFonts w:ascii="Times New Roman" w:hAnsi="Times New Roman" w:eastAsia="仿宋_GB2312"/>
          <w:bCs/>
          <w:color w:val="000000"/>
          <w:sz w:val="24"/>
          <w:szCs w:val="24"/>
        </w:rPr>
        <w:t>4.资金来源：</w:t>
      </w:r>
      <w:r>
        <w:rPr>
          <w:rFonts w:hint="eastAsia"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lang w:val="en-US"/>
        </w:rPr>
        <w:t xml:space="preserve">       </w:t>
      </w:r>
      <w:r>
        <w:rPr>
          <w:rFonts w:hint="eastAsia"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lang w:val="en-US"/>
        </w:rPr>
        <w:t xml:space="preserve">                                  </w:t>
      </w:r>
      <w:r>
        <w:rPr>
          <w:rFonts w:ascii="Times New Roman" w:hAnsi="Times New Roman" w:eastAsia="仿宋_GB2312"/>
          <w:bCs/>
          <w:color w:val="000000"/>
          <w:sz w:val="24"/>
          <w:szCs w:val="24"/>
        </w:rPr>
        <w:t>。</w:t>
      </w:r>
    </w:p>
    <w:p w14:paraId="5289E1F9">
      <w:pPr>
        <w:spacing w:line="560" w:lineRule="exact"/>
        <w:ind w:firstLine="470" w:firstLineChars="196"/>
        <w:rPr>
          <w:rFonts w:ascii="Times New Roman" w:hAnsi="Times New Roman" w:eastAsia="仿宋_GB2312"/>
          <w:bCs/>
          <w:color w:val="000000"/>
          <w:sz w:val="24"/>
          <w:szCs w:val="24"/>
        </w:rPr>
      </w:pPr>
      <w:r>
        <w:rPr>
          <w:rFonts w:hint="eastAsia" w:ascii="Times New Roman" w:hAnsi="Times New Roman" w:eastAsia="仿宋_GB2312"/>
          <w:bCs/>
          <w:color w:val="000000"/>
          <w:sz w:val="24"/>
          <w:szCs w:val="24"/>
        </w:rPr>
        <w:t>5.工程内容：</w:t>
      </w:r>
      <w:r>
        <w:rPr>
          <w:rFonts w:hint="eastAsia"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lang w:val="en-US" w:eastAsia="zh-CN"/>
        </w:rPr>
        <w:t xml:space="preserve">                                              </w:t>
      </w:r>
      <w:r>
        <w:rPr>
          <w:rFonts w:ascii="Times New Roman" w:hAnsi="Times New Roman" w:eastAsia="仿宋_GB2312"/>
          <w:bCs/>
          <w:color w:val="000000"/>
          <w:sz w:val="24"/>
          <w:szCs w:val="24"/>
        </w:rPr>
        <w:t>。</w:t>
      </w:r>
    </w:p>
    <w:p w14:paraId="177F98B1">
      <w:pPr>
        <w:spacing w:line="560" w:lineRule="exact"/>
        <w:ind w:firstLine="470" w:firstLineChars="196"/>
        <w:rPr>
          <w:rFonts w:ascii="Times New Roman" w:hAnsi="Times New Roman" w:eastAsia="仿宋_GB2312"/>
          <w:bCs/>
          <w:color w:val="000000"/>
          <w:sz w:val="24"/>
          <w:szCs w:val="24"/>
        </w:rPr>
      </w:pPr>
      <w:r>
        <w:rPr>
          <w:rFonts w:hint="eastAsia" w:ascii="Times New Roman" w:hAnsi="Times New Roman" w:eastAsia="仿宋_GB2312"/>
          <w:color w:val="000000"/>
          <w:sz w:val="24"/>
          <w:szCs w:val="24"/>
        </w:rPr>
        <w:t>群体工程应附《</w:t>
      </w:r>
      <w:r>
        <w:rPr>
          <w:rFonts w:ascii="Times New Roman" w:hAnsi="Times New Roman" w:eastAsia="仿宋_GB2312"/>
          <w:color w:val="000000"/>
          <w:sz w:val="24"/>
          <w:szCs w:val="24"/>
        </w:rPr>
        <w:t>承包人承揽工程项目一览表</w:t>
      </w:r>
      <w:r>
        <w:rPr>
          <w:rFonts w:hint="eastAsia" w:ascii="Times New Roman" w:hAnsi="Times New Roman" w:eastAsia="仿宋_GB2312"/>
          <w:color w:val="000000"/>
          <w:sz w:val="24"/>
          <w:szCs w:val="24"/>
        </w:rPr>
        <w:t>》（附件1）。</w:t>
      </w:r>
    </w:p>
    <w:p w14:paraId="62E7F3B5">
      <w:pPr>
        <w:spacing w:line="560" w:lineRule="exact"/>
        <w:ind w:firstLine="470" w:firstLineChars="196"/>
        <w:rPr>
          <w:rFonts w:ascii="Times New Roman" w:hAnsi="Times New Roman" w:eastAsia="仿宋_GB2312"/>
          <w:color w:val="000000"/>
          <w:sz w:val="24"/>
          <w:szCs w:val="24"/>
        </w:rPr>
      </w:pPr>
      <w:r>
        <w:rPr>
          <w:rFonts w:hint="eastAsia" w:ascii="Times New Roman" w:hAnsi="Times New Roman" w:eastAsia="仿宋_GB2312"/>
          <w:bCs/>
          <w:color w:val="000000"/>
          <w:sz w:val="24"/>
          <w:szCs w:val="24"/>
        </w:rPr>
        <w:t>6</w:t>
      </w:r>
      <w:r>
        <w:rPr>
          <w:rFonts w:ascii="Times New Roman" w:hAnsi="Times New Roman" w:eastAsia="仿宋_GB2312"/>
          <w:bCs/>
          <w:color w:val="000000"/>
          <w:sz w:val="24"/>
          <w:szCs w:val="24"/>
        </w:rPr>
        <w:t>.工程承包范围：</w:t>
      </w:r>
      <w:r>
        <w:rPr>
          <w:rFonts w:hint="eastAsia" w:ascii="Times New Roman" w:hAnsi="Times New Roman" w:eastAsia="仿宋_GB2312"/>
          <w:bCs/>
          <w:color w:val="000000"/>
          <w:sz w:val="24"/>
          <w:szCs w:val="24"/>
          <w:u w:val="single"/>
        </w:rPr>
        <w:t>施工图纸及工程量清单包含所有内容</w:t>
      </w:r>
      <w:r>
        <w:rPr>
          <w:rFonts w:ascii="Times New Roman" w:hAnsi="Times New Roman" w:eastAsia="仿宋_GB2312"/>
          <w:color w:val="000000"/>
          <w:sz w:val="24"/>
          <w:szCs w:val="24"/>
        </w:rPr>
        <w:t>。</w:t>
      </w:r>
    </w:p>
    <w:p w14:paraId="61FC14A3">
      <w:pPr>
        <w:pStyle w:val="3"/>
        <w:spacing w:before="120" w:after="120" w:line="560" w:lineRule="exact"/>
        <w:rPr>
          <w:rFonts w:ascii="Times New Roman" w:hAnsi="Times New Roman"/>
          <w:b w:val="0"/>
          <w:color w:val="000000"/>
          <w:sz w:val="24"/>
          <w:szCs w:val="24"/>
        </w:rPr>
      </w:pPr>
      <w:r>
        <w:rPr>
          <w:rFonts w:ascii="Times New Roman" w:hAnsi="Times New Roman"/>
          <w:b w:val="0"/>
          <w:color w:val="000000"/>
          <w:sz w:val="24"/>
          <w:szCs w:val="24"/>
        </w:rPr>
        <w:t xml:space="preserve">   </w:t>
      </w:r>
      <w:bookmarkStart w:id="124" w:name="_Toc23215"/>
      <w:bookmarkStart w:id="125" w:name="_Toc20253"/>
      <w:bookmarkStart w:id="126" w:name="_Toc12144"/>
      <w:bookmarkStart w:id="127" w:name="_Toc19436"/>
      <w:bookmarkStart w:id="128" w:name="_Toc351203482"/>
      <w:r>
        <w:rPr>
          <w:rFonts w:ascii="Times New Roman" w:hAnsi="Times New Roman"/>
          <w:b w:val="0"/>
          <w:color w:val="000000"/>
          <w:sz w:val="24"/>
          <w:szCs w:val="24"/>
        </w:rPr>
        <w:t>二、合同工期</w:t>
      </w:r>
      <w:bookmarkEnd w:id="124"/>
      <w:bookmarkEnd w:id="125"/>
      <w:bookmarkEnd w:id="126"/>
      <w:bookmarkEnd w:id="127"/>
      <w:bookmarkEnd w:id="128"/>
    </w:p>
    <w:p w14:paraId="712A6C22">
      <w:pPr>
        <w:spacing w:line="560" w:lineRule="exact"/>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计划开工日期：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ascii="Times New Roman" w:hAnsi="Times New Roman" w:eastAsia="仿宋_GB2312"/>
          <w:color w:val="000000"/>
          <w:sz w:val="24"/>
          <w:szCs w:val="24"/>
        </w:rPr>
        <w:t>月</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日。</w:t>
      </w:r>
    </w:p>
    <w:p w14:paraId="362746A8">
      <w:pPr>
        <w:spacing w:line="560" w:lineRule="exact"/>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计划竣工日期：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ascii="Times New Roman" w:hAnsi="Times New Roman" w:eastAsia="仿宋_GB2312"/>
          <w:color w:val="000000"/>
          <w:sz w:val="24"/>
          <w:szCs w:val="24"/>
        </w:rPr>
        <w:t>月</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日。</w:t>
      </w:r>
    </w:p>
    <w:p w14:paraId="7D78E6D5">
      <w:pPr>
        <w:spacing w:line="560" w:lineRule="exact"/>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工期总日历天数：</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天。工期总日历天数与根据前述计划开竣工日期计算的工期天数不一致的，以工期总日历天数为准。</w:t>
      </w:r>
    </w:p>
    <w:p w14:paraId="164A4538">
      <w:pPr>
        <w:pStyle w:val="3"/>
        <w:spacing w:before="120" w:after="120" w:line="560" w:lineRule="exact"/>
        <w:rPr>
          <w:rFonts w:ascii="Times New Roman" w:hAnsi="Times New Roman"/>
          <w:bCs w:val="0"/>
          <w:color w:val="000000"/>
          <w:sz w:val="24"/>
          <w:szCs w:val="24"/>
        </w:rPr>
      </w:pPr>
      <w:r>
        <w:rPr>
          <w:rFonts w:ascii="Times New Roman" w:hAnsi="Times New Roman"/>
          <w:bCs w:val="0"/>
          <w:color w:val="000000"/>
          <w:sz w:val="24"/>
          <w:szCs w:val="24"/>
        </w:rPr>
        <w:t xml:space="preserve"> </w:t>
      </w:r>
      <w:bookmarkStart w:id="129" w:name="_Toc26711"/>
      <w:bookmarkStart w:id="130" w:name="_Toc1040"/>
      <w:bookmarkStart w:id="131" w:name="_Toc3799"/>
      <w:r>
        <w:rPr>
          <w:rFonts w:ascii="Times New Roman" w:hAnsi="Times New Roman"/>
          <w:b w:val="0"/>
          <w:color w:val="000000"/>
          <w:sz w:val="24"/>
          <w:szCs w:val="24"/>
        </w:rPr>
        <w:t>三、质量标准</w:t>
      </w:r>
      <w:bookmarkEnd w:id="129"/>
      <w:bookmarkEnd w:id="130"/>
      <w:bookmarkEnd w:id="131"/>
    </w:p>
    <w:p w14:paraId="41191A78">
      <w:pPr>
        <w:spacing w:line="560" w:lineRule="exact"/>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工程质量符合</w:t>
      </w:r>
      <w:r>
        <w:rPr>
          <w:rFonts w:hint="eastAsia" w:ascii="Times New Roman" w:hAnsi="Times New Roman" w:eastAsia="仿宋_GB2312"/>
          <w:b/>
          <w:color w:val="000000"/>
          <w:sz w:val="24"/>
          <w:szCs w:val="24"/>
          <w:u w:val="single"/>
        </w:rPr>
        <w:t>国家《工程施工质量验收规范》合格</w:t>
      </w:r>
      <w:r>
        <w:rPr>
          <w:rFonts w:ascii="Times New Roman" w:hAnsi="Times New Roman" w:eastAsia="仿宋_GB2312"/>
          <w:color w:val="000000"/>
          <w:sz w:val="24"/>
          <w:szCs w:val="24"/>
        </w:rPr>
        <w:t>标准。</w:t>
      </w:r>
    </w:p>
    <w:p w14:paraId="1298A7D0">
      <w:pPr>
        <w:pStyle w:val="3"/>
        <w:spacing w:before="120" w:after="120" w:line="560" w:lineRule="exact"/>
        <w:rPr>
          <w:rFonts w:ascii="Times New Roman" w:hAnsi="Times New Roman"/>
          <w:bCs w:val="0"/>
          <w:color w:val="000000"/>
          <w:sz w:val="24"/>
          <w:szCs w:val="24"/>
        </w:rPr>
      </w:pPr>
      <w:r>
        <w:rPr>
          <w:rFonts w:ascii="Times New Roman" w:hAnsi="Times New Roman"/>
          <w:bCs w:val="0"/>
          <w:color w:val="000000"/>
          <w:sz w:val="24"/>
          <w:szCs w:val="24"/>
        </w:rPr>
        <w:t xml:space="preserve">   </w:t>
      </w:r>
      <w:r>
        <w:rPr>
          <w:rFonts w:ascii="Times New Roman" w:hAnsi="Times New Roman"/>
          <w:b w:val="0"/>
          <w:color w:val="000000"/>
          <w:sz w:val="24"/>
          <w:szCs w:val="24"/>
        </w:rPr>
        <w:t xml:space="preserve"> </w:t>
      </w:r>
      <w:bookmarkStart w:id="132" w:name="_Toc15937"/>
      <w:bookmarkStart w:id="133" w:name="_Toc28324"/>
      <w:bookmarkStart w:id="134" w:name="_Toc19720"/>
      <w:r>
        <w:rPr>
          <w:rFonts w:ascii="Times New Roman" w:hAnsi="Times New Roman"/>
          <w:b w:val="0"/>
          <w:color w:val="000000"/>
          <w:sz w:val="24"/>
          <w:szCs w:val="24"/>
        </w:rPr>
        <w:t>四、签约合同价与合同价格形式</w:t>
      </w:r>
      <w:bookmarkEnd w:id="132"/>
      <w:bookmarkEnd w:id="133"/>
      <w:bookmarkEnd w:id="134"/>
      <w:r>
        <w:rPr>
          <w:rFonts w:ascii="Times New Roman" w:hAnsi="Times New Roman"/>
          <w:b w:val="0"/>
          <w:color w:val="000000"/>
          <w:sz w:val="24"/>
          <w:szCs w:val="24"/>
        </w:rPr>
        <w:tab/>
      </w:r>
      <w:r>
        <w:rPr>
          <w:rFonts w:ascii="Times New Roman" w:hAnsi="Times New Roman"/>
          <w:b w:val="0"/>
          <w:color w:val="000000"/>
          <w:sz w:val="24"/>
          <w:szCs w:val="24"/>
        </w:rPr>
        <w:tab/>
      </w:r>
    </w:p>
    <w:p w14:paraId="43579559">
      <w:pPr>
        <w:spacing w:line="560" w:lineRule="exact"/>
        <w:ind w:firstLine="482" w:firstLineChars="200"/>
        <w:rPr>
          <w:rFonts w:ascii="Times New Roman" w:hAnsi="Times New Roman" w:eastAsia="仿宋_GB2312"/>
          <w:b/>
          <w:color w:val="000000"/>
          <w:sz w:val="24"/>
          <w:szCs w:val="24"/>
        </w:rPr>
      </w:pPr>
      <w:r>
        <w:rPr>
          <w:rFonts w:ascii="Times New Roman" w:hAnsi="Times New Roman" w:eastAsia="仿宋_GB2312"/>
          <w:b/>
          <w:color w:val="000000"/>
          <w:sz w:val="24"/>
          <w:szCs w:val="24"/>
        </w:rPr>
        <w:t>1.</w:t>
      </w:r>
      <w:r>
        <w:rPr>
          <w:rFonts w:hint="eastAsia" w:ascii="Times New Roman" w:hAnsi="Times New Roman" w:eastAsia="仿宋_GB2312"/>
          <w:b/>
          <w:color w:val="000000"/>
          <w:sz w:val="24"/>
          <w:szCs w:val="24"/>
        </w:rPr>
        <w:t>合同价</w:t>
      </w:r>
      <w:r>
        <w:rPr>
          <w:rFonts w:ascii="Times New Roman" w:hAnsi="Times New Roman" w:eastAsia="仿宋_GB2312"/>
          <w:b/>
          <w:color w:val="000000"/>
          <w:sz w:val="24"/>
          <w:szCs w:val="24"/>
        </w:rPr>
        <w:t>：</w:t>
      </w:r>
    </w:p>
    <w:p w14:paraId="681FEE7F">
      <w:pPr>
        <w:spacing w:line="560" w:lineRule="exact"/>
        <w:ind w:firstLine="600" w:firstLineChars="250"/>
        <w:rPr>
          <w:rFonts w:ascii="Times New Roman" w:hAnsi="Times New Roman" w:eastAsia="仿宋_GB2312"/>
          <w:color w:val="000000"/>
          <w:sz w:val="24"/>
          <w:szCs w:val="24"/>
          <w:u w:val="single"/>
          <w:lang w:val="en-US"/>
        </w:rPr>
      </w:pPr>
      <w:r>
        <w:rPr>
          <w:rFonts w:ascii="Times New Roman" w:hAnsi="Times New Roman" w:eastAsia="仿宋_GB2312"/>
          <w:color w:val="000000"/>
          <w:sz w:val="24"/>
          <w:szCs w:val="24"/>
        </w:rPr>
        <w:t>人民币（大写）</w:t>
      </w:r>
      <w:r>
        <w:rPr>
          <w:rFonts w:hint="eastAsia" w:ascii="Times New Roman" w:hAnsi="Times New Roman" w:eastAsia="仿宋_GB2312"/>
          <w:color w:val="000000"/>
          <w:sz w:val="24"/>
          <w:szCs w:val="24"/>
        </w:rPr>
        <w:t>：</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lang w:val="en-US"/>
        </w:rPr>
        <w:t xml:space="preserve"> ；</w:t>
      </w:r>
    </w:p>
    <w:p w14:paraId="4F96CBA0">
      <w:pPr>
        <w:spacing w:line="560" w:lineRule="exact"/>
        <w:ind w:firstLine="1344" w:firstLineChars="560"/>
        <w:rPr>
          <w:rFonts w:ascii="Times New Roman" w:hAnsi="Times New Roman" w:eastAsia="仿宋_GB2312"/>
          <w:color w:val="000000"/>
          <w:sz w:val="24"/>
          <w:szCs w:val="24"/>
        </w:rPr>
      </w:pP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rPr>
        <w:t>小</w:t>
      </w:r>
      <w:r>
        <w:rPr>
          <w:rFonts w:ascii="Times New Roman" w:hAnsi="Times New Roman" w:eastAsia="仿宋_GB2312"/>
          <w:color w:val="000000"/>
          <w:sz w:val="24"/>
          <w:szCs w:val="24"/>
        </w:rPr>
        <w:t>写）¥</w:t>
      </w:r>
      <w:r>
        <w:rPr>
          <w:rFonts w:hint="eastAsia" w:cs="仿宋_GB2312"/>
          <w:sz w:val="24"/>
          <w:szCs w:val="24"/>
          <w:u w:val="single"/>
        </w:rPr>
        <w:t xml:space="preserve"> </w:t>
      </w:r>
      <w:r>
        <w:rPr>
          <w:rFonts w:hint="eastAsia" w:cs="仿宋_GB2312"/>
          <w:sz w:val="24"/>
          <w:szCs w:val="24"/>
          <w:u w:val="single"/>
          <w:lang w:val="en-US"/>
        </w:rPr>
        <w:t xml:space="preserve">                                </w:t>
      </w:r>
      <w:r>
        <w:rPr>
          <w:rFonts w:ascii="Times New Roman" w:hAnsi="Times New Roman" w:eastAsia="仿宋_GB2312"/>
          <w:color w:val="000000"/>
          <w:sz w:val="24"/>
          <w:szCs w:val="24"/>
        </w:rPr>
        <w:t>；</w:t>
      </w:r>
    </w:p>
    <w:p w14:paraId="763F4F48">
      <w:pPr>
        <w:spacing w:line="360" w:lineRule="auto"/>
        <w:ind w:firstLine="480" w:firstLineChars="200"/>
        <w:rPr>
          <w:rFonts w:ascii="仿宋" w:hAnsi="仿宋" w:eastAsia="仿宋" w:cs="仿宋"/>
          <w:bCs/>
          <w:color w:val="000000"/>
          <w:sz w:val="24"/>
          <w:szCs w:val="24"/>
        </w:rPr>
      </w:pPr>
      <w:r>
        <w:rPr>
          <w:rFonts w:hint="eastAsia" w:ascii="仿宋" w:hAnsi="仿宋" w:eastAsia="仿宋" w:cs="仿宋"/>
          <w:bCs/>
          <w:color w:val="000000"/>
          <w:sz w:val="24"/>
          <w:szCs w:val="24"/>
        </w:rPr>
        <w:t>（1）安全文明施工费：</w:t>
      </w:r>
      <w:r>
        <w:rPr>
          <w:rFonts w:hint="eastAsia" w:ascii="仿宋" w:hAnsi="仿宋" w:eastAsia="仿宋" w:cs="仿宋"/>
          <w:bCs/>
          <w:color w:val="000000"/>
          <w:sz w:val="24"/>
          <w:szCs w:val="24"/>
          <w:u w:val="single"/>
          <w:lang w:val="en-US"/>
        </w:rPr>
        <w:t xml:space="preserve">                              </w:t>
      </w:r>
      <w:r>
        <w:rPr>
          <w:rFonts w:hint="eastAsia" w:ascii="仿宋" w:hAnsi="仿宋" w:eastAsia="仿宋" w:cs="仿宋"/>
          <w:bCs/>
          <w:color w:val="000000"/>
          <w:sz w:val="24"/>
          <w:szCs w:val="24"/>
        </w:rPr>
        <w:t>；</w:t>
      </w:r>
    </w:p>
    <w:p w14:paraId="1E51AFBC">
      <w:pPr>
        <w:spacing w:line="360" w:lineRule="auto"/>
        <w:ind w:firstLine="480" w:firstLineChars="200"/>
        <w:rPr>
          <w:rFonts w:ascii="仿宋" w:hAnsi="仿宋" w:eastAsia="仿宋" w:cs="仿宋"/>
          <w:bCs/>
          <w:color w:val="000000"/>
          <w:sz w:val="24"/>
          <w:szCs w:val="24"/>
        </w:rPr>
      </w:pPr>
      <w:r>
        <w:rPr>
          <w:rFonts w:hint="eastAsia" w:ascii="仿宋" w:hAnsi="仿宋" w:eastAsia="仿宋" w:cs="仿宋"/>
          <w:bCs/>
          <w:color w:val="000000"/>
          <w:sz w:val="24"/>
          <w:szCs w:val="24"/>
        </w:rPr>
        <w:t>（2）材料和工程设备暂估价金额：</w:t>
      </w:r>
    </w:p>
    <w:p w14:paraId="526FD4D9">
      <w:pPr>
        <w:spacing w:line="360" w:lineRule="auto"/>
        <w:ind w:firstLine="1080" w:firstLineChars="450"/>
        <w:rPr>
          <w:rFonts w:ascii="仿宋" w:hAnsi="仿宋" w:eastAsia="仿宋" w:cs="仿宋"/>
          <w:bCs/>
          <w:color w:val="000000"/>
          <w:sz w:val="24"/>
          <w:szCs w:val="24"/>
        </w:rPr>
      </w:pPr>
      <w:r>
        <w:rPr>
          <w:rFonts w:hint="eastAsia" w:ascii="仿宋" w:hAnsi="仿宋" w:eastAsia="仿宋" w:cs="仿宋"/>
          <w:bCs/>
          <w:color w:val="000000"/>
          <w:sz w:val="24"/>
          <w:szCs w:val="24"/>
        </w:rPr>
        <w:t>人民币（大写）</w:t>
      </w:r>
      <w:r>
        <w:rPr>
          <w:rFonts w:hint="eastAsia" w:ascii="仿宋" w:hAnsi="仿宋" w:eastAsia="仿宋" w:cs="仿宋"/>
          <w:bCs/>
          <w:color w:val="000000"/>
          <w:sz w:val="24"/>
          <w:szCs w:val="24"/>
          <w:u w:val="single"/>
        </w:rPr>
        <w:t xml:space="preserve">       /       </w:t>
      </w:r>
      <w:r>
        <w:rPr>
          <w:rFonts w:hint="eastAsia" w:ascii="仿宋" w:hAnsi="仿宋" w:eastAsia="仿宋" w:cs="仿宋"/>
          <w:bCs/>
          <w:color w:val="000000"/>
          <w:sz w:val="24"/>
          <w:szCs w:val="24"/>
        </w:rPr>
        <w:t xml:space="preserve"> (¥</w:t>
      </w:r>
      <w:r>
        <w:rPr>
          <w:rFonts w:hint="eastAsia" w:ascii="仿宋" w:hAnsi="仿宋" w:eastAsia="仿宋" w:cs="仿宋"/>
          <w:bCs/>
          <w:color w:val="000000"/>
          <w:sz w:val="24"/>
          <w:szCs w:val="24"/>
          <w:u w:val="single"/>
        </w:rPr>
        <w:t xml:space="preserve">     /     </w:t>
      </w:r>
      <w:r>
        <w:rPr>
          <w:rFonts w:hint="eastAsia" w:ascii="仿宋" w:hAnsi="仿宋" w:eastAsia="仿宋" w:cs="仿宋"/>
          <w:bCs/>
          <w:color w:val="000000"/>
          <w:sz w:val="24"/>
          <w:szCs w:val="24"/>
        </w:rPr>
        <w:t>元)；</w:t>
      </w:r>
    </w:p>
    <w:p w14:paraId="44F5E1B5">
      <w:pPr>
        <w:spacing w:line="360" w:lineRule="auto"/>
        <w:ind w:firstLine="480" w:firstLineChars="200"/>
        <w:rPr>
          <w:rFonts w:ascii="仿宋" w:hAnsi="仿宋" w:eastAsia="仿宋" w:cs="仿宋"/>
          <w:bCs/>
          <w:color w:val="000000"/>
          <w:sz w:val="24"/>
          <w:szCs w:val="24"/>
        </w:rPr>
      </w:pPr>
      <w:r>
        <w:rPr>
          <w:rFonts w:hint="eastAsia" w:ascii="仿宋" w:hAnsi="仿宋" w:eastAsia="仿宋" w:cs="仿宋"/>
          <w:bCs/>
          <w:color w:val="000000"/>
          <w:sz w:val="24"/>
          <w:szCs w:val="24"/>
        </w:rPr>
        <w:t>（3）专业工程暂估价金额：</w:t>
      </w:r>
    </w:p>
    <w:p w14:paraId="31FC557B">
      <w:pPr>
        <w:spacing w:line="360" w:lineRule="auto"/>
        <w:ind w:firstLine="1080" w:firstLineChars="450"/>
        <w:rPr>
          <w:rFonts w:ascii="仿宋" w:hAnsi="仿宋" w:eastAsia="仿宋" w:cs="仿宋"/>
          <w:bCs/>
          <w:color w:val="000000"/>
          <w:sz w:val="24"/>
          <w:szCs w:val="24"/>
        </w:rPr>
      </w:pPr>
      <w:r>
        <w:rPr>
          <w:rFonts w:hint="eastAsia" w:ascii="仿宋" w:hAnsi="仿宋" w:eastAsia="仿宋" w:cs="仿宋"/>
          <w:bCs/>
          <w:color w:val="000000"/>
          <w:sz w:val="24"/>
          <w:szCs w:val="24"/>
        </w:rPr>
        <w:t>人民币（大写）</w:t>
      </w:r>
      <w:r>
        <w:rPr>
          <w:rFonts w:hint="eastAsia" w:ascii="仿宋" w:hAnsi="仿宋" w:eastAsia="仿宋" w:cs="仿宋"/>
          <w:bCs/>
          <w:color w:val="000000"/>
          <w:sz w:val="24"/>
          <w:szCs w:val="24"/>
          <w:u w:val="single"/>
        </w:rPr>
        <w:t xml:space="preserve">       /       </w:t>
      </w:r>
      <w:r>
        <w:rPr>
          <w:rFonts w:hint="eastAsia" w:ascii="仿宋" w:hAnsi="仿宋" w:eastAsia="仿宋" w:cs="仿宋"/>
          <w:bCs/>
          <w:color w:val="000000"/>
          <w:sz w:val="24"/>
          <w:szCs w:val="24"/>
        </w:rPr>
        <w:t xml:space="preserve"> (¥</w:t>
      </w:r>
      <w:r>
        <w:rPr>
          <w:rFonts w:hint="eastAsia" w:ascii="仿宋" w:hAnsi="仿宋" w:eastAsia="仿宋" w:cs="仿宋"/>
          <w:bCs/>
          <w:color w:val="000000"/>
          <w:sz w:val="24"/>
          <w:szCs w:val="24"/>
          <w:u w:val="single"/>
        </w:rPr>
        <w:t xml:space="preserve">     /     </w:t>
      </w:r>
      <w:r>
        <w:rPr>
          <w:rFonts w:hint="eastAsia" w:ascii="仿宋" w:hAnsi="仿宋" w:eastAsia="仿宋" w:cs="仿宋"/>
          <w:bCs/>
          <w:color w:val="000000"/>
          <w:sz w:val="24"/>
          <w:szCs w:val="24"/>
        </w:rPr>
        <w:t>元)；</w:t>
      </w:r>
    </w:p>
    <w:p w14:paraId="0E3B2752">
      <w:pPr>
        <w:spacing w:line="360" w:lineRule="auto"/>
        <w:ind w:firstLine="480" w:firstLineChars="200"/>
        <w:rPr>
          <w:rFonts w:ascii="Times New Roman" w:hAnsi="Times New Roman" w:eastAsia="仿宋_GB2312"/>
          <w:color w:val="000000"/>
          <w:sz w:val="24"/>
          <w:szCs w:val="24"/>
          <w:lang w:val="en-US"/>
        </w:rPr>
      </w:pPr>
      <w:r>
        <w:rPr>
          <w:rFonts w:hint="eastAsia" w:ascii="仿宋" w:hAnsi="仿宋" w:eastAsia="仿宋" w:cs="仿宋"/>
          <w:bCs/>
          <w:color w:val="000000"/>
          <w:sz w:val="24"/>
          <w:szCs w:val="24"/>
        </w:rPr>
        <w:t>（4）暂列金额：人民币（大写）</w:t>
      </w:r>
      <w:r>
        <w:rPr>
          <w:rFonts w:hint="eastAsia" w:ascii="仿宋" w:hAnsi="仿宋" w:eastAsia="仿宋" w:cs="仿宋"/>
          <w:bCs/>
          <w:color w:val="000000"/>
          <w:sz w:val="24"/>
          <w:szCs w:val="24"/>
          <w:u w:val="single"/>
        </w:rPr>
        <w:t xml:space="preserve">        /      </w:t>
      </w:r>
      <w:r>
        <w:rPr>
          <w:rFonts w:hint="eastAsia" w:ascii="仿宋" w:hAnsi="仿宋" w:eastAsia="仿宋" w:cs="仿宋"/>
          <w:bCs/>
          <w:color w:val="000000"/>
          <w:sz w:val="24"/>
          <w:szCs w:val="24"/>
        </w:rPr>
        <w:t xml:space="preserve"> (¥</w:t>
      </w:r>
      <w:r>
        <w:rPr>
          <w:rFonts w:hint="eastAsia" w:ascii="仿宋" w:hAnsi="仿宋" w:eastAsia="仿宋" w:cs="仿宋"/>
          <w:bCs/>
          <w:color w:val="000000"/>
          <w:sz w:val="24"/>
          <w:szCs w:val="24"/>
          <w:u w:val="single"/>
        </w:rPr>
        <w:t xml:space="preserve">      /    </w:t>
      </w:r>
      <w:r>
        <w:rPr>
          <w:rFonts w:hint="eastAsia" w:ascii="仿宋" w:hAnsi="仿宋" w:eastAsia="仿宋" w:cs="仿宋"/>
          <w:bCs/>
          <w:color w:val="000000"/>
          <w:sz w:val="24"/>
          <w:szCs w:val="24"/>
        </w:rPr>
        <w:t>元)。</w:t>
      </w:r>
    </w:p>
    <w:p w14:paraId="652C43DF">
      <w:pPr>
        <w:spacing w:line="56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2.合同价格形式：</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ascii="Times New Roman" w:hAnsi="Times New Roman" w:eastAsia="仿宋_GB2312"/>
          <w:color w:val="000000"/>
          <w:sz w:val="24"/>
          <w:szCs w:val="24"/>
        </w:rPr>
        <w:t>。</w:t>
      </w:r>
    </w:p>
    <w:p w14:paraId="7ACD45D6">
      <w:pPr>
        <w:pStyle w:val="3"/>
        <w:spacing w:before="120" w:after="120" w:line="560" w:lineRule="exact"/>
        <w:rPr>
          <w:rFonts w:ascii="Times New Roman" w:hAnsi="Times New Roman"/>
          <w:b w:val="0"/>
          <w:color w:val="000000"/>
          <w:sz w:val="24"/>
          <w:szCs w:val="24"/>
        </w:rPr>
      </w:pPr>
      <w:r>
        <w:rPr>
          <w:rFonts w:ascii="Times New Roman" w:hAnsi="Times New Roman"/>
          <w:bCs w:val="0"/>
          <w:color w:val="000000"/>
          <w:sz w:val="24"/>
          <w:szCs w:val="24"/>
        </w:rPr>
        <w:t xml:space="preserve">   </w:t>
      </w:r>
      <w:r>
        <w:rPr>
          <w:rFonts w:ascii="Times New Roman" w:hAnsi="Times New Roman"/>
          <w:b w:val="0"/>
          <w:color w:val="000000"/>
          <w:sz w:val="24"/>
          <w:szCs w:val="24"/>
        </w:rPr>
        <w:t xml:space="preserve"> </w:t>
      </w:r>
      <w:bookmarkStart w:id="135" w:name="_Toc351203485"/>
      <w:bookmarkStart w:id="136" w:name="_Toc6744"/>
      <w:bookmarkStart w:id="137" w:name="_Toc361"/>
      <w:bookmarkStart w:id="138" w:name="_Toc29715"/>
      <w:bookmarkStart w:id="139" w:name="_Toc8542"/>
      <w:r>
        <w:rPr>
          <w:rFonts w:ascii="Times New Roman" w:hAnsi="Times New Roman"/>
          <w:b w:val="0"/>
          <w:color w:val="000000"/>
          <w:sz w:val="24"/>
          <w:szCs w:val="24"/>
        </w:rPr>
        <w:t>五、</w:t>
      </w:r>
      <w:bookmarkEnd w:id="135"/>
      <w:r>
        <w:rPr>
          <w:rFonts w:ascii="Times New Roman" w:hAnsi="Times New Roman"/>
          <w:b w:val="0"/>
          <w:color w:val="000000"/>
          <w:sz w:val="24"/>
          <w:szCs w:val="24"/>
        </w:rPr>
        <w:t>项目经理</w:t>
      </w:r>
      <w:bookmarkEnd w:id="136"/>
      <w:bookmarkEnd w:id="137"/>
      <w:bookmarkEnd w:id="138"/>
      <w:bookmarkEnd w:id="139"/>
    </w:p>
    <w:p w14:paraId="7E58FC3C">
      <w:pPr>
        <w:spacing w:line="56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承包人项目经理：</w:t>
      </w:r>
      <w:r>
        <w:rPr>
          <w:rFonts w:hint="eastAsia" w:ascii="仿宋" w:hAnsi="仿宋" w:eastAsia="仿宋" w:cs="仿宋"/>
          <w:b/>
          <w:bCs/>
          <w:color w:val="000000"/>
          <w:sz w:val="24"/>
          <w:szCs w:val="24"/>
          <w:u w:val="single"/>
          <w:lang w:val="en-US"/>
        </w:rPr>
        <w:t xml:space="preserve">             </w:t>
      </w:r>
      <w:r>
        <w:rPr>
          <w:rFonts w:ascii="Times New Roman" w:hAnsi="Times New Roman" w:eastAsia="仿宋_GB2312"/>
          <w:color w:val="000000"/>
          <w:sz w:val="24"/>
          <w:szCs w:val="24"/>
        </w:rPr>
        <w:t>。</w:t>
      </w:r>
    </w:p>
    <w:p w14:paraId="248399CB">
      <w:pPr>
        <w:pStyle w:val="3"/>
        <w:spacing w:before="120" w:after="120" w:line="560" w:lineRule="exact"/>
        <w:rPr>
          <w:rFonts w:ascii="Times New Roman" w:hAnsi="Times New Roman"/>
          <w:bCs w:val="0"/>
          <w:color w:val="000000"/>
          <w:sz w:val="24"/>
          <w:szCs w:val="24"/>
        </w:rPr>
      </w:pPr>
      <w:r>
        <w:rPr>
          <w:rFonts w:ascii="Times New Roman" w:hAnsi="Times New Roman"/>
          <w:bCs w:val="0"/>
          <w:color w:val="000000"/>
          <w:sz w:val="24"/>
          <w:szCs w:val="24"/>
        </w:rPr>
        <w:t xml:space="preserve">   </w:t>
      </w:r>
      <w:r>
        <w:rPr>
          <w:rFonts w:ascii="Times New Roman" w:hAnsi="Times New Roman"/>
          <w:b w:val="0"/>
          <w:color w:val="000000"/>
          <w:sz w:val="24"/>
          <w:szCs w:val="24"/>
        </w:rPr>
        <w:t xml:space="preserve"> </w:t>
      </w:r>
      <w:bookmarkStart w:id="140" w:name="_Toc19480"/>
      <w:bookmarkStart w:id="141" w:name="_Toc16282"/>
      <w:bookmarkStart w:id="142" w:name="_Toc862"/>
      <w:bookmarkStart w:id="143" w:name="_Toc32254"/>
      <w:bookmarkStart w:id="144" w:name="_Toc351203486"/>
      <w:r>
        <w:rPr>
          <w:rFonts w:ascii="Times New Roman" w:hAnsi="Times New Roman"/>
          <w:b w:val="0"/>
          <w:color w:val="000000"/>
          <w:sz w:val="24"/>
          <w:szCs w:val="24"/>
        </w:rPr>
        <w:t>六、合同文件构成</w:t>
      </w:r>
      <w:bookmarkEnd w:id="140"/>
      <w:bookmarkEnd w:id="141"/>
      <w:bookmarkEnd w:id="142"/>
      <w:bookmarkEnd w:id="143"/>
      <w:bookmarkEnd w:id="144"/>
    </w:p>
    <w:p w14:paraId="1BCF8059">
      <w:pPr>
        <w:spacing w:line="560" w:lineRule="exact"/>
        <w:ind w:firstLine="480" w:firstLineChars="200"/>
        <w:rPr>
          <w:rFonts w:ascii="Times New Roman" w:hAnsi="Times New Roman" w:eastAsia="仿宋_GB2312"/>
          <w:color w:val="000000"/>
          <w:sz w:val="24"/>
          <w:szCs w:val="24"/>
        </w:rPr>
      </w:pPr>
      <w:r>
        <w:rPr>
          <w:rFonts w:ascii="Times New Roman" w:hAnsi="Times New Roman" w:eastAsia="仿宋_GB2312"/>
          <w:bCs/>
          <w:color w:val="000000"/>
          <w:sz w:val="24"/>
          <w:szCs w:val="24"/>
        </w:rPr>
        <w:t>本协议书与下列文件一起构成合同文件：</w:t>
      </w:r>
      <w:r>
        <w:rPr>
          <w:rFonts w:ascii="Times New Roman" w:hAnsi="Times New Roman" w:eastAsia="仿宋_GB2312"/>
          <w:color w:val="000000"/>
          <w:sz w:val="24"/>
          <w:szCs w:val="24"/>
        </w:rPr>
        <w:t xml:space="preserve"> </w:t>
      </w:r>
    </w:p>
    <w:p w14:paraId="0894A529">
      <w:pPr>
        <w:adjustRightInd w:val="0"/>
        <w:spacing w:line="56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rPr>
        <w:t>1</w:t>
      </w: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rPr>
        <w:t>合同协议书</w:t>
      </w:r>
      <w:r>
        <w:rPr>
          <w:rFonts w:ascii="Times New Roman" w:hAnsi="Times New Roman" w:eastAsia="仿宋_GB2312"/>
          <w:color w:val="000000"/>
          <w:sz w:val="24"/>
          <w:szCs w:val="24"/>
        </w:rPr>
        <w:t>；</w:t>
      </w:r>
    </w:p>
    <w:p w14:paraId="0117906E">
      <w:pPr>
        <w:adjustRightInd w:val="0"/>
        <w:spacing w:line="56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rPr>
        <w:t>2</w:t>
      </w: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rPr>
        <w:t>中标通知书</w:t>
      </w:r>
      <w:r>
        <w:rPr>
          <w:rFonts w:ascii="Times New Roman" w:hAnsi="Times New Roman" w:eastAsia="仿宋_GB2312"/>
          <w:color w:val="000000"/>
          <w:sz w:val="24"/>
          <w:szCs w:val="24"/>
        </w:rPr>
        <w:t>；</w:t>
      </w:r>
    </w:p>
    <w:p w14:paraId="2895DC80">
      <w:pPr>
        <w:adjustRightInd w:val="0"/>
        <w:spacing w:line="56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lang w:val="en-US"/>
        </w:rPr>
        <w:t>3</w:t>
      </w:r>
      <w:r>
        <w:rPr>
          <w:rFonts w:ascii="Times New Roman" w:hAnsi="Times New Roman" w:eastAsia="仿宋_GB2312"/>
          <w:color w:val="000000"/>
          <w:sz w:val="24"/>
          <w:szCs w:val="24"/>
        </w:rPr>
        <w:t>）专用合同条款及其附件；</w:t>
      </w:r>
    </w:p>
    <w:p w14:paraId="599B9132">
      <w:pPr>
        <w:adjustRightInd w:val="0"/>
        <w:spacing w:line="56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lang w:val="en-US"/>
        </w:rPr>
        <w:t>4</w:t>
      </w:r>
      <w:r>
        <w:rPr>
          <w:rFonts w:ascii="Times New Roman" w:hAnsi="Times New Roman" w:eastAsia="仿宋_GB2312"/>
          <w:color w:val="000000"/>
          <w:sz w:val="24"/>
          <w:szCs w:val="24"/>
        </w:rPr>
        <w:t>）通用合同条款；</w:t>
      </w:r>
    </w:p>
    <w:p w14:paraId="589B3A3A">
      <w:pPr>
        <w:adjustRightInd w:val="0"/>
        <w:spacing w:line="56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lang w:val="en-US"/>
        </w:rPr>
        <w:t>5</w:t>
      </w:r>
      <w:r>
        <w:rPr>
          <w:rFonts w:ascii="Times New Roman" w:hAnsi="Times New Roman" w:eastAsia="仿宋_GB2312"/>
          <w:color w:val="000000"/>
          <w:sz w:val="24"/>
          <w:szCs w:val="24"/>
        </w:rPr>
        <w:t>）技术标准和要求；</w:t>
      </w:r>
    </w:p>
    <w:p w14:paraId="5A57672D">
      <w:pPr>
        <w:adjustRightInd w:val="0"/>
        <w:spacing w:line="56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lang w:val="en-US"/>
        </w:rPr>
        <w:t>6</w:t>
      </w:r>
      <w:r>
        <w:rPr>
          <w:rFonts w:ascii="Times New Roman" w:hAnsi="Times New Roman" w:eastAsia="仿宋_GB2312"/>
          <w:color w:val="000000"/>
          <w:sz w:val="24"/>
          <w:szCs w:val="24"/>
        </w:rPr>
        <w:t>）图纸；</w:t>
      </w:r>
    </w:p>
    <w:p w14:paraId="4EF5FCF9">
      <w:pPr>
        <w:adjustRightInd w:val="0"/>
        <w:spacing w:line="56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lang w:val="en-US"/>
        </w:rPr>
        <w:t>7</w:t>
      </w:r>
      <w:r>
        <w:rPr>
          <w:rFonts w:ascii="Times New Roman" w:hAnsi="Times New Roman" w:eastAsia="仿宋_GB2312"/>
          <w:color w:val="000000"/>
          <w:sz w:val="24"/>
          <w:szCs w:val="24"/>
        </w:rPr>
        <w:t>）已标价工程量清单或预算书；</w:t>
      </w:r>
    </w:p>
    <w:p w14:paraId="1F0BC0A1">
      <w:pPr>
        <w:adjustRightInd w:val="0"/>
        <w:spacing w:line="56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lang w:val="en-US"/>
        </w:rPr>
        <w:t>8</w:t>
      </w:r>
      <w:r>
        <w:rPr>
          <w:rFonts w:ascii="Times New Roman" w:hAnsi="Times New Roman" w:eastAsia="仿宋_GB2312"/>
          <w:color w:val="000000"/>
          <w:sz w:val="24"/>
          <w:szCs w:val="24"/>
        </w:rPr>
        <w:t>）其他合同文件。</w:t>
      </w:r>
    </w:p>
    <w:p w14:paraId="568C101E">
      <w:pPr>
        <w:pStyle w:val="3"/>
        <w:spacing w:before="120" w:after="120" w:line="560" w:lineRule="exact"/>
        <w:rPr>
          <w:rFonts w:ascii="Times New Roman" w:hAnsi="Times New Roman"/>
          <w:b w:val="0"/>
          <w:bCs w:val="0"/>
          <w:color w:val="000000"/>
          <w:sz w:val="24"/>
          <w:szCs w:val="24"/>
        </w:rPr>
      </w:pPr>
      <w:r>
        <w:rPr>
          <w:rFonts w:ascii="Times New Roman" w:hAnsi="Times New Roman"/>
          <w:b w:val="0"/>
          <w:bCs w:val="0"/>
          <w:color w:val="000000"/>
          <w:sz w:val="24"/>
          <w:szCs w:val="24"/>
        </w:rPr>
        <w:t xml:space="preserve">   </w:t>
      </w:r>
      <w:r>
        <w:rPr>
          <w:rFonts w:ascii="Times New Roman" w:hAnsi="Times New Roman"/>
          <w:b w:val="0"/>
          <w:color w:val="000000"/>
          <w:sz w:val="24"/>
          <w:szCs w:val="24"/>
        </w:rPr>
        <w:t xml:space="preserve"> </w:t>
      </w:r>
      <w:bookmarkStart w:id="145" w:name="_Toc13187"/>
      <w:bookmarkStart w:id="146" w:name="_Toc351203487"/>
      <w:bookmarkStart w:id="147" w:name="_Toc6911"/>
      <w:bookmarkStart w:id="148" w:name="_Toc7630"/>
      <w:bookmarkStart w:id="149" w:name="_Toc2088"/>
      <w:r>
        <w:rPr>
          <w:rFonts w:ascii="Times New Roman" w:hAnsi="Times New Roman"/>
          <w:b w:val="0"/>
          <w:color w:val="000000"/>
          <w:sz w:val="24"/>
          <w:szCs w:val="24"/>
        </w:rPr>
        <w:t>七、承诺</w:t>
      </w:r>
      <w:bookmarkEnd w:id="145"/>
      <w:bookmarkEnd w:id="146"/>
      <w:bookmarkEnd w:id="147"/>
      <w:bookmarkEnd w:id="148"/>
      <w:bookmarkEnd w:id="149"/>
    </w:p>
    <w:p w14:paraId="092E15AA">
      <w:pPr>
        <w:spacing w:line="560" w:lineRule="exact"/>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1.发包人承诺按照法律规定履行项目审批手续、筹集工程建设资金并按照合同约定的期限和方式支付合同价款。</w:t>
      </w:r>
    </w:p>
    <w:p w14:paraId="02064293">
      <w:pPr>
        <w:spacing w:line="560" w:lineRule="exact"/>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2.承包人承诺按照法律规定及合同约定组织完成工程施工，确保工程质量和安全，并在缺陷责任期及保修期内承担相应的工程维修责任。</w:t>
      </w:r>
    </w:p>
    <w:p w14:paraId="5CD80865">
      <w:pPr>
        <w:spacing w:line="560" w:lineRule="exact"/>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3.发包人和承包人通过招投标形式签订合同的，双方理解并</w:t>
      </w:r>
      <w:r>
        <w:rPr>
          <w:rFonts w:hint="eastAsia" w:ascii="Times New Roman" w:hAnsi="Times New Roman" w:eastAsia="仿宋_GB2312"/>
          <w:bCs/>
          <w:color w:val="000000"/>
          <w:sz w:val="24"/>
          <w:szCs w:val="24"/>
        </w:rPr>
        <w:t>承诺</w:t>
      </w:r>
      <w:r>
        <w:rPr>
          <w:rFonts w:ascii="Times New Roman" w:hAnsi="Times New Roman" w:eastAsia="仿宋_GB2312"/>
          <w:bCs/>
          <w:color w:val="000000"/>
          <w:sz w:val="24"/>
          <w:szCs w:val="24"/>
        </w:rPr>
        <w:t>不再就同一工程另行签订与合同实质性内容相背离的协议。</w:t>
      </w:r>
    </w:p>
    <w:p w14:paraId="4911369A">
      <w:pPr>
        <w:pStyle w:val="3"/>
        <w:spacing w:before="120" w:after="120" w:line="560" w:lineRule="exact"/>
        <w:rPr>
          <w:rFonts w:ascii="Times New Roman" w:hAnsi="Times New Roman"/>
          <w:b w:val="0"/>
          <w:color w:val="000000"/>
          <w:sz w:val="24"/>
          <w:szCs w:val="24"/>
        </w:rPr>
      </w:pPr>
      <w:bookmarkStart w:id="150" w:name="_Toc351203488"/>
      <w:r>
        <w:rPr>
          <w:rFonts w:hint="eastAsia" w:ascii="Times New Roman" w:hAnsi="Times New Roman"/>
          <w:b w:val="0"/>
          <w:color w:val="000000"/>
          <w:sz w:val="24"/>
          <w:szCs w:val="24"/>
        </w:rPr>
        <w:t xml:space="preserve">    </w:t>
      </w:r>
      <w:bookmarkStart w:id="151" w:name="_Toc27148"/>
      <w:bookmarkStart w:id="152" w:name="_Toc17"/>
      <w:bookmarkStart w:id="153" w:name="_Toc20029"/>
      <w:bookmarkStart w:id="154" w:name="_Toc30695"/>
      <w:r>
        <w:rPr>
          <w:rFonts w:ascii="Times New Roman" w:hAnsi="Times New Roman"/>
          <w:b w:val="0"/>
          <w:color w:val="000000"/>
          <w:sz w:val="24"/>
          <w:szCs w:val="24"/>
        </w:rPr>
        <w:t>八、词语含义</w:t>
      </w:r>
      <w:bookmarkEnd w:id="150"/>
      <w:bookmarkEnd w:id="151"/>
      <w:bookmarkEnd w:id="152"/>
      <w:bookmarkEnd w:id="153"/>
      <w:bookmarkEnd w:id="154"/>
    </w:p>
    <w:p w14:paraId="58BC72EF">
      <w:pPr>
        <w:spacing w:line="560" w:lineRule="exact"/>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本协议书中词语含义与第二部分通用合同条款中赋予的含义相同。</w:t>
      </w:r>
    </w:p>
    <w:p w14:paraId="642F816F">
      <w:pPr>
        <w:pStyle w:val="3"/>
        <w:spacing w:before="120" w:after="120" w:line="560" w:lineRule="exact"/>
        <w:rPr>
          <w:rFonts w:ascii="Times New Roman" w:hAnsi="Times New Roman"/>
          <w:bCs w:val="0"/>
          <w:color w:val="000000"/>
          <w:sz w:val="24"/>
          <w:szCs w:val="24"/>
        </w:rPr>
      </w:pPr>
      <w:r>
        <w:rPr>
          <w:rFonts w:ascii="Times New Roman" w:hAnsi="Times New Roman"/>
          <w:bCs w:val="0"/>
          <w:color w:val="000000"/>
          <w:sz w:val="24"/>
          <w:szCs w:val="24"/>
        </w:rPr>
        <w:t xml:space="preserve">  </w:t>
      </w:r>
      <w:r>
        <w:rPr>
          <w:rFonts w:ascii="Times New Roman" w:hAnsi="Times New Roman"/>
          <w:b w:val="0"/>
          <w:color w:val="000000"/>
          <w:sz w:val="24"/>
          <w:szCs w:val="24"/>
        </w:rPr>
        <w:t xml:space="preserve">  </w:t>
      </w:r>
      <w:bookmarkStart w:id="155" w:name="_Toc6026"/>
      <w:bookmarkStart w:id="156" w:name="_Toc30339"/>
      <w:bookmarkStart w:id="157" w:name="_Toc16435"/>
      <w:bookmarkStart w:id="158" w:name="_Toc12174"/>
      <w:bookmarkStart w:id="159" w:name="_Toc351203489"/>
      <w:r>
        <w:rPr>
          <w:rFonts w:ascii="Times New Roman" w:hAnsi="Times New Roman"/>
          <w:b w:val="0"/>
          <w:color w:val="000000"/>
          <w:sz w:val="24"/>
          <w:szCs w:val="24"/>
        </w:rPr>
        <w:t>九、签订时间</w:t>
      </w:r>
      <w:bookmarkEnd w:id="155"/>
      <w:bookmarkEnd w:id="156"/>
      <w:bookmarkEnd w:id="157"/>
      <w:bookmarkEnd w:id="158"/>
      <w:bookmarkEnd w:id="159"/>
    </w:p>
    <w:p w14:paraId="225E4EC3">
      <w:pPr>
        <w:spacing w:line="560" w:lineRule="exact"/>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本合同于</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rPr>
        <w:t xml:space="preserve"> </w:t>
      </w:r>
      <w:r>
        <w:rPr>
          <w:rFonts w:ascii="Times New Roman" w:hAnsi="Times New Roman" w:eastAsia="仿宋_GB2312"/>
          <w:bCs/>
          <w:sz w:val="24"/>
          <w:szCs w:val="24"/>
        </w:rPr>
        <w:t>年</w:t>
      </w:r>
      <w:r>
        <w:rPr>
          <w:rFonts w:hint="eastAsia" w:ascii="Times New Roman" w:hAnsi="Times New Roman" w:eastAsia="仿宋_GB2312"/>
          <w:bCs/>
          <w:sz w:val="24"/>
          <w:szCs w:val="24"/>
          <w:u w:val="single"/>
        </w:rPr>
        <w:t xml:space="preserve"> </w:t>
      </w:r>
      <w:r>
        <w:rPr>
          <w:rFonts w:hint="eastAsia" w:ascii="Times New Roman" w:hAnsi="Times New Roman" w:eastAsia="仿宋_GB2312"/>
          <w:bCs/>
          <w:sz w:val="24"/>
          <w:szCs w:val="24"/>
          <w:u w:val="single"/>
          <w:lang w:val="en-US"/>
        </w:rPr>
        <w:t xml:space="preserve">    </w:t>
      </w:r>
      <w:r>
        <w:rPr>
          <w:rFonts w:ascii="Times New Roman" w:hAnsi="Times New Roman" w:eastAsia="仿宋_GB2312"/>
          <w:bCs/>
          <w:sz w:val="24"/>
          <w:szCs w:val="24"/>
        </w:rPr>
        <w:t>月</w:t>
      </w:r>
      <w:r>
        <w:rPr>
          <w:rFonts w:hint="eastAsia" w:ascii="Times New Roman" w:hAnsi="Times New Roman" w:eastAsia="仿宋_GB2312"/>
          <w:bCs/>
          <w:sz w:val="24"/>
          <w:szCs w:val="24"/>
          <w:u w:val="single"/>
        </w:rPr>
        <w:t xml:space="preserve"> </w:t>
      </w:r>
      <w:r>
        <w:rPr>
          <w:rFonts w:hint="eastAsia" w:ascii="Times New Roman" w:hAnsi="Times New Roman" w:eastAsia="仿宋_GB2312"/>
          <w:bCs/>
          <w:sz w:val="24"/>
          <w:szCs w:val="24"/>
          <w:u w:val="single"/>
          <w:lang w:val="en-US"/>
        </w:rPr>
        <w:t xml:space="preserve">   </w:t>
      </w:r>
      <w:r>
        <w:rPr>
          <w:rFonts w:ascii="Times New Roman" w:hAnsi="Times New Roman" w:eastAsia="仿宋_GB2312"/>
          <w:bCs/>
          <w:sz w:val="24"/>
          <w:szCs w:val="24"/>
        </w:rPr>
        <w:t>日</w:t>
      </w:r>
      <w:r>
        <w:rPr>
          <w:rFonts w:ascii="Times New Roman" w:hAnsi="Times New Roman" w:eastAsia="仿宋_GB2312"/>
          <w:bCs/>
          <w:color w:val="000000"/>
          <w:sz w:val="24"/>
          <w:szCs w:val="24"/>
        </w:rPr>
        <w:t>签订。</w:t>
      </w:r>
    </w:p>
    <w:p w14:paraId="753184A2">
      <w:pPr>
        <w:pStyle w:val="3"/>
        <w:spacing w:before="120" w:after="120" w:line="560" w:lineRule="exact"/>
        <w:rPr>
          <w:rFonts w:ascii="Times New Roman" w:hAnsi="Times New Roman"/>
          <w:bCs w:val="0"/>
          <w:color w:val="000000"/>
          <w:sz w:val="24"/>
          <w:szCs w:val="24"/>
        </w:rPr>
      </w:pPr>
      <w:r>
        <w:rPr>
          <w:rFonts w:ascii="Times New Roman" w:hAnsi="Times New Roman"/>
          <w:bCs w:val="0"/>
          <w:color w:val="000000"/>
          <w:sz w:val="24"/>
          <w:szCs w:val="24"/>
        </w:rPr>
        <w:t xml:space="preserve">    </w:t>
      </w:r>
      <w:bookmarkStart w:id="160" w:name="_Toc14275"/>
      <w:bookmarkStart w:id="161" w:name="_Toc12345"/>
      <w:bookmarkStart w:id="162" w:name="_Toc7583"/>
      <w:bookmarkStart w:id="163" w:name="_Toc351203490"/>
      <w:bookmarkStart w:id="164" w:name="_Toc2019"/>
      <w:r>
        <w:rPr>
          <w:rFonts w:ascii="Times New Roman" w:hAnsi="Times New Roman"/>
          <w:b w:val="0"/>
          <w:color w:val="000000"/>
          <w:sz w:val="24"/>
          <w:szCs w:val="24"/>
        </w:rPr>
        <w:t>十、签订地点</w:t>
      </w:r>
      <w:bookmarkEnd w:id="160"/>
      <w:bookmarkEnd w:id="161"/>
      <w:bookmarkEnd w:id="162"/>
      <w:bookmarkEnd w:id="163"/>
      <w:bookmarkEnd w:id="164"/>
    </w:p>
    <w:p w14:paraId="3E9BFB10">
      <w:pPr>
        <w:spacing w:line="560" w:lineRule="exact"/>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本合同在</w:t>
      </w:r>
      <w:r>
        <w:rPr>
          <w:rFonts w:hint="eastAsia"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lang w:val="en-US"/>
        </w:rPr>
        <w:t xml:space="preserve">    </w:t>
      </w:r>
      <w:r>
        <w:rPr>
          <w:rFonts w:hint="eastAsia" w:ascii="Times New Roman" w:hAnsi="Times New Roman" w:eastAsia="仿宋_GB2312"/>
          <w:bCs/>
          <w:color w:val="000000"/>
          <w:sz w:val="24"/>
          <w:szCs w:val="24"/>
          <w:u w:val="single"/>
        </w:rPr>
        <w:t xml:space="preserve"> </w:t>
      </w:r>
      <w:r>
        <w:rPr>
          <w:rFonts w:ascii="Times New Roman" w:hAnsi="Times New Roman" w:eastAsia="仿宋_GB2312"/>
          <w:bCs/>
          <w:color w:val="000000"/>
          <w:sz w:val="24"/>
          <w:szCs w:val="24"/>
        </w:rPr>
        <w:t>签订。</w:t>
      </w:r>
    </w:p>
    <w:p w14:paraId="12134134">
      <w:pPr>
        <w:pStyle w:val="3"/>
        <w:spacing w:before="120" w:after="120" w:line="560" w:lineRule="exact"/>
        <w:rPr>
          <w:rFonts w:ascii="Times New Roman" w:hAnsi="Times New Roman"/>
          <w:bCs w:val="0"/>
          <w:color w:val="000000"/>
          <w:sz w:val="24"/>
          <w:szCs w:val="24"/>
        </w:rPr>
      </w:pPr>
      <w:r>
        <w:rPr>
          <w:rFonts w:ascii="Times New Roman" w:hAnsi="Times New Roman"/>
          <w:bCs w:val="0"/>
          <w:color w:val="000000"/>
          <w:sz w:val="24"/>
          <w:szCs w:val="24"/>
        </w:rPr>
        <w:t xml:space="preserve">    </w:t>
      </w:r>
      <w:bookmarkStart w:id="165" w:name="_Toc22924"/>
      <w:bookmarkStart w:id="166" w:name="_Toc351203491"/>
      <w:bookmarkStart w:id="167" w:name="_Toc27830"/>
      <w:bookmarkStart w:id="168" w:name="_Toc2819"/>
      <w:bookmarkStart w:id="169" w:name="_Toc13084"/>
      <w:r>
        <w:rPr>
          <w:rFonts w:ascii="Times New Roman" w:hAnsi="Times New Roman"/>
          <w:b w:val="0"/>
          <w:color w:val="000000"/>
          <w:sz w:val="24"/>
          <w:szCs w:val="24"/>
        </w:rPr>
        <w:t>十一、补充协议</w:t>
      </w:r>
      <w:bookmarkEnd w:id="165"/>
      <w:bookmarkEnd w:id="166"/>
      <w:bookmarkEnd w:id="167"/>
      <w:bookmarkEnd w:id="168"/>
      <w:bookmarkEnd w:id="169"/>
    </w:p>
    <w:p w14:paraId="74062A65">
      <w:pPr>
        <w:spacing w:line="560" w:lineRule="exact"/>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合同未尽事宜，合同当事人另行签订补充协议</w:t>
      </w:r>
      <w:r>
        <w:rPr>
          <w:rFonts w:hint="eastAsia" w:ascii="Times New Roman" w:hAnsi="Times New Roman" w:eastAsia="仿宋_GB2312"/>
          <w:bCs/>
          <w:color w:val="000000"/>
          <w:sz w:val="24"/>
          <w:szCs w:val="24"/>
        </w:rPr>
        <w:t>，</w:t>
      </w:r>
      <w:r>
        <w:rPr>
          <w:rFonts w:ascii="Times New Roman" w:hAnsi="Times New Roman" w:eastAsia="仿宋_GB2312"/>
          <w:bCs/>
          <w:color w:val="000000"/>
          <w:sz w:val="24"/>
          <w:szCs w:val="24"/>
        </w:rPr>
        <w:t>补充协议是合同的组成部分。</w:t>
      </w:r>
    </w:p>
    <w:p w14:paraId="6EF29A2A">
      <w:pPr>
        <w:pStyle w:val="3"/>
        <w:spacing w:before="120" w:after="120" w:line="560" w:lineRule="exact"/>
        <w:rPr>
          <w:rFonts w:ascii="Times New Roman" w:hAnsi="Times New Roman"/>
          <w:bCs w:val="0"/>
          <w:color w:val="000000"/>
          <w:sz w:val="24"/>
          <w:szCs w:val="24"/>
        </w:rPr>
      </w:pPr>
      <w:r>
        <w:rPr>
          <w:rFonts w:ascii="Times New Roman" w:hAnsi="Times New Roman"/>
          <w:bCs w:val="0"/>
          <w:color w:val="000000"/>
          <w:sz w:val="24"/>
          <w:szCs w:val="24"/>
        </w:rPr>
        <w:t xml:space="preserve">    </w:t>
      </w:r>
      <w:bookmarkStart w:id="170" w:name="_Toc15663"/>
      <w:bookmarkStart w:id="171" w:name="_Toc29790"/>
      <w:bookmarkStart w:id="172" w:name="_Toc9744"/>
      <w:bookmarkStart w:id="173" w:name="_Toc351203492"/>
      <w:bookmarkStart w:id="174" w:name="_Toc10543"/>
      <w:r>
        <w:rPr>
          <w:rFonts w:ascii="Times New Roman" w:hAnsi="Times New Roman"/>
          <w:b w:val="0"/>
          <w:color w:val="000000"/>
          <w:sz w:val="24"/>
          <w:szCs w:val="24"/>
        </w:rPr>
        <w:t>十二、合同生效</w:t>
      </w:r>
      <w:bookmarkEnd w:id="170"/>
      <w:bookmarkEnd w:id="171"/>
      <w:bookmarkEnd w:id="172"/>
      <w:bookmarkEnd w:id="173"/>
      <w:bookmarkEnd w:id="174"/>
    </w:p>
    <w:p w14:paraId="6B1879C0">
      <w:pPr>
        <w:spacing w:line="560" w:lineRule="exact"/>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本合同自</w:t>
      </w:r>
      <w:r>
        <w:rPr>
          <w:rFonts w:hint="eastAsia" w:ascii="Times New Roman" w:hAnsi="Times New Roman" w:eastAsia="仿宋_GB2312"/>
          <w:bCs/>
          <w:color w:val="000000"/>
          <w:sz w:val="24"/>
          <w:szCs w:val="24"/>
        </w:rPr>
        <w:t>发承包双方签字盖章后</w:t>
      </w:r>
      <w:r>
        <w:rPr>
          <w:rFonts w:ascii="Times New Roman" w:hAnsi="Times New Roman" w:eastAsia="仿宋_GB2312"/>
          <w:bCs/>
          <w:color w:val="000000"/>
          <w:sz w:val="24"/>
          <w:szCs w:val="24"/>
        </w:rPr>
        <w:t>生效。</w:t>
      </w:r>
      <w:bookmarkStart w:id="175" w:name="_Toc351203493"/>
      <w:bookmarkStart w:id="176" w:name="_Toc13372"/>
    </w:p>
    <w:p w14:paraId="248F24AE">
      <w:pPr>
        <w:pStyle w:val="3"/>
        <w:spacing w:before="120" w:after="120" w:line="560" w:lineRule="exact"/>
        <w:rPr>
          <w:rFonts w:ascii="Times New Roman" w:hAnsi="Times New Roman"/>
          <w:bCs w:val="0"/>
          <w:color w:val="000000"/>
          <w:sz w:val="24"/>
          <w:szCs w:val="24"/>
        </w:rPr>
      </w:pPr>
      <w:bookmarkStart w:id="177" w:name="_Toc30728"/>
      <w:bookmarkStart w:id="178" w:name="_Toc2298"/>
      <w:bookmarkStart w:id="179" w:name="_Toc14863"/>
      <w:r>
        <w:rPr>
          <w:rFonts w:ascii="Times New Roman" w:hAnsi="Times New Roman"/>
          <w:b w:val="0"/>
          <w:color w:val="000000"/>
          <w:sz w:val="24"/>
          <w:szCs w:val="24"/>
        </w:rPr>
        <w:t>十三、合同份数</w:t>
      </w:r>
      <w:bookmarkEnd w:id="175"/>
      <w:bookmarkEnd w:id="176"/>
      <w:bookmarkEnd w:id="177"/>
      <w:bookmarkEnd w:id="178"/>
      <w:bookmarkEnd w:id="179"/>
    </w:p>
    <w:p w14:paraId="23535440">
      <w:pPr>
        <w:spacing w:line="560" w:lineRule="exact"/>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本合同一式</w:t>
      </w:r>
      <w:r>
        <w:rPr>
          <w:rFonts w:hint="eastAsia" w:ascii="Times New Roman" w:hAnsi="Times New Roman" w:eastAsia="仿宋_GB2312"/>
          <w:bCs/>
          <w:color w:val="000000"/>
          <w:sz w:val="24"/>
          <w:szCs w:val="24"/>
          <w:lang w:val="en-US"/>
        </w:rPr>
        <w:t>肆</w:t>
      </w:r>
      <w:r>
        <w:rPr>
          <w:rFonts w:ascii="Times New Roman" w:hAnsi="Times New Roman" w:eastAsia="仿宋_GB2312"/>
          <w:bCs/>
          <w:color w:val="000000"/>
          <w:sz w:val="24"/>
          <w:szCs w:val="24"/>
        </w:rPr>
        <w:t>份，均具有同等法律效力，发包人</w:t>
      </w:r>
      <w:r>
        <w:rPr>
          <w:rFonts w:hint="eastAsia" w:ascii="Times New Roman" w:hAnsi="Times New Roman" w:eastAsia="仿宋_GB2312"/>
          <w:bCs/>
          <w:color w:val="000000"/>
          <w:sz w:val="24"/>
          <w:szCs w:val="24"/>
        </w:rPr>
        <w:t>、</w:t>
      </w:r>
      <w:r>
        <w:rPr>
          <w:rFonts w:ascii="Times New Roman" w:hAnsi="Times New Roman" w:eastAsia="仿宋_GB2312"/>
          <w:bCs/>
          <w:color w:val="000000"/>
          <w:sz w:val="24"/>
          <w:szCs w:val="24"/>
        </w:rPr>
        <w:t>承包人</w:t>
      </w:r>
      <w:r>
        <w:rPr>
          <w:rFonts w:hint="eastAsia" w:ascii="Times New Roman" w:hAnsi="Times New Roman" w:eastAsia="仿宋_GB2312"/>
          <w:bCs/>
          <w:color w:val="000000"/>
          <w:sz w:val="24"/>
          <w:szCs w:val="24"/>
        </w:rPr>
        <w:t>、</w:t>
      </w:r>
      <w:r>
        <w:rPr>
          <w:rFonts w:ascii="Times New Roman" w:hAnsi="Times New Roman" w:eastAsia="仿宋_GB2312"/>
          <w:bCs/>
          <w:color w:val="000000"/>
          <w:sz w:val="24"/>
          <w:szCs w:val="24"/>
        </w:rPr>
        <w:t>各执</w:t>
      </w:r>
      <w:r>
        <w:rPr>
          <w:rFonts w:hint="eastAsia"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lang w:val="en-US"/>
        </w:rPr>
        <w:t>贰</w:t>
      </w:r>
      <w:r>
        <w:rPr>
          <w:rFonts w:hint="eastAsia" w:ascii="仿宋" w:hAnsi="仿宋" w:eastAsia="仿宋" w:cs="仿宋"/>
          <w:color w:val="000000"/>
          <w:sz w:val="24"/>
          <w:szCs w:val="24"/>
          <w:u w:val="single"/>
        </w:rPr>
        <w:t xml:space="preserve"> </w:t>
      </w:r>
      <w:r>
        <w:rPr>
          <w:rFonts w:ascii="Times New Roman" w:hAnsi="Times New Roman" w:eastAsia="仿宋_GB2312"/>
          <w:bCs/>
          <w:color w:val="000000"/>
          <w:sz w:val="24"/>
          <w:szCs w:val="24"/>
        </w:rPr>
        <w:t>份</w:t>
      </w:r>
      <w:r>
        <w:rPr>
          <w:rFonts w:hint="eastAsia" w:ascii="Times New Roman" w:hAnsi="Times New Roman" w:eastAsia="仿宋_GB2312"/>
          <w:bCs/>
          <w:color w:val="000000"/>
          <w:sz w:val="24"/>
          <w:szCs w:val="24"/>
        </w:rPr>
        <w:t>。</w:t>
      </w:r>
    </w:p>
    <w:tbl>
      <w:tblPr>
        <w:tblStyle w:val="27"/>
        <w:tblpPr w:leftFromText="180" w:rightFromText="180" w:vertAnchor="text" w:horzAnchor="page" w:tblpX="1445" w:tblpY="501"/>
        <w:tblOverlap w:val="never"/>
        <w:tblW w:w="0" w:type="auto"/>
        <w:tblInd w:w="0" w:type="dxa"/>
        <w:tblLayout w:type="fixed"/>
        <w:tblCellMar>
          <w:top w:w="0" w:type="dxa"/>
          <w:left w:w="108" w:type="dxa"/>
          <w:bottom w:w="0" w:type="dxa"/>
          <w:right w:w="108" w:type="dxa"/>
        </w:tblCellMar>
      </w:tblPr>
      <w:tblGrid>
        <w:gridCol w:w="4587"/>
        <w:gridCol w:w="4875"/>
      </w:tblGrid>
      <w:tr w14:paraId="37ABB64E">
        <w:tblPrEx>
          <w:tblCellMar>
            <w:top w:w="0" w:type="dxa"/>
            <w:left w:w="108" w:type="dxa"/>
            <w:bottom w:w="0" w:type="dxa"/>
            <w:right w:w="108" w:type="dxa"/>
          </w:tblCellMar>
        </w:tblPrEx>
        <w:trPr>
          <w:trHeight w:val="870" w:hRule="atLeast"/>
        </w:trPr>
        <w:tc>
          <w:tcPr>
            <w:tcW w:w="4587" w:type="dxa"/>
          </w:tcPr>
          <w:p w14:paraId="2911B52B">
            <w:pPr>
              <w:spacing w:line="56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p>
          <w:p w14:paraId="6D70C680">
            <w:pPr>
              <w:spacing w:line="560" w:lineRule="exact"/>
              <w:rPr>
                <w:rFonts w:ascii="Times New Roman" w:hAnsi="Times New Roman" w:eastAsia="仿宋_GB2312"/>
                <w:color w:val="000000"/>
                <w:sz w:val="24"/>
                <w:szCs w:val="24"/>
              </w:rPr>
            </w:pPr>
          </w:p>
        </w:tc>
        <w:tc>
          <w:tcPr>
            <w:tcW w:w="4875" w:type="dxa"/>
          </w:tcPr>
          <w:p w14:paraId="766C9685">
            <w:pPr>
              <w:spacing w:line="56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承包人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p>
        </w:tc>
      </w:tr>
      <w:tr w14:paraId="02AA8D00">
        <w:tblPrEx>
          <w:tblCellMar>
            <w:top w:w="0" w:type="dxa"/>
            <w:left w:w="108" w:type="dxa"/>
            <w:bottom w:w="0" w:type="dxa"/>
            <w:right w:w="108" w:type="dxa"/>
          </w:tblCellMar>
        </w:tblPrEx>
        <w:trPr>
          <w:trHeight w:val="716" w:hRule="atLeast"/>
        </w:trPr>
        <w:tc>
          <w:tcPr>
            <w:tcW w:w="4587" w:type="dxa"/>
          </w:tcPr>
          <w:p w14:paraId="543FDDD1">
            <w:pPr>
              <w:spacing w:line="56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法定代表人或其委托代理人：</w:t>
            </w:r>
          </w:p>
          <w:p w14:paraId="4BC43825">
            <w:pPr>
              <w:spacing w:line="56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（签字）</w:t>
            </w:r>
          </w:p>
        </w:tc>
        <w:tc>
          <w:tcPr>
            <w:tcW w:w="4875" w:type="dxa"/>
          </w:tcPr>
          <w:p w14:paraId="359964B7">
            <w:pPr>
              <w:spacing w:line="56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法定代表人或其委托代理人：</w:t>
            </w:r>
          </w:p>
          <w:p w14:paraId="19D28ADD">
            <w:pPr>
              <w:spacing w:line="56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（签字）</w:t>
            </w:r>
          </w:p>
        </w:tc>
      </w:tr>
      <w:tr w14:paraId="2E7A5D95">
        <w:tblPrEx>
          <w:tblCellMar>
            <w:top w:w="0" w:type="dxa"/>
            <w:left w:w="108" w:type="dxa"/>
            <w:bottom w:w="0" w:type="dxa"/>
            <w:right w:w="108" w:type="dxa"/>
          </w:tblCellMar>
        </w:tblPrEx>
        <w:trPr>
          <w:trHeight w:val="385" w:hRule="atLeast"/>
        </w:trPr>
        <w:tc>
          <w:tcPr>
            <w:tcW w:w="4587" w:type="dxa"/>
          </w:tcPr>
          <w:p w14:paraId="65C81C46">
            <w:pPr>
              <w:spacing w:line="560" w:lineRule="exact"/>
              <w:rPr>
                <w:rFonts w:ascii="Times New Roman" w:hAnsi="Times New Roman" w:eastAsia="仿宋_GB2312"/>
                <w:color w:val="000000"/>
                <w:sz w:val="24"/>
                <w:szCs w:val="24"/>
              </w:rPr>
            </w:pPr>
            <w:r>
              <w:rPr>
                <w:rFonts w:hint="eastAsia" w:ascii="楷体_GB2312" w:hAnsi="Times New Roman" w:eastAsia="楷体_GB2312"/>
                <w:b/>
                <w:color w:val="0000FF"/>
                <w:sz w:val="24"/>
                <w:szCs w:val="24"/>
              </w:rPr>
              <w:t xml:space="preserve"> </w:t>
            </w:r>
          </w:p>
        </w:tc>
        <w:tc>
          <w:tcPr>
            <w:tcW w:w="4875" w:type="dxa"/>
          </w:tcPr>
          <w:p w14:paraId="27F765F3">
            <w:pPr>
              <w:spacing w:line="560" w:lineRule="exact"/>
              <w:rPr>
                <w:rFonts w:ascii="Times New Roman" w:hAnsi="Times New Roman" w:eastAsia="仿宋_GB2312"/>
                <w:color w:val="000000"/>
                <w:sz w:val="24"/>
                <w:szCs w:val="24"/>
              </w:rPr>
            </w:pPr>
          </w:p>
        </w:tc>
      </w:tr>
      <w:tr w14:paraId="061418B2">
        <w:tblPrEx>
          <w:tblCellMar>
            <w:top w:w="0" w:type="dxa"/>
            <w:left w:w="108" w:type="dxa"/>
            <w:bottom w:w="0" w:type="dxa"/>
            <w:right w:w="108" w:type="dxa"/>
          </w:tblCellMar>
        </w:tblPrEx>
        <w:trPr>
          <w:trHeight w:val="226" w:hRule="atLeast"/>
        </w:trPr>
        <w:tc>
          <w:tcPr>
            <w:tcW w:w="4587" w:type="dxa"/>
            <w:vAlign w:val="center"/>
          </w:tcPr>
          <w:p w14:paraId="5A338F12">
            <w:pPr>
              <w:spacing w:line="56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地址：</w:t>
            </w:r>
            <w:r>
              <w:rPr>
                <w:rFonts w:hint="eastAsia" w:ascii="楷体_GB2312" w:hAnsi="Times New Roman" w:eastAsia="楷体_GB2312"/>
                <w:b/>
                <w:color w:val="0000FF"/>
                <w:sz w:val="24"/>
                <w:szCs w:val="24"/>
              </w:rPr>
              <w:t xml:space="preserve"> </w:t>
            </w:r>
          </w:p>
        </w:tc>
        <w:tc>
          <w:tcPr>
            <w:tcW w:w="4875" w:type="dxa"/>
          </w:tcPr>
          <w:p w14:paraId="706D476B">
            <w:pPr>
              <w:spacing w:line="560" w:lineRule="exact"/>
              <w:rPr>
                <w:rFonts w:ascii="Times New Roman" w:hAnsi="Times New Roman" w:eastAsia="楷体_GB2312"/>
                <w:color w:val="FF0000"/>
                <w:sz w:val="24"/>
                <w:szCs w:val="24"/>
              </w:rPr>
            </w:pPr>
            <w:r>
              <w:rPr>
                <w:rFonts w:ascii="Times New Roman" w:hAnsi="Times New Roman" w:eastAsia="仿宋_GB2312"/>
                <w:color w:val="000000"/>
                <w:sz w:val="24"/>
                <w:szCs w:val="24"/>
              </w:rPr>
              <w:t>地址：</w:t>
            </w:r>
          </w:p>
        </w:tc>
      </w:tr>
      <w:tr w14:paraId="34CA3743">
        <w:tblPrEx>
          <w:tblCellMar>
            <w:top w:w="0" w:type="dxa"/>
            <w:left w:w="108" w:type="dxa"/>
            <w:bottom w:w="0" w:type="dxa"/>
            <w:right w:w="108" w:type="dxa"/>
          </w:tblCellMar>
        </w:tblPrEx>
        <w:trPr>
          <w:trHeight w:val="504" w:hRule="atLeast"/>
        </w:trPr>
        <w:tc>
          <w:tcPr>
            <w:tcW w:w="4587" w:type="dxa"/>
          </w:tcPr>
          <w:p w14:paraId="2D0E524E">
            <w:pPr>
              <w:spacing w:line="56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邮政编码：</w:t>
            </w:r>
            <w:r>
              <w:rPr>
                <w:rFonts w:hint="eastAsia" w:ascii="楷体_GB2312" w:hAnsi="Times New Roman" w:eastAsia="楷体_GB2312"/>
                <w:b/>
                <w:color w:val="0000FF"/>
                <w:sz w:val="24"/>
                <w:szCs w:val="24"/>
              </w:rPr>
              <w:t xml:space="preserve"> </w:t>
            </w:r>
          </w:p>
        </w:tc>
        <w:tc>
          <w:tcPr>
            <w:tcW w:w="4875" w:type="dxa"/>
          </w:tcPr>
          <w:p w14:paraId="21300006">
            <w:pPr>
              <w:spacing w:line="560" w:lineRule="exact"/>
              <w:rPr>
                <w:rFonts w:ascii="Times New Roman" w:hAnsi="Times New Roman" w:eastAsia="楷体_GB2312"/>
                <w:color w:val="FF0000"/>
                <w:sz w:val="24"/>
                <w:szCs w:val="24"/>
              </w:rPr>
            </w:pPr>
            <w:r>
              <w:rPr>
                <w:rFonts w:ascii="Times New Roman" w:hAnsi="Times New Roman" w:eastAsia="仿宋_GB2312"/>
                <w:color w:val="000000"/>
                <w:sz w:val="24"/>
                <w:szCs w:val="24"/>
              </w:rPr>
              <w:t>邮政编码：</w:t>
            </w:r>
          </w:p>
        </w:tc>
      </w:tr>
      <w:tr w14:paraId="22311C48">
        <w:tblPrEx>
          <w:tblCellMar>
            <w:top w:w="0" w:type="dxa"/>
            <w:left w:w="108" w:type="dxa"/>
            <w:bottom w:w="0" w:type="dxa"/>
            <w:right w:w="108" w:type="dxa"/>
          </w:tblCellMar>
        </w:tblPrEx>
        <w:trPr>
          <w:trHeight w:val="444" w:hRule="atLeast"/>
        </w:trPr>
        <w:tc>
          <w:tcPr>
            <w:tcW w:w="4587" w:type="dxa"/>
          </w:tcPr>
          <w:p w14:paraId="661E496E">
            <w:pPr>
              <w:spacing w:line="56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法定代表人：</w:t>
            </w:r>
            <w:r>
              <w:rPr>
                <w:rFonts w:hint="eastAsia" w:ascii="楷体_GB2312" w:hAnsi="Times New Roman" w:eastAsia="楷体_GB2312"/>
                <w:b/>
                <w:color w:val="0000FF"/>
                <w:sz w:val="24"/>
                <w:szCs w:val="24"/>
              </w:rPr>
              <w:t xml:space="preserve"> </w:t>
            </w:r>
          </w:p>
        </w:tc>
        <w:tc>
          <w:tcPr>
            <w:tcW w:w="4875" w:type="dxa"/>
          </w:tcPr>
          <w:p w14:paraId="27F542FC">
            <w:pPr>
              <w:spacing w:line="560" w:lineRule="exact"/>
              <w:rPr>
                <w:rFonts w:ascii="Times New Roman" w:hAnsi="Times New Roman" w:eastAsia="仿宋_GB2312"/>
                <w:color w:val="000000"/>
                <w:sz w:val="24"/>
                <w:szCs w:val="24"/>
                <w:lang w:val="en-US"/>
              </w:rPr>
            </w:pPr>
            <w:r>
              <w:rPr>
                <w:rFonts w:ascii="Times New Roman" w:hAnsi="Times New Roman" w:eastAsia="仿宋_GB2312"/>
                <w:color w:val="000000"/>
                <w:sz w:val="24"/>
                <w:szCs w:val="24"/>
              </w:rPr>
              <w:t>法定代表人：</w:t>
            </w:r>
          </w:p>
        </w:tc>
      </w:tr>
      <w:tr w14:paraId="5B852435">
        <w:tblPrEx>
          <w:tblCellMar>
            <w:top w:w="0" w:type="dxa"/>
            <w:left w:w="108" w:type="dxa"/>
            <w:bottom w:w="0" w:type="dxa"/>
            <w:right w:w="108" w:type="dxa"/>
          </w:tblCellMar>
        </w:tblPrEx>
        <w:trPr>
          <w:trHeight w:val="459" w:hRule="atLeast"/>
        </w:trPr>
        <w:tc>
          <w:tcPr>
            <w:tcW w:w="4587" w:type="dxa"/>
          </w:tcPr>
          <w:p w14:paraId="2AFA24BF">
            <w:pPr>
              <w:spacing w:line="56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委托代理人：</w:t>
            </w:r>
          </w:p>
        </w:tc>
        <w:tc>
          <w:tcPr>
            <w:tcW w:w="4875" w:type="dxa"/>
          </w:tcPr>
          <w:p w14:paraId="5707039A">
            <w:pPr>
              <w:spacing w:line="56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委托代理人：</w:t>
            </w:r>
          </w:p>
        </w:tc>
      </w:tr>
      <w:tr w14:paraId="3911EBF7">
        <w:tblPrEx>
          <w:tblCellMar>
            <w:top w:w="0" w:type="dxa"/>
            <w:left w:w="108" w:type="dxa"/>
            <w:bottom w:w="0" w:type="dxa"/>
            <w:right w:w="108" w:type="dxa"/>
          </w:tblCellMar>
        </w:tblPrEx>
        <w:trPr>
          <w:trHeight w:val="385" w:hRule="atLeast"/>
        </w:trPr>
        <w:tc>
          <w:tcPr>
            <w:tcW w:w="4587" w:type="dxa"/>
          </w:tcPr>
          <w:p w14:paraId="6B225C93">
            <w:pPr>
              <w:spacing w:line="56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电话：</w:t>
            </w:r>
          </w:p>
        </w:tc>
        <w:tc>
          <w:tcPr>
            <w:tcW w:w="4875" w:type="dxa"/>
          </w:tcPr>
          <w:p w14:paraId="24B6A521">
            <w:pPr>
              <w:spacing w:line="560" w:lineRule="exact"/>
              <w:rPr>
                <w:rFonts w:ascii="Times New Roman" w:hAnsi="Times New Roman" w:eastAsia="仿宋_GB2312"/>
                <w:color w:val="000000"/>
                <w:sz w:val="24"/>
                <w:szCs w:val="24"/>
                <w:lang w:val="en-US"/>
              </w:rPr>
            </w:pPr>
            <w:r>
              <w:rPr>
                <w:rFonts w:ascii="Times New Roman" w:hAnsi="Times New Roman" w:eastAsia="仿宋_GB2312"/>
                <w:color w:val="000000"/>
                <w:sz w:val="24"/>
                <w:szCs w:val="24"/>
              </w:rPr>
              <w:t>电话：</w:t>
            </w:r>
          </w:p>
        </w:tc>
      </w:tr>
      <w:tr w14:paraId="30E0BB2B">
        <w:tblPrEx>
          <w:tblCellMar>
            <w:top w:w="0" w:type="dxa"/>
            <w:left w:w="108" w:type="dxa"/>
            <w:bottom w:w="0" w:type="dxa"/>
            <w:right w:w="108" w:type="dxa"/>
          </w:tblCellMar>
        </w:tblPrEx>
        <w:trPr>
          <w:trHeight w:val="700" w:hRule="atLeast"/>
        </w:trPr>
        <w:tc>
          <w:tcPr>
            <w:tcW w:w="4587" w:type="dxa"/>
          </w:tcPr>
          <w:p w14:paraId="1846E0D0">
            <w:pPr>
              <w:spacing w:line="56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开户银行：</w:t>
            </w:r>
          </w:p>
        </w:tc>
        <w:tc>
          <w:tcPr>
            <w:tcW w:w="4875" w:type="dxa"/>
          </w:tcPr>
          <w:p w14:paraId="1762D6F7">
            <w:pPr>
              <w:spacing w:line="560" w:lineRule="exact"/>
              <w:rPr>
                <w:rFonts w:ascii="Times New Roman" w:hAnsi="Times New Roman" w:eastAsia="仿宋_GB2312"/>
                <w:color w:val="000000"/>
                <w:sz w:val="24"/>
                <w:szCs w:val="24"/>
                <w:lang w:val="en-US"/>
              </w:rPr>
            </w:pPr>
            <w:r>
              <w:rPr>
                <w:rFonts w:ascii="Times New Roman" w:hAnsi="Times New Roman" w:eastAsia="仿宋_GB2312"/>
                <w:color w:val="000000"/>
                <w:sz w:val="24"/>
                <w:szCs w:val="24"/>
              </w:rPr>
              <w:t>开户银行：</w:t>
            </w:r>
          </w:p>
        </w:tc>
      </w:tr>
      <w:tr w14:paraId="6B5F9ADA">
        <w:tblPrEx>
          <w:tblCellMar>
            <w:top w:w="0" w:type="dxa"/>
            <w:left w:w="108" w:type="dxa"/>
            <w:bottom w:w="0" w:type="dxa"/>
            <w:right w:w="108" w:type="dxa"/>
          </w:tblCellMar>
        </w:tblPrEx>
        <w:trPr>
          <w:trHeight w:val="624" w:hRule="atLeast"/>
        </w:trPr>
        <w:tc>
          <w:tcPr>
            <w:tcW w:w="4587" w:type="dxa"/>
          </w:tcPr>
          <w:p w14:paraId="16A77D52">
            <w:pPr>
              <w:spacing w:line="56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账  号：</w:t>
            </w:r>
          </w:p>
        </w:tc>
        <w:tc>
          <w:tcPr>
            <w:tcW w:w="4875" w:type="dxa"/>
          </w:tcPr>
          <w:p w14:paraId="7C234DA8">
            <w:pPr>
              <w:spacing w:line="560" w:lineRule="exact"/>
              <w:rPr>
                <w:rFonts w:ascii="Times New Roman" w:hAnsi="Times New Roman" w:eastAsia="仿宋_GB2312"/>
                <w:color w:val="000000"/>
                <w:sz w:val="24"/>
                <w:szCs w:val="24"/>
                <w:lang w:val="en-US"/>
              </w:rPr>
            </w:pPr>
            <w:r>
              <w:rPr>
                <w:rFonts w:ascii="Times New Roman" w:hAnsi="Times New Roman" w:eastAsia="仿宋_GB2312"/>
                <w:color w:val="000000"/>
                <w:sz w:val="24"/>
                <w:szCs w:val="24"/>
              </w:rPr>
              <w:t>账</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 xml:space="preserve"> 号：</w:t>
            </w:r>
          </w:p>
        </w:tc>
      </w:tr>
    </w:tbl>
    <w:p w14:paraId="61E689BA">
      <w:pPr>
        <w:pStyle w:val="2"/>
        <w:jc w:val="center"/>
        <w:rPr>
          <w:rFonts w:ascii="黑体" w:hAnsi="华文中宋" w:eastAsia="黑体"/>
          <w:sz w:val="24"/>
          <w:szCs w:val="24"/>
        </w:rPr>
      </w:pPr>
      <w:bookmarkStart w:id="180" w:name="_Toc351203494"/>
      <w:bookmarkStart w:id="181" w:name="_Toc28888"/>
      <w:bookmarkStart w:id="182" w:name="_Toc980"/>
      <w:bookmarkStart w:id="183" w:name="_Toc8207"/>
      <w:bookmarkStart w:id="184" w:name="_Toc20182"/>
    </w:p>
    <w:p w14:paraId="195E4949">
      <w:pPr>
        <w:pStyle w:val="2"/>
        <w:jc w:val="center"/>
        <w:rPr>
          <w:rFonts w:ascii="黑体" w:hAnsi="华文中宋" w:eastAsia="黑体"/>
          <w:sz w:val="24"/>
          <w:szCs w:val="24"/>
        </w:rPr>
      </w:pPr>
    </w:p>
    <w:p w14:paraId="18967525">
      <w:pPr>
        <w:pStyle w:val="2"/>
        <w:jc w:val="center"/>
        <w:rPr>
          <w:rFonts w:ascii="黑体" w:hAnsi="华文中宋" w:eastAsia="黑体"/>
          <w:sz w:val="24"/>
          <w:szCs w:val="24"/>
        </w:rPr>
      </w:pPr>
    </w:p>
    <w:p w14:paraId="5E33710A">
      <w:pPr>
        <w:pStyle w:val="2"/>
        <w:jc w:val="center"/>
        <w:rPr>
          <w:rFonts w:ascii="黑体" w:hAnsi="华文中宋" w:eastAsia="黑体"/>
          <w:sz w:val="24"/>
          <w:szCs w:val="24"/>
        </w:rPr>
      </w:pPr>
    </w:p>
    <w:p w14:paraId="644ADA32">
      <w:pPr>
        <w:pStyle w:val="2"/>
        <w:jc w:val="both"/>
        <w:rPr>
          <w:rFonts w:ascii="黑体" w:hAnsi="华文中宋" w:eastAsia="黑体"/>
          <w:sz w:val="24"/>
          <w:szCs w:val="24"/>
        </w:rPr>
      </w:pPr>
    </w:p>
    <w:p w14:paraId="52323091">
      <w:pPr>
        <w:rPr>
          <w:rFonts w:ascii="黑体" w:hAnsi="华文中宋" w:eastAsia="黑体"/>
          <w:sz w:val="24"/>
          <w:szCs w:val="24"/>
        </w:rPr>
      </w:pPr>
    </w:p>
    <w:p w14:paraId="461891B2">
      <w:pPr>
        <w:rPr>
          <w:rFonts w:ascii="黑体" w:hAnsi="华文中宋" w:eastAsia="黑体"/>
          <w:sz w:val="24"/>
          <w:szCs w:val="24"/>
        </w:rPr>
      </w:pPr>
    </w:p>
    <w:p w14:paraId="5620A581">
      <w:pPr>
        <w:rPr>
          <w:rFonts w:ascii="黑体" w:hAnsi="华文中宋" w:eastAsia="黑体"/>
          <w:sz w:val="24"/>
          <w:szCs w:val="24"/>
        </w:rPr>
      </w:pPr>
    </w:p>
    <w:p w14:paraId="4DEEA707">
      <w:pPr>
        <w:rPr>
          <w:rFonts w:ascii="黑体" w:hAnsi="华文中宋" w:eastAsia="黑体"/>
          <w:sz w:val="24"/>
          <w:szCs w:val="24"/>
        </w:rPr>
      </w:pPr>
    </w:p>
    <w:p w14:paraId="35B1302E">
      <w:pPr>
        <w:rPr>
          <w:rFonts w:ascii="黑体" w:hAnsi="华文中宋" w:eastAsia="黑体"/>
          <w:sz w:val="24"/>
          <w:szCs w:val="24"/>
        </w:rPr>
      </w:pPr>
    </w:p>
    <w:p w14:paraId="0B35D57C">
      <w:pPr>
        <w:pStyle w:val="2"/>
        <w:jc w:val="center"/>
        <w:rPr>
          <w:rFonts w:ascii="黑体" w:hAnsi="华文中宋" w:eastAsia="黑体"/>
          <w:sz w:val="24"/>
          <w:szCs w:val="24"/>
        </w:rPr>
      </w:pPr>
    </w:p>
    <w:p w14:paraId="052280E0">
      <w:pPr>
        <w:pStyle w:val="2"/>
        <w:jc w:val="center"/>
        <w:rPr>
          <w:rFonts w:ascii="黑体" w:hAnsi="华文中宋" w:eastAsia="黑体"/>
          <w:sz w:val="24"/>
          <w:szCs w:val="24"/>
        </w:rPr>
      </w:pPr>
    </w:p>
    <w:p w14:paraId="60ACC1EF">
      <w:pPr>
        <w:pStyle w:val="2"/>
        <w:jc w:val="center"/>
        <w:rPr>
          <w:rFonts w:ascii="黑体" w:hAnsi="华文中宋" w:eastAsia="黑体"/>
          <w:sz w:val="24"/>
          <w:szCs w:val="24"/>
        </w:rPr>
      </w:pPr>
    </w:p>
    <w:p w14:paraId="0DEDD0FA">
      <w:pPr>
        <w:pStyle w:val="2"/>
        <w:jc w:val="center"/>
        <w:rPr>
          <w:rFonts w:ascii="黑体" w:hAnsi="华文中宋" w:eastAsia="黑体"/>
          <w:sz w:val="24"/>
          <w:szCs w:val="24"/>
        </w:rPr>
      </w:pPr>
    </w:p>
    <w:p w14:paraId="1A0A724B">
      <w:pPr>
        <w:pStyle w:val="2"/>
        <w:jc w:val="center"/>
        <w:rPr>
          <w:rFonts w:ascii="黑体" w:hAnsi="华文中宋" w:eastAsia="黑体"/>
          <w:sz w:val="24"/>
          <w:szCs w:val="24"/>
        </w:rPr>
      </w:pPr>
    </w:p>
    <w:p w14:paraId="21C05949">
      <w:pPr>
        <w:pStyle w:val="2"/>
        <w:jc w:val="center"/>
        <w:rPr>
          <w:rFonts w:ascii="黑体" w:hAnsi="华文中宋" w:eastAsia="黑体"/>
          <w:sz w:val="24"/>
          <w:szCs w:val="24"/>
        </w:rPr>
      </w:pPr>
    </w:p>
    <w:p w14:paraId="2E8B3F49">
      <w:pPr>
        <w:pStyle w:val="2"/>
        <w:jc w:val="center"/>
        <w:rPr>
          <w:rFonts w:ascii="黑体" w:hAnsi="华文中宋" w:eastAsia="黑体"/>
          <w:sz w:val="24"/>
          <w:szCs w:val="24"/>
        </w:rPr>
      </w:pPr>
    </w:p>
    <w:p w14:paraId="63FDF426">
      <w:pPr>
        <w:pStyle w:val="2"/>
        <w:jc w:val="center"/>
        <w:rPr>
          <w:rFonts w:ascii="黑体" w:hAnsi="华文中宋" w:eastAsia="黑体"/>
          <w:sz w:val="24"/>
          <w:szCs w:val="24"/>
        </w:rPr>
      </w:pPr>
    </w:p>
    <w:p w14:paraId="4BF72EEA">
      <w:pPr>
        <w:pStyle w:val="2"/>
        <w:jc w:val="center"/>
        <w:rPr>
          <w:rFonts w:ascii="黑体" w:hAnsi="华文中宋" w:eastAsia="黑体"/>
          <w:sz w:val="24"/>
          <w:szCs w:val="24"/>
        </w:rPr>
      </w:pPr>
      <w:r>
        <w:rPr>
          <w:rFonts w:ascii="黑体" w:hAnsi="华文中宋" w:eastAsia="黑体"/>
          <w:sz w:val="24"/>
          <w:szCs w:val="24"/>
        </w:rPr>
        <w:t xml:space="preserve">第二部分 </w:t>
      </w:r>
      <w:r>
        <w:rPr>
          <w:rFonts w:hint="eastAsia" w:ascii="黑体" w:hAnsi="华文中宋" w:eastAsia="黑体"/>
          <w:sz w:val="24"/>
          <w:szCs w:val="24"/>
        </w:rPr>
        <w:t>通用合同条款</w:t>
      </w:r>
      <w:bookmarkEnd w:id="180"/>
      <w:bookmarkStart w:id="185" w:name="_Toc337558727"/>
      <w:r>
        <w:rPr>
          <w:rFonts w:hint="eastAsia" w:ascii="黑体" w:hAnsi="华文中宋" w:eastAsia="黑体"/>
          <w:sz w:val="24"/>
          <w:szCs w:val="24"/>
        </w:rPr>
        <w:t>（另附）</w:t>
      </w:r>
      <w:bookmarkEnd w:id="181"/>
      <w:bookmarkEnd w:id="182"/>
      <w:bookmarkEnd w:id="183"/>
      <w:bookmarkEnd w:id="184"/>
      <w:bookmarkEnd w:id="185"/>
      <w:bookmarkStart w:id="186" w:name="_Toc351203632"/>
    </w:p>
    <w:p w14:paraId="7754CBF6">
      <w:pPr>
        <w:pStyle w:val="2"/>
        <w:jc w:val="center"/>
        <w:rPr>
          <w:rFonts w:ascii="华文中宋" w:hAnsi="华文中宋" w:eastAsia="华文中宋"/>
          <w:sz w:val="24"/>
          <w:szCs w:val="24"/>
        </w:rPr>
      </w:pPr>
      <w:bookmarkStart w:id="187" w:name="_Toc16368"/>
      <w:bookmarkStart w:id="188" w:name="_Toc18042"/>
      <w:bookmarkStart w:id="189" w:name="_Toc28741"/>
      <w:bookmarkStart w:id="190" w:name="_Toc4040"/>
    </w:p>
    <w:p w14:paraId="6A154366">
      <w:pPr>
        <w:pStyle w:val="2"/>
        <w:jc w:val="center"/>
        <w:rPr>
          <w:rFonts w:ascii="华文中宋" w:hAnsi="华文中宋" w:eastAsia="华文中宋"/>
          <w:sz w:val="24"/>
          <w:szCs w:val="24"/>
        </w:rPr>
      </w:pPr>
    </w:p>
    <w:p w14:paraId="11FDB0E0">
      <w:pPr>
        <w:pStyle w:val="2"/>
        <w:jc w:val="center"/>
        <w:rPr>
          <w:rFonts w:ascii="Times New Roman" w:hAnsi="Times New Roman" w:eastAsia="黑体"/>
          <w:bCs w:val="0"/>
          <w:color w:val="000000"/>
          <w:sz w:val="24"/>
          <w:szCs w:val="24"/>
        </w:rPr>
      </w:pPr>
      <w:r>
        <w:rPr>
          <w:rFonts w:ascii="华文中宋" w:hAnsi="华文中宋" w:eastAsia="华文中宋"/>
          <w:sz w:val="24"/>
          <w:szCs w:val="24"/>
        </w:rPr>
        <w:t xml:space="preserve">第三部分 </w:t>
      </w:r>
      <w:r>
        <w:rPr>
          <w:rFonts w:hint="eastAsia" w:ascii="黑体" w:hAnsi="华文中宋" w:eastAsia="黑体"/>
          <w:sz w:val="24"/>
          <w:szCs w:val="24"/>
        </w:rPr>
        <w:t>专用合同条款</w:t>
      </w:r>
      <w:bookmarkEnd w:id="186"/>
      <w:bookmarkEnd w:id="187"/>
      <w:bookmarkEnd w:id="188"/>
      <w:bookmarkEnd w:id="189"/>
      <w:bookmarkEnd w:id="190"/>
    </w:p>
    <w:p w14:paraId="19CB88AA">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191" w:name="_Toc292559866"/>
      <w:bookmarkStart w:id="192" w:name="_Toc351203633"/>
      <w:bookmarkStart w:id="193" w:name="_Toc296891196"/>
      <w:bookmarkStart w:id="194" w:name="_Toc296503156"/>
      <w:bookmarkStart w:id="195" w:name="_Toc296347155"/>
      <w:bookmarkStart w:id="196" w:name="_Toc22820"/>
      <w:bookmarkStart w:id="197" w:name="_Toc296890984"/>
      <w:bookmarkStart w:id="198" w:name="_Toc297120456"/>
      <w:bookmarkStart w:id="199" w:name="_Toc297048342"/>
      <w:bookmarkStart w:id="200" w:name="_Toc296944495"/>
      <w:bookmarkStart w:id="201" w:name="_Toc296346657"/>
      <w:bookmarkStart w:id="202" w:name="_Toc1121"/>
      <w:bookmarkStart w:id="203" w:name="_Toc292559361"/>
      <w:r>
        <w:rPr>
          <w:rFonts w:hint="eastAsia" w:ascii="Times New Roman" w:hAnsi="Times New Roman"/>
          <w:bCs w:val="0"/>
          <w:color w:val="000000"/>
          <w:sz w:val="24"/>
          <w:szCs w:val="24"/>
          <w:lang w:val="en-US"/>
        </w:rPr>
        <w:t>1</w:t>
      </w:r>
      <w:bookmarkStart w:id="204" w:name="_Toc27880"/>
      <w:bookmarkStart w:id="205" w:name="_Toc5945"/>
      <w:r>
        <w:rPr>
          <w:rFonts w:hint="eastAsia" w:ascii="Times New Roman" w:hAnsi="Times New Roman"/>
          <w:bCs w:val="0"/>
          <w:color w:val="000000"/>
          <w:sz w:val="24"/>
          <w:szCs w:val="24"/>
          <w:lang w:val="en-US"/>
        </w:rPr>
        <w:t>.</w:t>
      </w:r>
      <w:r>
        <w:rPr>
          <w:rFonts w:ascii="Times New Roman" w:hAnsi="Times New Roman"/>
          <w:bCs w:val="0"/>
          <w:color w:val="000000"/>
          <w:sz w:val="24"/>
          <w:szCs w:val="24"/>
        </w:rPr>
        <w:t>一般约定</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47405CD5">
      <w:pPr>
        <w:pStyle w:val="5"/>
        <w:spacing w:line="540" w:lineRule="exact"/>
        <w:rPr>
          <w:rFonts w:ascii="Times New Roman" w:hAnsi="Times New Roman" w:eastAsia="黑体"/>
          <w:color w:val="000000"/>
        </w:rPr>
      </w:pPr>
      <w:r>
        <w:rPr>
          <w:rFonts w:hint="eastAsia" w:ascii="Times New Roman" w:hAnsi="Times New Roman" w:eastAsia="黑体"/>
          <w:color w:val="000000"/>
        </w:rPr>
        <w:t xml:space="preserve">    </w:t>
      </w:r>
      <w:r>
        <w:rPr>
          <w:rFonts w:ascii="Times New Roman" w:hAnsi="Times New Roman" w:eastAsia="黑体"/>
          <w:color w:val="000000"/>
        </w:rPr>
        <w:t>1.1 词语定义</w:t>
      </w:r>
    </w:p>
    <w:p w14:paraId="63F4A709">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1.1.1合同</w:t>
      </w:r>
    </w:p>
    <w:p w14:paraId="09EE7645">
      <w:pPr>
        <w:spacing w:line="540" w:lineRule="exact"/>
        <w:ind w:firstLine="480" w:firstLineChars="200"/>
        <w:rPr>
          <w:rFonts w:ascii="Times New Roman" w:hAnsi="Times New Roman" w:eastAsia="仿宋_GB2312"/>
          <w:bCs/>
          <w:color w:val="000000"/>
          <w:sz w:val="24"/>
          <w:szCs w:val="24"/>
          <w:u w:val="single"/>
        </w:rPr>
      </w:pPr>
      <w:r>
        <w:rPr>
          <w:rFonts w:ascii="Times New Roman" w:hAnsi="Times New Roman" w:eastAsia="仿宋_GB2312"/>
          <w:color w:val="000000"/>
          <w:sz w:val="24"/>
          <w:szCs w:val="24"/>
        </w:rPr>
        <w:t>1.1.1.10其他合同文件包括：</w:t>
      </w:r>
      <w:r>
        <w:rPr>
          <w:rFonts w:hint="eastAsia" w:ascii="楷体_GB2312" w:hAnsi="Times New Roman" w:eastAsia="楷体_GB2312"/>
          <w:color w:val="0000FF"/>
          <w:sz w:val="24"/>
          <w:szCs w:val="24"/>
          <w:u w:val="single"/>
          <w:lang w:val="en-US"/>
        </w:rPr>
        <w:t xml:space="preserve"> </w:t>
      </w:r>
      <w:r>
        <w:rPr>
          <w:rFonts w:hint="eastAsia" w:ascii="Times New Roman" w:hAnsi="Times New Roman" w:eastAsia="仿宋_GB2312"/>
          <w:bCs/>
          <w:color w:val="000000"/>
          <w:sz w:val="24"/>
          <w:szCs w:val="24"/>
          <w:u w:val="single"/>
        </w:rPr>
        <w:t>合同履行过程中，发承包双方书面确认对合同内容有实质性影响的，</w:t>
      </w:r>
      <w:r>
        <w:rPr>
          <w:rFonts w:hint="eastAsia" w:ascii="Times New Roman" w:hAnsi="Times New Roman" w:eastAsia="仿宋_GB2312"/>
          <w:bCs/>
          <w:color w:val="000000"/>
          <w:sz w:val="24"/>
          <w:szCs w:val="24"/>
          <w:u w:val="single"/>
          <w:lang w:val="en-US"/>
        </w:rPr>
        <w:t>包括</w:t>
      </w:r>
      <w:r>
        <w:rPr>
          <w:rFonts w:hint="eastAsia" w:ascii="Times New Roman" w:hAnsi="Times New Roman" w:eastAsia="仿宋_GB2312"/>
          <w:bCs/>
          <w:color w:val="000000"/>
          <w:sz w:val="24"/>
          <w:szCs w:val="24"/>
          <w:u w:val="single"/>
        </w:rPr>
        <w:t>会议纪要、设计变更、隐检资料或现场签证等</w:t>
      </w:r>
      <w:r>
        <w:rPr>
          <w:rFonts w:hint="eastAsia" w:ascii="Times New Roman" w:hAnsi="Times New Roman" w:eastAsia="仿宋_GB2312"/>
          <w:bCs/>
          <w:color w:val="000000"/>
          <w:sz w:val="24"/>
          <w:szCs w:val="24"/>
        </w:rPr>
        <w:t>。</w:t>
      </w:r>
    </w:p>
    <w:p w14:paraId="2A3E9861">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1.1.2 合同当事人及其他相关方</w:t>
      </w:r>
    </w:p>
    <w:p w14:paraId="45E26E86">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1.1.2.4</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监理人：</w:t>
      </w:r>
      <w:r>
        <w:rPr>
          <w:rFonts w:hint="eastAsia" w:ascii="Times New Roman" w:hAnsi="Times New Roman" w:eastAsia="仿宋_GB2312"/>
          <w:bCs/>
          <w:color w:val="000000"/>
          <w:sz w:val="24"/>
          <w:szCs w:val="24"/>
          <w:u w:val="single"/>
        </w:rPr>
        <w:t>详见监理合同</w:t>
      </w:r>
      <w:r>
        <w:rPr>
          <w:rFonts w:hint="eastAsia" w:ascii="Times New Roman" w:hAnsi="Times New Roman" w:eastAsia="仿宋_GB2312"/>
          <w:color w:val="000000"/>
          <w:sz w:val="24"/>
          <w:szCs w:val="24"/>
        </w:rPr>
        <w:t>。</w:t>
      </w:r>
    </w:p>
    <w:p w14:paraId="6EE60BF4">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1.1.2.5</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设计人：</w:t>
      </w:r>
      <w:r>
        <w:rPr>
          <w:rFonts w:hint="eastAsia" w:ascii="Times New Roman" w:hAnsi="Times New Roman" w:eastAsia="仿宋_GB2312"/>
          <w:bCs/>
          <w:color w:val="000000"/>
          <w:sz w:val="24"/>
          <w:szCs w:val="24"/>
          <w:u w:val="single"/>
        </w:rPr>
        <w:t>详见设计合同</w:t>
      </w:r>
      <w:r>
        <w:rPr>
          <w:rFonts w:hint="eastAsia" w:ascii="Times New Roman" w:hAnsi="Times New Roman" w:eastAsia="仿宋_GB2312"/>
          <w:color w:val="000000"/>
          <w:sz w:val="24"/>
          <w:szCs w:val="24"/>
        </w:rPr>
        <w:t>。</w:t>
      </w:r>
    </w:p>
    <w:p w14:paraId="5CCEF2F9">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1.1.3 工程和设备</w:t>
      </w:r>
    </w:p>
    <w:p w14:paraId="1788FC1D">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1.1.3.7 作为施工现场组成部分的其他场所包括：</w:t>
      </w:r>
      <w:r>
        <w:rPr>
          <w:rFonts w:hint="eastAsia" w:ascii="楷体_GB2312" w:hAnsi="Times New Roman" w:eastAsia="楷体_GB2312"/>
          <w:color w:val="000000"/>
          <w:sz w:val="24"/>
          <w:szCs w:val="24"/>
          <w:u w:val="single"/>
        </w:rPr>
        <w:t xml:space="preserve">  /  </w:t>
      </w:r>
      <w:r>
        <w:rPr>
          <w:rFonts w:ascii="Times New Roman" w:hAnsi="Times New Roman" w:eastAsia="仿宋_GB2312"/>
          <w:color w:val="000000"/>
          <w:sz w:val="24"/>
          <w:szCs w:val="24"/>
        </w:rPr>
        <w:t>。</w:t>
      </w:r>
    </w:p>
    <w:p w14:paraId="25A5D4AD">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1.1.3.9 永久占地包括：</w:t>
      </w:r>
      <w:r>
        <w:rPr>
          <w:rFonts w:hint="eastAsia" w:ascii="Times New Roman" w:hAnsi="Times New Roman" w:eastAsia="仿宋_GB2312"/>
          <w:bCs/>
          <w:color w:val="000000"/>
          <w:sz w:val="24"/>
          <w:szCs w:val="24"/>
          <w:u w:val="single"/>
        </w:rPr>
        <w:t>依据规划要求确定</w:t>
      </w:r>
      <w:r>
        <w:rPr>
          <w:rFonts w:hint="eastAsia" w:ascii="Times New Roman" w:hAnsi="Times New Roman" w:eastAsia="仿宋_GB2312"/>
          <w:bCs/>
          <w:color w:val="000000"/>
          <w:sz w:val="24"/>
          <w:szCs w:val="24"/>
        </w:rPr>
        <w:t>。</w:t>
      </w:r>
    </w:p>
    <w:p w14:paraId="4A988262">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1.1.3.10 临时占地包括：</w:t>
      </w:r>
      <w:r>
        <w:rPr>
          <w:rFonts w:hint="eastAsia" w:ascii="Times New Roman" w:hAnsi="Times New Roman" w:eastAsia="仿宋_GB2312"/>
          <w:bCs/>
          <w:color w:val="000000"/>
          <w:sz w:val="24"/>
          <w:szCs w:val="24"/>
          <w:u w:val="single"/>
        </w:rPr>
        <w:t xml:space="preserve"> 项目办公区、生活区、堆料场、加工区、临时道路等：根据实际情况，由发包人划拨区域、承包人合理配置 。</w:t>
      </w:r>
    </w:p>
    <w:p w14:paraId="56B9E672">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w:t>
      </w:r>
      <w:r>
        <w:rPr>
          <w:rFonts w:hint="eastAsia" w:ascii="Times New Roman" w:hAnsi="Times New Roman" w:eastAsia="黑体"/>
          <w:color w:val="000000"/>
          <w:sz w:val="24"/>
          <w:szCs w:val="24"/>
          <w:lang w:val="en-US"/>
        </w:rPr>
        <w:t>2</w:t>
      </w:r>
      <w:r>
        <w:rPr>
          <w:rFonts w:ascii="Times New Roman" w:hAnsi="Times New Roman" w:eastAsia="黑体"/>
          <w:color w:val="000000"/>
          <w:sz w:val="24"/>
          <w:szCs w:val="24"/>
        </w:rPr>
        <w:t xml:space="preserve">法律 </w:t>
      </w:r>
    </w:p>
    <w:p w14:paraId="264FC676">
      <w:pPr>
        <w:spacing w:line="54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适用于合同的其他规范性文件：</w:t>
      </w:r>
      <w:r>
        <w:rPr>
          <w:rFonts w:hint="eastAsia" w:ascii="楷体_GB2312" w:hAnsi="Times New Roman" w:eastAsia="楷体_GB2312"/>
          <w:color w:val="000000"/>
          <w:sz w:val="24"/>
          <w:szCs w:val="24"/>
          <w:u w:val="single"/>
        </w:rPr>
        <w:t xml:space="preserve">  /  </w:t>
      </w:r>
      <w:r>
        <w:rPr>
          <w:rFonts w:ascii="Times New Roman" w:hAnsi="Times New Roman" w:eastAsia="仿宋_GB2312"/>
          <w:color w:val="000000"/>
          <w:sz w:val="24"/>
          <w:szCs w:val="24"/>
        </w:rPr>
        <w:t>。</w:t>
      </w:r>
    </w:p>
    <w:p w14:paraId="0C2032B0">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w:t>
      </w:r>
      <w:r>
        <w:rPr>
          <w:rFonts w:hint="eastAsia" w:ascii="Times New Roman" w:hAnsi="Times New Roman" w:eastAsia="黑体"/>
          <w:color w:val="000000"/>
          <w:sz w:val="24"/>
          <w:szCs w:val="24"/>
          <w:lang w:val="en-US"/>
        </w:rPr>
        <w:t>3</w:t>
      </w:r>
      <w:r>
        <w:rPr>
          <w:rFonts w:ascii="Times New Roman" w:hAnsi="Times New Roman" w:eastAsia="黑体"/>
          <w:color w:val="000000"/>
          <w:sz w:val="24"/>
          <w:szCs w:val="24"/>
        </w:rPr>
        <w:t xml:space="preserve"> 标准和规范</w:t>
      </w:r>
    </w:p>
    <w:p w14:paraId="620936C3">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rPr>
        <w:t>3</w:t>
      </w:r>
      <w:r>
        <w:rPr>
          <w:rFonts w:ascii="Times New Roman" w:hAnsi="Times New Roman" w:eastAsia="仿宋_GB2312"/>
          <w:color w:val="000000"/>
          <w:sz w:val="24"/>
          <w:szCs w:val="24"/>
        </w:rPr>
        <w:t>.1适用于工程的标准规范包括</w:t>
      </w:r>
      <w:r>
        <w:rPr>
          <w:rFonts w:hint="eastAsia" w:ascii="楷体_GB2312" w:hAnsi="Times New Roman" w:eastAsia="楷体_GB2312"/>
          <w:color w:val="000000"/>
          <w:sz w:val="24"/>
          <w:szCs w:val="24"/>
        </w:rPr>
        <w:t>：</w:t>
      </w:r>
      <w:r>
        <w:rPr>
          <w:rFonts w:hint="eastAsia" w:ascii="Times New Roman" w:hAnsi="Times New Roman" w:eastAsia="仿宋_GB2312"/>
          <w:bCs/>
          <w:color w:val="000000"/>
          <w:sz w:val="24"/>
          <w:szCs w:val="24"/>
          <w:u w:val="single"/>
        </w:rPr>
        <w:t>现行国家、行业及地方性标准规范</w:t>
      </w:r>
      <w:r>
        <w:rPr>
          <w:rFonts w:ascii="Times New Roman" w:hAnsi="Times New Roman" w:eastAsia="仿宋_GB2312"/>
          <w:color w:val="000000"/>
          <w:sz w:val="24"/>
          <w:szCs w:val="24"/>
        </w:rPr>
        <w:t>。</w:t>
      </w:r>
    </w:p>
    <w:p w14:paraId="197919E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rPr>
        <w:t>3</w:t>
      </w:r>
      <w:r>
        <w:rPr>
          <w:rFonts w:ascii="Times New Roman" w:hAnsi="Times New Roman" w:eastAsia="仿宋_GB2312"/>
          <w:color w:val="000000"/>
          <w:sz w:val="24"/>
          <w:szCs w:val="24"/>
        </w:rPr>
        <w:t>.2 发包人提供国外标准、规范的名称：</w:t>
      </w:r>
      <w:r>
        <w:rPr>
          <w:rFonts w:hint="eastAsia" w:ascii="Times New Roman" w:hAnsi="Times New Roman" w:eastAsia="仿宋_GB2312"/>
          <w:bCs/>
          <w:color w:val="000000"/>
          <w:sz w:val="24"/>
          <w:szCs w:val="24"/>
          <w:u w:val="single"/>
        </w:rPr>
        <w:t>不采用</w:t>
      </w:r>
      <w:r>
        <w:rPr>
          <w:rFonts w:ascii="Times New Roman" w:hAnsi="Times New Roman" w:eastAsia="仿宋_GB2312"/>
          <w:color w:val="000000"/>
          <w:sz w:val="24"/>
          <w:szCs w:val="24"/>
        </w:rPr>
        <w:t>；</w:t>
      </w:r>
    </w:p>
    <w:p w14:paraId="48192492">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发包人提供国外标准、规范的份数：</w:t>
      </w:r>
      <w:r>
        <w:rPr>
          <w:rFonts w:hint="eastAsia" w:ascii="楷体_GB2312" w:hAnsi="Times New Roman" w:eastAsia="楷体_GB2312"/>
          <w:color w:val="000000"/>
          <w:sz w:val="24"/>
          <w:szCs w:val="24"/>
          <w:u w:val="single"/>
        </w:rPr>
        <w:t xml:space="preserve">  /  </w:t>
      </w:r>
      <w:r>
        <w:rPr>
          <w:rFonts w:ascii="Times New Roman" w:hAnsi="Times New Roman" w:eastAsia="仿宋_GB2312"/>
          <w:color w:val="000000"/>
          <w:sz w:val="24"/>
          <w:szCs w:val="24"/>
        </w:rPr>
        <w:t>；</w:t>
      </w:r>
    </w:p>
    <w:p w14:paraId="19CD8602">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发包人提供国外标准、规范的名称：</w:t>
      </w:r>
      <w:r>
        <w:rPr>
          <w:rFonts w:hint="eastAsia" w:ascii="楷体_GB2312" w:hAnsi="Times New Roman" w:eastAsia="楷体_GB2312"/>
          <w:color w:val="000000"/>
          <w:sz w:val="24"/>
          <w:szCs w:val="24"/>
          <w:u w:val="single"/>
        </w:rPr>
        <w:t xml:space="preserve">  /  </w:t>
      </w:r>
      <w:r>
        <w:rPr>
          <w:rFonts w:ascii="Times New Roman" w:hAnsi="Times New Roman" w:eastAsia="仿宋_GB2312"/>
          <w:color w:val="000000"/>
          <w:sz w:val="24"/>
          <w:szCs w:val="24"/>
        </w:rPr>
        <w:t>。</w:t>
      </w:r>
    </w:p>
    <w:p w14:paraId="57138589">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rPr>
        <w:t>3</w:t>
      </w:r>
      <w:r>
        <w:rPr>
          <w:rFonts w:ascii="Times New Roman" w:hAnsi="Times New Roman" w:eastAsia="仿宋_GB2312"/>
          <w:color w:val="000000"/>
          <w:sz w:val="24"/>
          <w:szCs w:val="24"/>
        </w:rPr>
        <w:t>.3发包人对工程的技术标准和功能要求的特殊要求：</w:t>
      </w:r>
      <w:r>
        <w:rPr>
          <w:rFonts w:hint="eastAsia" w:ascii="楷体_GB2312" w:hAnsi="Times New Roman" w:eastAsia="楷体_GB2312"/>
          <w:color w:val="000000"/>
          <w:sz w:val="24"/>
          <w:szCs w:val="24"/>
          <w:u w:val="single"/>
        </w:rPr>
        <w:t xml:space="preserve">  /  </w:t>
      </w:r>
      <w:r>
        <w:rPr>
          <w:rFonts w:ascii="Times New Roman" w:hAnsi="Times New Roman" w:eastAsia="仿宋_GB2312"/>
          <w:color w:val="000000"/>
          <w:sz w:val="24"/>
          <w:szCs w:val="24"/>
        </w:rPr>
        <w:t>。</w:t>
      </w:r>
    </w:p>
    <w:p w14:paraId="2C6F6248">
      <w:pPr>
        <w:spacing w:line="540" w:lineRule="exact"/>
        <w:ind w:firstLine="480" w:firstLineChars="200"/>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sz w:val="24"/>
          <w:szCs w:val="24"/>
        </w:rPr>
        <w:t>1.</w:t>
      </w:r>
      <w:r>
        <w:rPr>
          <w:rFonts w:hint="eastAsia" w:ascii="Times New Roman" w:hAnsi="Times New Roman" w:eastAsia="黑体"/>
          <w:color w:val="000000"/>
          <w:sz w:val="24"/>
          <w:szCs w:val="24"/>
          <w:lang w:val="en-US"/>
        </w:rPr>
        <w:t>4</w:t>
      </w:r>
      <w:r>
        <w:rPr>
          <w:rFonts w:ascii="Times New Roman" w:hAnsi="Times New Roman" w:eastAsia="黑体"/>
          <w:color w:val="000000"/>
          <w:sz w:val="24"/>
          <w:szCs w:val="24"/>
        </w:rPr>
        <w:t xml:space="preserve"> 合同文件</w:t>
      </w:r>
      <w:r>
        <w:rPr>
          <w:rFonts w:ascii="Times New Roman" w:hAnsi="Times New Roman" w:eastAsia="黑体"/>
          <w:color w:val="000000" w:themeColor="text1"/>
          <w:sz w:val="24"/>
          <w:szCs w:val="24"/>
          <w14:textFill>
            <w14:solidFill>
              <w14:schemeClr w14:val="tx1"/>
            </w14:solidFill>
          </w14:textFill>
        </w:rPr>
        <w:t>的</w:t>
      </w:r>
      <w:r>
        <w:rPr>
          <w:rFonts w:hint="eastAsia" w:ascii="Times New Roman" w:hAnsi="Times New Roman" w:eastAsia="黑体"/>
          <w:color w:val="000000" w:themeColor="text1"/>
          <w:sz w:val="24"/>
          <w:szCs w:val="24"/>
          <w:lang w:val="en-US"/>
          <w14:textFill>
            <w14:solidFill>
              <w14:schemeClr w14:val="tx1"/>
            </w14:solidFill>
          </w14:textFill>
        </w:rPr>
        <w:t>组成部分：</w:t>
      </w:r>
    </w:p>
    <w:p w14:paraId="65E9E48E">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themeColor="text1"/>
          <w:sz w:val="24"/>
          <w:szCs w:val="24"/>
          <w14:textFill>
            <w14:solidFill>
              <w14:schemeClr w14:val="tx1"/>
            </w14:solidFill>
          </w14:textFill>
        </w:rPr>
        <w:t>合同文件组成</w:t>
      </w:r>
      <w:r>
        <w:rPr>
          <w:rFonts w:hint="eastAsia" w:ascii="Times New Roman" w:hAnsi="Times New Roman" w:eastAsia="仿宋_GB2312"/>
          <w:color w:val="000000" w:themeColor="text1"/>
          <w:sz w:val="24"/>
          <w:szCs w:val="24"/>
          <w:lang w:val="en-US"/>
          <w14:textFill>
            <w14:solidFill>
              <w14:schemeClr w14:val="tx1"/>
            </w14:solidFill>
          </w14:textFill>
        </w:rPr>
        <w:t>部分</w:t>
      </w:r>
      <w:r>
        <w:rPr>
          <w:rFonts w:ascii="Times New Roman" w:hAnsi="Times New Roman" w:eastAsia="仿宋_GB2312"/>
          <w:color w:val="000000" w:themeColor="text1"/>
          <w:sz w:val="24"/>
          <w:szCs w:val="24"/>
          <w14:textFill>
            <w14:solidFill>
              <w14:schemeClr w14:val="tx1"/>
            </w14:solidFill>
          </w14:textFill>
        </w:rPr>
        <w:t>为</w:t>
      </w:r>
      <w:r>
        <w:rPr>
          <w:rFonts w:ascii="Times New Roman" w:hAnsi="Times New Roman" w:eastAsia="仿宋_GB2312"/>
          <w:color w:val="000000"/>
          <w:sz w:val="24"/>
          <w:szCs w:val="24"/>
        </w:rPr>
        <w:t>：</w:t>
      </w:r>
      <w:r>
        <w:rPr>
          <w:rFonts w:hint="eastAsia" w:ascii="Times New Roman" w:hAnsi="Times New Roman" w:eastAsia="仿宋_GB2312"/>
          <w:bCs/>
          <w:color w:val="000000"/>
          <w:sz w:val="24"/>
          <w:szCs w:val="24"/>
          <w:u w:val="single"/>
        </w:rPr>
        <w:t>①合同协议书；②中标通知书；③投标函及其附录；④专用合同条款及其附件；⑤通用合同条款；⑥技术标准和要求；⑦图纸；⑧已标价工程量清单或预算书；⑨其他合同文件</w:t>
      </w:r>
      <w:r>
        <w:rPr>
          <w:rFonts w:ascii="Times New Roman" w:hAnsi="Times New Roman" w:eastAsia="仿宋_GB2312"/>
          <w:color w:val="000000"/>
          <w:sz w:val="24"/>
          <w:szCs w:val="24"/>
        </w:rPr>
        <w:t>。</w:t>
      </w:r>
    </w:p>
    <w:p w14:paraId="6694A814">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w:t>
      </w:r>
      <w:r>
        <w:rPr>
          <w:rFonts w:hint="eastAsia" w:ascii="Times New Roman" w:hAnsi="Times New Roman" w:eastAsia="黑体"/>
          <w:color w:val="000000"/>
          <w:sz w:val="24"/>
          <w:szCs w:val="24"/>
          <w:lang w:val="en-US"/>
        </w:rPr>
        <w:t>5</w:t>
      </w:r>
      <w:r>
        <w:rPr>
          <w:rFonts w:ascii="Times New Roman" w:hAnsi="Times New Roman" w:eastAsia="黑体"/>
          <w:color w:val="000000"/>
          <w:sz w:val="24"/>
          <w:szCs w:val="24"/>
        </w:rPr>
        <w:t xml:space="preserve"> 图纸和承包人文件</w:t>
      </w:r>
      <w:r>
        <w:rPr>
          <w:rFonts w:ascii="Times New Roman" w:hAnsi="Times New Roman" w:eastAsia="黑体"/>
          <w:color w:val="000000"/>
          <w:sz w:val="24"/>
          <w:szCs w:val="24"/>
        </w:rPr>
        <w:tab/>
      </w:r>
    </w:p>
    <w:p w14:paraId="5503E0C1">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rPr>
        <w:t>.5</w:t>
      </w:r>
      <w:r>
        <w:rPr>
          <w:rFonts w:ascii="Times New Roman" w:hAnsi="Times New Roman" w:eastAsia="仿宋_GB2312"/>
          <w:color w:val="000000"/>
          <w:sz w:val="24"/>
          <w:szCs w:val="24"/>
        </w:rPr>
        <w:t>.1 图纸的提供</w:t>
      </w:r>
    </w:p>
    <w:p w14:paraId="71D81E90">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发包人向承包人提供图纸的期限：</w:t>
      </w:r>
      <w:r>
        <w:rPr>
          <w:rFonts w:hint="eastAsia" w:ascii="Times New Roman" w:hAnsi="Times New Roman" w:eastAsia="仿宋_GB2312"/>
          <w:bCs/>
          <w:color w:val="000000"/>
          <w:sz w:val="24"/>
          <w:szCs w:val="24"/>
          <w:u w:val="single"/>
        </w:rPr>
        <w:t>开工前14天</w:t>
      </w:r>
      <w:r>
        <w:rPr>
          <w:rFonts w:ascii="Times New Roman" w:hAnsi="Times New Roman" w:eastAsia="仿宋_GB2312"/>
          <w:color w:val="000000"/>
          <w:sz w:val="24"/>
          <w:szCs w:val="24"/>
        </w:rPr>
        <w:t>；</w:t>
      </w:r>
    </w:p>
    <w:p w14:paraId="4539879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发包人向承包人提供图纸的数量：</w:t>
      </w:r>
      <w:r>
        <w:rPr>
          <w:rFonts w:hint="eastAsia" w:ascii="Times New Roman" w:hAnsi="Times New Roman" w:eastAsia="仿宋_GB2312"/>
          <w:bCs/>
          <w:color w:val="000000"/>
          <w:sz w:val="24"/>
          <w:szCs w:val="24"/>
          <w:u w:val="single"/>
        </w:rPr>
        <w:t>叁套</w:t>
      </w:r>
      <w:r>
        <w:rPr>
          <w:rFonts w:ascii="Times New Roman" w:hAnsi="Times New Roman" w:eastAsia="仿宋_GB2312"/>
          <w:color w:val="000000"/>
          <w:sz w:val="24"/>
          <w:szCs w:val="24"/>
        </w:rPr>
        <w:t>；</w:t>
      </w:r>
    </w:p>
    <w:p w14:paraId="602595BA">
      <w:pPr>
        <w:spacing w:line="540" w:lineRule="exact"/>
        <w:ind w:firstLine="480" w:firstLineChars="200"/>
        <w:rPr>
          <w:rFonts w:ascii="Times New Roman" w:hAnsi="Times New Roman" w:eastAsia="仿宋_GB2312"/>
          <w:bCs/>
          <w:color w:val="000000" w:themeColor="text1"/>
          <w:sz w:val="24"/>
          <w:szCs w:val="24"/>
          <w:u w:val="single"/>
          <w:lang w:val="en-US"/>
          <w14:textFill>
            <w14:solidFill>
              <w14:schemeClr w14:val="tx1"/>
            </w14:solidFill>
          </w14:textFill>
        </w:rPr>
      </w:pPr>
      <w:r>
        <w:rPr>
          <w:rFonts w:ascii="Times New Roman" w:hAnsi="Times New Roman" w:eastAsia="仿宋_GB2312"/>
          <w:color w:val="000000"/>
          <w:sz w:val="24"/>
          <w:szCs w:val="24"/>
        </w:rPr>
        <w:t>发包人向承包人提供图纸的内容：</w:t>
      </w:r>
      <w:r>
        <w:rPr>
          <w:rFonts w:hint="eastAsia" w:ascii="Times New Roman" w:hAnsi="Times New Roman" w:eastAsia="仿宋_GB2312"/>
          <w:bCs/>
          <w:color w:val="000000" w:themeColor="text1"/>
          <w:sz w:val="24"/>
          <w:szCs w:val="24"/>
          <w:u w:val="single"/>
          <w14:textFill>
            <w14:solidFill>
              <w14:schemeClr w14:val="tx1"/>
            </w14:solidFill>
          </w14:textFill>
        </w:rPr>
        <w:t xml:space="preserve"> </w:t>
      </w:r>
      <w:r>
        <w:rPr>
          <w:rFonts w:hint="eastAsia" w:ascii="Times New Roman" w:hAnsi="Times New Roman" w:eastAsia="仿宋_GB2312"/>
          <w:bCs/>
          <w:color w:val="000000" w:themeColor="text1"/>
          <w:sz w:val="24"/>
          <w:szCs w:val="24"/>
          <w:u w:val="single"/>
          <w:lang w:val="en-US"/>
          <w14:textFill>
            <w14:solidFill>
              <w14:schemeClr w14:val="tx1"/>
            </w14:solidFill>
          </w14:textFill>
        </w:rPr>
        <w:t>工程量清单包含所有内容对应的整套施工图纸。</w:t>
      </w:r>
    </w:p>
    <w:p w14:paraId="5F6C02B9">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rPr>
        <w:t>5</w:t>
      </w: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lang w:val="en-US"/>
        </w:rPr>
        <w:t>2</w:t>
      </w:r>
      <w:r>
        <w:rPr>
          <w:rFonts w:ascii="Times New Roman" w:hAnsi="Times New Roman" w:eastAsia="仿宋_GB2312"/>
          <w:color w:val="000000"/>
          <w:sz w:val="24"/>
          <w:szCs w:val="24"/>
        </w:rPr>
        <w:t xml:space="preserve"> 承包人文件</w:t>
      </w:r>
    </w:p>
    <w:p w14:paraId="6F8504CB">
      <w:pPr>
        <w:spacing w:line="540" w:lineRule="exact"/>
        <w:ind w:left="625" w:leftChars="284"/>
        <w:rPr>
          <w:rFonts w:ascii="Times New Roman" w:hAnsi="Times New Roman" w:eastAsia="仿宋_GB2312"/>
          <w:color w:val="000000"/>
          <w:sz w:val="24"/>
          <w:szCs w:val="24"/>
        </w:rPr>
      </w:pPr>
      <w:r>
        <w:rPr>
          <w:rFonts w:ascii="Times New Roman" w:hAnsi="Times New Roman" w:eastAsia="仿宋_GB2312"/>
          <w:color w:val="000000"/>
          <w:sz w:val="24"/>
          <w:szCs w:val="24"/>
        </w:rPr>
        <w:t>需要由承包人提供的文件，包括：</w:t>
      </w:r>
      <w:r>
        <w:rPr>
          <w:rFonts w:hint="eastAsia" w:ascii="仿宋" w:hAnsi="仿宋" w:eastAsia="仿宋" w:cs="仿宋"/>
          <w:color w:val="000000"/>
          <w:sz w:val="24"/>
          <w:szCs w:val="24"/>
          <w:u w:val="single"/>
        </w:rPr>
        <w:t>投标文件所含全部内容</w:t>
      </w:r>
      <w:r>
        <w:rPr>
          <w:rFonts w:ascii="Times New Roman" w:hAnsi="Times New Roman" w:eastAsia="仿宋_GB2312"/>
          <w:color w:val="000000"/>
          <w:sz w:val="24"/>
          <w:szCs w:val="24"/>
        </w:rPr>
        <w:t>；</w:t>
      </w:r>
    </w:p>
    <w:p w14:paraId="6D1D4724">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承包人提供的文件的期限为：</w:t>
      </w:r>
      <w:r>
        <w:rPr>
          <w:rFonts w:hint="eastAsia" w:ascii="仿宋" w:hAnsi="仿宋" w:eastAsia="仿宋" w:cs="仿宋"/>
          <w:color w:val="000000"/>
          <w:sz w:val="24"/>
          <w:szCs w:val="24"/>
          <w:u w:val="single"/>
        </w:rPr>
        <w:t>开工前7天</w:t>
      </w:r>
      <w:r>
        <w:rPr>
          <w:rFonts w:ascii="Times New Roman" w:hAnsi="Times New Roman" w:eastAsia="仿宋_GB2312"/>
          <w:color w:val="000000"/>
          <w:sz w:val="24"/>
          <w:szCs w:val="24"/>
        </w:rPr>
        <w:t>；</w:t>
      </w:r>
    </w:p>
    <w:p w14:paraId="41C640CC">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承包人提供的文件的数量为：</w:t>
      </w:r>
      <w:r>
        <w:rPr>
          <w:rFonts w:hint="eastAsia" w:ascii="仿宋" w:hAnsi="仿宋" w:eastAsia="仿宋" w:cs="仿宋"/>
          <w:color w:val="000000"/>
          <w:sz w:val="24"/>
          <w:szCs w:val="24"/>
          <w:u w:val="single"/>
        </w:rPr>
        <w:t>壹份</w:t>
      </w:r>
      <w:r>
        <w:rPr>
          <w:rFonts w:ascii="Times New Roman" w:hAnsi="Times New Roman" w:eastAsia="仿宋_GB2312"/>
          <w:color w:val="000000"/>
          <w:sz w:val="24"/>
          <w:szCs w:val="24"/>
        </w:rPr>
        <w:t>；</w:t>
      </w:r>
    </w:p>
    <w:p w14:paraId="3AB65981">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承包人提供的文件的形式为：</w:t>
      </w:r>
      <w:r>
        <w:rPr>
          <w:rFonts w:hint="eastAsia" w:ascii="仿宋" w:hAnsi="仿宋" w:eastAsia="仿宋" w:cs="仿宋"/>
          <w:color w:val="000000"/>
          <w:sz w:val="24"/>
          <w:szCs w:val="24"/>
          <w:u w:val="single"/>
        </w:rPr>
        <w:t>书面形式，当面递交</w:t>
      </w:r>
      <w:r>
        <w:rPr>
          <w:rFonts w:ascii="Times New Roman" w:hAnsi="Times New Roman" w:eastAsia="仿宋_GB2312"/>
          <w:color w:val="000000"/>
          <w:sz w:val="24"/>
          <w:szCs w:val="24"/>
        </w:rPr>
        <w:t>；</w:t>
      </w:r>
    </w:p>
    <w:p w14:paraId="3098F0E0">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审批</w:t>
      </w:r>
      <w:r>
        <w:rPr>
          <w:rFonts w:ascii="Times New Roman" w:hAnsi="Times New Roman" w:eastAsia="仿宋_GB2312"/>
          <w:color w:val="000000"/>
          <w:sz w:val="24"/>
          <w:szCs w:val="24"/>
        </w:rPr>
        <w:t>承包人文件的期限：</w:t>
      </w:r>
      <w:r>
        <w:rPr>
          <w:rFonts w:hint="eastAsia" w:ascii="仿宋" w:hAnsi="仿宋" w:eastAsia="仿宋" w:cs="仿宋"/>
          <w:color w:val="000000"/>
          <w:sz w:val="24"/>
          <w:szCs w:val="24"/>
          <w:u w:val="single"/>
        </w:rPr>
        <w:t>自接受之日7天内</w:t>
      </w:r>
      <w:r>
        <w:rPr>
          <w:rFonts w:ascii="Times New Roman" w:hAnsi="Times New Roman" w:eastAsia="仿宋_GB2312"/>
          <w:color w:val="000000"/>
          <w:sz w:val="24"/>
          <w:szCs w:val="24"/>
        </w:rPr>
        <w:t>。</w:t>
      </w:r>
    </w:p>
    <w:p w14:paraId="7191F8D1">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rPr>
        <w:t>5</w:t>
      </w: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lang w:val="en-US"/>
        </w:rPr>
        <w:t>3</w:t>
      </w:r>
      <w:r>
        <w:rPr>
          <w:rFonts w:ascii="Times New Roman" w:hAnsi="Times New Roman" w:eastAsia="仿宋_GB2312"/>
          <w:color w:val="000000"/>
          <w:sz w:val="24"/>
          <w:szCs w:val="24"/>
        </w:rPr>
        <w:t xml:space="preserve"> 现场图纸准备：</w:t>
      </w:r>
      <w:r>
        <w:rPr>
          <w:rFonts w:hint="eastAsia" w:ascii="仿宋" w:hAnsi="仿宋" w:eastAsia="仿宋" w:cs="仿宋"/>
          <w:color w:val="000000"/>
          <w:sz w:val="24"/>
          <w:szCs w:val="24"/>
          <w:u w:val="single"/>
        </w:rPr>
        <w:t xml:space="preserve"> 现场准备一套完整图纸，供各类检查使用 </w:t>
      </w:r>
      <w:r>
        <w:rPr>
          <w:rFonts w:ascii="Times New Roman" w:hAnsi="Times New Roman" w:eastAsia="仿宋_GB2312"/>
          <w:color w:val="000000"/>
          <w:sz w:val="24"/>
          <w:szCs w:val="24"/>
        </w:rPr>
        <w:t>。</w:t>
      </w:r>
    </w:p>
    <w:p w14:paraId="448D376D">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w:t>
      </w:r>
      <w:r>
        <w:rPr>
          <w:rFonts w:hint="eastAsia" w:ascii="Times New Roman" w:hAnsi="Times New Roman" w:eastAsia="黑体"/>
          <w:color w:val="000000"/>
          <w:sz w:val="24"/>
          <w:szCs w:val="24"/>
          <w:lang w:val="en-US"/>
        </w:rPr>
        <w:t>6</w:t>
      </w:r>
      <w:r>
        <w:rPr>
          <w:rFonts w:ascii="Times New Roman" w:hAnsi="Times New Roman" w:eastAsia="黑体"/>
          <w:color w:val="000000"/>
          <w:sz w:val="24"/>
          <w:szCs w:val="24"/>
        </w:rPr>
        <w:t xml:space="preserve"> 联络</w:t>
      </w:r>
    </w:p>
    <w:p w14:paraId="15E8075B">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rPr>
        <w:t>6</w:t>
      </w:r>
      <w:r>
        <w:rPr>
          <w:rFonts w:ascii="Times New Roman" w:hAnsi="Times New Roman" w:eastAsia="仿宋_GB2312"/>
          <w:color w:val="000000"/>
          <w:sz w:val="24"/>
          <w:szCs w:val="24"/>
        </w:rPr>
        <w:t>.1发包人和承包人应当在</w:t>
      </w:r>
      <w:r>
        <w:rPr>
          <w:rFonts w:hint="eastAsia" w:ascii="楷体_GB2312" w:hAnsi="Times New Roman" w:eastAsia="楷体_GB2312"/>
          <w:color w:val="000000"/>
          <w:sz w:val="24"/>
          <w:szCs w:val="24"/>
          <w:u w:val="single"/>
          <w:lang w:val="en-US"/>
        </w:rPr>
        <w:t xml:space="preserve"> </w:t>
      </w:r>
      <w:r>
        <w:rPr>
          <w:rFonts w:hint="eastAsia" w:ascii="仿宋" w:hAnsi="仿宋" w:eastAsia="仿宋" w:cs="仿宋"/>
          <w:color w:val="000000"/>
          <w:sz w:val="24"/>
          <w:szCs w:val="24"/>
          <w:u w:val="single"/>
        </w:rPr>
        <w:t xml:space="preserve">7 </w:t>
      </w:r>
      <w:r>
        <w:rPr>
          <w:rFonts w:hint="eastAsia" w:ascii="楷体_GB2312" w:hAnsi="Times New Roman" w:eastAsia="楷体_GB2312"/>
          <w:color w:val="000000"/>
          <w:sz w:val="24"/>
          <w:szCs w:val="24"/>
          <w:u w:val="single"/>
        </w:rPr>
        <w:t xml:space="preserve"> </w:t>
      </w:r>
      <w:r>
        <w:rPr>
          <w:rFonts w:ascii="Times New Roman" w:hAnsi="Times New Roman" w:eastAsia="仿宋_GB2312"/>
          <w:color w:val="000000"/>
          <w:sz w:val="24"/>
          <w:szCs w:val="24"/>
        </w:rPr>
        <w:t>天内将与合同有关的通知、批准、证明、证书、指示、指令、要求、请求、同意、意见、确定和决定等书面函件送达对方当事人</w:t>
      </w:r>
      <w:r>
        <w:rPr>
          <w:rFonts w:hint="eastAsia" w:ascii="Times New Roman" w:hAnsi="Times New Roman" w:eastAsia="仿宋_GB2312"/>
          <w:color w:val="000000"/>
          <w:sz w:val="24"/>
          <w:szCs w:val="24"/>
        </w:rPr>
        <w:t>。</w:t>
      </w:r>
    </w:p>
    <w:p w14:paraId="42A9659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rPr>
        <w:t>6</w:t>
      </w:r>
      <w:r>
        <w:rPr>
          <w:rFonts w:ascii="Times New Roman" w:hAnsi="Times New Roman" w:eastAsia="仿宋_GB2312"/>
          <w:color w:val="000000"/>
          <w:sz w:val="24"/>
          <w:szCs w:val="24"/>
        </w:rPr>
        <w:t>.2 发包人接收文件的地点：</w:t>
      </w:r>
      <w:r>
        <w:rPr>
          <w:rFonts w:hint="eastAsia" w:ascii="仿宋" w:hAnsi="仿宋" w:eastAsia="仿宋" w:cs="仿宋"/>
          <w:color w:val="000000"/>
          <w:sz w:val="24"/>
          <w:szCs w:val="24"/>
          <w:u w:val="single"/>
        </w:rPr>
        <w:t>发包人项目部</w:t>
      </w:r>
      <w:r>
        <w:rPr>
          <w:rFonts w:ascii="Times New Roman" w:hAnsi="Times New Roman" w:eastAsia="仿宋_GB2312"/>
          <w:color w:val="000000"/>
          <w:sz w:val="24"/>
          <w:szCs w:val="24"/>
        </w:rPr>
        <w:t>；</w:t>
      </w:r>
    </w:p>
    <w:p w14:paraId="51EC3B9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发包人指定的接收人为：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DF0D1A0">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承包人接收文件的地点：</w:t>
      </w:r>
      <w:r>
        <w:rPr>
          <w:rFonts w:hint="eastAsia" w:ascii="仿宋" w:hAnsi="仿宋" w:eastAsia="仿宋" w:cs="仿宋"/>
          <w:color w:val="000000"/>
          <w:sz w:val="24"/>
          <w:szCs w:val="24"/>
          <w:u w:val="single"/>
        </w:rPr>
        <w:t>承包人项目部</w:t>
      </w:r>
      <w:r>
        <w:rPr>
          <w:rFonts w:ascii="Times New Roman" w:hAnsi="Times New Roman" w:eastAsia="仿宋_GB2312"/>
          <w:color w:val="000000"/>
          <w:sz w:val="24"/>
          <w:szCs w:val="24"/>
        </w:rPr>
        <w:t>；</w:t>
      </w:r>
    </w:p>
    <w:p w14:paraId="03B37FA8">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承包人指定的接收人为：</w:t>
      </w:r>
      <w:r>
        <w:rPr>
          <w:rFonts w:hint="eastAsia" w:ascii="仿宋" w:hAnsi="仿宋" w:eastAsia="仿宋" w:cs="仿宋"/>
          <w:color w:val="000000"/>
          <w:sz w:val="24"/>
          <w:szCs w:val="24"/>
          <w:u w:val="single"/>
        </w:rPr>
        <w:t>本工程项目经理</w:t>
      </w:r>
      <w:r>
        <w:rPr>
          <w:rFonts w:ascii="Times New Roman" w:hAnsi="Times New Roman" w:eastAsia="仿宋_GB2312"/>
          <w:color w:val="000000"/>
          <w:sz w:val="24"/>
          <w:szCs w:val="24"/>
        </w:rPr>
        <w:t>。</w:t>
      </w:r>
    </w:p>
    <w:p w14:paraId="032C09D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监理人接收文件的地点：</w:t>
      </w:r>
      <w:r>
        <w:rPr>
          <w:rFonts w:hint="eastAsia" w:ascii="仿宋" w:hAnsi="仿宋" w:eastAsia="仿宋" w:cs="仿宋"/>
          <w:color w:val="000000"/>
          <w:sz w:val="24"/>
          <w:szCs w:val="24"/>
          <w:u w:val="single"/>
        </w:rPr>
        <w:t>项目部监理人办公室</w:t>
      </w:r>
      <w:r>
        <w:rPr>
          <w:rFonts w:ascii="Times New Roman" w:hAnsi="Times New Roman" w:eastAsia="仿宋_GB2312"/>
          <w:color w:val="000000"/>
          <w:sz w:val="24"/>
          <w:szCs w:val="24"/>
        </w:rPr>
        <w:t>；</w:t>
      </w:r>
    </w:p>
    <w:p w14:paraId="53680C83">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监理人指定的接收人为：</w:t>
      </w:r>
      <w:r>
        <w:rPr>
          <w:rFonts w:hint="eastAsia" w:ascii="仿宋" w:hAnsi="仿宋" w:eastAsia="仿宋" w:cs="仿宋"/>
          <w:color w:val="000000"/>
          <w:sz w:val="24"/>
          <w:szCs w:val="24"/>
          <w:u w:val="single"/>
        </w:rPr>
        <w:t>总监理工程师</w:t>
      </w:r>
      <w:r>
        <w:rPr>
          <w:rFonts w:ascii="Times New Roman" w:hAnsi="Times New Roman" w:eastAsia="仿宋_GB2312"/>
          <w:color w:val="000000"/>
          <w:sz w:val="24"/>
          <w:szCs w:val="24"/>
        </w:rPr>
        <w:t>。</w:t>
      </w:r>
    </w:p>
    <w:p w14:paraId="58A4613D">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w:t>
      </w:r>
      <w:r>
        <w:rPr>
          <w:rFonts w:hint="eastAsia" w:ascii="Times New Roman" w:hAnsi="Times New Roman" w:eastAsia="黑体"/>
          <w:color w:val="000000"/>
          <w:sz w:val="24"/>
          <w:szCs w:val="24"/>
          <w:lang w:val="en-US"/>
        </w:rPr>
        <w:t>7</w:t>
      </w:r>
      <w:r>
        <w:rPr>
          <w:rFonts w:ascii="Times New Roman" w:hAnsi="Times New Roman" w:eastAsia="黑体"/>
          <w:color w:val="000000"/>
          <w:sz w:val="24"/>
          <w:szCs w:val="24"/>
        </w:rPr>
        <w:t xml:space="preserve"> 交通运输</w:t>
      </w:r>
    </w:p>
    <w:p w14:paraId="2E5DDC86">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1</w:t>
      </w:r>
      <w:bookmarkStart w:id="206" w:name="_Toc318581155"/>
      <w:bookmarkStart w:id="207" w:name="_Toc300934943"/>
      <w:bookmarkStart w:id="208" w:name="_Toc312677986"/>
      <w:bookmarkStart w:id="209" w:name="_Toc303539100"/>
      <w:bookmarkStart w:id="210" w:name="_Toc304295521"/>
      <w:r>
        <w:rPr>
          <w:rFonts w:ascii="Times New Roman" w:hAnsi="Times New Roman" w:eastAsia="仿宋_GB2312"/>
          <w:sz w:val="24"/>
          <w:szCs w:val="24"/>
        </w:rPr>
        <w:t>.</w:t>
      </w:r>
      <w:r>
        <w:rPr>
          <w:rFonts w:hint="eastAsia" w:ascii="Times New Roman" w:hAnsi="Times New Roman" w:eastAsia="仿宋_GB2312"/>
          <w:sz w:val="24"/>
          <w:szCs w:val="24"/>
          <w:lang w:val="en-US"/>
        </w:rPr>
        <w:t>7</w:t>
      </w:r>
      <w:r>
        <w:rPr>
          <w:rFonts w:ascii="Times New Roman" w:hAnsi="Times New Roman" w:eastAsia="仿宋_GB2312"/>
          <w:sz w:val="24"/>
          <w:szCs w:val="24"/>
        </w:rPr>
        <w:t>.1 出入现场的权利：</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p>
    <w:bookmarkEnd w:id="206"/>
    <w:bookmarkEnd w:id="207"/>
    <w:bookmarkEnd w:id="208"/>
    <w:bookmarkEnd w:id="209"/>
    <w:bookmarkEnd w:id="210"/>
    <w:p w14:paraId="2C1849DF">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1</w:t>
      </w:r>
      <w:bookmarkStart w:id="211" w:name="_Toc304295522"/>
      <w:bookmarkStart w:id="212" w:name="_Toc300934944"/>
      <w:bookmarkStart w:id="213" w:name="_Toc303539101"/>
      <w:bookmarkStart w:id="214" w:name="_Toc312677987"/>
      <w:bookmarkStart w:id="215" w:name="_Toc318581156"/>
      <w:r>
        <w:rPr>
          <w:rFonts w:ascii="Times New Roman" w:hAnsi="Times New Roman" w:eastAsia="仿宋_GB2312"/>
          <w:sz w:val="24"/>
          <w:szCs w:val="24"/>
        </w:rPr>
        <w:t>.</w:t>
      </w:r>
      <w:r>
        <w:rPr>
          <w:rFonts w:hint="eastAsia" w:ascii="Times New Roman" w:hAnsi="Times New Roman" w:eastAsia="仿宋_GB2312"/>
          <w:sz w:val="24"/>
          <w:szCs w:val="24"/>
          <w:lang w:val="en-US"/>
        </w:rPr>
        <w:t>7</w:t>
      </w:r>
      <w:r>
        <w:rPr>
          <w:rFonts w:ascii="Times New Roman" w:hAnsi="Times New Roman" w:eastAsia="仿宋_GB2312"/>
          <w:sz w:val="24"/>
          <w:szCs w:val="24"/>
        </w:rPr>
        <w:t>.</w:t>
      </w:r>
      <w:r>
        <w:rPr>
          <w:rFonts w:hint="eastAsia" w:ascii="Times New Roman" w:hAnsi="Times New Roman" w:eastAsia="仿宋_GB2312"/>
          <w:sz w:val="24"/>
          <w:szCs w:val="24"/>
          <w:lang w:val="en-US"/>
        </w:rPr>
        <w:t>2</w:t>
      </w:r>
      <w:r>
        <w:rPr>
          <w:rFonts w:ascii="Times New Roman" w:hAnsi="Times New Roman" w:eastAsia="仿宋_GB2312"/>
          <w:sz w:val="24"/>
          <w:szCs w:val="24"/>
        </w:rPr>
        <w:t xml:space="preserve"> 场内交通</w:t>
      </w:r>
    </w:p>
    <w:p w14:paraId="113CA391">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关于场外交通和场内交通的边界的约定：</w:t>
      </w:r>
      <w:r>
        <w:rPr>
          <w:rFonts w:hint="eastAsia" w:ascii="仿宋" w:hAnsi="仿宋" w:eastAsia="仿宋" w:cs="仿宋"/>
          <w:color w:val="000000"/>
          <w:sz w:val="24"/>
          <w:szCs w:val="24"/>
          <w:u w:val="single"/>
        </w:rPr>
        <w:t>项目施工现场大门为界</w:t>
      </w:r>
      <w:r>
        <w:rPr>
          <w:rFonts w:ascii="Times New Roman" w:hAnsi="Times New Roman" w:eastAsia="仿宋_GB2312"/>
          <w:sz w:val="24"/>
          <w:szCs w:val="24"/>
        </w:rPr>
        <w:t>。</w:t>
      </w:r>
    </w:p>
    <w:p w14:paraId="1D86C792">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关于发包人向承包人免费提供满足工程施工需要的场内道路和交通设施的约定：</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bookmarkEnd w:id="211"/>
      <w:bookmarkEnd w:id="212"/>
      <w:bookmarkEnd w:id="213"/>
      <w:bookmarkEnd w:id="214"/>
      <w:bookmarkEnd w:id="215"/>
      <w:bookmarkStart w:id="216" w:name="_Toc318581157"/>
    </w:p>
    <w:p w14:paraId="697FE7D5">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1.</w:t>
      </w:r>
      <w:r>
        <w:rPr>
          <w:rFonts w:hint="eastAsia" w:ascii="Times New Roman" w:hAnsi="Times New Roman" w:eastAsia="仿宋_GB2312"/>
          <w:sz w:val="24"/>
          <w:szCs w:val="24"/>
          <w:lang w:val="en-US"/>
        </w:rPr>
        <w:t>7</w:t>
      </w:r>
      <w:r>
        <w:rPr>
          <w:rFonts w:ascii="Times New Roman" w:hAnsi="Times New Roman" w:eastAsia="仿宋_GB2312"/>
          <w:sz w:val="24"/>
          <w:szCs w:val="24"/>
        </w:rPr>
        <w:t>.</w:t>
      </w:r>
      <w:r>
        <w:rPr>
          <w:rFonts w:hint="eastAsia" w:ascii="Times New Roman" w:hAnsi="Times New Roman" w:eastAsia="仿宋_GB2312"/>
          <w:sz w:val="24"/>
          <w:szCs w:val="24"/>
          <w:lang w:val="en-US"/>
        </w:rPr>
        <w:t>3</w:t>
      </w:r>
      <w:r>
        <w:rPr>
          <w:rFonts w:ascii="Times New Roman" w:hAnsi="Times New Roman" w:eastAsia="仿宋_GB2312"/>
          <w:sz w:val="24"/>
          <w:szCs w:val="24"/>
        </w:rPr>
        <w:t>超大件和超重件的运输</w:t>
      </w:r>
    </w:p>
    <w:p w14:paraId="78E6CD98">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运输超大件或超重件所需的道路和桥梁临时加固改造费用和其他有关费用由</w:t>
      </w:r>
      <w:r>
        <w:rPr>
          <w:rFonts w:hint="eastAsia" w:ascii="仿宋" w:hAnsi="仿宋" w:eastAsia="仿宋" w:cs="仿宋"/>
          <w:color w:val="000000"/>
          <w:sz w:val="24"/>
          <w:szCs w:val="24"/>
          <w:u w:val="single"/>
        </w:rPr>
        <w:t>承包人</w:t>
      </w:r>
      <w:r>
        <w:rPr>
          <w:rFonts w:ascii="Times New Roman" w:hAnsi="Times New Roman" w:eastAsia="仿宋_GB2312"/>
          <w:sz w:val="24"/>
          <w:szCs w:val="24"/>
        </w:rPr>
        <w:t>承担。</w:t>
      </w:r>
    </w:p>
    <w:bookmarkEnd w:id="216"/>
    <w:p w14:paraId="448D4083">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w:t>
      </w:r>
      <w:r>
        <w:rPr>
          <w:rFonts w:hint="eastAsia" w:ascii="Times New Roman" w:hAnsi="Times New Roman" w:eastAsia="黑体"/>
          <w:color w:val="000000"/>
          <w:sz w:val="24"/>
          <w:szCs w:val="24"/>
          <w:lang w:val="en-US"/>
        </w:rPr>
        <w:t>8</w:t>
      </w:r>
      <w:r>
        <w:rPr>
          <w:rFonts w:ascii="Times New Roman" w:hAnsi="Times New Roman" w:eastAsia="黑体"/>
          <w:color w:val="000000"/>
          <w:sz w:val="24"/>
          <w:szCs w:val="24"/>
        </w:rPr>
        <w:t xml:space="preserve"> 知识产权</w:t>
      </w:r>
    </w:p>
    <w:p w14:paraId="062A08A6">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rPr>
        <w:t>8</w:t>
      </w:r>
      <w:r>
        <w:rPr>
          <w:rFonts w:ascii="Times New Roman" w:hAnsi="Times New Roman" w:eastAsia="仿宋_GB2312"/>
          <w:color w:val="000000"/>
          <w:sz w:val="24"/>
          <w:szCs w:val="24"/>
        </w:rPr>
        <w:t>.1关于发包人提供给承包人的图纸、发包人为实施工程自行编制或委托编制的技术规范以及反映发包人关于合同要求或其他类似性质的文件的著作权的归属：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69BAE585">
      <w:pPr>
        <w:spacing w:line="54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关于发包人提供的上述文件的使用限制的要求：</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76A87C4A">
      <w:pPr>
        <w:spacing w:line="540" w:lineRule="exact"/>
        <w:ind w:firstLine="504" w:firstLineChars="210"/>
        <w:rPr>
          <w:rFonts w:ascii="Times New Roman" w:hAnsi="Times New Roman" w:eastAsia="仿宋_GB2312"/>
          <w:color w:val="000000"/>
          <w:sz w:val="24"/>
          <w:szCs w:val="24"/>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rPr>
        <w:t>8</w:t>
      </w:r>
      <w:r>
        <w:rPr>
          <w:rFonts w:ascii="Times New Roman" w:hAnsi="Times New Roman" w:eastAsia="仿宋_GB2312"/>
          <w:color w:val="000000"/>
          <w:sz w:val="24"/>
          <w:szCs w:val="24"/>
        </w:rPr>
        <w:t>.2 关于承包人为实施工程所编制文件的著作权的归属：</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3766E21A">
      <w:pPr>
        <w:spacing w:line="540" w:lineRule="exact"/>
        <w:ind w:firstLine="504" w:firstLineChars="210"/>
        <w:rPr>
          <w:rFonts w:ascii="Times New Roman" w:hAnsi="Times New Roman" w:eastAsia="仿宋_GB2312"/>
          <w:color w:val="000000"/>
          <w:sz w:val="24"/>
          <w:szCs w:val="24"/>
        </w:rPr>
      </w:pPr>
      <w:r>
        <w:rPr>
          <w:rFonts w:ascii="Times New Roman" w:hAnsi="Times New Roman" w:eastAsia="仿宋_GB2312"/>
          <w:color w:val="000000"/>
          <w:sz w:val="24"/>
          <w:szCs w:val="24"/>
        </w:rPr>
        <w:t>关于承包人提供的上述文件的使用限制的要求：</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2A2045C6">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w:t>
      </w:r>
      <w:r>
        <w:rPr>
          <w:rFonts w:hint="eastAsia" w:ascii="Times New Roman" w:hAnsi="Times New Roman" w:eastAsia="仿宋_GB2312"/>
          <w:color w:val="000000"/>
          <w:sz w:val="24"/>
          <w:szCs w:val="24"/>
          <w:lang w:val="en-US"/>
        </w:rPr>
        <w:t>8</w:t>
      </w: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lang w:val="en-US"/>
        </w:rPr>
        <w:t>3</w:t>
      </w:r>
      <w:r>
        <w:rPr>
          <w:rFonts w:ascii="Times New Roman" w:hAnsi="Times New Roman" w:eastAsia="仿宋_GB2312"/>
          <w:color w:val="000000"/>
          <w:sz w:val="24"/>
          <w:szCs w:val="24"/>
        </w:rPr>
        <w:t xml:space="preserve"> 承包人在施工过程中所采用的专利、专有技术、技术秘密的使用费的承担方式</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5FDA2C9C">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w:t>
      </w:r>
      <w:r>
        <w:rPr>
          <w:rFonts w:hint="eastAsia" w:ascii="Times New Roman" w:hAnsi="Times New Roman" w:eastAsia="黑体"/>
          <w:color w:val="000000"/>
          <w:sz w:val="24"/>
          <w:szCs w:val="24"/>
          <w:lang w:val="en-US"/>
        </w:rPr>
        <w:t>9</w:t>
      </w:r>
      <w:r>
        <w:rPr>
          <w:rFonts w:ascii="Times New Roman" w:hAnsi="Times New Roman" w:eastAsia="黑体"/>
          <w:color w:val="000000"/>
          <w:sz w:val="24"/>
          <w:szCs w:val="24"/>
        </w:rPr>
        <w:t>工程量清单错误的修正</w:t>
      </w:r>
    </w:p>
    <w:p w14:paraId="3E6C09CB">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hint="eastAsia" w:ascii="Times New Roman" w:hAnsi="Times New Roman" w:eastAsia="仿宋_GB2312"/>
          <w:color w:val="000000" w:themeColor="text1"/>
          <w:sz w:val="24"/>
          <w:szCs w:val="24"/>
          <w14:textFill>
            <w14:solidFill>
              <w14:schemeClr w14:val="tx1"/>
            </w14:solidFill>
          </w14:textFill>
        </w:rPr>
        <w:t>出现工程量清单错误时，是否调整合同价格：</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楷体_GB2312" w:hAnsi="Times New Roman" w:eastAsia="楷体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w:t>
      </w:r>
    </w:p>
    <w:p w14:paraId="4A36ADC8">
      <w:pPr>
        <w:spacing w:line="540" w:lineRule="exact"/>
        <w:ind w:firstLine="504" w:firstLineChars="210"/>
        <w:rPr>
          <w:rFonts w:ascii="Times New Roman" w:hAnsi="Times New Roman" w:eastAsia="仿宋_GB2312"/>
          <w:b/>
          <w:bCs/>
          <w:color w:val="000000" w:themeColor="text1"/>
          <w:sz w:val="24"/>
          <w:szCs w:val="24"/>
          <w:u w:val="single"/>
          <w:lang w:val="en-US"/>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允许调整合同价格的工程量偏差范围：</w:t>
      </w:r>
      <w:r>
        <w:rPr>
          <w:rFonts w:hint="eastAsia" w:ascii="Times New Roman" w:hAnsi="Times New Roman" w:eastAsia="仿宋_GB2312"/>
          <w:color w:val="000000" w:themeColor="text1"/>
          <w:sz w:val="24"/>
          <w:szCs w:val="24"/>
          <w:u w:val="single"/>
          <w:lang w:val="en-US"/>
          <w14:textFill>
            <w14:solidFill>
              <w14:schemeClr w14:val="tx1"/>
            </w14:solidFill>
          </w14:textFill>
        </w:rPr>
        <w:t xml:space="preserve">   甲乙双方签订合同时具体约定  </w:t>
      </w:r>
    </w:p>
    <w:p w14:paraId="6DDC20DF">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217" w:name="_Toc5005"/>
      <w:bookmarkStart w:id="218" w:name="_Toc351203634"/>
      <w:bookmarkStart w:id="219" w:name="_Toc1170"/>
      <w:bookmarkStart w:id="220" w:name="_Toc12317"/>
      <w:bookmarkStart w:id="221" w:name="_Toc29494"/>
      <w:r>
        <w:rPr>
          <w:rFonts w:ascii="Times New Roman" w:hAnsi="Times New Roman"/>
          <w:bCs w:val="0"/>
          <w:color w:val="000000"/>
          <w:sz w:val="24"/>
          <w:szCs w:val="24"/>
        </w:rPr>
        <w:t>2</w:t>
      </w:r>
      <w:bookmarkStart w:id="222" w:name="_Toc296347156"/>
      <w:bookmarkStart w:id="223" w:name="_Toc297048343"/>
      <w:bookmarkStart w:id="224" w:name="_Toc296503157"/>
      <w:bookmarkStart w:id="225" w:name="_Toc292559867"/>
      <w:bookmarkStart w:id="226" w:name="_Toc292559362"/>
      <w:bookmarkStart w:id="227" w:name="_Toc296891197"/>
      <w:bookmarkStart w:id="228" w:name="_Toc296890985"/>
      <w:bookmarkStart w:id="229" w:name="_Toc297120457"/>
      <w:bookmarkStart w:id="230" w:name="_Toc296944496"/>
      <w:bookmarkStart w:id="231" w:name="_Toc296346658"/>
      <w:r>
        <w:rPr>
          <w:rFonts w:ascii="Times New Roman" w:hAnsi="Times New Roman"/>
          <w:bCs w:val="0"/>
          <w:color w:val="000000"/>
          <w:sz w:val="24"/>
          <w:szCs w:val="24"/>
        </w:rPr>
        <w:t>. 发包人</w:t>
      </w:r>
      <w:bookmarkEnd w:id="217"/>
      <w:bookmarkEnd w:id="218"/>
      <w:bookmarkEnd w:id="219"/>
      <w:bookmarkEnd w:id="220"/>
      <w:bookmarkEnd w:id="221"/>
    </w:p>
    <w:bookmarkEnd w:id="222"/>
    <w:bookmarkEnd w:id="223"/>
    <w:bookmarkEnd w:id="224"/>
    <w:bookmarkEnd w:id="225"/>
    <w:bookmarkEnd w:id="226"/>
    <w:bookmarkEnd w:id="227"/>
    <w:bookmarkEnd w:id="228"/>
    <w:bookmarkEnd w:id="229"/>
    <w:bookmarkEnd w:id="230"/>
    <w:bookmarkEnd w:id="231"/>
    <w:p w14:paraId="3024D7D1">
      <w:pPr>
        <w:spacing w:line="540" w:lineRule="exact"/>
        <w:ind w:firstLine="480" w:firstLineChars="200"/>
        <w:rPr>
          <w:rFonts w:ascii="Times New Roman" w:hAnsi="Times New Roman" w:eastAsia="黑体"/>
          <w:sz w:val="24"/>
          <w:szCs w:val="24"/>
        </w:rPr>
      </w:pPr>
      <w:r>
        <w:rPr>
          <w:rFonts w:ascii="Times New Roman" w:hAnsi="Times New Roman" w:eastAsia="黑体"/>
          <w:sz w:val="24"/>
          <w:szCs w:val="24"/>
        </w:rPr>
        <w:t>2.</w:t>
      </w:r>
      <w:r>
        <w:rPr>
          <w:rFonts w:hint="eastAsia" w:ascii="Times New Roman" w:hAnsi="Times New Roman" w:eastAsia="黑体"/>
          <w:sz w:val="24"/>
          <w:szCs w:val="24"/>
          <w:lang w:val="en-US"/>
        </w:rPr>
        <w:t>1</w:t>
      </w:r>
      <w:r>
        <w:rPr>
          <w:rFonts w:ascii="Times New Roman" w:hAnsi="Times New Roman" w:eastAsia="黑体"/>
          <w:sz w:val="24"/>
          <w:szCs w:val="24"/>
        </w:rPr>
        <w:t xml:space="preserve"> 发包人代表</w:t>
      </w:r>
    </w:p>
    <w:p w14:paraId="2D6067D7">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姓    名：</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身份证号：</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DEC81BB">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职    务：</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联系电话：</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FF"/>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FF"/>
          <w:sz w:val="24"/>
          <w:szCs w:val="24"/>
          <w:u w:val="single"/>
        </w:rPr>
        <w:t xml:space="preserve"> </w:t>
      </w:r>
      <w:r>
        <w:rPr>
          <w:rFonts w:hint="eastAsia" w:ascii="Times New Roman" w:hAnsi="Times New Roman" w:eastAsia="仿宋_GB2312"/>
          <w:color w:val="0000FF"/>
          <w:sz w:val="24"/>
          <w:szCs w:val="24"/>
          <w:u w:val="single"/>
          <w:lang w:val="en-US"/>
        </w:rPr>
        <w:t xml:space="preserve"> </w:t>
      </w:r>
      <w:r>
        <w:rPr>
          <w:rFonts w:ascii="Times New Roman" w:hAnsi="Times New Roman" w:eastAsia="仿宋_GB2312"/>
          <w:color w:val="000000"/>
          <w:sz w:val="24"/>
          <w:szCs w:val="24"/>
        </w:rPr>
        <w:t>；</w:t>
      </w:r>
    </w:p>
    <w:p w14:paraId="037F5308">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电子信箱：</w:t>
      </w:r>
      <w:r>
        <w:rPr>
          <w:rFonts w:hint="eastAsia" w:ascii="楷体_GB2312" w:hAnsi="Times New Roman" w:eastAsia="楷体_GB2312"/>
          <w:color w:val="000000"/>
          <w:sz w:val="24"/>
          <w:szCs w:val="24"/>
          <w:u w:val="single"/>
          <w:lang w:val="en-US"/>
        </w:rPr>
        <w:t xml:space="preserve">  </w:t>
      </w:r>
      <w:r>
        <w:rPr>
          <w:rFonts w:hint="eastAsia" w:ascii="楷体_GB2312" w:hAnsi="Times New Roman" w:eastAsia="楷体_GB2312"/>
          <w:color w:val="000000"/>
          <w:sz w:val="24"/>
          <w:szCs w:val="24"/>
          <w:u w:val="single"/>
        </w:rPr>
        <w:t xml:space="preserve">/  </w:t>
      </w: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通信地址：</w:t>
      </w:r>
      <w:r>
        <w:rPr>
          <w:rFonts w:hint="eastAsia" w:ascii="楷体_GB2312" w:hAnsi="Times New Roman" w:eastAsia="楷体_GB2312"/>
          <w:color w:val="000000"/>
          <w:sz w:val="24"/>
          <w:szCs w:val="24"/>
          <w:u w:val="single"/>
          <w:lang w:val="en-US"/>
        </w:rPr>
        <w:t xml:space="preserve">  </w:t>
      </w:r>
      <w:r>
        <w:rPr>
          <w:rFonts w:hint="eastAsia" w:ascii="楷体_GB2312" w:hAnsi="Times New Roman" w:eastAsia="楷体_GB2312"/>
          <w:color w:val="000000"/>
          <w:sz w:val="24"/>
          <w:szCs w:val="24"/>
          <w:u w:val="single"/>
        </w:rPr>
        <w:t xml:space="preserve">/  </w:t>
      </w:r>
      <w:r>
        <w:rPr>
          <w:rFonts w:ascii="Times New Roman" w:hAnsi="Times New Roman" w:eastAsia="仿宋_GB2312"/>
          <w:color w:val="000000"/>
          <w:sz w:val="24"/>
          <w:szCs w:val="24"/>
        </w:rPr>
        <w:t>。</w:t>
      </w:r>
    </w:p>
    <w:p w14:paraId="1E15C629">
      <w:pPr>
        <w:spacing w:line="540" w:lineRule="exact"/>
        <w:ind w:firstLine="480" w:firstLineChars="200"/>
        <w:rPr>
          <w:rFonts w:ascii="Times New Roman" w:hAnsi="Times New Roman" w:eastAsia="仿宋_GB2312"/>
          <w:b/>
          <w:color w:val="000000"/>
          <w:sz w:val="24"/>
          <w:szCs w:val="24"/>
        </w:rPr>
      </w:pPr>
      <w:r>
        <w:rPr>
          <w:rFonts w:ascii="Times New Roman" w:hAnsi="Times New Roman" w:eastAsia="仿宋_GB2312"/>
          <w:color w:val="000000"/>
          <w:sz w:val="24"/>
          <w:szCs w:val="24"/>
        </w:rPr>
        <w:t>发包人对发包人代表的授权范围如下：</w:t>
      </w:r>
      <w:r>
        <w:rPr>
          <w:rFonts w:hint="eastAsia" w:ascii="仿宋" w:hAnsi="仿宋" w:eastAsia="仿宋" w:cs="仿宋"/>
          <w:color w:val="000000"/>
          <w:sz w:val="24"/>
          <w:szCs w:val="24"/>
          <w:u w:val="single"/>
        </w:rPr>
        <w:t>①协调处理施工现场各方关系，</w:t>
      </w:r>
      <w:r>
        <w:rPr>
          <w:rFonts w:hint="eastAsia" w:ascii="仿宋" w:hAnsi="仿宋" w:eastAsia="仿宋" w:cs="仿宋"/>
          <w:color w:val="000000"/>
          <w:sz w:val="24"/>
          <w:szCs w:val="24"/>
          <w:u w:val="single"/>
          <w:lang w:val="en-US"/>
        </w:rPr>
        <w:t>监督工程施工质量、施工安全、施工进度及文明施工等</w:t>
      </w:r>
      <w:r>
        <w:rPr>
          <w:rFonts w:hint="eastAsia" w:ascii="仿宋" w:hAnsi="仿宋" w:eastAsia="仿宋" w:cs="仿宋"/>
          <w:color w:val="000000"/>
          <w:sz w:val="24"/>
          <w:szCs w:val="24"/>
          <w:u w:val="single"/>
        </w:rPr>
        <w:t>；②对现场监理人员行为进行监督；③对工程变更、隐蔽验收及相关洽商等资料审核签证</w:t>
      </w:r>
      <w:r>
        <w:rPr>
          <w:rFonts w:ascii="Times New Roman" w:hAnsi="Times New Roman" w:eastAsia="仿宋_GB2312"/>
          <w:color w:val="000000"/>
          <w:sz w:val="24"/>
          <w:szCs w:val="24"/>
        </w:rPr>
        <w:t>。</w:t>
      </w:r>
    </w:p>
    <w:p w14:paraId="559BFDE9">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2.</w:t>
      </w:r>
      <w:r>
        <w:rPr>
          <w:rFonts w:hint="eastAsia" w:ascii="Times New Roman" w:hAnsi="Times New Roman" w:eastAsia="黑体"/>
          <w:color w:val="000000"/>
          <w:sz w:val="24"/>
          <w:szCs w:val="24"/>
          <w:lang w:val="en-US"/>
        </w:rPr>
        <w:t>2</w:t>
      </w:r>
      <w:r>
        <w:rPr>
          <w:rFonts w:ascii="Times New Roman" w:hAnsi="Times New Roman" w:eastAsia="黑体"/>
          <w:color w:val="000000"/>
          <w:sz w:val="24"/>
          <w:szCs w:val="24"/>
        </w:rPr>
        <w:t xml:space="preserve"> 施工现场、施工条件和基础资料的提供</w:t>
      </w:r>
    </w:p>
    <w:p w14:paraId="7CB1FE74">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w:t>
      </w:r>
      <w:r>
        <w:rPr>
          <w:rFonts w:hint="eastAsia" w:ascii="Times New Roman" w:hAnsi="Times New Roman" w:eastAsia="仿宋_GB2312"/>
          <w:color w:val="000000"/>
          <w:sz w:val="24"/>
          <w:szCs w:val="24"/>
          <w:lang w:val="en-US"/>
        </w:rPr>
        <w:t>2</w:t>
      </w:r>
      <w:r>
        <w:rPr>
          <w:rFonts w:ascii="Times New Roman" w:hAnsi="Times New Roman" w:eastAsia="仿宋_GB2312"/>
          <w:color w:val="000000"/>
          <w:sz w:val="24"/>
          <w:szCs w:val="24"/>
        </w:rPr>
        <w:t>.1 提供施工现场</w:t>
      </w:r>
    </w:p>
    <w:p w14:paraId="26950235">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sz w:val="24"/>
          <w:szCs w:val="24"/>
        </w:rPr>
        <w:t>关于发包人移交施工现场的期限要求：</w:t>
      </w:r>
      <w:r>
        <w:rPr>
          <w:rFonts w:hint="eastAsia" w:ascii="仿宋" w:hAnsi="仿宋" w:eastAsia="仿宋" w:cs="仿宋"/>
          <w:color w:val="000000" w:themeColor="text1"/>
          <w:sz w:val="24"/>
          <w:szCs w:val="24"/>
          <w:u w:val="single"/>
          <w14:textFill>
            <w14:solidFill>
              <w14:schemeClr w14:val="tx1"/>
            </w14:solidFill>
          </w14:textFill>
        </w:rPr>
        <w:t>开工前7天</w:t>
      </w:r>
      <w:r>
        <w:rPr>
          <w:rFonts w:ascii="Times New Roman" w:hAnsi="Times New Roman" w:eastAsia="仿宋_GB2312"/>
          <w:color w:val="000000" w:themeColor="text1"/>
          <w:sz w:val="24"/>
          <w:szCs w:val="24"/>
          <w14:textFill>
            <w14:solidFill>
              <w14:schemeClr w14:val="tx1"/>
            </w14:solidFill>
          </w14:textFill>
        </w:rPr>
        <w:t>。</w:t>
      </w:r>
    </w:p>
    <w:p w14:paraId="595C8796">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w:t>
      </w:r>
      <w:r>
        <w:rPr>
          <w:rFonts w:hint="eastAsia" w:ascii="Times New Roman" w:hAnsi="Times New Roman" w:eastAsia="仿宋_GB2312"/>
          <w:color w:val="000000"/>
          <w:sz w:val="24"/>
          <w:szCs w:val="24"/>
          <w:lang w:val="en-US"/>
        </w:rPr>
        <w:t>2.</w:t>
      </w:r>
      <w:r>
        <w:rPr>
          <w:rFonts w:ascii="Times New Roman" w:hAnsi="Times New Roman" w:eastAsia="仿宋_GB2312"/>
          <w:color w:val="000000"/>
          <w:sz w:val="24"/>
          <w:szCs w:val="24"/>
        </w:rPr>
        <w:t>2 提供施工条件</w:t>
      </w:r>
    </w:p>
    <w:p w14:paraId="08ED3BBB">
      <w:pPr>
        <w:spacing w:line="540" w:lineRule="exact"/>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关于发包人应负责提供施工</w:t>
      </w:r>
      <w:r>
        <w:rPr>
          <w:rFonts w:hint="eastAsia" w:ascii="Times New Roman" w:hAnsi="Times New Roman" w:eastAsia="仿宋_GB2312"/>
          <w:color w:val="000000"/>
          <w:sz w:val="24"/>
          <w:szCs w:val="24"/>
        </w:rPr>
        <w:t>所需要的条件，</w:t>
      </w:r>
      <w:r>
        <w:rPr>
          <w:rFonts w:ascii="Times New Roman" w:hAnsi="Times New Roman" w:eastAsia="仿宋_GB2312"/>
          <w:color w:val="000000"/>
          <w:sz w:val="24"/>
          <w:szCs w:val="24"/>
        </w:rPr>
        <w:t>包括：</w:t>
      </w:r>
      <w:r>
        <w:rPr>
          <w:rFonts w:hint="eastAsia" w:ascii="仿宋" w:hAnsi="仿宋" w:eastAsia="仿宋" w:cs="仿宋"/>
          <w:color w:val="000000"/>
          <w:sz w:val="24"/>
          <w:szCs w:val="24"/>
          <w:u w:val="single"/>
        </w:rPr>
        <w:t>①通用条款包括的内容；②协调处理施工周边环境</w:t>
      </w:r>
      <w:r>
        <w:rPr>
          <w:rFonts w:hint="eastAsia" w:ascii="楷体_GB2312" w:hAnsi="Times New Roman" w:eastAsia="楷体_GB2312"/>
          <w:color w:val="000000"/>
          <w:sz w:val="24"/>
          <w:szCs w:val="24"/>
        </w:rPr>
        <w:t>。</w:t>
      </w:r>
    </w:p>
    <w:p w14:paraId="091D643B">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2.</w:t>
      </w:r>
      <w:r>
        <w:rPr>
          <w:rFonts w:hint="eastAsia" w:ascii="Times New Roman" w:hAnsi="Times New Roman" w:eastAsia="黑体"/>
          <w:color w:val="000000"/>
          <w:sz w:val="24"/>
          <w:szCs w:val="24"/>
          <w:lang w:val="en-US"/>
        </w:rPr>
        <w:t>3</w:t>
      </w:r>
      <w:r>
        <w:rPr>
          <w:rFonts w:ascii="Times New Roman" w:hAnsi="Times New Roman" w:eastAsia="黑体"/>
          <w:color w:val="000000"/>
          <w:sz w:val="24"/>
          <w:szCs w:val="24"/>
        </w:rPr>
        <w:t xml:space="preserve"> 资金来源证明及支付担保</w:t>
      </w:r>
    </w:p>
    <w:p w14:paraId="25650CC7">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发包人提供资金来源证明的期限要求：</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45BBAF14">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发包人是否提供支付担保：</w:t>
      </w:r>
      <w:r>
        <w:rPr>
          <w:rFonts w:hint="eastAsia" w:ascii="楷体_GB2312" w:hAnsi="Times New Roman" w:eastAsia="楷体_GB2312"/>
          <w:color w:val="000000"/>
          <w:sz w:val="24"/>
          <w:szCs w:val="24"/>
          <w:u w:val="single"/>
        </w:rPr>
        <w:t xml:space="preserve"> </w:t>
      </w:r>
      <w:r>
        <w:rPr>
          <w:rFonts w:hint="eastAsia" w:ascii="楷体_GB2312" w:hAnsi="Times New Roman" w:eastAsia="楷体_GB2312"/>
          <w:color w:val="000000"/>
          <w:sz w:val="24"/>
          <w:szCs w:val="24"/>
          <w:u w:val="single"/>
          <w:lang w:val="en-US"/>
        </w:rPr>
        <w:t>/</w:t>
      </w:r>
      <w:r>
        <w:rPr>
          <w:rFonts w:hint="eastAsia" w:ascii="楷体_GB2312" w:hAnsi="Times New Roman" w:eastAsia="楷体_GB2312"/>
          <w:color w:val="000000"/>
          <w:sz w:val="24"/>
          <w:szCs w:val="24"/>
          <w:u w:val="single"/>
        </w:rPr>
        <w:t xml:space="preserve"> </w:t>
      </w:r>
      <w:r>
        <w:rPr>
          <w:rFonts w:ascii="Times New Roman" w:hAnsi="Times New Roman" w:eastAsia="仿宋_GB2312"/>
          <w:color w:val="000000"/>
          <w:sz w:val="24"/>
          <w:szCs w:val="24"/>
        </w:rPr>
        <w:t>。</w:t>
      </w:r>
    </w:p>
    <w:p w14:paraId="37496B51">
      <w:pPr>
        <w:spacing w:line="540" w:lineRule="exact"/>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发包人提供支付担保的形式：</w:t>
      </w:r>
      <w:r>
        <w:rPr>
          <w:rFonts w:hint="eastAsia" w:ascii="楷体_GB2312" w:hAnsi="Times New Roman" w:eastAsia="楷体_GB2312"/>
          <w:color w:val="000000"/>
          <w:sz w:val="24"/>
          <w:szCs w:val="24"/>
          <w:u w:val="single"/>
        </w:rPr>
        <w:t xml:space="preserve"> </w:t>
      </w:r>
      <w:r>
        <w:rPr>
          <w:rFonts w:hint="eastAsia" w:ascii="楷体_GB2312" w:hAnsi="Times New Roman" w:eastAsia="楷体_GB2312"/>
          <w:color w:val="000000"/>
          <w:sz w:val="24"/>
          <w:szCs w:val="24"/>
          <w:u w:val="single"/>
          <w:lang w:val="en-US"/>
        </w:rPr>
        <w:t xml:space="preserve"> / </w:t>
      </w:r>
      <w:r>
        <w:rPr>
          <w:rFonts w:hint="eastAsia" w:ascii="楷体_GB2312" w:hAnsi="Times New Roman" w:eastAsia="楷体_GB2312"/>
          <w:color w:val="000000"/>
          <w:sz w:val="24"/>
          <w:szCs w:val="24"/>
          <w:u w:val="single"/>
        </w:rPr>
        <w:t xml:space="preserve"> </w:t>
      </w:r>
      <w:r>
        <w:rPr>
          <w:rFonts w:ascii="Times New Roman" w:hAnsi="Times New Roman" w:eastAsia="仿宋_GB2312"/>
          <w:color w:val="000000"/>
          <w:sz w:val="24"/>
          <w:szCs w:val="24"/>
        </w:rPr>
        <w:t>。</w:t>
      </w:r>
    </w:p>
    <w:p w14:paraId="7C3D2C1E">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232" w:name="_Toc14599"/>
      <w:bookmarkStart w:id="233" w:name="_Toc996"/>
      <w:bookmarkStart w:id="234" w:name="_Toc351203635"/>
      <w:bookmarkStart w:id="235" w:name="_Toc10097"/>
      <w:bookmarkStart w:id="236" w:name="_Toc25250"/>
      <w:r>
        <w:rPr>
          <w:rFonts w:ascii="Times New Roman" w:hAnsi="Times New Roman"/>
          <w:bCs w:val="0"/>
          <w:color w:val="000000"/>
          <w:sz w:val="24"/>
          <w:szCs w:val="24"/>
        </w:rPr>
        <w:t>3</w:t>
      </w:r>
      <w:bookmarkStart w:id="237" w:name="_Toc296890986"/>
      <w:bookmarkStart w:id="238" w:name="_Toc292559363"/>
      <w:bookmarkStart w:id="239" w:name="_Toc296944497"/>
      <w:bookmarkStart w:id="240" w:name="_Toc297120458"/>
      <w:bookmarkStart w:id="241" w:name="_Toc296503158"/>
      <w:bookmarkStart w:id="242" w:name="_Toc296347157"/>
      <w:bookmarkStart w:id="243" w:name="_Toc297048344"/>
      <w:bookmarkStart w:id="244" w:name="_Toc296891198"/>
      <w:bookmarkStart w:id="245" w:name="_Toc296346659"/>
      <w:bookmarkStart w:id="246" w:name="_Toc292559868"/>
      <w:r>
        <w:rPr>
          <w:rFonts w:ascii="Times New Roman" w:hAnsi="Times New Roman"/>
          <w:bCs w:val="0"/>
          <w:color w:val="000000"/>
          <w:sz w:val="24"/>
          <w:szCs w:val="24"/>
        </w:rPr>
        <w:t>. 承包人</w:t>
      </w:r>
      <w:bookmarkEnd w:id="232"/>
      <w:bookmarkEnd w:id="233"/>
      <w:bookmarkEnd w:id="234"/>
      <w:bookmarkEnd w:id="235"/>
      <w:bookmarkEnd w:id="236"/>
    </w:p>
    <w:bookmarkEnd w:id="237"/>
    <w:bookmarkEnd w:id="238"/>
    <w:bookmarkEnd w:id="239"/>
    <w:bookmarkEnd w:id="240"/>
    <w:bookmarkEnd w:id="241"/>
    <w:bookmarkEnd w:id="242"/>
    <w:bookmarkEnd w:id="243"/>
    <w:bookmarkEnd w:id="244"/>
    <w:bookmarkEnd w:id="245"/>
    <w:bookmarkEnd w:id="246"/>
    <w:p w14:paraId="51DA496A">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3.1 承包人的一般义务</w:t>
      </w:r>
    </w:p>
    <w:p w14:paraId="5698F5C2">
      <w:pPr>
        <w:spacing w:line="540" w:lineRule="exact"/>
        <w:ind w:firstLine="336" w:firstLineChars="140"/>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rPr>
        <w:t>3.1.1</w:t>
      </w:r>
      <w:r>
        <w:rPr>
          <w:rFonts w:ascii="Times New Roman" w:hAnsi="Times New Roman" w:eastAsia="仿宋_GB2312"/>
          <w:color w:val="000000"/>
          <w:sz w:val="24"/>
          <w:szCs w:val="24"/>
        </w:rPr>
        <w:t>承包人提交的竣工资料的内容：</w:t>
      </w:r>
      <w:r>
        <w:rPr>
          <w:rFonts w:hint="eastAsia" w:ascii="仿宋" w:hAnsi="仿宋" w:eastAsia="仿宋" w:cs="仿宋"/>
          <w:color w:val="000000"/>
          <w:sz w:val="24"/>
          <w:szCs w:val="24"/>
          <w:u w:val="single"/>
        </w:rPr>
        <w:t>施工图</w:t>
      </w:r>
      <w:r>
        <w:rPr>
          <w:rFonts w:hint="eastAsia" w:ascii="仿宋" w:hAnsi="仿宋" w:eastAsia="仿宋" w:cs="仿宋"/>
          <w:color w:val="000000"/>
          <w:sz w:val="24"/>
          <w:szCs w:val="24"/>
          <w:u w:val="single"/>
          <w:lang w:val="en-US"/>
        </w:rPr>
        <w:t>纸</w:t>
      </w:r>
      <w:r>
        <w:rPr>
          <w:rFonts w:hint="eastAsia" w:ascii="仿宋" w:hAnsi="仿宋" w:eastAsia="仿宋" w:cs="仿宋"/>
          <w:color w:val="000000"/>
          <w:sz w:val="24"/>
          <w:szCs w:val="24"/>
          <w:u w:val="single"/>
        </w:rPr>
        <w:t>、图纸会审（如有）、设计变更、隐蔽验收及现场签证、竣工</w:t>
      </w:r>
      <w:r>
        <w:rPr>
          <w:rFonts w:hint="eastAsia" w:ascii="仿宋" w:hAnsi="仿宋" w:eastAsia="仿宋" w:cs="仿宋"/>
          <w:color w:val="000000"/>
          <w:sz w:val="24"/>
          <w:szCs w:val="24"/>
          <w:u w:val="single"/>
          <w:lang w:val="en-US"/>
        </w:rPr>
        <w:t>图纸</w:t>
      </w:r>
      <w:r>
        <w:rPr>
          <w:rFonts w:hint="eastAsia" w:ascii="仿宋" w:hAnsi="仿宋" w:eastAsia="仿宋" w:cs="仿宋"/>
          <w:color w:val="000000"/>
          <w:sz w:val="24"/>
          <w:szCs w:val="24"/>
          <w:u w:val="single"/>
        </w:rPr>
        <w:t>、工程款拨付凭证、竣工结算</w:t>
      </w:r>
      <w:r>
        <w:rPr>
          <w:rFonts w:hint="eastAsia" w:ascii="仿宋" w:hAnsi="仿宋" w:eastAsia="仿宋" w:cs="仿宋"/>
          <w:color w:val="000000"/>
          <w:sz w:val="24"/>
          <w:szCs w:val="24"/>
          <w:u w:val="single"/>
          <w:lang w:val="en-US"/>
        </w:rPr>
        <w:t>书</w:t>
      </w:r>
      <w:r>
        <w:rPr>
          <w:rFonts w:hint="eastAsia" w:ascii="仿宋" w:hAnsi="仿宋" w:eastAsia="仿宋" w:cs="仿宋"/>
          <w:color w:val="000000"/>
          <w:sz w:val="24"/>
          <w:szCs w:val="24"/>
          <w:u w:val="single"/>
        </w:rPr>
        <w:t>及备案（如有）、竣工验收资料等</w:t>
      </w:r>
      <w:r>
        <w:rPr>
          <w:rFonts w:ascii="Times New Roman" w:hAnsi="Times New Roman" w:eastAsia="仿宋_GB2312"/>
          <w:color w:val="000000"/>
          <w:sz w:val="24"/>
          <w:szCs w:val="24"/>
        </w:rPr>
        <w:t>。</w:t>
      </w:r>
    </w:p>
    <w:p w14:paraId="4A33C6E0">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承包人需要提交的竣工资料套数</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叁套</w:t>
      </w:r>
      <w:r>
        <w:rPr>
          <w:rFonts w:ascii="Times New Roman" w:hAnsi="Times New Roman" w:eastAsia="仿宋_GB2312"/>
          <w:color w:val="000000"/>
          <w:sz w:val="24"/>
          <w:szCs w:val="24"/>
        </w:rPr>
        <w:t>。</w:t>
      </w:r>
    </w:p>
    <w:p w14:paraId="7012E21C">
      <w:pPr>
        <w:spacing w:line="540" w:lineRule="exact"/>
        <w:ind w:left="669" w:leftChars="304"/>
        <w:rPr>
          <w:rFonts w:ascii="Times New Roman" w:hAnsi="Times New Roman" w:eastAsia="仿宋_GB2312"/>
          <w:color w:val="000000"/>
          <w:sz w:val="24"/>
          <w:szCs w:val="24"/>
        </w:rPr>
      </w:pPr>
      <w:r>
        <w:rPr>
          <w:rFonts w:ascii="Times New Roman" w:hAnsi="Times New Roman" w:eastAsia="仿宋_GB2312"/>
          <w:color w:val="000000"/>
          <w:sz w:val="24"/>
          <w:szCs w:val="24"/>
        </w:rPr>
        <w:t>承包人提交的竣工资料的费用承担：</w:t>
      </w:r>
      <w:r>
        <w:rPr>
          <w:rFonts w:hint="eastAsia" w:ascii="仿宋" w:hAnsi="仿宋" w:eastAsia="仿宋" w:cs="仿宋"/>
          <w:color w:val="000000"/>
          <w:sz w:val="24"/>
          <w:szCs w:val="24"/>
          <w:u w:val="single"/>
        </w:rPr>
        <w:t>承包人承担</w:t>
      </w:r>
      <w:r>
        <w:rPr>
          <w:rFonts w:ascii="Times New Roman" w:hAnsi="Times New Roman" w:eastAsia="仿宋_GB2312"/>
          <w:color w:val="000000"/>
          <w:sz w:val="24"/>
          <w:szCs w:val="24"/>
        </w:rPr>
        <w:t>。</w:t>
      </w:r>
    </w:p>
    <w:p w14:paraId="42172989">
      <w:pPr>
        <w:spacing w:line="540" w:lineRule="exact"/>
        <w:ind w:left="669" w:leftChars="304"/>
        <w:rPr>
          <w:rFonts w:ascii="Times New Roman" w:hAnsi="Times New Roman" w:eastAsia="仿宋_GB2312"/>
          <w:color w:val="000000"/>
          <w:sz w:val="24"/>
          <w:szCs w:val="24"/>
        </w:rPr>
      </w:pPr>
      <w:r>
        <w:rPr>
          <w:rFonts w:ascii="Times New Roman" w:hAnsi="Times New Roman" w:eastAsia="仿宋_GB2312"/>
          <w:color w:val="000000"/>
          <w:sz w:val="24"/>
          <w:szCs w:val="24"/>
        </w:rPr>
        <w:t>承包人提交的竣工资料移交时间：</w:t>
      </w:r>
      <w:r>
        <w:rPr>
          <w:rFonts w:hint="eastAsia" w:ascii="仿宋" w:hAnsi="仿宋" w:eastAsia="仿宋" w:cs="仿宋"/>
          <w:color w:val="000000"/>
          <w:sz w:val="24"/>
          <w:szCs w:val="24"/>
          <w:u w:val="single"/>
        </w:rPr>
        <w:t>竣工验收合格后7天内</w:t>
      </w:r>
      <w:r>
        <w:rPr>
          <w:rFonts w:ascii="Times New Roman" w:hAnsi="Times New Roman" w:eastAsia="仿宋_GB2312"/>
          <w:color w:val="000000"/>
          <w:sz w:val="24"/>
          <w:szCs w:val="24"/>
        </w:rPr>
        <w:t>。</w:t>
      </w:r>
    </w:p>
    <w:p w14:paraId="5C507784">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承包人提交的竣工资料形式要求：</w:t>
      </w:r>
      <w:r>
        <w:rPr>
          <w:rFonts w:hint="eastAsia" w:ascii="仿宋" w:hAnsi="仿宋" w:eastAsia="仿宋" w:cs="仿宋"/>
          <w:color w:val="000000"/>
          <w:sz w:val="24"/>
          <w:szCs w:val="24"/>
          <w:u w:val="single"/>
        </w:rPr>
        <w:t>书面形式及电子档</w:t>
      </w:r>
      <w:r>
        <w:rPr>
          <w:rFonts w:ascii="Times New Roman" w:hAnsi="Times New Roman" w:eastAsia="仿宋_GB2312"/>
          <w:color w:val="000000"/>
          <w:sz w:val="24"/>
          <w:szCs w:val="24"/>
        </w:rPr>
        <w:t>。</w:t>
      </w:r>
    </w:p>
    <w:p w14:paraId="5415D0D1">
      <w:pPr>
        <w:spacing w:line="540" w:lineRule="exact"/>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rPr>
        <w:t>3.1.2</w:t>
      </w:r>
      <w:r>
        <w:rPr>
          <w:rFonts w:ascii="Times New Roman" w:hAnsi="Times New Roman" w:eastAsia="仿宋_GB2312"/>
          <w:color w:val="000000"/>
          <w:sz w:val="24"/>
          <w:szCs w:val="24"/>
        </w:rPr>
        <w:t>承包人应履行的其他义务：</w:t>
      </w:r>
      <w:r>
        <w:rPr>
          <w:rFonts w:hint="eastAsia" w:ascii="楷体_GB2312" w:hAnsi="Times New Roman" w:eastAsia="楷体_GB2312"/>
          <w:color w:val="000000"/>
          <w:sz w:val="24"/>
          <w:szCs w:val="24"/>
          <w:u w:val="single"/>
        </w:rPr>
        <w:t xml:space="preserve">  /  </w:t>
      </w:r>
      <w:r>
        <w:rPr>
          <w:rFonts w:ascii="Times New Roman" w:hAnsi="Times New Roman" w:eastAsia="仿宋_GB2312"/>
          <w:color w:val="000000"/>
          <w:sz w:val="24"/>
          <w:szCs w:val="24"/>
        </w:rPr>
        <w:t>。</w:t>
      </w:r>
    </w:p>
    <w:p w14:paraId="41A145C8">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3.2 项目经理</w:t>
      </w:r>
    </w:p>
    <w:p w14:paraId="2889430B">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3.2.1 项目经理：</w:t>
      </w:r>
    </w:p>
    <w:p w14:paraId="6E0CEB61">
      <w:pPr>
        <w:spacing w:line="54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姓    名：</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身份证号：</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b/>
          <w:color w:val="000000" w:themeColor="text1"/>
          <w:sz w:val="24"/>
          <w:szCs w:val="24"/>
          <w:u w:val="single"/>
          <w:lang w:val="en-US"/>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w:t>
      </w:r>
    </w:p>
    <w:p w14:paraId="37A1BC3C">
      <w:pPr>
        <w:spacing w:line="54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建造师执业资格等级：</w:t>
      </w:r>
      <w:r>
        <w:rPr>
          <w:rFonts w:hint="eastAsia" w:ascii="仿宋" w:hAnsi="仿宋" w:eastAsia="仿宋" w:cs="仿宋"/>
          <w:color w:val="000000" w:themeColor="text1"/>
          <w:sz w:val="24"/>
          <w:szCs w:val="24"/>
          <w:u w:val="single"/>
          <w:lang w:val="en-US"/>
          <w14:textFill>
            <w14:solidFill>
              <w14:schemeClr w14:val="tx1"/>
            </w14:solidFill>
          </w14:textFill>
        </w:rPr>
        <w:t>贰</w:t>
      </w:r>
      <w:r>
        <w:rPr>
          <w:rFonts w:hint="eastAsia" w:ascii="仿宋" w:hAnsi="仿宋" w:eastAsia="仿宋" w:cs="仿宋"/>
          <w:color w:val="000000" w:themeColor="text1"/>
          <w:sz w:val="24"/>
          <w:szCs w:val="24"/>
          <w:u w:val="single"/>
          <w14:textFill>
            <w14:solidFill>
              <w14:schemeClr w14:val="tx1"/>
            </w14:solidFill>
          </w14:textFill>
        </w:rPr>
        <w:t>级</w:t>
      </w:r>
      <w:r>
        <w:rPr>
          <w:rFonts w:hint="eastAsia" w:ascii="仿宋" w:hAnsi="仿宋" w:eastAsia="仿宋" w:cs="仿宋"/>
          <w:color w:val="000000" w:themeColor="text1"/>
          <w:sz w:val="24"/>
          <w:szCs w:val="24"/>
          <w14:textFill>
            <w14:solidFill>
              <w14:schemeClr w14:val="tx1"/>
            </w14:solidFill>
          </w14:textFill>
        </w:rPr>
        <w:t>； 建造师注册证书号：</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w:t>
      </w:r>
    </w:p>
    <w:p w14:paraId="7D72B797">
      <w:pPr>
        <w:spacing w:line="540" w:lineRule="exact"/>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安全生产考核合格证书号：</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w:t>
      </w:r>
    </w:p>
    <w:p w14:paraId="74C41B0B">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联系电话：</w:t>
      </w:r>
      <w:r>
        <w:rPr>
          <w:rFonts w:hint="eastAsia" w:ascii="仿宋" w:hAnsi="仿宋" w:eastAsia="仿宋" w:cs="仿宋"/>
          <w:color w:val="000000" w:themeColor="text1"/>
          <w:sz w:val="24"/>
          <w:szCs w:val="24"/>
          <w:u w:val="single"/>
          <w:lang w:val="en-US"/>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w:t>
      </w:r>
      <w:r>
        <w:rPr>
          <w:rFonts w:hint="eastAsia" w:ascii="Times New Roman" w:hAnsi="Times New Roman" w:eastAsia="仿宋_GB2312"/>
          <w:color w:val="000000" w:themeColor="text1"/>
          <w:sz w:val="24"/>
          <w:szCs w:val="24"/>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电子信箱：</w:t>
      </w:r>
      <w:r>
        <w:rPr>
          <w:rFonts w:hint="eastAsia" w:ascii="仿宋" w:hAnsi="仿宋" w:eastAsia="仿宋" w:cs="仿宋"/>
          <w:color w:val="000000" w:themeColor="text1"/>
          <w:sz w:val="24"/>
          <w:szCs w:val="24"/>
          <w:u w:val="single"/>
          <w:lang w:val="en-US"/>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u w:val="single"/>
          <w:lang w:val="en-US"/>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w:t>
      </w:r>
    </w:p>
    <w:p w14:paraId="0A022B35">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通信地址：</w:t>
      </w:r>
      <w:r>
        <w:rPr>
          <w:rFonts w:hint="eastAsia" w:ascii="Times New Roman" w:hAnsi="Times New Roman" w:eastAsia="仿宋_GB2312"/>
          <w:color w:val="000000" w:themeColor="text1"/>
          <w:sz w:val="24"/>
          <w:szCs w:val="24"/>
          <w:u w:val="single"/>
          <w:lang w:val="en-US"/>
          <w14:textFill>
            <w14:solidFill>
              <w14:schemeClr w14:val="tx1"/>
            </w14:solidFill>
          </w14:textFill>
        </w:rPr>
        <w:t xml:space="preserve"> </w:t>
      </w:r>
      <w:r>
        <w:rPr>
          <w:rFonts w:hint="eastAsia" w:ascii="Times New Roman" w:hAnsi="Times New Roman" w:eastAsia="仿宋_GB2312"/>
          <w:color w:val="000000" w:themeColor="text1"/>
          <w:sz w:val="24"/>
          <w:szCs w:val="24"/>
          <w:u w:val="single"/>
          <w14:textFill>
            <w14:solidFill>
              <w14:schemeClr w14:val="tx1"/>
            </w14:solidFill>
          </w14:textFill>
        </w:rPr>
        <w:t>/</w:t>
      </w:r>
      <w:r>
        <w:rPr>
          <w:rFonts w:hint="eastAsia" w:ascii="Times New Roman" w:hAnsi="Times New Roman" w:eastAsia="仿宋_GB2312"/>
          <w:color w:val="000000" w:themeColor="text1"/>
          <w:sz w:val="24"/>
          <w:szCs w:val="24"/>
          <w:u w:val="single"/>
          <w:lang w:val="en-US"/>
          <w14:textFill>
            <w14:solidFill>
              <w14:schemeClr w14:val="tx1"/>
            </w14:solidFill>
          </w14:textFill>
        </w:rPr>
        <w:t xml:space="preserve"> </w:t>
      </w:r>
      <w:r>
        <w:rPr>
          <w:rFonts w:hint="eastAsia" w:ascii="Times New Roman" w:hAnsi="Times New Roman" w:eastAsia="仿宋_GB2312"/>
          <w:color w:val="000000" w:themeColor="text1"/>
          <w:sz w:val="24"/>
          <w:szCs w:val="24"/>
          <w14:textFill>
            <w14:solidFill>
              <w14:schemeClr w14:val="tx1"/>
            </w14:solidFill>
          </w14:textFill>
        </w:rPr>
        <w:t>。</w:t>
      </w:r>
    </w:p>
    <w:p w14:paraId="76ADA23E">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承包人对项目经理的授权范围如下：</w:t>
      </w:r>
      <w:r>
        <w:rPr>
          <w:rFonts w:hint="eastAsia" w:ascii="仿宋" w:hAnsi="仿宋" w:eastAsia="仿宋" w:cs="仿宋"/>
          <w:color w:val="000000"/>
          <w:sz w:val="24"/>
          <w:szCs w:val="24"/>
          <w:u w:val="single"/>
        </w:rPr>
        <w:t>按照公司管理模式，在公司成立的项目管理部总负责人的领导下行使职权</w:t>
      </w:r>
      <w:r>
        <w:rPr>
          <w:rFonts w:ascii="Times New Roman" w:hAnsi="Times New Roman" w:eastAsia="仿宋_GB2312"/>
          <w:color w:val="000000"/>
          <w:sz w:val="24"/>
          <w:szCs w:val="24"/>
        </w:rPr>
        <w:t>。</w:t>
      </w:r>
    </w:p>
    <w:p w14:paraId="5BA5D30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关于项目经理每月在施工现场的时间要求：</w:t>
      </w:r>
      <w:r>
        <w:rPr>
          <w:rFonts w:hint="eastAsia" w:ascii="仿宋" w:hAnsi="仿宋" w:eastAsia="仿宋" w:cs="仿宋"/>
          <w:color w:val="000000"/>
          <w:sz w:val="24"/>
          <w:szCs w:val="24"/>
          <w:u w:val="single"/>
        </w:rPr>
        <w:t>不少于</w:t>
      </w:r>
      <w:r>
        <w:rPr>
          <w:rFonts w:hint="eastAsia" w:ascii="仿宋" w:hAnsi="仿宋" w:eastAsia="仿宋" w:cs="仿宋"/>
          <w:color w:val="000000"/>
          <w:sz w:val="24"/>
          <w:szCs w:val="24"/>
          <w:u w:val="single"/>
          <w:lang w:val="en-US"/>
        </w:rPr>
        <w:t>24个工作日</w:t>
      </w:r>
      <w:r>
        <w:rPr>
          <w:rFonts w:ascii="Times New Roman" w:hAnsi="Times New Roman" w:eastAsia="仿宋_GB2312"/>
          <w:color w:val="000000"/>
          <w:sz w:val="24"/>
          <w:szCs w:val="24"/>
        </w:rPr>
        <w:t>。</w:t>
      </w:r>
    </w:p>
    <w:p w14:paraId="65EC285A">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承包人未提交劳动合同，以及没有为项目经理缴纳社会保险证明的违约责任：</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22EAE594">
      <w:pPr>
        <w:spacing w:line="540" w:lineRule="exact"/>
        <w:ind w:firstLine="480" w:firstLineChars="200"/>
        <w:rPr>
          <w:rFonts w:ascii="Times New Roman" w:hAnsi="Times New Roman" w:eastAsia="仿宋_GB2312"/>
          <w:color w:val="000000"/>
          <w:sz w:val="24"/>
          <w:szCs w:val="24"/>
          <w:u w:val="single"/>
          <w:lang w:val="en-US"/>
        </w:rPr>
      </w:pPr>
      <w:r>
        <w:rPr>
          <w:rFonts w:ascii="Times New Roman" w:hAnsi="Times New Roman" w:eastAsia="仿宋_GB2312"/>
          <w:color w:val="000000"/>
          <w:sz w:val="24"/>
          <w:szCs w:val="24"/>
        </w:rPr>
        <w:t>项目经理未经批准，擅自离开施工现场的违约责任：</w:t>
      </w:r>
      <w:r>
        <w:rPr>
          <w:rFonts w:hint="eastAsia" w:ascii="仿宋" w:hAnsi="仿宋" w:eastAsia="仿宋" w:cs="仿宋"/>
          <w:color w:val="000000"/>
          <w:sz w:val="24"/>
          <w:szCs w:val="24"/>
          <w:u w:val="single"/>
        </w:rPr>
        <w:t>每次处以</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rPr>
        <w:t>元罚款</w:t>
      </w:r>
      <w:r>
        <w:rPr>
          <w:rFonts w:ascii="Times New Roman" w:hAnsi="Times New Roman" w:eastAsia="仿宋_GB2312"/>
          <w:color w:val="000000"/>
          <w:sz w:val="24"/>
          <w:szCs w:val="24"/>
        </w:rPr>
        <w:t>。</w:t>
      </w:r>
    </w:p>
    <w:p w14:paraId="66D7A133">
      <w:pPr>
        <w:spacing w:line="540" w:lineRule="exact"/>
        <w:ind w:firstLine="504" w:firstLineChars="21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sz w:val="24"/>
          <w:szCs w:val="24"/>
        </w:rPr>
        <w:t>3.2.</w:t>
      </w:r>
      <w:r>
        <w:rPr>
          <w:rFonts w:hint="eastAsia" w:ascii="Times New Roman" w:hAnsi="Times New Roman" w:eastAsia="仿宋_GB2312"/>
          <w:color w:val="000000"/>
          <w:sz w:val="24"/>
          <w:szCs w:val="24"/>
          <w:lang w:val="en-US"/>
        </w:rPr>
        <w:t>2</w:t>
      </w:r>
      <w:r>
        <w:rPr>
          <w:rFonts w:ascii="Times New Roman" w:hAnsi="Times New Roman" w:eastAsia="仿宋_GB2312"/>
          <w:color w:val="000000"/>
          <w:sz w:val="24"/>
          <w:szCs w:val="24"/>
        </w:rPr>
        <w:t xml:space="preserve"> 承包人擅自更换项目经理的违约责任：</w:t>
      </w:r>
      <w:r>
        <w:rPr>
          <w:rFonts w:hint="eastAsia" w:ascii="仿宋" w:hAnsi="仿宋" w:eastAsia="仿宋" w:cs="仿宋"/>
          <w:color w:val="000000" w:themeColor="text1"/>
          <w:sz w:val="24"/>
          <w:szCs w:val="24"/>
          <w:u w:val="single"/>
          <w14:textFill>
            <w14:solidFill>
              <w14:schemeClr w14:val="tx1"/>
            </w14:solidFill>
          </w14:textFill>
        </w:rPr>
        <w:t>发包人有权终止合同</w:t>
      </w:r>
      <w:r>
        <w:rPr>
          <w:rFonts w:ascii="Times New Roman" w:hAnsi="Times New Roman" w:eastAsia="仿宋_GB2312"/>
          <w:color w:val="000000" w:themeColor="text1"/>
          <w:sz w:val="24"/>
          <w:szCs w:val="24"/>
          <w14:textFill>
            <w14:solidFill>
              <w14:schemeClr w14:val="tx1"/>
            </w14:solidFill>
          </w14:textFill>
        </w:rPr>
        <w:t>。</w:t>
      </w:r>
    </w:p>
    <w:p w14:paraId="7B9D9046">
      <w:pPr>
        <w:spacing w:line="54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 xml:space="preserve">    3.2.</w:t>
      </w:r>
      <w:r>
        <w:rPr>
          <w:rFonts w:hint="eastAsia" w:ascii="Times New Roman" w:hAnsi="Times New Roman" w:eastAsia="仿宋_GB2312"/>
          <w:color w:val="000000"/>
          <w:sz w:val="24"/>
          <w:szCs w:val="24"/>
          <w:lang w:val="en-US"/>
        </w:rPr>
        <w:t>3</w:t>
      </w:r>
      <w:r>
        <w:rPr>
          <w:rFonts w:ascii="Times New Roman" w:hAnsi="Times New Roman" w:eastAsia="仿宋_GB2312"/>
          <w:color w:val="000000"/>
          <w:sz w:val="24"/>
          <w:szCs w:val="24"/>
        </w:rPr>
        <w:t xml:space="preserve"> 承包人无正当理由拒绝更换项目经理的违约责任：</w:t>
      </w:r>
      <w:r>
        <w:rPr>
          <w:rFonts w:hint="eastAsia" w:ascii="仿宋" w:hAnsi="仿宋" w:eastAsia="仿宋" w:cs="仿宋"/>
          <w:color w:val="000000"/>
          <w:sz w:val="24"/>
          <w:szCs w:val="24"/>
          <w:u w:val="single"/>
        </w:rPr>
        <w:t>发包人有权终止合同</w:t>
      </w:r>
      <w:r>
        <w:rPr>
          <w:rFonts w:ascii="Times New Roman" w:hAnsi="Times New Roman" w:eastAsia="仿宋_GB2312"/>
          <w:color w:val="000000"/>
          <w:sz w:val="24"/>
          <w:szCs w:val="24"/>
        </w:rPr>
        <w:t>。</w:t>
      </w:r>
    </w:p>
    <w:p w14:paraId="0F0875FA">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3.3 承包人人员</w:t>
      </w:r>
    </w:p>
    <w:p w14:paraId="528A6B26">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3.3.1 承包人提交项目管理机构及施工现场管理人员安排报告的期限：</w:t>
      </w:r>
      <w:r>
        <w:rPr>
          <w:rFonts w:hint="eastAsia" w:ascii="仿宋" w:hAnsi="仿宋" w:eastAsia="仿宋" w:cs="仿宋"/>
          <w:color w:val="000000"/>
          <w:sz w:val="24"/>
          <w:szCs w:val="24"/>
          <w:u w:val="single"/>
        </w:rPr>
        <w:t>开工前7天</w:t>
      </w:r>
      <w:r>
        <w:rPr>
          <w:rFonts w:ascii="Times New Roman" w:hAnsi="Times New Roman" w:eastAsia="仿宋_GB2312"/>
          <w:color w:val="000000"/>
          <w:sz w:val="24"/>
          <w:szCs w:val="24"/>
        </w:rPr>
        <w:t>。</w:t>
      </w:r>
    </w:p>
    <w:p w14:paraId="2EC2A50B">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3.3.</w:t>
      </w:r>
      <w:r>
        <w:rPr>
          <w:rFonts w:hint="eastAsia" w:ascii="Times New Roman" w:hAnsi="Times New Roman" w:eastAsia="仿宋_GB2312"/>
          <w:color w:val="000000"/>
          <w:sz w:val="24"/>
          <w:szCs w:val="24"/>
          <w:lang w:val="en-US"/>
        </w:rPr>
        <w:t>2</w:t>
      </w:r>
      <w:r>
        <w:rPr>
          <w:rFonts w:ascii="Times New Roman" w:hAnsi="Times New Roman" w:eastAsia="仿宋_GB2312"/>
          <w:color w:val="000000"/>
          <w:sz w:val="24"/>
          <w:szCs w:val="24"/>
        </w:rPr>
        <w:t xml:space="preserve"> 承包人无正当理由撤换主要施工管理人员的违约责任：</w:t>
      </w:r>
      <w:r>
        <w:rPr>
          <w:rFonts w:hint="eastAsia" w:ascii="仿宋" w:hAnsi="仿宋" w:eastAsia="仿宋" w:cs="仿宋"/>
          <w:color w:val="000000" w:themeColor="text1"/>
          <w:sz w:val="24"/>
          <w:szCs w:val="24"/>
          <w:u w:val="single"/>
          <w14:textFill>
            <w14:solidFill>
              <w14:schemeClr w14:val="tx1"/>
            </w14:solidFill>
          </w14:textFill>
        </w:rPr>
        <w:t>发包人有权终止合同</w:t>
      </w:r>
      <w:r>
        <w:rPr>
          <w:rFonts w:ascii="Times New Roman" w:hAnsi="Times New Roman" w:eastAsia="仿宋_GB2312"/>
          <w:color w:val="000000" w:themeColor="text1"/>
          <w:sz w:val="24"/>
          <w:szCs w:val="24"/>
          <w14:textFill>
            <w14:solidFill>
              <w14:schemeClr w14:val="tx1"/>
            </w14:solidFill>
          </w14:textFill>
        </w:rPr>
        <w:t>。</w:t>
      </w:r>
    </w:p>
    <w:p w14:paraId="32541C2E">
      <w:pPr>
        <w:spacing w:line="540" w:lineRule="exact"/>
        <w:ind w:firstLine="480" w:firstLineChars="200"/>
        <w:rPr>
          <w:rFonts w:ascii="Times New Roman" w:hAnsi="Times New Roman" w:eastAsia="仿宋_GB2312"/>
          <w:color w:val="548DD4"/>
          <w:sz w:val="24"/>
          <w:szCs w:val="24"/>
        </w:rPr>
      </w:pPr>
      <w:r>
        <w:rPr>
          <w:rFonts w:ascii="Times New Roman" w:hAnsi="Times New Roman" w:eastAsia="仿宋_GB2312"/>
          <w:color w:val="000000"/>
          <w:sz w:val="24"/>
          <w:szCs w:val="24"/>
        </w:rPr>
        <w:t>3.3.</w:t>
      </w:r>
      <w:r>
        <w:rPr>
          <w:rFonts w:hint="eastAsia" w:ascii="Times New Roman" w:hAnsi="Times New Roman" w:eastAsia="仿宋_GB2312"/>
          <w:color w:val="000000"/>
          <w:sz w:val="24"/>
          <w:szCs w:val="24"/>
          <w:lang w:val="en-US"/>
        </w:rPr>
        <w:t>3</w:t>
      </w:r>
      <w:r>
        <w:rPr>
          <w:rFonts w:ascii="Times New Roman" w:hAnsi="Times New Roman" w:eastAsia="仿宋_GB2312"/>
          <w:color w:val="000000"/>
          <w:sz w:val="24"/>
          <w:szCs w:val="24"/>
        </w:rPr>
        <w:t xml:space="preserve"> 承包人主要施工管理人员离开施工现场的批准要求：</w:t>
      </w:r>
      <w:r>
        <w:rPr>
          <w:rFonts w:hint="eastAsia" w:ascii="仿宋" w:hAnsi="仿宋" w:eastAsia="仿宋" w:cs="仿宋"/>
          <w:color w:val="000000"/>
          <w:sz w:val="24"/>
          <w:szCs w:val="24"/>
          <w:u w:val="single"/>
        </w:rPr>
        <w:t>发包人书面批准</w:t>
      </w:r>
      <w:r>
        <w:rPr>
          <w:rFonts w:ascii="Times New Roman" w:hAnsi="Times New Roman" w:eastAsia="仿宋_GB2312"/>
          <w:color w:val="000000"/>
          <w:sz w:val="24"/>
          <w:szCs w:val="24"/>
        </w:rPr>
        <w:t>。</w:t>
      </w:r>
    </w:p>
    <w:p w14:paraId="3E8A85DE">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承包人主要施工管理人员擅自离开施工现场的违约责任：</w:t>
      </w:r>
      <w:r>
        <w:rPr>
          <w:rFonts w:hint="eastAsia" w:ascii="仿宋" w:hAnsi="仿宋" w:eastAsia="仿宋" w:cs="仿宋"/>
          <w:color w:val="000000"/>
          <w:sz w:val="24"/>
          <w:szCs w:val="24"/>
          <w:u w:val="single"/>
        </w:rPr>
        <w:t>每次处以</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rPr>
        <w:t>元罚款</w:t>
      </w:r>
      <w:r>
        <w:rPr>
          <w:rFonts w:ascii="Times New Roman" w:hAnsi="Times New Roman" w:eastAsia="仿宋_GB2312"/>
          <w:color w:val="000000"/>
          <w:sz w:val="24"/>
          <w:szCs w:val="24"/>
        </w:rPr>
        <w:t>。</w:t>
      </w:r>
    </w:p>
    <w:p w14:paraId="7C509726">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3</w:t>
      </w:r>
      <w:bookmarkStart w:id="247" w:name="_Toc297048345"/>
      <w:bookmarkStart w:id="248" w:name="_Toc292559364"/>
      <w:bookmarkStart w:id="249" w:name="_Toc296944498"/>
      <w:bookmarkStart w:id="250" w:name="_Toc296891199"/>
      <w:bookmarkStart w:id="251" w:name="_Toc292559869"/>
      <w:bookmarkStart w:id="252" w:name="_Toc296503159"/>
      <w:bookmarkStart w:id="253" w:name="_Toc300934945"/>
      <w:bookmarkStart w:id="254" w:name="_Toc297216151"/>
      <w:bookmarkStart w:id="255" w:name="_Toc296347158"/>
      <w:bookmarkStart w:id="256" w:name="_Toc297120459"/>
      <w:bookmarkStart w:id="257" w:name="_Toc296890987"/>
      <w:bookmarkStart w:id="258" w:name="_Toc303539102"/>
      <w:bookmarkStart w:id="259" w:name="_Toc296346660"/>
      <w:bookmarkStart w:id="260" w:name="_Toc304295523"/>
      <w:bookmarkStart w:id="261" w:name="_Toc297123492"/>
      <w:bookmarkStart w:id="262" w:name="_Toc312677988"/>
      <w:r>
        <w:rPr>
          <w:rFonts w:ascii="Times New Roman" w:hAnsi="Times New Roman" w:eastAsia="黑体"/>
          <w:color w:val="000000"/>
          <w:sz w:val="24"/>
          <w:szCs w:val="24"/>
        </w:rPr>
        <w:t>.5 分包</w:t>
      </w:r>
    </w:p>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14:paraId="218DB7E6">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3</w:t>
      </w:r>
      <w:bookmarkStart w:id="263" w:name="_Toc292559870"/>
      <w:bookmarkStart w:id="264" w:name="_Toc296347159"/>
      <w:bookmarkStart w:id="265" w:name="_Toc296503160"/>
      <w:bookmarkStart w:id="266" w:name="_Toc303539103"/>
      <w:bookmarkStart w:id="267" w:name="_Toc292559365"/>
      <w:bookmarkStart w:id="268" w:name="_Toc304295524"/>
      <w:bookmarkStart w:id="269" w:name="_Toc297048346"/>
      <w:bookmarkStart w:id="270" w:name="_Toc297216152"/>
      <w:bookmarkStart w:id="271" w:name="_Toc296890988"/>
      <w:bookmarkStart w:id="272" w:name="_Toc297120460"/>
      <w:bookmarkStart w:id="273" w:name="_Toc297123493"/>
      <w:bookmarkStart w:id="274" w:name="_Toc300934946"/>
      <w:bookmarkStart w:id="275" w:name="_Toc296891200"/>
      <w:bookmarkStart w:id="276" w:name="_Toc296944499"/>
      <w:bookmarkStart w:id="277" w:name="_Toc296346661"/>
      <w:bookmarkStart w:id="278" w:name="_Toc318581158"/>
      <w:bookmarkStart w:id="279" w:name="_Toc312677989"/>
      <w:r>
        <w:rPr>
          <w:rFonts w:ascii="Times New Roman" w:hAnsi="Times New Roman" w:eastAsia="仿宋_GB2312"/>
          <w:sz w:val="24"/>
          <w:szCs w:val="24"/>
        </w:rPr>
        <w:t>.5.1 分包的一般约定</w:t>
      </w:r>
    </w:p>
    <w:p w14:paraId="014F0695">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禁止分包的工程包括：</w:t>
      </w:r>
      <w:r>
        <w:rPr>
          <w:rFonts w:hint="eastAsia" w:ascii="仿宋" w:hAnsi="仿宋" w:eastAsia="仿宋" w:cs="仿宋"/>
          <w:color w:val="000000"/>
          <w:sz w:val="24"/>
          <w:szCs w:val="24"/>
          <w:u w:val="single"/>
        </w:rPr>
        <w:t>全部工程</w:t>
      </w:r>
      <w:r>
        <w:rPr>
          <w:rFonts w:ascii="Times New Roman" w:hAnsi="Times New Roman" w:eastAsia="仿宋_GB2312"/>
          <w:color w:val="000000"/>
          <w:sz w:val="24"/>
          <w:szCs w:val="24"/>
        </w:rPr>
        <w:t>。</w:t>
      </w:r>
    </w:p>
    <w:p w14:paraId="6EA7DEDC">
      <w:pPr>
        <w:spacing w:line="540" w:lineRule="exact"/>
        <w:ind w:firstLine="480" w:firstLineChars="200"/>
        <w:rPr>
          <w:rFonts w:ascii="Times New Roman" w:hAnsi="Times New Roman" w:eastAsia="仿宋_GB2312"/>
          <w:color w:val="000000"/>
          <w:sz w:val="24"/>
          <w:szCs w:val="24"/>
          <w:u w:val="single"/>
        </w:rPr>
      </w:pPr>
      <w:r>
        <w:rPr>
          <w:rFonts w:ascii="Times New Roman" w:hAnsi="Times New Roman" w:eastAsia="仿宋_GB2312"/>
          <w:sz w:val="24"/>
          <w:szCs w:val="24"/>
        </w:rPr>
        <w:t>主体结构、关键性工作的范围：</w:t>
      </w:r>
      <w:r>
        <w:rPr>
          <w:rFonts w:hint="eastAsia" w:ascii="Times New Roman" w:hAnsi="Times New Roman" w:eastAsia="仿宋_GB2312"/>
          <w:sz w:val="24"/>
          <w:szCs w:val="24"/>
          <w:u w:val="single"/>
        </w:rPr>
        <w:t xml:space="preserve">    </w:t>
      </w:r>
      <w:r>
        <w:rPr>
          <w:rFonts w:hint="eastAsia" w:ascii="仿宋" w:hAnsi="仿宋" w:eastAsia="仿宋" w:cs="仿宋"/>
          <w:color w:val="000000"/>
          <w:sz w:val="24"/>
          <w:szCs w:val="24"/>
          <w:u w:val="single"/>
        </w:rPr>
        <w:t xml:space="preserve">/  </w:t>
      </w:r>
      <w:r>
        <w:rPr>
          <w:rFonts w:ascii="Times New Roman" w:hAnsi="Times New Roman" w:eastAsia="仿宋_GB2312"/>
          <w:color w:val="000000"/>
          <w:sz w:val="24"/>
          <w:szCs w:val="24"/>
        </w:rPr>
        <w:t>。</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Start w:id="280" w:name="_Toc297120461"/>
      <w:bookmarkStart w:id="281" w:name="_Toc296890989"/>
      <w:bookmarkStart w:id="282" w:name="_Toc300934947"/>
      <w:bookmarkStart w:id="283" w:name="_Toc296347160"/>
      <w:bookmarkStart w:id="284" w:name="_Toc297048347"/>
      <w:bookmarkStart w:id="285" w:name="_Toc296346662"/>
      <w:bookmarkStart w:id="286" w:name="_Toc304295525"/>
      <w:bookmarkStart w:id="287" w:name="_Toc297216153"/>
      <w:bookmarkStart w:id="288" w:name="_Toc303539104"/>
      <w:bookmarkStart w:id="289" w:name="_Toc296891201"/>
      <w:bookmarkStart w:id="290" w:name="_Toc296503161"/>
      <w:bookmarkStart w:id="291" w:name="_Toc296944500"/>
      <w:bookmarkStart w:id="292" w:name="_Toc297123494"/>
    </w:p>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14:paraId="67C6C027">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3</w:t>
      </w:r>
      <w:bookmarkStart w:id="293" w:name="_Toc312677990"/>
      <w:bookmarkStart w:id="294" w:name="_Toc318581159"/>
      <w:r>
        <w:rPr>
          <w:rFonts w:ascii="Times New Roman" w:hAnsi="Times New Roman" w:eastAsia="仿宋_GB2312"/>
          <w:sz w:val="24"/>
          <w:szCs w:val="24"/>
        </w:rPr>
        <w:t>.5.2</w:t>
      </w:r>
      <w:r>
        <w:rPr>
          <w:rFonts w:hint="eastAsia" w:ascii="Times New Roman" w:hAnsi="Times New Roman" w:eastAsia="仿宋_GB2312"/>
          <w:sz w:val="24"/>
          <w:szCs w:val="24"/>
        </w:rPr>
        <w:t xml:space="preserve"> </w:t>
      </w:r>
      <w:r>
        <w:rPr>
          <w:rFonts w:ascii="Times New Roman" w:hAnsi="Times New Roman" w:eastAsia="仿宋_GB2312"/>
          <w:sz w:val="24"/>
          <w:szCs w:val="24"/>
        </w:rPr>
        <w:t>分包的确定</w:t>
      </w:r>
    </w:p>
    <w:p w14:paraId="7AC92F85">
      <w:pPr>
        <w:spacing w:line="540" w:lineRule="exact"/>
        <w:ind w:firstLine="480" w:firstLineChars="200"/>
        <w:rPr>
          <w:rFonts w:ascii="Times New Roman" w:hAnsi="Times New Roman" w:eastAsia="仿宋_GB2312"/>
          <w:color w:val="000000"/>
          <w:sz w:val="24"/>
          <w:szCs w:val="24"/>
        </w:rPr>
      </w:pPr>
      <w:r>
        <w:rPr>
          <w:rFonts w:hint="eastAsia" w:ascii="Times New Roman" w:hAnsi="Times New Roman" w:eastAsia="仿宋_GB2312"/>
          <w:sz w:val="24"/>
          <w:szCs w:val="24"/>
        </w:rPr>
        <w:t>允许分包的专业工程包括</w:t>
      </w:r>
      <w:r>
        <w:rPr>
          <w:rFonts w:ascii="Times New Roman" w:hAnsi="Times New Roman" w:eastAsia="仿宋_GB2312"/>
          <w:color w:val="000000"/>
          <w:sz w:val="24"/>
          <w:szCs w:val="24"/>
        </w:rPr>
        <w:t>：</w:t>
      </w:r>
      <w:r>
        <w:rPr>
          <w:rFonts w:hint="eastAsia" w:ascii="Times New Roman" w:hAnsi="Times New Roman" w:eastAsia="仿宋_GB2312"/>
          <w:sz w:val="24"/>
          <w:szCs w:val="24"/>
          <w:u w:val="single"/>
        </w:rPr>
        <w:t xml:space="preserve">    </w:t>
      </w:r>
      <w:r>
        <w:rPr>
          <w:rFonts w:hint="eastAsia" w:ascii="仿宋" w:hAnsi="仿宋" w:eastAsia="仿宋" w:cs="仿宋"/>
          <w:color w:val="000000"/>
          <w:sz w:val="24"/>
          <w:szCs w:val="24"/>
          <w:u w:val="single"/>
        </w:rPr>
        <w:t xml:space="preserve">/  </w:t>
      </w:r>
      <w:r>
        <w:rPr>
          <w:rFonts w:ascii="Times New Roman" w:hAnsi="Times New Roman" w:eastAsia="仿宋_GB2312"/>
          <w:color w:val="000000"/>
          <w:sz w:val="24"/>
          <w:szCs w:val="24"/>
        </w:rPr>
        <w:t>。</w:t>
      </w:r>
    </w:p>
    <w:p w14:paraId="24E7D207">
      <w:pPr>
        <w:spacing w:line="540" w:lineRule="exact"/>
        <w:ind w:firstLine="480" w:firstLineChars="200"/>
        <w:rPr>
          <w:rFonts w:ascii="楷体" w:hAnsi="楷体" w:eastAsia="楷体" w:cs="楷体"/>
          <w:color w:val="000000"/>
          <w:sz w:val="24"/>
          <w:szCs w:val="24"/>
          <w:u w:val="single"/>
        </w:rPr>
      </w:pPr>
      <w:r>
        <w:rPr>
          <w:rFonts w:hint="eastAsia" w:ascii="Times New Roman" w:hAnsi="Times New Roman" w:eastAsia="仿宋_GB2312"/>
          <w:color w:val="000000"/>
          <w:sz w:val="24"/>
          <w:szCs w:val="24"/>
        </w:rPr>
        <w:t>其他关于分包的约定：</w:t>
      </w:r>
      <w:r>
        <w:rPr>
          <w:rFonts w:hint="eastAsia" w:ascii="Times New Roman" w:hAnsi="Times New Roman" w:eastAsia="仿宋_GB2312"/>
          <w:sz w:val="24"/>
          <w:szCs w:val="24"/>
          <w:u w:val="single"/>
        </w:rPr>
        <w:t xml:space="preserve">    </w:t>
      </w:r>
      <w:r>
        <w:rPr>
          <w:rFonts w:hint="eastAsia" w:ascii="仿宋" w:hAnsi="仿宋" w:eastAsia="仿宋" w:cs="仿宋"/>
          <w:color w:val="000000"/>
          <w:sz w:val="24"/>
          <w:szCs w:val="24"/>
          <w:u w:val="single"/>
        </w:rPr>
        <w:t xml:space="preserve">/  </w:t>
      </w:r>
      <w:r>
        <w:rPr>
          <w:rFonts w:ascii="Times New Roman" w:hAnsi="Times New Roman" w:eastAsia="仿宋_GB2312"/>
          <w:color w:val="000000"/>
          <w:sz w:val="24"/>
          <w:szCs w:val="24"/>
        </w:rPr>
        <w:t>。</w:t>
      </w:r>
    </w:p>
    <w:bookmarkEnd w:id="293"/>
    <w:bookmarkEnd w:id="294"/>
    <w:p w14:paraId="2E6F3611">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3.6 工程照管与成品、半成品保护</w:t>
      </w:r>
    </w:p>
    <w:p w14:paraId="31D5F19D">
      <w:pPr>
        <w:spacing w:line="540" w:lineRule="exact"/>
        <w:ind w:firstLine="480" w:firstLineChars="200"/>
        <w:rPr>
          <w:rFonts w:ascii="楷体_GB2312" w:hAnsi="Times New Roman" w:eastAsia="楷体_GB2312"/>
          <w:color w:val="000000"/>
          <w:sz w:val="24"/>
          <w:szCs w:val="24"/>
          <w:u w:val="single"/>
        </w:rPr>
      </w:pPr>
      <w:r>
        <w:rPr>
          <w:rFonts w:ascii="Times New Roman" w:hAnsi="Times New Roman" w:eastAsia="仿宋_GB2312"/>
          <w:color w:val="000000"/>
          <w:sz w:val="24"/>
          <w:szCs w:val="24"/>
        </w:rPr>
        <w:t>承包人负责照管工程及工程相关的材料、工程设备的起始时间：</w:t>
      </w:r>
      <w:r>
        <w:rPr>
          <w:rFonts w:hint="eastAsia" w:ascii="仿宋" w:hAnsi="仿宋" w:eastAsia="仿宋" w:cs="仿宋"/>
          <w:color w:val="000000"/>
          <w:sz w:val="24"/>
          <w:szCs w:val="24"/>
          <w:u w:val="single"/>
        </w:rPr>
        <w:t>执行通用条款</w:t>
      </w:r>
      <w:r>
        <w:rPr>
          <w:rFonts w:hint="eastAsia" w:ascii="楷体_GB2312" w:hAnsi="Times New Roman" w:eastAsia="楷体_GB2312"/>
          <w:color w:val="000000"/>
          <w:sz w:val="24"/>
          <w:szCs w:val="24"/>
        </w:rPr>
        <w:t>。</w:t>
      </w:r>
    </w:p>
    <w:p w14:paraId="02F02FD3">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3.7 履约担保</w:t>
      </w:r>
    </w:p>
    <w:p w14:paraId="7C32E06E">
      <w:pPr>
        <w:spacing w:line="540" w:lineRule="exact"/>
        <w:ind w:firstLine="420" w:firstLineChars="175"/>
        <w:rPr>
          <w:rFonts w:ascii="Times New Roman" w:hAnsi="Times New Roman" w:eastAsia="仿宋_GB2312"/>
          <w:color w:val="000000"/>
          <w:sz w:val="24"/>
          <w:szCs w:val="24"/>
        </w:rPr>
      </w:pPr>
      <w:r>
        <w:rPr>
          <w:rFonts w:hint="eastAsia" w:ascii="Times New Roman" w:hAnsi="Times New Roman" w:eastAsia="仿宋_GB2312"/>
          <w:color w:val="000000"/>
          <w:sz w:val="24"/>
          <w:szCs w:val="24"/>
        </w:rPr>
        <w:t>承包人是否提供履约担保：</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rPr>
        <w:t>/</w:t>
      </w:r>
      <w:r>
        <w:rPr>
          <w:rFonts w:hint="eastAsia" w:ascii="仿宋" w:hAnsi="仿宋" w:eastAsia="仿宋" w:cs="仿宋"/>
          <w:color w:val="000000"/>
          <w:sz w:val="24"/>
          <w:szCs w:val="24"/>
          <w:u w:val="single"/>
        </w:rPr>
        <w:t xml:space="preserve">  </w:t>
      </w:r>
      <w:r>
        <w:rPr>
          <w:rFonts w:ascii="Times New Roman" w:hAnsi="Times New Roman" w:eastAsia="仿宋_GB2312"/>
          <w:color w:val="000000"/>
          <w:sz w:val="24"/>
          <w:szCs w:val="24"/>
        </w:rPr>
        <w:t>。</w:t>
      </w:r>
    </w:p>
    <w:p w14:paraId="74B52969">
      <w:pPr>
        <w:spacing w:line="540" w:lineRule="exact"/>
        <w:ind w:firstLine="420" w:firstLineChars="175"/>
        <w:rPr>
          <w:rFonts w:ascii="Times New Roman" w:hAnsi="Times New Roman" w:eastAsia="仿宋_GB2312"/>
          <w:color w:val="000000"/>
          <w:sz w:val="24"/>
          <w:szCs w:val="24"/>
        </w:rPr>
      </w:pPr>
      <w:r>
        <w:rPr>
          <w:rFonts w:ascii="Times New Roman" w:hAnsi="Times New Roman" w:eastAsia="仿宋_GB2312"/>
          <w:color w:val="000000"/>
          <w:sz w:val="24"/>
          <w:szCs w:val="24"/>
        </w:rPr>
        <w:t>承包人提供履约担保的形式</w:t>
      </w:r>
      <w:r>
        <w:rPr>
          <w:rFonts w:hint="eastAsia" w:ascii="Times New Roman" w:hAnsi="Times New Roman" w:eastAsia="仿宋_GB2312"/>
          <w:color w:val="000000"/>
          <w:sz w:val="24"/>
          <w:szCs w:val="24"/>
        </w:rPr>
        <w:t>、金额及期限的</w:t>
      </w:r>
      <w:r>
        <w:rPr>
          <w:rFonts w:ascii="Times New Roman" w:hAnsi="Times New Roman" w:eastAsia="仿宋_GB2312"/>
          <w:color w:val="000000"/>
          <w:sz w:val="24"/>
          <w:szCs w:val="24"/>
        </w:rPr>
        <w:t>：</w:t>
      </w:r>
      <w:r>
        <w:rPr>
          <w:rFonts w:hint="eastAsia" w:ascii="楷体_GB2312" w:hAnsi="Times New Roman" w:eastAsia="楷体_GB2312"/>
          <w:color w:val="000000"/>
          <w:sz w:val="24"/>
          <w:szCs w:val="24"/>
          <w:u w:val="single"/>
        </w:rPr>
        <w:t xml:space="preserve">  /  </w:t>
      </w:r>
      <w:r>
        <w:rPr>
          <w:rFonts w:ascii="Times New Roman" w:hAnsi="Times New Roman" w:eastAsia="仿宋_GB2312"/>
          <w:color w:val="000000"/>
          <w:sz w:val="24"/>
          <w:szCs w:val="24"/>
        </w:rPr>
        <w:t>。</w:t>
      </w:r>
    </w:p>
    <w:p w14:paraId="0ED39500">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295" w:name="_Toc8772"/>
      <w:bookmarkStart w:id="296" w:name="_Toc8459"/>
      <w:bookmarkStart w:id="297" w:name="_Toc2071"/>
      <w:bookmarkStart w:id="298" w:name="_Toc351203636"/>
      <w:bookmarkStart w:id="299" w:name="_Toc32038"/>
      <w:r>
        <w:rPr>
          <w:rFonts w:ascii="Times New Roman" w:hAnsi="Times New Roman"/>
          <w:bCs w:val="0"/>
          <w:color w:val="000000"/>
          <w:sz w:val="24"/>
          <w:szCs w:val="24"/>
        </w:rPr>
        <w:t>4</w:t>
      </w:r>
      <w:bookmarkStart w:id="300" w:name="_Toc296890990"/>
      <w:bookmarkStart w:id="301" w:name="_Toc296347161"/>
      <w:bookmarkStart w:id="302" w:name="_Toc292559871"/>
      <w:bookmarkStart w:id="303" w:name="_Toc296891202"/>
      <w:bookmarkStart w:id="304" w:name="_Toc296503162"/>
      <w:bookmarkStart w:id="305" w:name="_Toc292559366"/>
      <w:bookmarkStart w:id="306" w:name="_Toc296346663"/>
      <w:bookmarkStart w:id="307" w:name="_Toc267251413"/>
      <w:bookmarkStart w:id="308" w:name="_Toc297048348"/>
      <w:bookmarkStart w:id="309" w:name="_Toc296944501"/>
      <w:bookmarkStart w:id="310" w:name="_Toc297120462"/>
      <w:r>
        <w:rPr>
          <w:rFonts w:ascii="Times New Roman" w:hAnsi="Times New Roman"/>
          <w:bCs w:val="0"/>
          <w:color w:val="000000"/>
          <w:sz w:val="24"/>
          <w:szCs w:val="24"/>
        </w:rPr>
        <w:t>. 监</w:t>
      </w:r>
      <w:bookmarkEnd w:id="300"/>
      <w:bookmarkEnd w:id="301"/>
      <w:bookmarkEnd w:id="302"/>
      <w:bookmarkEnd w:id="303"/>
      <w:bookmarkEnd w:id="304"/>
      <w:bookmarkEnd w:id="305"/>
      <w:bookmarkEnd w:id="306"/>
      <w:bookmarkEnd w:id="307"/>
      <w:bookmarkEnd w:id="308"/>
      <w:bookmarkEnd w:id="309"/>
      <w:bookmarkEnd w:id="310"/>
      <w:r>
        <w:rPr>
          <w:rFonts w:ascii="Times New Roman" w:hAnsi="Times New Roman"/>
          <w:bCs w:val="0"/>
          <w:color w:val="000000"/>
          <w:sz w:val="24"/>
          <w:szCs w:val="24"/>
        </w:rPr>
        <w:t>理人</w:t>
      </w:r>
      <w:bookmarkEnd w:id="295"/>
      <w:bookmarkEnd w:id="296"/>
      <w:bookmarkEnd w:id="297"/>
      <w:bookmarkEnd w:id="298"/>
      <w:bookmarkEnd w:id="299"/>
    </w:p>
    <w:p w14:paraId="24D6C70C">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4.1监理人的一般规定</w:t>
      </w:r>
    </w:p>
    <w:p w14:paraId="38766D8B">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关于监理人的监理内容：</w:t>
      </w:r>
      <w:r>
        <w:rPr>
          <w:rFonts w:hint="eastAsia" w:ascii="仿宋" w:hAnsi="仿宋" w:eastAsia="仿宋" w:cs="仿宋"/>
          <w:color w:val="000000"/>
          <w:sz w:val="24"/>
          <w:szCs w:val="24"/>
          <w:u w:val="single"/>
        </w:rPr>
        <w:t>详见监理合同</w:t>
      </w:r>
      <w:r>
        <w:rPr>
          <w:rFonts w:ascii="Times New Roman" w:hAnsi="Times New Roman" w:eastAsia="仿宋_GB2312"/>
          <w:color w:val="000000"/>
          <w:sz w:val="24"/>
          <w:szCs w:val="24"/>
        </w:rPr>
        <w:t>。</w:t>
      </w:r>
    </w:p>
    <w:p w14:paraId="0432611D">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关于监理人的监理权限：</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 xml:space="preserve">。 </w:t>
      </w:r>
    </w:p>
    <w:p w14:paraId="75F0F073">
      <w:pPr>
        <w:spacing w:line="540" w:lineRule="exact"/>
        <w:ind w:firstLine="420" w:firstLineChars="175"/>
        <w:rPr>
          <w:rFonts w:ascii="Times New Roman" w:hAnsi="Times New Roman" w:eastAsia="仿宋_GB2312"/>
          <w:color w:val="000000"/>
          <w:sz w:val="24"/>
          <w:szCs w:val="24"/>
        </w:rPr>
      </w:pPr>
      <w:r>
        <w:rPr>
          <w:rFonts w:ascii="Times New Roman" w:hAnsi="Times New Roman" w:eastAsia="仿宋_GB2312"/>
          <w:color w:val="000000"/>
          <w:sz w:val="24"/>
          <w:szCs w:val="24"/>
        </w:rPr>
        <w:t>关于监理人在施工现场的办公场所、生活场所的提供和费用承担的约定：</w:t>
      </w:r>
      <w:r>
        <w:rPr>
          <w:rFonts w:hint="eastAsia" w:ascii="仿宋" w:hAnsi="仿宋" w:eastAsia="仿宋" w:cs="仿宋"/>
          <w:color w:val="000000"/>
          <w:sz w:val="24"/>
          <w:szCs w:val="24"/>
          <w:u w:val="single"/>
        </w:rPr>
        <w:t>由承包人提供，费用由发包人承担</w:t>
      </w:r>
      <w:r>
        <w:rPr>
          <w:rFonts w:ascii="Times New Roman" w:hAnsi="Times New Roman" w:eastAsia="仿宋_GB2312"/>
          <w:color w:val="000000"/>
          <w:sz w:val="24"/>
          <w:szCs w:val="24"/>
        </w:rPr>
        <w:t>。</w:t>
      </w:r>
    </w:p>
    <w:p w14:paraId="3CD73548">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4.2 监理人员</w:t>
      </w:r>
      <w:r>
        <w:rPr>
          <w:rFonts w:hint="eastAsia" w:ascii="Times New Roman" w:hAnsi="Times New Roman" w:eastAsia="黑体"/>
          <w:color w:val="000000"/>
          <w:sz w:val="24"/>
          <w:szCs w:val="24"/>
        </w:rPr>
        <w:t xml:space="preserve">   </w:t>
      </w:r>
      <w:r>
        <w:rPr>
          <w:rFonts w:hint="eastAsia" w:ascii="仿宋" w:hAnsi="仿宋" w:eastAsia="仿宋" w:cs="仿宋"/>
          <w:color w:val="000000"/>
          <w:sz w:val="24"/>
          <w:szCs w:val="24"/>
          <w:u w:val="single"/>
        </w:rPr>
        <w:t>详见监理合同</w:t>
      </w:r>
      <w:r>
        <w:rPr>
          <w:rFonts w:hint="eastAsia" w:ascii="Times New Roman" w:hAnsi="Times New Roman" w:eastAsia="仿宋_GB2312"/>
          <w:color w:val="000000"/>
          <w:sz w:val="24"/>
          <w:szCs w:val="24"/>
        </w:rPr>
        <w:t>。</w:t>
      </w:r>
    </w:p>
    <w:p w14:paraId="7C2FD425">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4.</w:t>
      </w:r>
      <w:r>
        <w:rPr>
          <w:rFonts w:hint="eastAsia" w:ascii="Times New Roman" w:hAnsi="Times New Roman" w:eastAsia="黑体"/>
          <w:color w:val="000000"/>
          <w:sz w:val="24"/>
          <w:szCs w:val="24"/>
          <w:lang w:val="en-US"/>
        </w:rPr>
        <w:t>3</w:t>
      </w:r>
      <w:r>
        <w:rPr>
          <w:rFonts w:ascii="Times New Roman" w:hAnsi="Times New Roman" w:eastAsia="黑体"/>
          <w:color w:val="000000"/>
          <w:sz w:val="24"/>
          <w:szCs w:val="24"/>
        </w:rPr>
        <w:t xml:space="preserve"> 商定或确定</w:t>
      </w:r>
    </w:p>
    <w:p w14:paraId="39C41649">
      <w:pPr>
        <w:spacing w:line="540" w:lineRule="exact"/>
        <w:ind w:firstLine="480" w:firstLineChars="200"/>
        <w:rPr>
          <w:rFonts w:ascii="Times New Roman" w:hAnsi="Times New Roman" w:eastAsia="仿宋_GB2312"/>
          <w:color w:val="000000"/>
          <w:sz w:val="24"/>
          <w:szCs w:val="24"/>
        </w:rPr>
      </w:pPr>
      <w:bookmarkStart w:id="311" w:name="_Toc267251418"/>
      <w:r>
        <w:rPr>
          <w:rFonts w:ascii="Times New Roman" w:hAnsi="Times New Roman" w:eastAsia="仿宋_GB2312"/>
          <w:color w:val="000000"/>
          <w:sz w:val="24"/>
          <w:szCs w:val="24"/>
        </w:rPr>
        <w:t>在发包人和承包人不能通过协商达成一致意见时，发包人授权监理人对以下事项进行确定：</w:t>
      </w:r>
      <w:r>
        <w:rPr>
          <w:rFonts w:hint="eastAsia" w:ascii="仿宋" w:hAnsi="仿宋" w:eastAsia="仿宋" w:cs="仿宋"/>
          <w:color w:val="000000"/>
          <w:sz w:val="24"/>
          <w:szCs w:val="24"/>
          <w:u w:val="single"/>
        </w:rPr>
        <w:t>涉及到工程质量、进度、造价、安全等重要因素的技术性问题</w:t>
      </w:r>
      <w:r>
        <w:rPr>
          <w:rFonts w:ascii="Times New Roman" w:hAnsi="Times New Roman" w:eastAsia="仿宋_GB2312"/>
          <w:color w:val="000000"/>
          <w:sz w:val="24"/>
          <w:szCs w:val="24"/>
        </w:rPr>
        <w:t>。</w:t>
      </w:r>
    </w:p>
    <w:p w14:paraId="738879F3">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312" w:name="_Toc973"/>
      <w:bookmarkStart w:id="313" w:name="_Toc22668"/>
      <w:bookmarkStart w:id="314" w:name="_Toc29456"/>
      <w:bookmarkStart w:id="315" w:name="_Toc15081"/>
      <w:bookmarkStart w:id="316" w:name="_Toc351203637"/>
      <w:r>
        <w:rPr>
          <w:rFonts w:ascii="Times New Roman" w:hAnsi="Times New Roman"/>
          <w:bCs w:val="0"/>
          <w:color w:val="000000"/>
          <w:sz w:val="24"/>
          <w:szCs w:val="24"/>
        </w:rPr>
        <w:t>5</w:t>
      </w:r>
      <w:bookmarkEnd w:id="311"/>
      <w:bookmarkStart w:id="317" w:name="_Toc296503163"/>
      <w:bookmarkStart w:id="318" w:name="_Toc296944502"/>
      <w:bookmarkStart w:id="319" w:name="_Toc292559872"/>
      <w:bookmarkStart w:id="320" w:name="_Toc296890991"/>
      <w:bookmarkStart w:id="321" w:name="_Toc296891203"/>
      <w:bookmarkStart w:id="322" w:name="_Toc297120463"/>
      <w:bookmarkStart w:id="323" w:name="_Toc296347162"/>
      <w:bookmarkStart w:id="324" w:name="_Toc292559367"/>
      <w:bookmarkStart w:id="325" w:name="_Toc297048349"/>
      <w:bookmarkStart w:id="326" w:name="_Toc296346664"/>
      <w:r>
        <w:rPr>
          <w:rFonts w:ascii="Times New Roman" w:hAnsi="Times New Roman"/>
          <w:bCs w:val="0"/>
          <w:color w:val="000000"/>
          <w:sz w:val="24"/>
          <w:szCs w:val="24"/>
        </w:rPr>
        <w:t>. 工程质量</w:t>
      </w:r>
      <w:bookmarkEnd w:id="312"/>
      <w:bookmarkEnd w:id="313"/>
      <w:bookmarkEnd w:id="314"/>
      <w:bookmarkEnd w:id="315"/>
      <w:bookmarkEnd w:id="316"/>
    </w:p>
    <w:p w14:paraId="7C70F253">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5.1 质量要求</w:t>
      </w:r>
    </w:p>
    <w:p w14:paraId="21B17B50">
      <w:pPr>
        <w:spacing w:line="540" w:lineRule="exact"/>
        <w:ind w:firstLine="504" w:firstLineChars="210"/>
        <w:rPr>
          <w:rFonts w:ascii="Times New Roman" w:hAnsi="Times New Roman" w:eastAsia="仿宋_GB2312"/>
          <w:sz w:val="24"/>
          <w:szCs w:val="24"/>
        </w:rPr>
      </w:pPr>
      <w:r>
        <w:rPr>
          <w:rFonts w:ascii="Times New Roman" w:hAnsi="Times New Roman" w:eastAsia="仿宋_GB2312"/>
          <w:sz w:val="24"/>
          <w:szCs w:val="24"/>
        </w:rPr>
        <w:t>5</w:t>
      </w:r>
      <w:bookmarkStart w:id="327" w:name="_Toc312677997"/>
      <w:bookmarkStart w:id="328" w:name="_Toc303539106"/>
      <w:bookmarkStart w:id="329" w:name="_Toc297123496"/>
      <w:bookmarkStart w:id="330" w:name="_Toc304295527"/>
      <w:bookmarkStart w:id="331" w:name="_Toc300934949"/>
      <w:bookmarkStart w:id="332" w:name="_Toc297216155"/>
      <w:bookmarkStart w:id="333" w:name="_Toc318581164"/>
      <w:r>
        <w:rPr>
          <w:rFonts w:ascii="Times New Roman" w:hAnsi="Times New Roman" w:eastAsia="仿宋_GB2312"/>
          <w:sz w:val="24"/>
          <w:szCs w:val="24"/>
        </w:rPr>
        <w:t>.1.1 特殊质量标准和要求：</w:t>
      </w:r>
      <w:r>
        <w:rPr>
          <w:rFonts w:hint="eastAsia" w:ascii="楷体_GB2312" w:hAnsi="Times New Roman" w:eastAsia="楷体_GB2312"/>
          <w:sz w:val="24"/>
          <w:szCs w:val="24"/>
          <w:u w:val="single"/>
        </w:rPr>
        <w:t xml:space="preserve">  /  </w:t>
      </w:r>
      <w:r>
        <w:rPr>
          <w:rFonts w:ascii="Times New Roman" w:hAnsi="Times New Roman" w:eastAsia="仿宋_GB2312"/>
          <w:sz w:val="24"/>
          <w:szCs w:val="24"/>
        </w:rPr>
        <w:t>。</w:t>
      </w:r>
    </w:p>
    <w:p w14:paraId="22CF5658">
      <w:pPr>
        <w:spacing w:line="540" w:lineRule="exact"/>
        <w:ind w:firstLine="504" w:firstLineChars="210"/>
        <w:rPr>
          <w:rFonts w:ascii="Times New Roman" w:hAnsi="Times New Roman" w:eastAsia="仿宋_GB2312"/>
          <w:sz w:val="24"/>
          <w:szCs w:val="24"/>
        </w:rPr>
      </w:pPr>
      <w:r>
        <w:rPr>
          <w:rFonts w:hint="eastAsia" w:ascii="Times New Roman" w:hAnsi="Times New Roman" w:eastAsia="仿宋_GB2312"/>
          <w:sz w:val="24"/>
          <w:szCs w:val="24"/>
          <w:lang w:val="en-US"/>
        </w:rPr>
        <w:t xml:space="preserve">5.1.2 </w:t>
      </w:r>
      <w:r>
        <w:rPr>
          <w:rFonts w:hint="eastAsia" w:ascii="Times New Roman" w:hAnsi="Times New Roman" w:eastAsia="仿宋_GB2312"/>
          <w:sz w:val="24"/>
          <w:szCs w:val="24"/>
        </w:rPr>
        <w:t>关于工程奖项的约定：</w:t>
      </w:r>
      <w:r>
        <w:rPr>
          <w:rFonts w:hint="eastAsia" w:ascii="Times New Roman" w:hAnsi="Times New Roman" w:eastAsia="仿宋_GB2312"/>
          <w:sz w:val="24"/>
          <w:szCs w:val="24"/>
          <w:u w:val="single"/>
        </w:rPr>
        <w:t xml:space="preserve">  /  </w:t>
      </w:r>
      <w:r>
        <w:rPr>
          <w:rFonts w:hint="eastAsia" w:ascii="Times New Roman" w:hAnsi="Times New Roman" w:eastAsia="仿宋_GB2312"/>
          <w:sz w:val="24"/>
          <w:szCs w:val="24"/>
        </w:rPr>
        <w:t>。</w:t>
      </w:r>
    </w:p>
    <w:p w14:paraId="76FF4392">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5.</w:t>
      </w:r>
      <w:r>
        <w:rPr>
          <w:rFonts w:hint="eastAsia" w:ascii="Times New Roman" w:hAnsi="Times New Roman" w:eastAsia="黑体"/>
          <w:color w:val="000000"/>
          <w:sz w:val="24"/>
          <w:szCs w:val="24"/>
          <w:lang w:val="en-US"/>
        </w:rPr>
        <w:t>2</w:t>
      </w:r>
      <w:r>
        <w:rPr>
          <w:rFonts w:ascii="Times New Roman" w:hAnsi="Times New Roman" w:eastAsia="黑体"/>
          <w:color w:val="000000"/>
          <w:sz w:val="24"/>
          <w:szCs w:val="24"/>
        </w:rPr>
        <w:t xml:space="preserve"> 隐蔽工程检查</w:t>
      </w:r>
    </w:p>
    <w:p w14:paraId="70FB9E18">
      <w:pPr>
        <w:spacing w:line="540" w:lineRule="exact"/>
        <w:ind w:firstLine="504" w:firstLineChars="210"/>
        <w:rPr>
          <w:rFonts w:ascii="Times New Roman" w:hAnsi="Times New Roman" w:eastAsia="仿宋_GB2312"/>
          <w:sz w:val="24"/>
          <w:szCs w:val="24"/>
        </w:rPr>
      </w:pPr>
      <w:r>
        <w:rPr>
          <w:rFonts w:ascii="Times New Roman" w:hAnsi="Times New Roman" w:eastAsia="仿宋_GB2312"/>
          <w:sz w:val="24"/>
          <w:szCs w:val="24"/>
        </w:rPr>
        <w:t>承包人提前通知监理人隐蔽工程检查的期限的约定：</w:t>
      </w:r>
      <w:r>
        <w:rPr>
          <w:rFonts w:hint="eastAsia" w:ascii="仿宋" w:hAnsi="仿宋" w:eastAsia="仿宋" w:cs="仿宋"/>
          <w:color w:val="000000"/>
          <w:sz w:val="24"/>
          <w:szCs w:val="24"/>
          <w:u w:val="single"/>
        </w:rPr>
        <w:t>共同检查前48小时，书面通知</w:t>
      </w:r>
      <w:r>
        <w:rPr>
          <w:rFonts w:hint="eastAsia" w:ascii="仿宋" w:hAnsi="仿宋" w:eastAsia="仿宋" w:cs="仿宋"/>
          <w:color w:val="000000"/>
          <w:sz w:val="24"/>
          <w:szCs w:val="24"/>
        </w:rPr>
        <w:t>。</w:t>
      </w:r>
    </w:p>
    <w:p w14:paraId="46895868">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监理人不能按时进行检查时，应提前</w:t>
      </w:r>
      <w:r>
        <w:rPr>
          <w:rFonts w:hint="eastAsia" w:ascii="Times New Roman" w:hAnsi="Times New Roman" w:eastAsia="仿宋_GB2312"/>
          <w:sz w:val="24"/>
          <w:szCs w:val="24"/>
          <w:u w:val="single"/>
        </w:rPr>
        <w:t xml:space="preserve"> </w:t>
      </w:r>
      <w:r>
        <w:rPr>
          <w:rFonts w:hint="eastAsia" w:ascii="仿宋" w:hAnsi="仿宋" w:eastAsia="仿宋" w:cs="仿宋"/>
          <w:color w:val="000000"/>
          <w:sz w:val="24"/>
          <w:szCs w:val="24"/>
          <w:u w:val="single"/>
        </w:rPr>
        <w:t xml:space="preserve">24 </w:t>
      </w:r>
      <w:r>
        <w:rPr>
          <w:rFonts w:ascii="Times New Roman" w:hAnsi="Times New Roman" w:eastAsia="仿宋_GB2312"/>
          <w:sz w:val="24"/>
          <w:szCs w:val="24"/>
        </w:rPr>
        <w:t>小时提交书面延期要求。</w:t>
      </w:r>
    </w:p>
    <w:p w14:paraId="5E3B27B4">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关于延期最长不得超过：</w:t>
      </w:r>
      <w:r>
        <w:rPr>
          <w:rFonts w:hint="eastAsia" w:ascii="仿宋" w:hAnsi="仿宋" w:eastAsia="仿宋" w:cs="仿宋"/>
          <w:color w:val="000000"/>
          <w:sz w:val="24"/>
          <w:szCs w:val="24"/>
          <w:u w:val="single"/>
        </w:rPr>
        <w:t xml:space="preserve"> 48 </w:t>
      </w:r>
      <w:r>
        <w:rPr>
          <w:rFonts w:ascii="Times New Roman" w:hAnsi="Times New Roman" w:eastAsia="仿宋_GB2312"/>
          <w:sz w:val="24"/>
          <w:szCs w:val="24"/>
        </w:rPr>
        <w:t>小时。</w:t>
      </w:r>
    </w:p>
    <w:p w14:paraId="19A9D244">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334" w:name="_Toc9295"/>
      <w:bookmarkStart w:id="335" w:name="_Toc15516"/>
      <w:bookmarkStart w:id="336" w:name="_Toc351203638"/>
      <w:bookmarkStart w:id="337" w:name="_Toc26625"/>
      <w:bookmarkStart w:id="338" w:name="_Toc4042"/>
      <w:r>
        <w:rPr>
          <w:rFonts w:ascii="Times New Roman" w:hAnsi="Times New Roman"/>
          <w:bCs w:val="0"/>
          <w:color w:val="000000"/>
          <w:sz w:val="24"/>
          <w:szCs w:val="24"/>
        </w:rPr>
        <w:t>6. 安全文明施工与环境保护</w:t>
      </w:r>
      <w:bookmarkEnd w:id="334"/>
      <w:bookmarkEnd w:id="335"/>
      <w:bookmarkEnd w:id="336"/>
      <w:bookmarkEnd w:id="337"/>
      <w:bookmarkEnd w:id="338"/>
    </w:p>
    <w:p w14:paraId="4C5624DB">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6.1安全文明施工</w:t>
      </w:r>
    </w:p>
    <w:p w14:paraId="5B44D679">
      <w:pPr>
        <w:spacing w:line="540" w:lineRule="exact"/>
        <w:ind w:firstLine="504" w:firstLineChars="210"/>
        <w:rPr>
          <w:rFonts w:ascii="Times New Roman" w:hAnsi="Times New Roman" w:eastAsia="仿宋_GB2312"/>
          <w:sz w:val="24"/>
          <w:szCs w:val="24"/>
        </w:rPr>
      </w:pPr>
      <w:r>
        <w:rPr>
          <w:rFonts w:ascii="Times New Roman" w:hAnsi="Times New Roman" w:eastAsia="仿宋_GB2312"/>
          <w:sz w:val="24"/>
          <w:szCs w:val="24"/>
        </w:rPr>
        <w:t>6.1.1</w:t>
      </w:r>
      <w:r>
        <w:rPr>
          <w:rFonts w:ascii="Times New Roman" w:hAnsi="Times New Roman" w:eastAsia="仿宋_GB2312"/>
          <w:color w:val="000000"/>
          <w:sz w:val="24"/>
          <w:szCs w:val="24"/>
        </w:rPr>
        <w:t xml:space="preserve"> 项目安全生产的达标目标及相应事项的约定：</w:t>
      </w:r>
      <w:r>
        <w:rPr>
          <w:rFonts w:hint="eastAsia" w:ascii="仿宋" w:hAnsi="仿宋" w:eastAsia="仿宋" w:cs="仿宋"/>
          <w:color w:val="000000"/>
          <w:sz w:val="24"/>
          <w:szCs w:val="24"/>
          <w:u w:val="single"/>
        </w:rPr>
        <w:t>承包方应严格按照安全文明施工的法规、规范、规定要求组织施工，同时承包方应严禁工人酒后施工，严禁高血压、恐高症患者高空作业；凡违反规定施工造成的质量、安全事故由承包方负责</w:t>
      </w:r>
      <w:r>
        <w:rPr>
          <w:rFonts w:ascii="Times New Roman" w:hAnsi="Times New Roman" w:eastAsia="仿宋_GB2312"/>
          <w:sz w:val="24"/>
          <w:szCs w:val="24"/>
        </w:rPr>
        <w:t>。</w:t>
      </w:r>
    </w:p>
    <w:p w14:paraId="2A626C86">
      <w:pPr>
        <w:spacing w:line="540" w:lineRule="exact"/>
        <w:ind w:firstLine="504" w:firstLineChars="210"/>
        <w:rPr>
          <w:rFonts w:ascii="Times New Roman" w:hAnsi="Times New Roman" w:eastAsia="仿宋_GB2312"/>
          <w:sz w:val="24"/>
          <w:szCs w:val="24"/>
        </w:rPr>
      </w:pPr>
      <w:r>
        <w:rPr>
          <w:rFonts w:ascii="Times New Roman" w:hAnsi="Times New Roman" w:eastAsia="仿宋_GB2312"/>
          <w:sz w:val="24"/>
          <w:szCs w:val="24"/>
        </w:rPr>
        <w:t>6.1.</w:t>
      </w:r>
      <w:r>
        <w:rPr>
          <w:rFonts w:hint="eastAsia" w:ascii="Times New Roman" w:hAnsi="Times New Roman" w:eastAsia="仿宋_GB2312"/>
          <w:sz w:val="24"/>
          <w:szCs w:val="24"/>
          <w:lang w:val="en-US"/>
        </w:rPr>
        <w:t>2</w:t>
      </w:r>
      <w:r>
        <w:rPr>
          <w:rFonts w:ascii="Times New Roman" w:hAnsi="Times New Roman" w:eastAsia="仿宋_GB2312"/>
          <w:sz w:val="24"/>
          <w:szCs w:val="24"/>
        </w:rPr>
        <w:t xml:space="preserve"> 关于治安保卫的特别约定：</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p>
    <w:p w14:paraId="09B3D602">
      <w:pPr>
        <w:spacing w:line="540" w:lineRule="exact"/>
        <w:ind w:firstLine="504" w:firstLineChars="210"/>
        <w:rPr>
          <w:rFonts w:ascii="Times New Roman" w:hAnsi="Times New Roman" w:eastAsia="仿宋_GB2312"/>
          <w:sz w:val="24"/>
          <w:szCs w:val="24"/>
        </w:rPr>
      </w:pPr>
      <w:r>
        <w:rPr>
          <w:rFonts w:ascii="Times New Roman" w:hAnsi="Times New Roman" w:eastAsia="仿宋_GB2312"/>
          <w:sz w:val="24"/>
          <w:szCs w:val="24"/>
        </w:rPr>
        <w:t>关于编制施工场地治安管理计划的约定：</w:t>
      </w:r>
      <w:r>
        <w:rPr>
          <w:rFonts w:hint="eastAsia" w:ascii="仿宋" w:hAnsi="仿宋" w:eastAsia="仿宋" w:cs="仿宋"/>
          <w:color w:val="000000"/>
          <w:sz w:val="24"/>
          <w:szCs w:val="24"/>
          <w:u w:val="single"/>
        </w:rPr>
        <w:t>开工前提供施工场地治安管理方案或计划</w:t>
      </w:r>
      <w:r>
        <w:rPr>
          <w:rFonts w:ascii="Times New Roman" w:hAnsi="Times New Roman" w:eastAsia="仿宋_GB2312"/>
          <w:sz w:val="24"/>
          <w:szCs w:val="24"/>
        </w:rPr>
        <w:t>。</w:t>
      </w:r>
    </w:p>
    <w:p w14:paraId="5F3557D0">
      <w:pPr>
        <w:spacing w:line="540" w:lineRule="exact"/>
        <w:ind w:firstLine="504" w:firstLineChars="210"/>
        <w:rPr>
          <w:rFonts w:ascii="Times New Roman" w:hAnsi="Times New Roman" w:eastAsia="仿宋_GB2312"/>
          <w:sz w:val="24"/>
          <w:szCs w:val="24"/>
        </w:rPr>
      </w:pPr>
      <w:r>
        <w:rPr>
          <w:rFonts w:hint="eastAsia" w:ascii="Times New Roman" w:hAnsi="Times New Roman" w:eastAsia="仿宋_GB2312"/>
          <w:sz w:val="24"/>
          <w:szCs w:val="24"/>
        </w:rPr>
        <w:t>6.1.</w:t>
      </w:r>
      <w:r>
        <w:rPr>
          <w:rFonts w:hint="eastAsia" w:ascii="Times New Roman" w:hAnsi="Times New Roman" w:eastAsia="仿宋_GB2312"/>
          <w:sz w:val="24"/>
          <w:szCs w:val="24"/>
          <w:lang w:val="en-US"/>
        </w:rPr>
        <w:t>3</w:t>
      </w:r>
      <w:r>
        <w:rPr>
          <w:rFonts w:hint="eastAsia" w:ascii="Times New Roman" w:hAnsi="Times New Roman" w:eastAsia="仿宋_GB2312"/>
          <w:sz w:val="24"/>
          <w:szCs w:val="24"/>
        </w:rPr>
        <w:t xml:space="preserve"> 文明施工：</w:t>
      </w:r>
      <w:r>
        <w:rPr>
          <w:rFonts w:hint="eastAsia" w:ascii="仿宋" w:hAnsi="仿宋" w:eastAsia="仿宋" w:cs="仿宋"/>
          <w:color w:val="000000"/>
          <w:sz w:val="24"/>
          <w:szCs w:val="24"/>
          <w:u w:val="single"/>
        </w:rPr>
        <w:t>执行通用条款</w:t>
      </w:r>
      <w:r>
        <w:rPr>
          <w:rFonts w:hint="eastAsia" w:ascii="Times New Roman" w:hAnsi="Times New Roman" w:eastAsia="仿宋_GB2312"/>
          <w:sz w:val="24"/>
          <w:szCs w:val="24"/>
        </w:rPr>
        <w:t>。</w:t>
      </w:r>
    </w:p>
    <w:bookmarkEnd w:id="327"/>
    <w:bookmarkEnd w:id="328"/>
    <w:bookmarkEnd w:id="329"/>
    <w:bookmarkEnd w:id="330"/>
    <w:bookmarkEnd w:id="331"/>
    <w:bookmarkEnd w:id="332"/>
    <w:bookmarkEnd w:id="333"/>
    <w:p w14:paraId="331A5AA7">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339" w:name="_Toc18367"/>
      <w:bookmarkStart w:id="340" w:name="_Toc9370"/>
      <w:bookmarkStart w:id="341" w:name="_Toc1128"/>
      <w:bookmarkStart w:id="342" w:name="_Toc351203639"/>
      <w:bookmarkStart w:id="343" w:name="_Toc3235"/>
      <w:r>
        <w:rPr>
          <w:rFonts w:ascii="Times New Roman" w:hAnsi="Times New Roman"/>
          <w:bCs w:val="0"/>
          <w:color w:val="000000"/>
          <w:sz w:val="24"/>
          <w:szCs w:val="24"/>
        </w:rPr>
        <w:t>7. 工期和进度</w:t>
      </w:r>
      <w:bookmarkEnd w:id="339"/>
      <w:bookmarkEnd w:id="340"/>
      <w:bookmarkEnd w:id="341"/>
      <w:bookmarkEnd w:id="342"/>
      <w:bookmarkEnd w:id="343"/>
    </w:p>
    <w:p w14:paraId="2D9549EB">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7.1 施工组织设计</w:t>
      </w:r>
    </w:p>
    <w:p w14:paraId="7738882A">
      <w:pPr>
        <w:adjustRightInd w:val="0"/>
        <w:spacing w:line="540" w:lineRule="exact"/>
        <w:ind w:firstLine="504" w:firstLineChars="210"/>
        <w:rPr>
          <w:rFonts w:ascii="Times New Roman" w:hAnsi="Times New Roman" w:eastAsia="仿宋_GB2312"/>
          <w:color w:val="000000"/>
          <w:sz w:val="24"/>
          <w:szCs w:val="24"/>
        </w:rPr>
      </w:pPr>
      <w:r>
        <w:rPr>
          <w:rFonts w:ascii="Times New Roman" w:hAnsi="Times New Roman" w:eastAsia="仿宋_GB2312"/>
          <w:sz w:val="24"/>
          <w:szCs w:val="24"/>
        </w:rPr>
        <w:t>7.1.</w:t>
      </w:r>
      <w:r>
        <w:rPr>
          <w:rFonts w:hint="eastAsia" w:ascii="Times New Roman" w:hAnsi="Times New Roman" w:eastAsia="仿宋_GB2312"/>
          <w:sz w:val="24"/>
          <w:szCs w:val="24"/>
        </w:rPr>
        <w:t xml:space="preserve">1 </w:t>
      </w:r>
      <w:r>
        <w:rPr>
          <w:rFonts w:hint="eastAsia" w:ascii="Times New Roman" w:hAnsi="Times New Roman" w:eastAsia="仿宋_GB2312"/>
          <w:color w:val="000000"/>
          <w:sz w:val="24"/>
          <w:szCs w:val="24"/>
        </w:rPr>
        <w:t>合同当事人约定的</w:t>
      </w:r>
      <w:r>
        <w:rPr>
          <w:rFonts w:ascii="Times New Roman" w:hAnsi="Times New Roman" w:eastAsia="仿宋_GB2312"/>
          <w:color w:val="000000"/>
          <w:sz w:val="24"/>
          <w:szCs w:val="24"/>
        </w:rPr>
        <w:t>施工组织设计</w:t>
      </w:r>
      <w:r>
        <w:rPr>
          <w:rFonts w:hint="eastAsia" w:ascii="Times New Roman" w:hAnsi="Times New Roman" w:eastAsia="仿宋_GB2312"/>
          <w:color w:val="000000"/>
          <w:sz w:val="24"/>
          <w:szCs w:val="24"/>
        </w:rPr>
        <w:t>应包括的其他内容</w:t>
      </w:r>
      <w:r>
        <w:rPr>
          <w:rFonts w:ascii="Times New Roman" w:hAnsi="Times New Roman" w:eastAsia="仿宋_GB2312"/>
          <w:color w:val="000000"/>
          <w:sz w:val="24"/>
          <w:szCs w:val="24"/>
        </w:rPr>
        <w:t>：</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p>
    <w:p w14:paraId="1886D7B3">
      <w:pPr>
        <w:adjustRightInd w:val="0"/>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sz w:val="24"/>
          <w:szCs w:val="24"/>
        </w:rPr>
        <w:t>7.1.2</w:t>
      </w:r>
      <w:r>
        <w:rPr>
          <w:rFonts w:ascii="Times New Roman" w:hAnsi="Times New Roman" w:eastAsia="仿宋_GB2312"/>
          <w:color w:val="000000"/>
          <w:sz w:val="24"/>
          <w:szCs w:val="24"/>
        </w:rPr>
        <w:t xml:space="preserve"> 施工组织设计的提交和修改</w:t>
      </w:r>
    </w:p>
    <w:p w14:paraId="405ED56E">
      <w:pPr>
        <w:adjustRightInd w:val="0"/>
        <w:spacing w:line="540" w:lineRule="exact"/>
        <w:rPr>
          <w:rFonts w:ascii="Times New Roman" w:hAnsi="Times New Roman" w:eastAsia="仿宋_GB2312"/>
          <w:sz w:val="24"/>
          <w:szCs w:val="24"/>
        </w:rPr>
      </w:pPr>
      <w:r>
        <w:rPr>
          <w:rFonts w:ascii="Times New Roman" w:hAnsi="Times New Roman" w:eastAsia="仿宋_GB2312"/>
          <w:color w:val="000000"/>
          <w:sz w:val="24"/>
          <w:szCs w:val="24"/>
        </w:rPr>
        <w:t>承包人提交详细施工组织设计的期限的约定：</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p>
    <w:p w14:paraId="7ED12183">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发包人和监理人在收到</w:t>
      </w:r>
      <w:r>
        <w:rPr>
          <w:rFonts w:hint="eastAsia" w:ascii="Times New Roman" w:hAnsi="Times New Roman" w:eastAsia="仿宋_GB2312"/>
          <w:color w:val="000000"/>
          <w:sz w:val="24"/>
          <w:szCs w:val="24"/>
        </w:rPr>
        <w:t>详细的施工组织设计</w:t>
      </w:r>
      <w:r>
        <w:rPr>
          <w:rFonts w:ascii="Times New Roman" w:hAnsi="Times New Roman" w:eastAsia="仿宋_GB2312"/>
          <w:color w:val="000000"/>
          <w:sz w:val="24"/>
          <w:szCs w:val="24"/>
        </w:rPr>
        <w:t>后确认或提出修改意见的期限：</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p>
    <w:p w14:paraId="6172E357">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w:t>
      </w:r>
      <w:bookmarkStart w:id="344" w:name="_Toc312677479"/>
      <w:bookmarkStart w:id="345" w:name="_Toc303539123"/>
      <w:bookmarkStart w:id="346" w:name="_Toc304295541"/>
      <w:bookmarkStart w:id="347" w:name="_Toc300934966"/>
      <w:bookmarkStart w:id="348" w:name="_Toc312678005"/>
      <w:bookmarkStart w:id="349" w:name="_Toc297123514"/>
      <w:bookmarkStart w:id="350" w:name="_Toc297216173"/>
      <w:r>
        <w:rPr>
          <w:rFonts w:ascii="Times New Roman" w:hAnsi="Times New Roman" w:eastAsia="黑体"/>
          <w:color w:val="000000"/>
          <w:sz w:val="24"/>
          <w:szCs w:val="24"/>
        </w:rPr>
        <w:t>.2 施工进度计划</w:t>
      </w:r>
    </w:p>
    <w:p w14:paraId="5397CBF6">
      <w:pPr>
        <w:spacing w:line="540" w:lineRule="exact"/>
        <w:ind w:firstLine="480" w:firstLineChars="200"/>
        <w:rPr>
          <w:rFonts w:hint="default" w:ascii="Times New Roman" w:hAnsi="Times New Roman" w:eastAsia="仿宋_GB2312"/>
          <w:color w:val="000000"/>
          <w:sz w:val="24"/>
          <w:szCs w:val="24"/>
          <w:lang w:val="en-US" w:eastAsia="zh-CN"/>
        </w:rPr>
      </w:pPr>
      <w:r>
        <w:rPr>
          <w:rFonts w:ascii="Times New Roman" w:hAnsi="Times New Roman" w:eastAsia="仿宋_GB2312"/>
          <w:color w:val="000000"/>
          <w:sz w:val="24"/>
          <w:szCs w:val="24"/>
        </w:rPr>
        <w:t>施工进度计划的修订</w:t>
      </w:r>
      <w:r>
        <w:rPr>
          <w:rFonts w:hint="eastAsia" w:ascii="Times New Roman" w:hAnsi="Times New Roman" w:eastAsia="仿宋_GB2312"/>
          <w:color w:val="000000"/>
          <w:sz w:val="24"/>
          <w:szCs w:val="24"/>
          <w:lang w:val="en-US" w:eastAsia="zh-CN"/>
        </w:rPr>
        <w:t xml:space="preserve">  </w:t>
      </w:r>
    </w:p>
    <w:p w14:paraId="6A408E1E">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发包人和监理人在收到修订的施工进度计划后确认或提出修改意见的期限：</w:t>
      </w:r>
      <w:r>
        <w:rPr>
          <w:rFonts w:hint="eastAsia" w:ascii="仿宋" w:hAnsi="仿宋" w:eastAsia="仿宋" w:cs="仿宋"/>
          <w:color w:val="000000"/>
          <w:sz w:val="24"/>
          <w:szCs w:val="24"/>
          <w:u w:val="single"/>
        </w:rPr>
        <w:t>收到后5天内</w:t>
      </w:r>
      <w:r>
        <w:rPr>
          <w:rFonts w:ascii="Times New Roman" w:hAnsi="Times New Roman" w:eastAsia="仿宋_GB2312"/>
          <w:sz w:val="24"/>
          <w:szCs w:val="24"/>
        </w:rPr>
        <w:t>。</w:t>
      </w:r>
    </w:p>
    <w:p w14:paraId="5EF24CDD">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7.3 开工</w:t>
      </w:r>
    </w:p>
    <w:p w14:paraId="406C1AB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7.3.1 开工准备</w:t>
      </w:r>
    </w:p>
    <w:p w14:paraId="1DD178D1">
      <w:pPr>
        <w:spacing w:line="540" w:lineRule="exact"/>
        <w:ind w:firstLine="645"/>
        <w:rPr>
          <w:rFonts w:ascii="Times New Roman" w:hAnsi="Times New Roman" w:eastAsia="楷体_GB2312"/>
          <w:sz w:val="24"/>
          <w:szCs w:val="24"/>
          <w:u w:val="single"/>
        </w:rPr>
      </w:pPr>
      <w:r>
        <w:rPr>
          <w:rFonts w:ascii="Times New Roman" w:hAnsi="Times New Roman" w:eastAsia="仿宋_GB2312"/>
          <w:color w:val="000000"/>
          <w:sz w:val="24"/>
          <w:szCs w:val="24"/>
        </w:rPr>
        <w:t>关于承包人提交工程开工报审表的期限：</w:t>
      </w:r>
      <w:r>
        <w:rPr>
          <w:rFonts w:hint="eastAsia" w:ascii="仿宋" w:hAnsi="仿宋" w:eastAsia="仿宋" w:cs="仿宋"/>
          <w:color w:val="000000"/>
          <w:sz w:val="24"/>
          <w:szCs w:val="24"/>
          <w:u w:val="single"/>
        </w:rPr>
        <w:t>合同签订后，工程开工前</w:t>
      </w:r>
      <w:r>
        <w:rPr>
          <w:rFonts w:ascii="Times New Roman" w:hAnsi="Times New Roman" w:eastAsia="仿宋_GB2312"/>
          <w:sz w:val="24"/>
          <w:szCs w:val="24"/>
        </w:rPr>
        <w:t>。</w:t>
      </w:r>
    </w:p>
    <w:p w14:paraId="5F581369">
      <w:pPr>
        <w:spacing w:line="540" w:lineRule="exact"/>
        <w:ind w:firstLine="504" w:firstLineChars="210"/>
        <w:rPr>
          <w:rFonts w:ascii="Times New Roman" w:hAnsi="Times New Roman" w:eastAsia="仿宋_GB2312"/>
          <w:color w:val="000000"/>
          <w:sz w:val="24"/>
          <w:szCs w:val="24"/>
        </w:rPr>
      </w:pPr>
      <w:r>
        <w:rPr>
          <w:rFonts w:ascii="Times New Roman" w:hAnsi="Times New Roman" w:eastAsia="仿宋_GB2312"/>
          <w:color w:val="000000"/>
          <w:sz w:val="24"/>
          <w:szCs w:val="24"/>
        </w:rPr>
        <w:t>关于发包人应完成的其他开工准备工作及期限：</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p>
    <w:p w14:paraId="0EBF5213">
      <w:pPr>
        <w:spacing w:line="540" w:lineRule="exact"/>
        <w:ind w:firstLine="480" w:firstLineChars="200"/>
        <w:rPr>
          <w:rFonts w:ascii="Times New Roman" w:hAnsi="Times New Roman" w:eastAsia="仿宋_GB2312"/>
          <w:sz w:val="24"/>
          <w:szCs w:val="24"/>
        </w:rPr>
      </w:pPr>
      <w:r>
        <w:rPr>
          <w:rFonts w:ascii="Times New Roman" w:hAnsi="Times New Roman" w:eastAsia="仿宋_GB2312"/>
          <w:color w:val="000000"/>
          <w:sz w:val="24"/>
          <w:szCs w:val="24"/>
        </w:rPr>
        <w:t>关于承包人应完成的其他开工准备工作及期限：</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p>
    <w:p w14:paraId="76D1EE39">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7.3.2开工通知</w:t>
      </w:r>
    </w:p>
    <w:p w14:paraId="7781A29F">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sz w:val="24"/>
          <w:szCs w:val="24"/>
        </w:rPr>
        <w:t>因发包人原因造成监理人未能在计划开工日期之日起</w:t>
      </w:r>
      <w:r>
        <w:rPr>
          <w:rFonts w:ascii="Times New Roman" w:hAnsi="Times New Roman" w:eastAsia="楷体_GB2312"/>
          <w:sz w:val="24"/>
          <w:szCs w:val="24"/>
          <w:u w:val="single"/>
        </w:rPr>
        <w:t xml:space="preserve"> </w:t>
      </w:r>
      <w:r>
        <w:rPr>
          <w:rFonts w:hint="eastAsia" w:ascii="仿宋" w:hAnsi="仿宋" w:eastAsia="仿宋" w:cs="仿宋"/>
          <w:color w:val="000000"/>
          <w:sz w:val="24"/>
          <w:szCs w:val="24"/>
          <w:u w:val="single"/>
        </w:rPr>
        <w:t>90</w:t>
      </w:r>
      <w:r>
        <w:rPr>
          <w:rFonts w:ascii="Times New Roman" w:hAnsi="Times New Roman" w:eastAsia="楷体_GB2312"/>
          <w:sz w:val="24"/>
          <w:szCs w:val="24"/>
          <w:u w:val="single"/>
        </w:rPr>
        <w:t xml:space="preserve"> </w:t>
      </w:r>
      <w:r>
        <w:rPr>
          <w:rFonts w:ascii="Times New Roman" w:hAnsi="Times New Roman" w:eastAsia="仿宋_GB2312"/>
          <w:color w:val="000000"/>
          <w:sz w:val="24"/>
          <w:szCs w:val="24"/>
        </w:rPr>
        <w:t>天内发出开工通知的，承包人有权提出价格调整要求，或者解除合同</w:t>
      </w:r>
      <w:r>
        <w:rPr>
          <w:rFonts w:hint="eastAsia" w:ascii="Times New Roman" w:hAnsi="Times New Roman" w:eastAsia="仿宋_GB2312"/>
          <w:color w:val="000000" w:themeColor="text1"/>
          <w:sz w:val="24"/>
          <w:szCs w:val="24"/>
          <w14:textFill>
            <w14:solidFill>
              <w14:schemeClr w14:val="tx1"/>
            </w14:solidFill>
          </w14:textFill>
        </w:rPr>
        <w:t>（</w:t>
      </w:r>
      <w:r>
        <w:rPr>
          <w:rFonts w:hint="eastAsia" w:ascii="Times New Roman" w:hAnsi="Times New Roman" w:eastAsia="仿宋_GB2312"/>
          <w:color w:val="000000" w:themeColor="text1"/>
          <w:sz w:val="24"/>
          <w:szCs w:val="24"/>
          <w:lang w:val="en-US"/>
          <w14:textFill>
            <w14:solidFill>
              <w14:schemeClr w14:val="tx1"/>
            </w14:solidFill>
          </w14:textFill>
        </w:rPr>
        <w:t>不可抗力因素、政府政策性因素等非发包方原因除外</w:t>
      </w:r>
      <w:r>
        <w:rPr>
          <w:rFonts w:hint="eastAsia" w:ascii="Times New Roman" w:hAnsi="Times New Roman" w:eastAsia="仿宋_GB2312"/>
          <w:color w:val="000000" w:themeColor="text1"/>
          <w:sz w:val="24"/>
          <w:szCs w:val="24"/>
          <w14:textFill>
            <w14:solidFill>
              <w14:schemeClr w14:val="tx1"/>
            </w14:solidFill>
          </w14:textFill>
        </w:rPr>
        <w:t>）</w:t>
      </w:r>
      <w:r>
        <w:rPr>
          <w:rFonts w:ascii="Times New Roman" w:hAnsi="Times New Roman" w:eastAsia="仿宋_GB2312"/>
          <w:color w:val="000000" w:themeColor="text1"/>
          <w:sz w:val="24"/>
          <w:szCs w:val="24"/>
          <w14:textFill>
            <w14:solidFill>
              <w14:schemeClr w14:val="tx1"/>
            </w14:solidFill>
          </w14:textFill>
        </w:rPr>
        <w:t>。</w:t>
      </w:r>
    </w:p>
    <w:bookmarkEnd w:id="344"/>
    <w:bookmarkEnd w:id="345"/>
    <w:bookmarkEnd w:id="346"/>
    <w:bookmarkEnd w:id="347"/>
    <w:bookmarkEnd w:id="348"/>
    <w:bookmarkEnd w:id="349"/>
    <w:bookmarkEnd w:id="350"/>
    <w:p w14:paraId="5A7265BB">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7.4 测量放线</w:t>
      </w:r>
    </w:p>
    <w:p w14:paraId="60372A00">
      <w:pPr>
        <w:spacing w:line="540" w:lineRule="exact"/>
        <w:ind w:firstLine="480" w:firstLineChars="200"/>
        <w:rPr>
          <w:rFonts w:ascii="Times New Roman" w:hAnsi="Times New Roman" w:eastAsia="楷体_GB2312"/>
          <w:sz w:val="24"/>
          <w:szCs w:val="24"/>
          <w:u w:val="single"/>
        </w:rPr>
      </w:pPr>
      <w:r>
        <w:rPr>
          <w:rFonts w:ascii="Times New Roman" w:hAnsi="Times New Roman" w:eastAsia="仿宋_GB2312"/>
          <w:sz w:val="24"/>
          <w:szCs w:val="24"/>
        </w:rPr>
        <w:t>发包人通过监理人向承包人提供测量基准点、基准线和水准点及其书面资料的期限：</w:t>
      </w:r>
      <w:r>
        <w:rPr>
          <w:rFonts w:hint="eastAsia" w:ascii="仿宋" w:hAnsi="仿宋" w:eastAsia="仿宋" w:cs="仿宋"/>
          <w:color w:val="000000"/>
          <w:sz w:val="24"/>
          <w:szCs w:val="24"/>
          <w:u w:val="single"/>
        </w:rPr>
        <w:t>合同签订后，工程开工前</w:t>
      </w:r>
      <w:r>
        <w:rPr>
          <w:rFonts w:ascii="Times New Roman" w:hAnsi="Times New Roman" w:eastAsia="仿宋_GB2312"/>
          <w:sz w:val="24"/>
          <w:szCs w:val="24"/>
        </w:rPr>
        <w:t>。</w:t>
      </w:r>
    </w:p>
    <w:p w14:paraId="3A8F6111">
      <w:pPr>
        <w:spacing w:line="540" w:lineRule="exact"/>
        <w:ind w:firstLine="480" w:firstLineChars="200"/>
        <w:rPr>
          <w:rFonts w:ascii="Times New Roman" w:hAnsi="Times New Roman" w:eastAsia="楷体_GB2312"/>
          <w:sz w:val="24"/>
          <w:szCs w:val="24"/>
          <w:u w:val="single"/>
        </w:rPr>
      </w:pPr>
      <w:r>
        <w:rPr>
          <w:rFonts w:ascii="Times New Roman" w:hAnsi="Times New Roman" w:eastAsia="黑体"/>
          <w:color w:val="000000"/>
          <w:sz w:val="24"/>
          <w:szCs w:val="24"/>
        </w:rPr>
        <w:t>7</w:t>
      </w:r>
      <w:bookmarkStart w:id="351" w:name="_Toc304295546"/>
      <w:bookmarkStart w:id="352" w:name="_Toc303539125"/>
      <w:bookmarkStart w:id="353" w:name="_Toc297216175"/>
      <w:bookmarkStart w:id="354" w:name="_Toc312677484"/>
      <w:bookmarkStart w:id="355" w:name="_Toc312678010"/>
      <w:bookmarkStart w:id="356" w:name="_Toc300934968"/>
      <w:bookmarkStart w:id="357" w:name="_Toc297123516"/>
      <w:r>
        <w:rPr>
          <w:rFonts w:ascii="Times New Roman" w:hAnsi="Times New Roman" w:eastAsia="黑体"/>
          <w:color w:val="000000"/>
          <w:sz w:val="24"/>
          <w:szCs w:val="24"/>
        </w:rPr>
        <w:t>.5 工期延误</w:t>
      </w:r>
      <w:bookmarkEnd w:id="351"/>
      <w:bookmarkEnd w:id="352"/>
      <w:bookmarkEnd w:id="353"/>
      <w:bookmarkEnd w:id="354"/>
      <w:bookmarkEnd w:id="355"/>
      <w:bookmarkEnd w:id="356"/>
      <w:bookmarkEnd w:id="357"/>
    </w:p>
    <w:p w14:paraId="512860BE">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7</w:t>
      </w:r>
      <w:bookmarkStart w:id="358" w:name="_Toc312677486"/>
      <w:bookmarkStart w:id="359" w:name="_Toc318581169"/>
      <w:bookmarkStart w:id="360" w:name="_Toc312678012"/>
      <w:bookmarkStart w:id="361" w:name="_Toc304295548"/>
      <w:bookmarkStart w:id="362" w:name="_Toc300934970"/>
      <w:bookmarkStart w:id="363" w:name="_Toc297123518"/>
      <w:bookmarkStart w:id="364" w:name="_Toc297216177"/>
      <w:bookmarkStart w:id="365" w:name="_Toc303539127"/>
      <w:r>
        <w:rPr>
          <w:rFonts w:ascii="Times New Roman" w:hAnsi="Times New Roman" w:eastAsia="仿宋_GB2312"/>
          <w:sz w:val="24"/>
          <w:szCs w:val="24"/>
        </w:rPr>
        <w:t>.5.</w:t>
      </w:r>
      <w:r>
        <w:rPr>
          <w:rFonts w:hint="eastAsia" w:ascii="Times New Roman" w:hAnsi="Times New Roman" w:eastAsia="仿宋_GB2312"/>
          <w:sz w:val="24"/>
          <w:szCs w:val="24"/>
          <w:lang w:val="en-US"/>
        </w:rPr>
        <w:t>1</w:t>
      </w:r>
      <w:r>
        <w:rPr>
          <w:rFonts w:ascii="Times New Roman" w:hAnsi="Times New Roman" w:eastAsia="仿宋_GB2312"/>
          <w:sz w:val="24"/>
          <w:szCs w:val="24"/>
        </w:rPr>
        <w:t xml:space="preserve"> 因承包人原因导致工期延误</w:t>
      </w:r>
    </w:p>
    <w:bookmarkEnd w:id="358"/>
    <w:bookmarkEnd w:id="359"/>
    <w:bookmarkEnd w:id="360"/>
    <w:p w14:paraId="694CC370">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因</w:t>
      </w:r>
      <w:bookmarkStart w:id="366" w:name="_Toc312678013"/>
      <w:bookmarkStart w:id="367" w:name="_Toc312677487"/>
      <w:bookmarkStart w:id="368" w:name="_Toc318581170"/>
      <w:r>
        <w:rPr>
          <w:rFonts w:ascii="Times New Roman" w:hAnsi="Times New Roman" w:eastAsia="仿宋_GB2312"/>
          <w:sz w:val="24"/>
          <w:szCs w:val="24"/>
        </w:rPr>
        <w:t>承包人原因造成工期延误，逾期竣工违约金的计算方法为：</w:t>
      </w:r>
      <w:r>
        <w:rPr>
          <w:rFonts w:hint="eastAsia" w:ascii="仿宋" w:hAnsi="仿宋" w:eastAsia="仿宋" w:cs="仿宋"/>
          <w:color w:val="000000"/>
          <w:sz w:val="24"/>
          <w:szCs w:val="24"/>
          <w:u w:val="single"/>
        </w:rPr>
        <w:t>每天</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rPr>
        <w:t>元，累计计算</w:t>
      </w:r>
      <w:r>
        <w:rPr>
          <w:rFonts w:ascii="Times New Roman" w:hAnsi="Times New Roman" w:eastAsia="仿宋_GB2312"/>
          <w:sz w:val="24"/>
          <w:szCs w:val="24"/>
        </w:rPr>
        <w:t>。</w:t>
      </w:r>
      <w:bookmarkEnd w:id="361"/>
      <w:bookmarkEnd w:id="362"/>
      <w:bookmarkEnd w:id="363"/>
      <w:bookmarkEnd w:id="364"/>
      <w:bookmarkEnd w:id="365"/>
      <w:bookmarkEnd w:id="366"/>
      <w:bookmarkEnd w:id="367"/>
    </w:p>
    <w:bookmarkEnd w:id="368"/>
    <w:p w14:paraId="7FC8FE5C">
      <w:pPr>
        <w:spacing w:line="540" w:lineRule="exact"/>
        <w:ind w:firstLine="504" w:firstLineChars="21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sz w:val="24"/>
          <w:szCs w:val="24"/>
        </w:rPr>
        <w:t>因承包人原因造成工期延误，逾</w:t>
      </w:r>
      <w:bookmarkStart w:id="369" w:name="_Toc312678014"/>
      <w:bookmarkStart w:id="370" w:name="_Toc318581171"/>
      <w:r>
        <w:rPr>
          <w:rFonts w:ascii="Times New Roman" w:hAnsi="Times New Roman" w:eastAsia="仿宋_GB2312"/>
          <w:sz w:val="24"/>
          <w:szCs w:val="24"/>
        </w:rPr>
        <w:t>期竣工违约金的上限：</w:t>
      </w:r>
      <w:r>
        <w:rPr>
          <w:rFonts w:hint="eastAsia" w:ascii="仿宋" w:hAnsi="仿宋" w:eastAsia="仿宋" w:cs="仿宋"/>
          <w:color w:val="000000" w:themeColor="text1"/>
          <w:sz w:val="24"/>
          <w:szCs w:val="24"/>
          <w:u w:val="single"/>
          <w14:textFill>
            <w14:solidFill>
              <w14:schemeClr w14:val="tx1"/>
            </w14:solidFill>
          </w14:textFill>
        </w:rPr>
        <w:t>签约合同价的</w:t>
      </w:r>
      <w:r>
        <w:rPr>
          <w:rFonts w:hint="eastAsia" w:ascii="仿宋" w:hAnsi="仿宋" w:eastAsia="仿宋" w:cs="仿宋"/>
          <w:color w:val="000000" w:themeColor="text1"/>
          <w:sz w:val="24"/>
          <w:szCs w:val="24"/>
          <w:u w:val="single"/>
          <w:lang w:val="en-US"/>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w:t>
      </w:r>
      <w:r>
        <w:rPr>
          <w:rFonts w:ascii="Times New Roman" w:hAnsi="Times New Roman" w:eastAsia="仿宋_GB2312"/>
          <w:color w:val="000000" w:themeColor="text1"/>
          <w:sz w:val="24"/>
          <w:szCs w:val="24"/>
          <w14:textFill>
            <w14:solidFill>
              <w14:schemeClr w14:val="tx1"/>
            </w14:solidFill>
          </w14:textFill>
        </w:rPr>
        <w:t>。</w:t>
      </w:r>
    </w:p>
    <w:bookmarkEnd w:id="369"/>
    <w:bookmarkEnd w:id="370"/>
    <w:p w14:paraId="3CAA52AD">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w:t>
      </w:r>
      <w:bookmarkStart w:id="371" w:name="_Toc297216178"/>
      <w:bookmarkStart w:id="372" w:name="_Toc312678015"/>
      <w:bookmarkStart w:id="373" w:name="_Toc300934971"/>
      <w:bookmarkStart w:id="374" w:name="_Toc297123519"/>
      <w:bookmarkStart w:id="375" w:name="_Toc304295549"/>
      <w:bookmarkStart w:id="376" w:name="_Toc303539128"/>
      <w:r>
        <w:rPr>
          <w:rFonts w:ascii="Times New Roman" w:hAnsi="Times New Roman" w:eastAsia="黑体"/>
          <w:color w:val="000000"/>
          <w:sz w:val="24"/>
          <w:szCs w:val="24"/>
        </w:rPr>
        <w:t>.6 不</w:t>
      </w:r>
      <w:bookmarkEnd w:id="371"/>
      <w:bookmarkEnd w:id="372"/>
      <w:bookmarkEnd w:id="373"/>
      <w:bookmarkEnd w:id="374"/>
      <w:bookmarkEnd w:id="375"/>
      <w:bookmarkEnd w:id="376"/>
      <w:r>
        <w:rPr>
          <w:rFonts w:ascii="Times New Roman" w:hAnsi="Times New Roman" w:eastAsia="黑体"/>
          <w:color w:val="000000"/>
          <w:sz w:val="24"/>
          <w:szCs w:val="24"/>
        </w:rPr>
        <w:t>利物质条件</w:t>
      </w:r>
    </w:p>
    <w:p w14:paraId="10559867">
      <w:pPr>
        <w:spacing w:line="540" w:lineRule="exact"/>
        <w:ind w:firstLine="504" w:firstLineChars="210"/>
        <w:rPr>
          <w:rFonts w:ascii="Times New Roman" w:hAnsi="Times New Roman" w:eastAsia="仿宋_GB2312"/>
          <w:sz w:val="24"/>
          <w:szCs w:val="24"/>
        </w:rPr>
      </w:pPr>
      <w:bookmarkStart w:id="377" w:name="_Toc318581172"/>
      <w:bookmarkStart w:id="378" w:name="_Toc297123520"/>
      <w:bookmarkStart w:id="379" w:name="_Toc304295550"/>
      <w:bookmarkStart w:id="380" w:name="_Toc312678016"/>
      <w:bookmarkStart w:id="381" w:name="_Toc297216179"/>
      <w:bookmarkStart w:id="382" w:name="_Toc303539129"/>
      <w:bookmarkStart w:id="383" w:name="_Toc300934972"/>
      <w:r>
        <w:rPr>
          <w:rFonts w:ascii="Times New Roman" w:hAnsi="Times New Roman" w:eastAsia="仿宋_GB2312"/>
          <w:sz w:val="24"/>
          <w:szCs w:val="24"/>
        </w:rPr>
        <w:t>不利物质条件的其他情形和有关约定：</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p>
    <w:bookmarkEnd w:id="377"/>
    <w:bookmarkEnd w:id="378"/>
    <w:bookmarkEnd w:id="379"/>
    <w:bookmarkEnd w:id="380"/>
    <w:bookmarkEnd w:id="381"/>
    <w:bookmarkEnd w:id="382"/>
    <w:bookmarkEnd w:id="383"/>
    <w:p w14:paraId="1AFBF0A6">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w:t>
      </w:r>
      <w:bookmarkStart w:id="384" w:name="_Toc297216180"/>
      <w:bookmarkStart w:id="385" w:name="_Toc297123521"/>
      <w:bookmarkStart w:id="386" w:name="_Toc300934973"/>
      <w:bookmarkStart w:id="387" w:name="_Toc304295551"/>
      <w:bookmarkStart w:id="388" w:name="_Toc312678017"/>
      <w:bookmarkStart w:id="389" w:name="_Toc303539130"/>
      <w:r>
        <w:rPr>
          <w:rFonts w:ascii="Times New Roman" w:hAnsi="Times New Roman" w:eastAsia="黑体"/>
          <w:color w:val="000000"/>
          <w:sz w:val="24"/>
          <w:szCs w:val="24"/>
        </w:rPr>
        <w:t>.7异常恶劣的气候条件</w:t>
      </w:r>
    </w:p>
    <w:bookmarkEnd w:id="384"/>
    <w:bookmarkEnd w:id="385"/>
    <w:bookmarkEnd w:id="386"/>
    <w:bookmarkEnd w:id="387"/>
    <w:bookmarkEnd w:id="388"/>
    <w:bookmarkEnd w:id="389"/>
    <w:p w14:paraId="00467245">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发包人和承包人同意以下情形视为异常恶劣的气候条件：</w:t>
      </w:r>
    </w:p>
    <w:p w14:paraId="09D699B7">
      <w:pPr>
        <w:spacing w:line="540" w:lineRule="exact"/>
        <w:ind w:firstLine="480" w:firstLineChars="200"/>
        <w:rPr>
          <w:rFonts w:ascii="仿宋" w:hAnsi="仿宋" w:eastAsia="仿宋" w:cs="仿宋"/>
          <w:color w:val="000000"/>
          <w:sz w:val="24"/>
          <w:szCs w:val="24"/>
          <w:u w:val="single"/>
        </w:rPr>
      </w:pPr>
      <w:r>
        <w:rPr>
          <w:rFonts w:ascii="Times New Roman" w:hAnsi="Times New Roman" w:eastAsia="仿宋_GB2312"/>
          <w:sz w:val="24"/>
          <w:szCs w:val="24"/>
        </w:rPr>
        <w:t>（1）</w:t>
      </w:r>
      <w:r>
        <w:rPr>
          <w:rFonts w:hint="eastAsia" w:ascii="仿宋" w:hAnsi="仿宋" w:eastAsia="仿宋" w:cs="仿宋"/>
          <w:color w:val="000000"/>
          <w:sz w:val="24"/>
          <w:szCs w:val="24"/>
          <w:u w:val="single"/>
        </w:rPr>
        <w:t>冬雨季雨雪天数超过以往正常天数10%</w:t>
      </w:r>
      <w:r>
        <w:rPr>
          <w:rFonts w:hint="eastAsia" w:ascii="仿宋" w:hAnsi="仿宋" w:eastAsia="仿宋" w:cs="仿宋"/>
          <w:color w:val="000000"/>
          <w:sz w:val="24"/>
          <w:szCs w:val="24"/>
        </w:rPr>
        <w:t>；</w:t>
      </w:r>
    </w:p>
    <w:p w14:paraId="5E5E2D77">
      <w:pPr>
        <w:spacing w:line="540" w:lineRule="exact"/>
        <w:ind w:firstLine="480" w:firstLineChars="200"/>
        <w:rPr>
          <w:rFonts w:ascii="Times New Roman" w:hAnsi="Times New Roman" w:eastAsia="仿宋_GB2312"/>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u w:val="single"/>
        </w:rPr>
        <w:t>高温天数超过以往正常天数10%</w:t>
      </w:r>
      <w:r>
        <w:rPr>
          <w:rFonts w:hint="eastAsia" w:ascii="仿宋" w:hAnsi="仿宋" w:eastAsia="仿宋" w:cs="仿宋"/>
          <w:color w:val="000000"/>
          <w:sz w:val="24"/>
          <w:szCs w:val="24"/>
        </w:rPr>
        <w:t>；</w:t>
      </w:r>
    </w:p>
    <w:p w14:paraId="5C53A1CB">
      <w:pPr>
        <w:spacing w:line="540" w:lineRule="exact"/>
        <w:ind w:firstLine="504" w:firstLineChars="210"/>
        <w:rPr>
          <w:rFonts w:ascii="Times New Roman" w:hAnsi="Times New Roman" w:eastAsia="仿宋_GB2312"/>
          <w:sz w:val="24"/>
          <w:szCs w:val="24"/>
        </w:rPr>
      </w:pPr>
      <w:r>
        <w:rPr>
          <w:rFonts w:hint="eastAsia" w:ascii="Times New Roman" w:hAnsi="Times New Roman" w:eastAsia="仿宋_GB2312"/>
          <w:sz w:val="24"/>
          <w:szCs w:val="24"/>
        </w:rPr>
        <w:t>（</w:t>
      </w:r>
      <w:r>
        <w:rPr>
          <w:rFonts w:hint="eastAsia" w:ascii="楷体" w:hAnsi="楷体" w:eastAsia="楷体" w:cs="楷体"/>
          <w:sz w:val="24"/>
          <w:szCs w:val="24"/>
        </w:rPr>
        <w:t>3）</w:t>
      </w:r>
      <w:r>
        <w:rPr>
          <w:rFonts w:hint="eastAsia" w:ascii="仿宋" w:hAnsi="仿宋" w:eastAsia="仿宋" w:cs="仿宋"/>
          <w:color w:val="000000"/>
          <w:sz w:val="24"/>
          <w:szCs w:val="24"/>
          <w:u w:val="single"/>
        </w:rPr>
        <w:t>以商城县气象局提供数据为准</w:t>
      </w:r>
      <w:r>
        <w:rPr>
          <w:rFonts w:hint="eastAsia" w:ascii="楷体" w:hAnsi="楷体" w:eastAsia="楷体" w:cs="楷体"/>
          <w:sz w:val="24"/>
          <w:szCs w:val="24"/>
        </w:rPr>
        <w:t>。</w:t>
      </w:r>
    </w:p>
    <w:p w14:paraId="03A8DE2A">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w:t>
      </w:r>
      <w:r>
        <w:rPr>
          <w:rFonts w:hint="eastAsia" w:ascii="Times New Roman" w:hAnsi="Times New Roman" w:eastAsia="黑体"/>
          <w:color w:val="000000"/>
          <w:sz w:val="24"/>
          <w:szCs w:val="24"/>
          <w:lang w:val="en-US"/>
        </w:rPr>
        <w:t>8</w:t>
      </w:r>
      <w:r>
        <w:rPr>
          <w:rFonts w:ascii="Times New Roman" w:hAnsi="Times New Roman" w:eastAsia="黑体"/>
          <w:color w:val="000000"/>
          <w:sz w:val="24"/>
          <w:szCs w:val="24"/>
        </w:rPr>
        <w:t xml:space="preserve"> 提前竣工的奖励</w:t>
      </w:r>
    </w:p>
    <w:p w14:paraId="6B82B029">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提前竣工的奖励：</w:t>
      </w:r>
      <w:r>
        <w:rPr>
          <w:rFonts w:hint="eastAsia" w:ascii="Times New Roman" w:hAnsi="Times New Roman" w:eastAsia="仿宋_GB2312"/>
          <w:sz w:val="24"/>
          <w:szCs w:val="24"/>
          <w:u w:val="single"/>
          <w:lang w:val="en-US"/>
        </w:rPr>
        <w:t xml:space="preserve">  </w:t>
      </w:r>
      <w:r>
        <w:rPr>
          <w:rFonts w:hint="eastAsia" w:ascii="仿宋" w:hAnsi="仿宋" w:eastAsia="仿宋" w:cs="仿宋"/>
          <w:color w:val="000000"/>
          <w:sz w:val="24"/>
          <w:szCs w:val="24"/>
          <w:u w:val="single"/>
          <w:lang w:val="en-US"/>
        </w:rPr>
        <w:t>/</w:t>
      </w:r>
      <w:r>
        <w:rPr>
          <w:rFonts w:ascii="Times New Roman" w:hAnsi="Times New Roman" w:eastAsia="仿宋_GB2312"/>
          <w:sz w:val="24"/>
          <w:szCs w:val="24"/>
        </w:rPr>
        <w:t>。</w:t>
      </w:r>
    </w:p>
    <w:p w14:paraId="3D39AEAE">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390" w:name="_Toc32286"/>
      <w:bookmarkStart w:id="391" w:name="_Toc6510"/>
      <w:bookmarkStart w:id="392" w:name="_Toc351203640"/>
      <w:bookmarkStart w:id="393" w:name="_Toc7615"/>
      <w:bookmarkStart w:id="394" w:name="_Toc18813"/>
      <w:r>
        <w:rPr>
          <w:rFonts w:ascii="Times New Roman" w:hAnsi="Times New Roman"/>
          <w:bCs w:val="0"/>
          <w:color w:val="000000"/>
          <w:sz w:val="24"/>
          <w:szCs w:val="24"/>
        </w:rPr>
        <w:t>8. 材料与设备</w:t>
      </w:r>
      <w:bookmarkEnd w:id="390"/>
      <w:bookmarkEnd w:id="391"/>
      <w:bookmarkEnd w:id="392"/>
      <w:bookmarkEnd w:id="393"/>
      <w:bookmarkEnd w:id="394"/>
    </w:p>
    <w:bookmarkEnd w:id="317"/>
    <w:bookmarkEnd w:id="318"/>
    <w:bookmarkEnd w:id="319"/>
    <w:bookmarkEnd w:id="320"/>
    <w:bookmarkEnd w:id="321"/>
    <w:bookmarkEnd w:id="322"/>
    <w:bookmarkEnd w:id="323"/>
    <w:bookmarkEnd w:id="324"/>
    <w:bookmarkEnd w:id="325"/>
    <w:bookmarkEnd w:id="326"/>
    <w:p w14:paraId="7BA5DC72">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8</w:t>
      </w:r>
      <w:bookmarkStart w:id="395" w:name="_Toc304295556"/>
      <w:bookmarkStart w:id="396" w:name="_Toc292559372"/>
      <w:bookmarkStart w:id="397" w:name="_Toc296891207"/>
      <w:bookmarkStart w:id="398" w:name="_Toc300934979"/>
      <w:bookmarkStart w:id="399" w:name="_Toc297048353"/>
      <w:bookmarkStart w:id="400" w:name="_Toc297123527"/>
      <w:bookmarkStart w:id="401" w:name="_Toc296944506"/>
      <w:bookmarkStart w:id="402" w:name="_Toc297120467"/>
      <w:bookmarkStart w:id="403" w:name="_Toc296347166"/>
      <w:bookmarkStart w:id="404" w:name="_Toc312678019"/>
      <w:bookmarkStart w:id="405" w:name="_Toc292559877"/>
      <w:bookmarkStart w:id="406" w:name="_Toc312677493"/>
      <w:bookmarkStart w:id="407" w:name="_Toc296346668"/>
      <w:bookmarkStart w:id="408" w:name="_Toc280868654"/>
      <w:bookmarkStart w:id="409" w:name="_Toc303539136"/>
      <w:bookmarkStart w:id="410" w:name="_Toc297216186"/>
      <w:bookmarkStart w:id="411" w:name="_Toc296503167"/>
      <w:bookmarkStart w:id="412" w:name="_Toc296890995"/>
      <w:bookmarkStart w:id="413" w:name="_Toc280868655"/>
      <w:bookmarkStart w:id="414" w:name="_Toc280868656"/>
      <w:bookmarkStart w:id="415" w:name="_Toc267251424"/>
      <w:r>
        <w:rPr>
          <w:rFonts w:ascii="Times New Roman" w:hAnsi="Times New Roman" w:eastAsia="黑体"/>
          <w:color w:val="000000"/>
          <w:sz w:val="24"/>
          <w:szCs w:val="24"/>
        </w:rPr>
        <w:t>.</w:t>
      </w:r>
      <w:r>
        <w:rPr>
          <w:rFonts w:hint="eastAsia" w:ascii="Times New Roman" w:hAnsi="Times New Roman" w:eastAsia="黑体"/>
          <w:color w:val="000000"/>
          <w:sz w:val="24"/>
          <w:szCs w:val="24"/>
          <w:lang w:val="en-US"/>
        </w:rPr>
        <w:t>1</w:t>
      </w:r>
      <w:r>
        <w:rPr>
          <w:rFonts w:ascii="Times New Roman" w:hAnsi="Times New Roman" w:eastAsia="黑体"/>
          <w:color w:val="000000"/>
          <w:sz w:val="24"/>
          <w:szCs w:val="24"/>
        </w:rPr>
        <w:t>材料与工程设备的保管与使用</w:t>
      </w:r>
    </w:p>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14:paraId="4A838AF4">
      <w:pPr>
        <w:spacing w:line="540" w:lineRule="exact"/>
        <w:ind w:firstLine="420" w:firstLineChars="175"/>
        <w:rPr>
          <w:rFonts w:ascii="Times New Roman" w:hAnsi="Times New Roman" w:eastAsia="仿宋_GB2312"/>
          <w:sz w:val="24"/>
          <w:szCs w:val="24"/>
        </w:rPr>
      </w:pPr>
      <w:bookmarkStart w:id="416" w:name="_Toc292559373"/>
      <w:bookmarkStart w:id="417" w:name="_Toc292559878"/>
      <w:bookmarkStart w:id="418" w:name="_Toc312678020"/>
      <w:bookmarkStart w:id="419" w:name="_Toc297216187"/>
      <w:bookmarkStart w:id="420" w:name="_Toc296890996"/>
      <w:bookmarkStart w:id="421" w:name="_Toc296503168"/>
      <w:bookmarkStart w:id="422" w:name="_Toc296346669"/>
      <w:bookmarkStart w:id="423" w:name="_Toc304295557"/>
      <w:bookmarkStart w:id="424" w:name="_Toc312677494"/>
      <w:bookmarkStart w:id="425" w:name="_Toc297123528"/>
      <w:bookmarkStart w:id="426" w:name="_Toc318581173"/>
      <w:bookmarkStart w:id="427" w:name="_Toc296891208"/>
      <w:bookmarkStart w:id="428" w:name="_Toc297048354"/>
      <w:bookmarkStart w:id="429" w:name="_Toc300934980"/>
      <w:bookmarkStart w:id="430" w:name="_Toc296944507"/>
      <w:bookmarkStart w:id="431" w:name="_Toc297120468"/>
      <w:bookmarkStart w:id="432" w:name="_Toc296347167"/>
      <w:bookmarkStart w:id="433" w:name="_Toc303539137"/>
      <w:r>
        <w:rPr>
          <w:rFonts w:ascii="Times New Roman" w:hAnsi="Times New Roman" w:eastAsia="仿宋_GB2312"/>
          <w:sz w:val="24"/>
          <w:szCs w:val="24"/>
        </w:rPr>
        <w:t>发包人供应的材料设备的保管费用的承担：</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bookmarkEnd w:id="416"/>
      <w:bookmarkEnd w:id="417"/>
    </w:p>
    <w:p w14:paraId="0A3068E7">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8.</w:t>
      </w:r>
      <w:r>
        <w:rPr>
          <w:rFonts w:hint="eastAsia" w:ascii="Times New Roman" w:hAnsi="Times New Roman" w:eastAsia="黑体"/>
          <w:color w:val="000000"/>
          <w:sz w:val="24"/>
          <w:szCs w:val="24"/>
          <w:lang w:val="en-US"/>
        </w:rPr>
        <w:t>2</w:t>
      </w:r>
      <w:r>
        <w:rPr>
          <w:rFonts w:ascii="Times New Roman" w:hAnsi="Times New Roman" w:eastAsia="黑体"/>
          <w:color w:val="000000"/>
          <w:sz w:val="24"/>
          <w:szCs w:val="24"/>
        </w:rPr>
        <w:t xml:space="preserve"> 样品</w:t>
      </w:r>
    </w:p>
    <w:p w14:paraId="7C8F665D">
      <w:pPr>
        <w:adjustRightInd w:val="0"/>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样品的报送</w:t>
      </w:r>
      <w:r>
        <w:rPr>
          <w:rFonts w:hint="eastAsia" w:ascii="Times New Roman" w:hAnsi="Times New Roman" w:eastAsia="仿宋_GB2312"/>
          <w:color w:val="000000"/>
          <w:sz w:val="24"/>
          <w:szCs w:val="24"/>
        </w:rPr>
        <w:t>与封存</w:t>
      </w:r>
    </w:p>
    <w:p w14:paraId="4B0EF1D4">
      <w:pPr>
        <w:adjustRightInd w:val="0"/>
        <w:spacing w:line="540" w:lineRule="exact"/>
        <w:ind w:firstLine="420" w:firstLineChars="175"/>
        <w:rPr>
          <w:rFonts w:ascii="Times New Roman" w:hAnsi="Times New Roman" w:eastAsia="仿宋_GB2312"/>
          <w:sz w:val="24"/>
          <w:szCs w:val="24"/>
        </w:rPr>
      </w:pPr>
      <w:r>
        <w:rPr>
          <w:rFonts w:ascii="Times New Roman" w:hAnsi="Times New Roman" w:eastAsia="仿宋_GB2312"/>
          <w:color w:val="000000"/>
          <w:sz w:val="24"/>
          <w:szCs w:val="24"/>
        </w:rPr>
        <w:t>需要承包人报送样品的材料或工程设备，样品的种类、名称、规格、数量要求：</w:t>
      </w:r>
      <w:r>
        <w:rPr>
          <w:rFonts w:hint="eastAsia" w:ascii="仿宋" w:hAnsi="仿宋" w:eastAsia="仿宋" w:cs="仿宋"/>
          <w:color w:val="000000"/>
          <w:sz w:val="24"/>
          <w:szCs w:val="24"/>
          <w:u w:val="single"/>
        </w:rPr>
        <w:t>按管理部门现行要求及发包人需求确定</w:t>
      </w:r>
      <w:r>
        <w:rPr>
          <w:rFonts w:ascii="Times New Roman" w:hAnsi="Times New Roman" w:eastAsia="仿宋_GB2312"/>
          <w:sz w:val="24"/>
          <w:szCs w:val="24"/>
        </w:rPr>
        <w:t>。</w:t>
      </w:r>
    </w:p>
    <w:p w14:paraId="5CAF4335">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8.</w:t>
      </w:r>
      <w:r>
        <w:rPr>
          <w:rFonts w:hint="eastAsia" w:ascii="Times New Roman" w:hAnsi="Times New Roman" w:eastAsia="黑体"/>
          <w:color w:val="000000"/>
          <w:sz w:val="24"/>
          <w:szCs w:val="24"/>
          <w:lang w:val="en-US"/>
        </w:rPr>
        <w:t>3</w:t>
      </w:r>
      <w:r>
        <w:rPr>
          <w:rFonts w:ascii="Times New Roman" w:hAnsi="Times New Roman" w:eastAsia="黑体"/>
          <w:color w:val="000000"/>
          <w:sz w:val="24"/>
          <w:szCs w:val="24"/>
        </w:rPr>
        <w:t xml:space="preserve"> 施工设备和临时设施</w:t>
      </w:r>
    </w:p>
    <w:p w14:paraId="1A95A5BC">
      <w:pPr>
        <w:adjustRightInd w:val="0"/>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承包人提供的施工设备和临时设施</w:t>
      </w:r>
    </w:p>
    <w:p w14:paraId="5914DD59">
      <w:pPr>
        <w:adjustRightInd w:val="0"/>
        <w:spacing w:line="540" w:lineRule="exact"/>
        <w:ind w:firstLine="420" w:firstLineChars="175"/>
        <w:rPr>
          <w:rFonts w:ascii="Times New Roman" w:hAnsi="Times New Roman" w:eastAsia="仿宋_GB2312"/>
          <w:sz w:val="24"/>
          <w:szCs w:val="24"/>
        </w:rPr>
      </w:pPr>
      <w:r>
        <w:rPr>
          <w:rFonts w:ascii="Times New Roman" w:hAnsi="Times New Roman" w:eastAsia="仿宋_GB2312"/>
          <w:sz w:val="24"/>
          <w:szCs w:val="24"/>
        </w:rPr>
        <w:t>关于修建临时设施费用承担的约定：</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p>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14:paraId="2EF6B599">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434" w:name="_Toc8919"/>
      <w:bookmarkStart w:id="435" w:name="_Toc26465"/>
      <w:bookmarkStart w:id="436" w:name="_Toc3016"/>
      <w:bookmarkStart w:id="437" w:name="_Toc351203641"/>
      <w:bookmarkStart w:id="438" w:name="_Toc14677"/>
      <w:r>
        <w:rPr>
          <w:rFonts w:ascii="Times New Roman" w:hAnsi="Times New Roman"/>
          <w:bCs w:val="0"/>
          <w:color w:val="000000"/>
          <w:sz w:val="24"/>
          <w:szCs w:val="24"/>
        </w:rPr>
        <w:t>9</w:t>
      </w:r>
      <w:bookmarkEnd w:id="413"/>
      <w:bookmarkEnd w:id="414"/>
      <w:bookmarkEnd w:id="415"/>
      <w:bookmarkStart w:id="439" w:name="_Toc312677495"/>
      <w:bookmarkStart w:id="440" w:name="_Toc297123533"/>
      <w:bookmarkStart w:id="441" w:name="_Toc304295559"/>
      <w:bookmarkStart w:id="442" w:name="_Toc303539139"/>
      <w:bookmarkStart w:id="443" w:name="_Toc312678021"/>
      <w:bookmarkStart w:id="444" w:name="_Toc300934982"/>
      <w:bookmarkStart w:id="445" w:name="_Toc297216192"/>
      <w:bookmarkStart w:id="446" w:name="_Toc292559883"/>
      <w:bookmarkStart w:id="447" w:name="_Toc296891213"/>
      <w:bookmarkStart w:id="448" w:name="_Toc296944512"/>
      <w:bookmarkStart w:id="449" w:name="_Toc296503173"/>
      <w:bookmarkStart w:id="450" w:name="_Toc297120473"/>
      <w:bookmarkStart w:id="451" w:name="_Toc297048359"/>
      <w:bookmarkStart w:id="452" w:name="_Toc292559378"/>
      <w:bookmarkStart w:id="453" w:name="_Toc296891001"/>
      <w:bookmarkStart w:id="454" w:name="_Toc267251428"/>
      <w:bookmarkStart w:id="455" w:name="_Toc267251427"/>
      <w:bookmarkStart w:id="456" w:name="_Toc296346674"/>
      <w:bookmarkStart w:id="457" w:name="_Toc296347172"/>
      <w:r>
        <w:rPr>
          <w:rFonts w:ascii="Times New Roman" w:hAnsi="Times New Roman"/>
          <w:bCs w:val="0"/>
          <w:color w:val="000000"/>
          <w:sz w:val="24"/>
          <w:szCs w:val="24"/>
        </w:rPr>
        <w:t>. 试验与检验</w:t>
      </w:r>
      <w:bookmarkEnd w:id="434"/>
      <w:bookmarkEnd w:id="435"/>
      <w:bookmarkEnd w:id="436"/>
      <w:bookmarkEnd w:id="437"/>
      <w:bookmarkEnd w:id="438"/>
    </w:p>
    <w:bookmarkEnd w:id="439"/>
    <w:bookmarkEnd w:id="440"/>
    <w:bookmarkEnd w:id="441"/>
    <w:bookmarkEnd w:id="442"/>
    <w:bookmarkEnd w:id="443"/>
    <w:bookmarkEnd w:id="444"/>
    <w:bookmarkEnd w:id="445"/>
    <w:p w14:paraId="10B3018B">
      <w:pPr>
        <w:spacing w:line="540" w:lineRule="exact"/>
        <w:ind w:firstLine="420" w:firstLineChars="175"/>
        <w:rPr>
          <w:rFonts w:ascii="Times New Roman" w:hAnsi="Times New Roman" w:eastAsia="仿宋_GB2312"/>
          <w:sz w:val="24"/>
          <w:szCs w:val="24"/>
        </w:rPr>
      </w:pPr>
      <w:r>
        <w:rPr>
          <w:rFonts w:ascii="Times New Roman" w:hAnsi="Times New Roman" w:eastAsia="黑体"/>
          <w:color w:val="000000"/>
          <w:sz w:val="24"/>
          <w:szCs w:val="24"/>
        </w:rPr>
        <w:t>9</w:t>
      </w:r>
      <w:bookmarkStart w:id="458" w:name="_Toc312678022"/>
      <w:bookmarkStart w:id="459" w:name="_Toc303539140"/>
      <w:bookmarkStart w:id="460" w:name="_Toc297123534"/>
      <w:bookmarkStart w:id="461" w:name="_Toc304295560"/>
      <w:bookmarkStart w:id="462" w:name="_Toc297216193"/>
      <w:bookmarkStart w:id="463" w:name="_Toc312677496"/>
      <w:bookmarkStart w:id="464" w:name="_Toc300934983"/>
      <w:r>
        <w:rPr>
          <w:rFonts w:ascii="Times New Roman" w:hAnsi="Times New Roman" w:eastAsia="黑体"/>
          <w:color w:val="000000"/>
          <w:sz w:val="24"/>
          <w:szCs w:val="24"/>
        </w:rPr>
        <w:t>.1试验设备与试验人员</w:t>
      </w:r>
      <w:bookmarkEnd w:id="458"/>
      <w:bookmarkEnd w:id="459"/>
      <w:bookmarkEnd w:id="460"/>
      <w:bookmarkEnd w:id="461"/>
      <w:bookmarkEnd w:id="462"/>
      <w:bookmarkEnd w:id="463"/>
      <w:bookmarkEnd w:id="464"/>
      <w:bookmarkStart w:id="465" w:name="_Toc312678024"/>
      <w:bookmarkStart w:id="466" w:name="_Toc304295562"/>
      <w:bookmarkStart w:id="467" w:name="_Toc297123536"/>
      <w:bookmarkStart w:id="468" w:name="_Toc303539142"/>
      <w:bookmarkStart w:id="469" w:name="_Toc297216195"/>
      <w:bookmarkStart w:id="470" w:name="_Toc300934985"/>
      <w:bookmarkStart w:id="471" w:name="_Toc318581174"/>
      <w:bookmarkStart w:id="472" w:name="_Toc312677498"/>
      <w:r>
        <w:rPr>
          <w:rFonts w:ascii="Times New Roman" w:hAnsi="Times New Roman" w:eastAsia="仿宋_GB2312"/>
          <w:sz w:val="24"/>
          <w:szCs w:val="24"/>
        </w:rPr>
        <w:t>：</w:t>
      </w:r>
      <w:r>
        <w:rPr>
          <w:rFonts w:ascii="Times New Roman" w:hAnsi="Times New Roman" w:eastAsia="楷体_GB2312"/>
          <w:sz w:val="24"/>
          <w:szCs w:val="24"/>
          <w:u w:val="single"/>
        </w:rPr>
        <w:t xml:space="preserve">  </w:t>
      </w:r>
      <w:r>
        <w:rPr>
          <w:rFonts w:hint="eastAsia" w:ascii="Times New Roman" w:hAnsi="Times New Roman" w:eastAsia="楷体_GB2312"/>
          <w:sz w:val="24"/>
          <w:szCs w:val="24"/>
          <w:u w:val="single"/>
        </w:rPr>
        <w:t>/</w:t>
      </w:r>
      <w:r>
        <w:rPr>
          <w:rFonts w:ascii="Times New Roman" w:hAnsi="Times New Roman" w:eastAsia="楷体_GB2312"/>
          <w:sz w:val="24"/>
          <w:szCs w:val="24"/>
          <w:u w:val="single"/>
        </w:rPr>
        <w:t xml:space="preserve">  </w:t>
      </w:r>
      <w:r>
        <w:rPr>
          <w:rFonts w:ascii="Times New Roman" w:hAnsi="Times New Roman" w:eastAsia="仿宋_GB2312"/>
          <w:sz w:val="24"/>
          <w:szCs w:val="24"/>
        </w:rPr>
        <w:t>。</w:t>
      </w:r>
    </w:p>
    <w:p w14:paraId="7F9F2908">
      <w:pPr>
        <w:spacing w:line="540" w:lineRule="exact"/>
        <w:ind w:firstLine="420" w:firstLineChars="175"/>
        <w:rPr>
          <w:rFonts w:ascii="Times New Roman" w:hAnsi="Times New Roman" w:eastAsia="仿宋_GB2312"/>
          <w:sz w:val="24"/>
          <w:szCs w:val="24"/>
        </w:rPr>
      </w:pPr>
      <w:r>
        <w:rPr>
          <w:rFonts w:ascii="Times New Roman" w:hAnsi="Times New Roman" w:eastAsia="黑体"/>
          <w:color w:val="000000"/>
          <w:sz w:val="24"/>
          <w:szCs w:val="24"/>
        </w:rPr>
        <w:t>9.</w:t>
      </w:r>
      <w:r>
        <w:rPr>
          <w:rFonts w:hint="eastAsia" w:ascii="Times New Roman" w:hAnsi="Times New Roman" w:eastAsia="黑体"/>
          <w:color w:val="000000"/>
          <w:sz w:val="24"/>
          <w:szCs w:val="24"/>
          <w:lang w:val="en-US"/>
        </w:rPr>
        <w:t>2</w:t>
      </w:r>
      <w:r>
        <w:rPr>
          <w:rFonts w:ascii="Times New Roman" w:hAnsi="Times New Roman" w:eastAsia="黑体"/>
          <w:color w:val="000000"/>
          <w:sz w:val="24"/>
          <w:szCs w:val="24"/>
        </w:rPr>
        <w:t xml:space="preserve"> 现场工艺试验</w:t>
      </w:r>
      <w:r>
        <w:rPr>
          <w:rFonts w:ascii="Times New Roman" w:hAnsi="Times New Roman" w:eastAsia="仿宋_GB2312"/>
          <w:sz w:val="24"/>
          <w:szCs w:val="24"/>
        </w:rPr>
        <w:t>：</w:t>
      </w:r>
      <w:r>
        <w:rPr>
          <w:rFonts w:hint="eastAsia" w:ascii="Times New Roman" w:hAnsi="Times New Roman" w:eastAsia="楷体_GB2312"/>
          <w:sz w:val="24"/>
          <w:szCs w:val="24"/>
          <w:u w:val="single"/>
        </w:rPr>
        <w:t xml:space="preserve">  /  </w:t>
      </w:r>
      <w:r>
        <w:rPr>
          <w:rFonts w:ascii="Times New Roman" w:hAnsi="Times New Roman" w:eastAsia="仿宋_GB2312"/>
          <w:sz w:val="24"/>
          <w:szCs w:val="24"/>
        </w:rPr>
        <w:t>。</w:t>
      </w:r>
    </w:p>
    <w:bookmarkEnd w:id="465"/>
    <w:bookmarkEnd w:id="466"/>
    <w:bookmarkEnd w:id="467"/>
    <w:bookmarkEnd w:id="468"/>
    <w:bookmarkEnd w:id="469"/>
    <w:bookmarkEnd w:id="470"/>
    <w:bookmarkEnd w:id="471"/>
    <w:bookmarkEnd w:id="472"/>
    <w:p w14:paraId="7888C5F9">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473" w:name="_Toc11920"/>
      <w:bookmarkStart w:id="474" w:name="_Toc17228"/>
      <w:bookmarkStart w:id="475" w:name="_Toc2097"/>
      <w:bookmarkStart w:id="476" w:name="_Toc31861"/>
      <w:bookmarkStart w:id="477" w:name="_Toc351203642"/>
      <w:r>
        <w:rPr>
          <w:rFonts w:ascii="Times New Roman" w:hAnsi="Times New Roman"/>
          <w:bCs w:val="0"/>
          <w:color w:val="000000"/>
          <w:sz w:val="24"/>
          <w:szCs w:val="24"/>
        </w:rPr>
        <w:t>1</w:t>
      </w:r>
      <w:bookmarkEnd w:id="446"/>
      <w:bookmarkEnd w:id="447"/>
      <w:bookmarkEnd w:id="448"/>
      <w:bookmarkEnd w:id="449"/>
      <w:bookmarkEnd w:id="450"/>
      <w:bookmarkEnd w:id="451"/>
      <w:bookmarkEnd w:id="452"/>
      <w:bookmarkEnd w:id="453"/>
      <w:bookmarkEnd w:id="454"/>
      <w:bookmarkEnd w:id="455"/>
      <w:bookmarkEnd w:id="456"/>
      <w:bookmarkEnd w:id="457"/>
      <w:bookmarkStart w:id="478" w:name="_Toc296347192"/>
      <w:bookmarkStart w:id="479" w:name="_Toc292559398"/>
      <w:bookmarkStart w:id="480" w:name="_Toc297123540"/>
      <w:bookmarkStart w:id="481" w:name="_Toc297120493"/>
      <w:bookmarkStart w:id="482" w:name="_Toc297216199"/>
      <w:bookmarkStart w:id="483" w:name="_Toc304295566"/>
      <w:bookmarkStart w:id="484" w:name="_Toc296944532"/>
      <w:bookmarkStart w:id="485" w:name="_Toc300934989"/>
      <w:bookmarkStart w:id="486" w:name="_Toc296891021"/>
      <w:bookmarkStart w:id="487" w:name="_Toc297048379"/>
      <w:bookmarkStart w:id="488" w:name="_Toc296503193"/>
      <w:bookmarkStart w:id="489" w:name="_Toc292559903"/>
      <w:bookmarkStart w:id="490" w:name="_Toc303539146"/>
      <w:bookmarkStart w:id="491" w:name="_Toc296346694"/>
      <w:bookmarkStart w:id="492" w:name="_Toc296891233"/>
      <w:bookmarkStart w:id="493" w:name="_Toc312677499"/>
      <w:bookmarkStart w:id="494" w:name="_Toc312678025"/>
      <w:bookmarkStart w:id="495" w:name="_Toc267251440"/>
      <w:bookmarkStart w:id="496" w:name="_Toc267251439"/>
      <w:bookmarkStart w:id="497" w:name="_Toc267251437"/>
      <w:bookmarkStart w:id="498" w:name="_Toc267251441"/>
      <w:bookmarkStart w:id="499" w:name="_Toc267251435"/>
      <w:bookmarkStart w:id="500" w:name="_Toc267251433"/>
      <w:bookmarkStart w:id="501" w:name="_Toc267251442"/>
      <w:r>
        <w:rPr>
          <w:rFonts w:ascii="Times New Roman" w:hAnsi="Times New Roman"/>
          <w:bCs w:val="0"/>
          <w:color w:val="000000"/>
          <w:sz w:val="24"/>
          <w:szCs w:val="24"/>
        </w:rPr>
        <w:t>0. 变更</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bookmarkEnd w:id="493"/>
    <w:bookmarkEnd w:id="494"/>
    <w:p w14:paraId="608395F2">
      <w:pPr>
        <w:spacing w:line="540" w:lineRule="exact"/>
        <w:ind w:firstLine="480" w:firstLineChars="200"/>
        <w:rPr>
          <w:rFonts w:ascii="Times New Roman" w:hAnsi="Times New Roman" w:eastAsia="仿宋_GB2312"/>
          <w:color w:val="000000"/>
          <w:sz w:val="24"/>
          <w:szCs w:val="24"/>
        </w:rPr>
      </w:pPr>
      <w:r>
        <w:rPr>
          <w:rFonts w:ascii="Times New Roman" w:hAnsi="Times New Roman" w:eastAsia="黑体"/>
          <w:color w:val="000000"/>
          <w:sz w:val="24"/>
          <w:szCs w:val="24"/>
        </w:rPr>
        <w:t>1</w:t>
      </w:r>
      <w:bookmarkStart w:id="502" w:name="_Toc297123541"/>
      <w:bookmarkStart w:id="503" w:name="_Toc297048380"/>
      <w:bookmarkStart w:id="504" w:name="_Toc297216200"/>
      <w:bookmarkStart w:id="505" w:name="_Toc296944533"/>
      <w:bookmarkStart w:id="506" w:name="_Toc296347193"/>
      <w:bookmarkStart w:id="507" w:name="_Toc292559904"/>
      <w:bookmarkStart w:id="508" w:name="_Toc304295567"/>
      <w:bookmarkStart w:id="509" w:name="_Toc312677500"/>
      <w:bookmarkStart w:id="510" w:name="_Toc296891022"/>
      <w:bookmarkStart w:id="511" w:name="_Toc296503194"/>
      <w:bookmarkStart w:id="512" w:name="_Toc312678026"/>
      <w:bookmarkStart w:id="513" w:name="_Toc292559399"/>
      <w:bookmarkStart w:id="514" w:name="_Toc296891234"/>
      <w:bookmarkStart w:id="515" w:name="_Toc297120494"/>
      <w:bookmarkStart w:id="516" w:name="_Toc300934990"/>
      <w:bookmarkStart w:id="517" w:name="_Toc296346695"/>
      <w:bookmarkStart w:id="518" w:name="_Toc303539147"/>
      <w:r>
        <w:rPr>
          <w:rFonts w:ascii="Times New Roman" w:hAnsi="Times New Roman" w:eastAsia="黑体"/>
          <w:color w:val="000000"/>
          <w:sz w:val="24"/>
          <w:szCs w:val="24"/>
        </w:rPr>
        <w:t>0.1变更的范围</w:t>
      </w:r>
      <w:r>
        <w:rPr>
          <w:rFonts w:ascii="Times New Roman" w:hAnsi="Times New Roman" w:eastAsia="仿宋_GB2312"/>
          <w:color w:val="000000"/>
          <w:sz w:val="24"/>
          <w:szCs w:val="24"/>
        </w:rPr>
        <w:t>：</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2414DC83">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10.</w:t>
      </w:r>
      <w:r>
        <w:rPr>
          <w:rFonts w:hint="eastAsia" w:ascii="Times New Roman" w:hAnsi="Times New Roman" w:eastAsia="黑体"/>
          <w:color w:val="000000"/>
          <w:sz w:val="24"/>
          <w:szCs w:val="24"/>
          <w:lang w:val="en-US"/>
        </w:rPr>
        <w:t>2</w:t>
      </w:r>
      <w:r>
        <w:rPr>
          <w:rFonts w:ascii="Times New Roman" w:hAnsi="Times New Roman" w:eastAsia="黑体"/>
          <w:color w:val="000000"/>
          <w:sz w:val="24"/>
          <w:szCs w:val="24"/>
        </w:rPr>
        <w:t xml:space="preserve"> 变更估价</w:t>
      </w:r>
    </w:p>
    <w:p w14:paraId="47FE4B22">
      <w:pPr>
        <w:spacing w:line="540" w:lineRule="exact"/>
        <w:ind w:firstLine="480" w:firstLineChars="200"/>
        <w:rPr>
          <w:rFonts w:ascii="Times New Roman" w:hAnsi="Times New Roman" w:eastAsia="仿宋_GB2312"/>
          <w:color w:val="000000"/>
          <w:sz w:val="24"/>
          <w:szCs w:val="24"/>
          <w:u w:val="single"/>
        </w:rPr>
      </w:pPr>
      <w:r>
        <w:rPr>
          <w:rFonts w:hint="eastAsia" w:ascii="Times New Roman" w:hAnsi="Times New Roman" w:eastAsia="仿宋_GB2312"/>
          <w:sz w:val="24"/>
          <w:szCs w:val="24"/>
        </w:rPr>
        <w:t>10.</w:t>
      </w:r>
      <w:r>
        <w:rPr>
          <w:rFonts w:hint="eastAsia" w:ascii="Times New Roman" w:hAnsi="Times New Roman" w:eastAsia="仿宋_GB2312"/>
          <w:sz w:val="24"/>
          <w:szCs w:val="24"/>
          <w:lang w:val="en-US"/>
        </w:rPr>
        <w:t>2</w:t>
      </w:r>
      <w:r>
        <w:rPr>
          <w:rFonts w:hint="eastAsia" w:ascii="Times New Roman" w:hAnsi="Times New Roman" w:eastAsia="仿宋_GB2312"/>
          <w:sz w:val="24"/>
          <w:szCs w:val="24"/>
        </w:rPr>
        <w:t>.1 变更估价原则</w:t>
      </w:r>
      <w:r>
        <w:rPr>
          <w:rFonts w:ascii="Times New Roman" w:hAnsi="Times New Roman" w:eastAsia="仿宋_GB2312"/>
          <w:color w:val="000000"/>
          <w:sz w:val="24"/>
          <w:szCs w:val="24"/>
        </w:rPr>
        <w:t>:</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5D3E446D">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Start w:id="519" w:name="_Toc292559907"/>
      <w:bookmarkStart w:id="520" w:name="_Toc296346698"/>
      <w:bookmarkStart w:id="521" w:name="_Toc297216203"/>
      <w:bookmarkStart w:id="522" w:name="_Toc292559402"/>
      <w:bookmarkStart w:id="523" w:name="_Toc296891237"/>
      <w:bookmarkStart w:id="524" w:name="_Toc296944536"/>
      <w:bookmarkStart w:id="525" w:name="_Toc297120497"/>
      <w:bookmarkStart w:id="526" w:name="_Toc297048383"/>
      <w:bookmarkStart w:id="527" w:name="_Toc296503197"/>
      <w:bookmarkStart w:id="528" w:name="_Toc296347196"/>
      <w:bookmarkStart w:id="529" w:name="_Toc297123544"/>
      <w:bookmarkStart w:id="530" w:name="_Toc296891025"/>
      <w:bookmarkStart w:id="531" w:name="_Toc303539150"/>
      <w:bookmarkStart w:id="532" w:name="_Toc300934993"/>
      <w:bookmarkStart w:id="533" w:name="_Toc312677503"/>
      <w:bookmarkStart w:id="534" w:name="_Toc304295570"/>
      <w:bookmarkStart w:id="535" w:name="_Toc312678029"/>
      <w:r>
        <w:rPr>
          <w:rFonts w:ascii="Times New Roman" w:hAnsi="Times New Roman" w:eastAsia="黑体"/>
          <w:color w:val="000000"/>
          <w:sz w:val="24"/>
          <w:szCs w:val="24"/>
        </w:rPr>
        <w:t>0.</w:t>
      </w:r>
      <w:r>
        <w:rPr>
          <w:rFonts w:hint="eastAsia" w:ascii="Times New Roman" w:hAnsi="Times New Roman" w:eastAsia="黑体"/>
          <w:color w:val="000000"/>
          <w:sz w:val="24"/>
          <w:szCs w:val="24"/>
          <w:lang w:val="en-US"/>
        </w:rPr>
        <w:t>3</w:t>
      </w:r>
      <w:r>
        <w:rPr>
          <w:rFonts w:ascii="Times New Roman" w:hAnsi="Times New Roman" w:eastAsia="黑体"/>
          <w:color w:val="000000"/>
          <w:sz w:val="24"/>
          <w:szCs w:val="24"/>
        </w:rPr>
        <w:t>承</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Start w:id="536" w:name="_Toc296346704"/>
      <w:bookmarkStart w:id="537" w:name="_Toc303539151"/>
      <w:bookmarkStart w:id="538" w:name="_Toc296891243"/>
      <w:bookmarkStart w:id="539" w:name="_Toc297048389"/>
      <w:bookmarkStart w:id="540" w:name="_Toc296503203"/>
      <w:bookmarkStart w:id="541" w:name="_Toc292559408"/>
      <w:bookmarkStart w:id="542" w:name="_Toc292559913"/>
      <w:bookmarkStart w:id="543" w:name="_Toc300934994"/>
      <w:bookmarkStart w:id="544" w:name="_Toc297123545"/>
      <w:bookmarkStart w:id="545" w:name="_Toc296944542"/>
      <w:bookmarkStart w:id="546" w:name="_Toc296891031"/>
      <w:bookmarkStart w:id="547" w:name="_Toc297120503"/>
      <w:bookmarkStart w:id="548" w:name="_Toc297216204"/>
      <w:bookmarkStart w:id="549" w:name="_Toc296347202"/>
      <w:r>
        <w:rPr>
          <w:rFonts w:ascii="Times New Roman" w:hAnsi="Times New Roman" w:eastAsia="黑体"/>
          <w:color w:val="000000"/>
          <w:sz w:val="24"/>
          <w:szCs w:val="24"/>
        </w:rPr>
        <w:t>包人的合理化建议</w:t>
      </w:r>
    </w:p>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14:paraId="2CC0BD59">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监理人审查承包人合理化建议的期限：</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p>
    <w:p w14:paraId="0EE2EEF3">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发包人审批承包人合理化建议的期限：</w:t>
      </w:r>
      <w:r>
        <w:rPr>
          <w:rFonts w:hint="eastAsia" w:ascii="仿宋" w:hAnsi="仿宋" w:eastAsia="仿宋" w:cs="仿宋"/>
          <w:color w:val="000000"/>
          <w:sz w:val="24"/>
          <w:szCs w:val="24"/>
          <w:u w:val="single"/>
        </w:rPr>
        <w:t>执行通用条款</w:t>
      </w:r>
      <w:r>
        <w:rPr>
          <w:rFonts w:ascii="Times New Roman" w:hAnsi="Times New Roman" w:eastAsia="仿宋_GB2312"/>
          <w:sz w:val="24"/>
          <w:szCs w:val="24"/>
        </w:rPr>
        <w:t>。</w:t>
      </w:r>
    </w:p>
    <w:p w14:paraId="2F63C35D">
      <w:pPr>
        <w:spacing w:line="540" w:lineRule="exact"/>
        <w:ind w:firstLine="480" w:firstLineChars="200"/>
        <w:rPr>
          <w:rFonts w:ascii="Times New Roman" w:hAnsi="Times New Roman" w:eastAsia="楷体_GB2312"/>
          <w:sz w:val="24"/>
          <w:szCs w:val="24"/>
          <w:u w:val="single"/>
        </w:rPr>
      </w:pPr>
      <w:r>
        <w:rPr>
          <w:rFonts w:ascii="Times New Roman" w:hAnsi="Times New Roman" w:eastAsia="仿宋_GB2312"/>
          <w:sz w:val="24"/>
          <w:szCs w:val="24"/>
        </w:rPr>
        <w:t>承</w:t>
      </w:r>
      <w:bookmarkStart w:id="550" w:name="_Toc297048390"/>
      <w:bookmarkStart w:id="551" w:name="_Toc297120504"/>
      <w:bookmarkStart w:id="552" w:name="_Toc296944543"/>
      <w:bookmarkStart w:id="553" w:name="_Toc312677504"/>
      <w:bookmarkStart w:id="554" w:name="_Toc296347203"/>
      <w:bookmarkStart w:id="555" w:name="_Toc297123546"/>
      <w:bookmarkStart w:id="556" w:name="_Toc292559914"/>
      <w:bookmarkStart w:id="557" w:name="_Toc297216205"/>
      <w:bookmarkStart w:id="558" w:name="_Toc296503204"/>
      <w:bookmarkStart w:id="559" w:name="_Toc300934995"/>
      <w:bookmarkStart w:id="560" w:name="_Toc303539152"/>
      <w:bookmarkStart w:id="561" w:name="_Toc304295571"/>
      <w:bookmarkStart w:id="562" w:name="_Toc296891244"/>
      <w:bookmarkStart w:id="563" w:name="_Toc312678030"/>
      <w:bookmarkStart w:id="564" w:name="_Toc296891032"/>
      <w:bookmarkStart w:id="565" w:name="_Toc318581175"/>
      <w:bookmarkStart w:id="566" w:name="_Toc292559409"/>
      <w:bookmarkStart w:id="567" w:name="_Toc296346705"/>
      <w:r>
        <w:rPr>
          <w:rFonts w:ascii="Times New Roman" w:hAnsi="Times New Roman" w:eastAsia="仿宋_GB2312"/>
          <w:sz w:val="24"/>
          <w:szCs w:val="24"/>
        </w:rPr>
        <w:t>包人提出的合理化建议降低了合同价格或者提高了工程经济效益的奖励的方法和金额为：</w:t>
      </w:r>
      <w:r>
        <w:rPr>
          <w:rFonts w:hint="eastAsia" w:ascii="仿宋" w:hAnsi="仿宋" w:eastAsia="仿宋" w:cs="仿宋"/>
          <w:color w:val="000000"/>
          <w:sz w:val="24"/>
          <w:szCs w:val="24"/>
          <w:u w:val="single"/>
          <w:lang w:val="en-US"/>
        </w:rPr>
        <w:t xml:space="preserve">          /                     </w:t>
      </w:r>
      <w:r>
        <w:rPr>
          <w:rFonts w:ascii="Times New Roman" w:hAnsi="Times New Roman" w:eastAsia="仿宋_GB2312"/>
          <w:sz w:val="24"/>
          <w:szCs w:val="24"/>
        </w:rPr>
        <w:t>。</w:t>
      </w:r>
    </w:p>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14:paraId="683FA678">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w:t>
      </w:r>
      <w:bookmarkStart w:id="568" w:name="_Toc296346700"/>
      <w:bookmarkStart w:id="569" w:name="_Toc296891239"/>
      <w:bookmarkStart w:id="570" w:name="_Toc312678033"/>
      <w:bookmarkStart w:id="571" w:name="_Toc292559404"/>
      <w:bookmarkStart w:id="572" w:name="_Toc304295574"/>
      <w:bookmarkStart w:id="573" w:name="_Toc296891027"/>
      <w:bookmarkStart w:id="574" w:name="_Toc300934997"/>
      <w:bookmarkStart w:id="575" w:name="_Toc296347198"/>
      <w:bookmarkStart w:id="576" w:name="_Toc296503199"/>
      <w:bookmarkStart w:id="577" w:name="_Toc297123548"/>
      <w:bookmarkStart w:id="578" w:name="_Toc297120499"/>
      <w:bookmarkStart w:id="579" w:name="_Toc303539154"/>
      <w:bookmarkStart w:id="580" w:name="_Toc296944538"/>
      <w:bookmarkStart w:id="581" w:name="_Toc297048385"/>
      <w:bookmarkStart w:id="582" w:name="_Toc312677507"/>
      <w:bookmarkStart w:id="583" w:name="_Toc292559909"/>
      <w:bookmarkStart w:id="584" w:name="_Toc297216207"/>
      <w:r>
        <w:rPr>
          <w:rFonts w:ascii="Times New Roman" w:hAnsi="Times New Roman" w:eastAsia="黑体"/>
          <w:color w:val="000000"/>
          <w:sz w:val="24"/>
          <w:szCs w:val="24"/>
        </w:rPr>
        <w:t>0.</w:t>
      </w:r>
      <w:r>
        <w:rPr>
          <w:rFonts w:hint="eastAsia" w:ascii="Times New Roman" w:hAnsi="Times New Roman" w:eastAsia="黑体"/>
          <w:color w:val="000000"/>
          <w:sz w:val="24"/>
          <w:szCs w:val="24"/>
          <w:lang w:val="en-US"/>
        </w:rPr>
        <w:t>4</w:t>
      </w:r>
      <w:r>
        <w:rPr>
          <w:rFonts w:ascii="Times New Roman" w:hAnsi="Times New Roman" w:eastAsia="黑体"/>
          <w:color w:val="000000"/>
          <w:sz w:val="24"/>
          <w:szCs w:val="24"/>
        </w:rPr>
        <w:t xml:space="preserve"> 暂估价</w:t>
      </w:r>
    </w:p>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14:paraId="6E3C5FD0">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暂</w:t>
      </w:r>
      <w:bookmarkStart w:id="585" w:name="_Toc312678034"/>
      <w:bookmarkStart w:id="586" w:name="_Toc318581176"/>
      <w:bookmarkStart w:id="587" w:name="_Toc312677508"/>
      <w:r>
        <w:rPr>
          <w:rFonts w:ascii="Times New Roman" w:hAnsi="Times New Roman" w:eastAsia="仿宋_GB2312"/>
          <w:sz w:val="24"/>
          <w:szCs w:val="24"/>
        </w:rPr>
        <w:t>估价</w:t>
      </w:r>
      <w:r>
        <w:rPr>
          <w:rFonts w:hint="eastAsia" w:ascii="Times New Roman" w:hAnsi="Times New Roman" w:eastAsia="仿宋_GB2312"/>
          <w:sz w:val="24"/>
          <w:szCs w:val="24"/>
        </w:rPr>
        <w:t>的</w:t>
      </w:r>
      <w:r>
        <w:rPr>
          <w:rFonts w:ascii="Times New Roman" w:hAnsi="Times New Roman" w:eastAsia="仿宋_GB2312"/>
          <w:sz w:val="24"/>
          <w:szCs w:val="24"/>
        </w:rPr>
        <w:t>明细详见</w:t>
      </w:r>
      <w:r>
        <w:rPr>
          <w:rFonts w:hint="eastAsia" w:ascii="Times New Roman" w:hAnsi="Times New Roman" w:eastAsia="仿宋_GB2312"/>
          <w:sz w:val="24"/>
          <w:szCs w:val="24"/>
        </w:rPr>
        <w:t>本工程《</w:t>
      </w:r>
      <w:r>
        <w:rPr>
          <w:rFonts w:hint="eastAsia" w:ascii="Times New Roman" w:hAnsi="Times New Roman" w:eastAsia="仿宋_GB2312"/>
          <w:color w:val="000000"/>
          <w:sz w:val="24"/>
          <w:szCs w:val="24"/>
        </w:rPr>
        <w:t>工程量清单》或中标人</w:t>
      </w:r>
      <w:r>
        <w:rPr>
          <w:rFonts w:hint="eastAsia" w:ascii="Times New Roman" w:hAnsi="Times New Roman" w:eastAsia="仿宋_GB2312"/>
          <w:sz w:val="24"/>
          <w:szCs w:val="24"/>
        </w:rPr>
        <w:t>《投标报价书</w:t>
      </w:r>
      <w:r>
        <w:rPr>
          <w:rFonts w:hint="eastAsia" w:ascii="Times New Roman" w:hAnsi="Times New Roman" w:eastAsia="仿宋_GB2312"/>
          <w:color w:val="000000"/>
          <w:sz w:val="24"/>
          <w:szCs w:val="24"/>
        </w:rPr>
        <w:t>》表-12-2、表-12-3</w:t>
      </w:r>
      <w:r>
        <w:rPr>
          <w:rFonts w:hint="eastAsia" w:ascii="Times New Roman" w:hAnsi="Times New Roman" w:eastAsia="仿宋_GB2312"/>
          <w:sz w:val="24"/>
          <w:szCs w:val="24"/>
        </w:rPr>
        <w:t>。</w:t>
      </w:r>
    </w:p>
    <w:bookmarkEnd w:id="585"/>
    <w:bookmarkEnd w:id="586"/>
    <w:bookmarkEnd w:id="587"/>
    <w:p w14:paraId="5207493B">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10.</w:t>
      </w:r>
      <w:r>
        <w:rPr>
          <w:rFonts w:hint="eastAsia" w:ascii="Times New Roman" w:hAnsi="Times New Roman" w:eastAsia="黑体"/>
          <w:color w:val="000000"/>
          <w:sz w:val="24"/>
          <w:szCs w:val="24"/>
          <w:lang w:val="en-US"/>
        </w:rPr>
        <w:t>5</w:t>
      </w:r>
      <w:r>
        <w:rPr>
          <w:rFonts w:ascii="Times New Roman" w:hAnsi="Times New Roman" w:eastAsia="黑体"/>
          <w:color w:val="000000"/>
          <w:sz w:val="24"/>
          <w:szCs w:val="24"/>
        </w:rPr>
        <w:t xml:space="preserve"> 暂列金额</w:t>
      </w:r>
    </w:p>
    <w:p w14:paraId="75404812">
      <w:pPr>
        <w:spacing w:line="540" w:lineRule="exact"/>
        <w:ind w:firstLine="480" w:firstLineChars="200"/>
        <w:rPr>
          <w:rFonts w:ascii="Times New Roman" w:hAnsi="Times New Roman" w:eastAsia="仿宋_GB2312"/>
          <w:color w:val="000000"/>
          <w:sz w:val="24"/>
          <w:szCs w:val="24"/>
        </w:rPr>
      </w:pPr>
      <w:r>
        <w:rPr>
          <w:rFonts w:hint="eastAsia" w:ascii="Times New Roman" w:hAnsi="Times New Roman" w:eastAsia="仿宋_GB2312"/>
          <w:sz w:val="24"/>
          <w:szCs w:val="24"/>
        </w:rPr>
        <w:t>合同当事人关于暂列金额使用的约定</w:t>
      </w:r>
      <w:r>
        <w:rPr>
          <w:rFonts w:hint="eastAsia" w:ascii="Times New Roman" w:hAnsi="Times New Roman" w:eastAsia="仿宋_GB2312"/>
          <w:color w:val="000000"/>
          <w:sz w:val="24"/>
          <w:szCs w:val="24"/>
        </w:rPr>
        <w:t>：</w:t>
      </w:r>
      <w:r>
        <w:rPr>
          <w:rFonts w:hint="eastAsia" w:ascii="Times New Roman" w:hAnsi="Times New Roman" w:eastAsia="楷体_GB2312"/>
          <w:sz w:val="24"/>
          <w:szCs w:val="24"/>
          <w:u w:val="single"/>
        </w:rPr>
        <w:t xml:space="preserve">  /  </w:t>
      </w:r>
      <w:r>
        <w:rPr>
          <w:rFonts w:hint="eastAsia" w:ascii="Times New Roman" w:hAnsi="Times New Roman" w:eastAsia="仿宋_GB2312"/>
          <w:color w:val="000000"/>
          <w:sz w:val="24"/>
          <w:szCs w:val="24"/>
        </w:rPr>
        <w:t>。</w:t>
      </w:r>
    </w:p>
    <w:p w14:paraId="3D14C1D3">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588" w:name="_Toc28020"/>
      <w:bookmarkStart w:id="589" w:name="_Toc6507"/>
      <w:bookmarkStart w:id="590" w:name="_Toc3777"/>
      <w:bookmarkStart w:id="591" w:name="_Toc351203643"/>
      <w:bookmarkStart w:id="592" w:name="_Toc23523"/>
      <w:r>
        <w:rPr>
          <w:rFonts w:ascii="Times New Roman" w:hAnsi="Times New Roman"/>
          <w:bCs w:val="0"/>
          <w:color w:val="000000"/>
          <w:sz w:val="24"/>
          <w:szCs w:val="24"/>
        </w:rPr>
        <w:t>11. 价格调整</w:t>
      </w:r>
      <w:bookmarkEnd w:id="588"/>
      <w:bookmarkEnd w:id="589"/>
      <w:bookmarkEnd w:id="590"/>
      <w:bookmarkEnd w:id="591"/>
      <w:bookmarkEnd w:id="592"/>
    </w:p>
    <w:p w14:paraId="45DD3373">
      <w:pPr>
        <w:spacing w:line="540" w:lineRule="exact"/>
        <w:ind w:firstLine="480" w:firstLineChars="200"/>
        <w:rPr>
          <w:rFonts w:ascii="Times New Roman" w:hAnsi="Times New Roman" w:eastAsia="黑体"/>
          <w:color w:val="000000" w:themeColor="text1"/>
          <w:sz w:val="24"/>
          <w:szCs w:val="24"/>
          <w14:textFill>
            <w14:solidFill>
              <w14:schemeClr w14:val="tx1"/>
            </w14:solidFill>
          </w14:textFill>
        </w:rPr>
      </w:pPr>
      <w:bookmarkStart w:id="593" w:name="_Toc292559406"/>
      <w:bookmarkStart w:id="594" w:name="_Toc300935000"/>
      <w:bookmarkStart w:id="595" w:name="_Toc297120501"/>
      <w:bookmarkStart w:id="596" w:name="_Toc303539157"/>
      <w:bookmarkStart w:id="597" w:name="_Toc297048387"/>
      <w:bookmarkStart w:id="598" w:name="_Toc312678039"/>
      <w:bookmarkStart w:id="599" w:name="_Toc296347200"/>
      <w:bookmarkStart w:id="600" w:name="_Toc292559911"/>
      <w:bookmarkStart w:id="601" w:name="_Toc296891029"/>
      <w:bookmarkStart w:id="602" w:name="_Toc296944540"/>
      <w:bookmarkStart w:id="603" w:name="_Toc296891241"/>
      <w:bookmarkStart w:id="604" w:name="_Toc296503201"/>
      <w:bookmarkStart w:id="605" w:name="_Toc304295577"/>
      <w:bookmarkStart w:id="606" w:name="_Toc296346702"/>
      <w:bookmarkStart w:id="607" w:name="_Toc297216209"/>
      <w:bookmarkStart w:id="608" w:name="_Toc297123550"/>
      <w:r>
        <w:rPr>
          <w:rFonts w:ascii="Times New Roman" w:hAnsi="Times New Roman" w:eastAsia="黑体"/>
          <w:color w:val="000000" w:themeColor="text1"/>
          <w:sz w:val="24"/>
          <w:szCs w:val="24"/>
          <w14:textFill>
            <w14:solidFill>
              <w14:schemeClr w14:val="tx1"/>
            </w14:solidFill>
          </w14:textFill>
        </w:rPr>
        <w:t>11.1 市场价格波动引起的调整</w:t>
      </w:r>
    </w:p>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14:paraId="5BA0EFD9">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市场价格波动是否调整合同价格的约定：</w:t>
      </w:r>
      <w:r>
        <w:rPr>
          <w:rFonts w:ascii="Times New Roman" w:hAnsi="Times New Roman" w:eastAsia="楷体_GB2312"/>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rPr>
          <w:rFonts w:ascii="Times New Roman" w:hAnsi="Times New Roman" w:eastAsia="楷体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w:t>
      </w:r>
    </w:p>
    <w:p w14:paraId="3416E907">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因市场价格波动调整合同价格，采用以下第</w:t>
      </w:r>
      <w:r>
        <w:rPr>
          <w:rFonts w:ascii="Times New Roman" w:hAnsi="Times New Roman" w:eastAsia="楷体_GB2312"/>
          <w:color w:val="000000" w:themeColor="text1"/>
          <w:sz w:val="24"/>
          <w:szCs w:val="24"/>
          <w:u w:val="single"/>
          <w14:textFill>
            <w14:solidFill>
              <w14:schemeClr w14:val="tx1"/>
            </w14:solidFill>
          </w14:textFill>
        </w:rPr>
        <w:t xml:space="preserve">  </w:t>
      </w:r>
      <w:r>
        <w:rPr>
          <w:rFonts w:hint="eastAsia" w:ascii="Times New Roman" w:hAnsi="Times New Roman" w:eastAsia="楷体_GB2312"/>
          <w:color w:val="000000" w:themeColor="text1"/>
          <w:sz w:val="24"/>
          <w:szCs w:val="24"/>
          <w:u w:val="single"/>
          <w:lang w:val="en-US" w:eastAsia="zh-CN"/>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种方式对合同价格进行调整：</w:t>
      </w:r>
    </w:p>
    <w:p w14:paraId="1F5AE0D2">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第1种方式：采用价格指数</w:t>
      </w:r>
      <w:r>
        <w:rPr>
          <w:rFonts w:hint="eastAsia" w:ascii="Times New Roman" w:hAnsi="Times New Roman" w:eastAsia="仿宋_GB2312"/>
          <w:color w:val="000000" w:themeColor="text1"/>
          <w:sz w:val="24"/>
          <w:szCs w:val="24"/>
          <w14:textFill>
            <w14:solidFill>
              <w14:schemeClr w14:val="tx1"/>
            </w14:solidFill>
          </w14:textFill>
        </w:rPr>
        <w:t>进行价格</w:t>
      </w:r>
      <w:r>
        <w:rPr>
          <w:rFonts w:ascii="Times New Roman" w:hAnsi="Times New Roman" w:eastAsia="仿宋_GB2312"/>
          <w:color w:val="000000" w:themeColor="text1"/>
          <w:sz w:val="24"/>
          <w:szCs w:val="24"/>
          <w14:textFill>
            <w14:solidFill>
              <w14:schemeClr w14:val="tx1"/>
            </w14:solidFill>
          </w14:textFill>
        </w:rPr>
        <w:t>调整。</w:t>
      </w:r>
    </w:p>
    <w:p w14:paraId="5C97DC76">
      <w:pPr>
        <w:spacing w:line="540" w:lineRule="exact"/>
        <w:ind w:firstLine="480" w:firstLineChars="200"/>
        <w:rPr>
          <w:rFonts w:ascii="Times New Roman" w:hAnsi="Times New Roman" w:eastAsia="仿宋_GB2312"/>
          <w:color w:val="000000" w:themeColor="text1"/>
          <w:sz w:val="24"/>
          <w:szCs w:val="24"/>
          <w:u w:val="single"/>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关于各可调因子、定值和变值权重，以及基本价格指数及其来源的约定：</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hint="eastAsia" w:ascii="Times New Roman" w:hAnsi="Times New Roman" w:eastAsia="仿宋_GB2312"/>
          <w:color w:val="000000" w:themeColor="text1"/>
          <w:sz w:val="24"/>
          <w:szCs w:val="24"/>
          <w:u w:val="single"/>
          <w14:textFill>
            <w14:solidFill>
              <w14:schemeClr w14:val="tx1"/>
            </w14:solidFill>
          </w14:textFill>
        </w:rPr>
        <w:t>/</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 xml:space="preserve">；  </w:t>
      </w:r>
    </w:p>
    <w:p w14:paraId="4BC4283C">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第2种方式：采用造价信息</w:t>
      </w:r>
      <w:r>
        <w:rPr>
          <w:rFonts w:hint="eastAsia" w:ascii="Times New Roman" w:hAnsi="Times New Roman" w:eastAsia="仿宋_GB2312"/>
          <w:color w:val="000000" w:themeColor="text1"/>
          <w:sz w:val="24"/>
          <w:szCs w:val="24"/>
          <w14:textFill>
            <w14:solidFill>
              <w14:schemeClr w14:val="tx1"/>
            </w14:solidFill>
          </w14:textFill>
        </w:rPr>
        <w:t>进行价格</w:t>
      </w:r>
      <w:r>
        <w:rPr>
          <w:rFonts w:ascii="Times New Roman" w:hAnsi="Times New Roman" w:eastAsia="仿宋_GB2312"/>
          <w:color w:val="000000" w:themeColor="text1"/>
          <w:sz w:val="24"/>
          <w:szCs w:val="24"/>
          <w14:textFill>
            <w14:solidFill>
              <w14:schemeClr w14:val="tx1"/>
            </w14:solidFill>
          </w14:textFill>
        </w:rPr>
        <w:t>调整。</w:t>
      </w:r>
    </w:p>
    <w:p w14:paraId="10E0EFDE">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（2）关于基准价格的约定：</w:t>
      </w:r>
      <w:r>
        <w:rPr>
          <w:rFonts w:hint="eastAsia" w:ascii="仿宋" w:hAnsi="仿宋" w:eastAsia="仿宋" w:cs="仿宋"/>
          <w:color w:val="000000" w:themeColor="text1"/>
          <w:sz w:val="24"/>
          <w:szCs w:val="24"/>
          <w:u w:val="single"/>
          <w14:textFill>
            <w14:solidFill>
              <w14:schemeClr w14:val="tx1"/>
            </w14:solidFill>
          </w14:textFill>
        </w:rPr>
        <w:t>以</w:t>
      </w:r>
      <w:r>
        <w:rPr>
          <w:rFonts w:hint="eastAsia" w:ascii="仿宋" w:hAnsi="仿宋" w:eastAsia="仿宋" w:cs="仿宋"/>
          <w:color w:val="000000" w:themeColor="text1"/>
          <w:sz w:val="24"/>
          <w:szCs w:val="24"/>
          <w:u w:val="single"/>
          <w:lang w:val="en-US"/>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材料指导价为准</w:t>
      </w:r>
      <w:r>
        <w:rPr>
          <w:rFonts w:ascii="Times New Roman" w:hAnsi="Times New Roman" w:eastAsia="仿宋_GB2312"/>
          <w:color w:val="000000" w:themeColor="text1"/>
          <w:sz w:val="24"/>
          <w:szCs w:val="24"/>
          <w14:textFill>
            <w14:solidFill>
              <w14:schemeClr w14:val="tx1"/>
            </w14:solidFill>
          </w14:textFill>
        </w:rPr>
        <w:t>。</w:t>
      </w:r>
    </w:p>
    <w:p w14:paraId="65150B6E">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①</w:t>
      </w:r>
      <w:r>
        <w:rPr>
          <w:rFonts w:ascii="Times New Roman" w:hAnsi="Times New Roman" w:eastAsia="仿宋_GB2312"/>
          <w:color w:val="000000" w:themeColor="text1"/>
          <w:sz w:val="24"/>
          <w:szCs w:val="24"/>
          <w14:textFill>
            <w14:solidFill>
              <w14:schemeClr w14:val="tx1"/>
            </w14:solidFill>
          </w14:textFill>
        </w:rPr>
        <w:t>承包人在已标价工程量清单或预算书中载明的材料单价低于基准价格的：专用合同条款合同履行期间材料单价涨幅以基准价格为基础超过</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hint="eastAsia"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%时，或材料单价跌幅以已标价工程量清单或预算书中载明材料单价为基础超过</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%时，其超过部分据实调整。</w:t>
      </w:r>
    </w:p>
    <w:p w14:paraId="4747325D">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②</w:t>
      </w:r>
      <w:r>
        <w:rPr>
          <w:rFonts w:ascii="Times New Roman" w:hAnsi="Times New Roman" w:eastAsia="仿宋_GB2312"/>
          <w:color w:val="000000" w:themeColor="text1"/>
          <w:sz w:val="24"/>
          <w:szCs w:val="24"/>
          <w14:textFill>
            <w14:solidFill>
              <w14:schemeClr w14:val="tx1"/>
            </w14:solidFill>
          </w14:textFill>
        </w:rPr>
        <w:t>承包人在已标价工程量清单或预算书中载明的材料单价高于基准价格的：专用合同条款合同履行期间材料单价跌幅以基准价格为基础超过</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%时，材料单价涨幅以已标价工程量清单或预算书中载明材料单价为基础超过</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%时，其超过部分据实调整。</w:t>
      </w:r>
    </w:p>
    <w:p w14:paraId="71E001C0">
      <w:pPr>
        <w:spacing w:line="540" w:lineRule="exact"/>
        <w:ind w:firstLine="645"/>
        <w:rPr>
          <w:rFonts w:ascii="Times New Roman" w:hAnsi="Times New Roman" w:eastAsia="仿宋_GB2312"/>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③</w:t>
      </w:r>
      <w:r>
        <w:rPr>
          <w:rFonts w:ascii="Times New Roman" w:hAnsi="Times New Roman" w:eastAsia="仿宋_GB2312"/>
          <w:color w:val="000000" w:themeColor="text1"/>
          <w:sz w:val="24"/>
          <w:szCs w:val="24"/>
          <w14:textFill>
            <w14:solidFill>
              <w14:schemeClr w14:val="tx1"/>
            </w14:solidFill>
          </w14:textFill>
        </w:rPr>
        <w:t>承包人在已标价工程量清单或预算书中载明的材料单价等于基准单价的：专用合同条款合同履行期间材料单价涨跌幅以基准单价为基础超过±</w:t>
      </w:r>
      <w:r>
        <w:rPr>
          <w:rFonts w:hint="eastAsia"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%时，其超过部分据实调整。</w:t>
      </w:r>
    </w:p>
    <w:p w14:paraId="78A7F317">
      <w:pPr>
        <w:spacing w:line="540" w:lineRule="exact"/>
        <w:ind w:firstLine="645"/>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④由政府定价管理的水、电、燃料据实调整，其价格风险由发包人全部承担。</w:t>
      </w:r>
    </w:p>
    <w:p w14:paraId="4C3B0101">
      <w:pPr>
        <w:spacing w:line="540" w:lineRule="exact"/>
        <w:ind w:firstLine="645"/>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第3种方式：其他价格调整方式：</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hint="eastAsia" w:ascii="Times New Roman" w:hAnsi="Times New Roman" w:eastAsia="仿宋_GB2312"/>
          <w:color w:val="000000" w:themeColor="text1"/>
          <w:sz w:val="24"/>
          <w:szCs w:val="24"/>
          <w:u w:val="single"/>
          <w14:textFill>
            <w14:solidFill>
              <w14:schemeClr w14:val="tx1"/>
            </w14:solidFill>
          </w14:textFill>
        </w:rPr>
        <w:t>/</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w:t>
      </w:r>
      <w:bookmarkEnd w:id="495"/>
      <w:bookmarkEnd w:id="496"/>
      <w:bookmarkEnd w:id="497"/>
      <w:bookmarkEnd w:id="498"/>
      <w:bookmarkEnd w:id="499"/>
      <w:bookmarkEnd w:id="500"/>
      <w:bookmarkStart w:id="609" w:name="_Toc296891033"/>
      <w:bookmarkStart w:id="610" w:name="_Toc296347204"/>
      <w:bookmarkStart w:id="611" w:name="_Toc297048391"/>
      <w:bookmarkStart w:id="612" w:name="_Toc296891245"/>
      <w:bookmarkStart w:id="613" w:name="_Toc297120505"/>
      <w:bookmarkStart w:id="614" w:name="_Toc292559915"/>
      <w:bookmarkStart w:id="615" w:name="_Toc296503205"/>
      <w:bookmarkStart w:id="616" w:name="_Toc296944544"/>
      <w:bookmarkStart w:id="617" w:name="_Toc292559410"/>
      <w:bookmarkStart w:id="618" w:name="_Toc296346706"/>
      <w:bookmarkStart w:id="619" w:name="_Toc351203644"/>
      <w:bookmarkStart w:id="620" w:name="_Toc297123552"/>
      <w:bookmarkStart w:id="621" w:name="_Toc303539159"/>
      <w:bookmarkStart w:id="622" w:name="_Toc300935002"/>
      <w:bookmarkStart w:id="623" w:name="_Toc297216211"/>
      <w:bookmarkStart w:id="624" w:name="_Toc304295579"/>
      <w:bookmarkStart w:id="625" w:name="_Toc312678040"/>
    </w:p>
    <w:p w14:paraId="7A4373CC">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626" w:name="_Toc25348"/>
      <w:bookmarkStart w:id="627" w:name="_Toc23509"/>
      <w:bookmarkStart w:id="628" w:name="_Toc23289"/>
      <w:bookmarkStart w:id="629" w:name="_Toc25624"/>
      <w:r>
        <w:rPr>
          <w:rFonts w:ascii="Times New Roman" w:hAnsi="Times New Roman"/>
          <w:bCs w:val="0"/>
          <w:color w:val="000000"/>
          <w:sz w:val="24"/>
          <w:szCs w:val="24"/>
        </w:rPr>
        <w:t xml:space="preserve">12. </w:t>
      </w:r>
      <w:bookmarkEnd w:id="609"/>
      <w:bookmarkEnd w:id="610"/>
      <w:bookmarkEnd w:id="611"/>
      <w:bookmarkEnd w:id="612"/>
      <w:bookmarkEnd w:id="613"/>
      <w:bookmarkEnd w:id="614"/>
      <w:bookmarkEnd w:id="615"/>
      <w:bookmarkEnd w:id="616"/>
      <w:bookmarkEnd w:id="617"/>
      <w:bookmarkEnd w:id="618"/>
      <w:r>
        <w:rPr>
          <w:rFonts w:ascii="Times New Roman" w:hAnsi="Times New Roman"/>
          <w:bCs w:val="0"/>
          <w:color w:val="000000"/>
          <w:sz w:val="24"/>
          <w:szCs w:val="24"/>
        </w:rPr>
        <w:t>合同价格、计量与支付</w:t>
      </w:r>
      <w:bookmarkEnd w:id="619"/>
      <w:bookmarkEnd w:id="626"/>
      <w:bookmarkEnd w:id="627"/>
      <w:bookmarkEnd w:id="628"/>
      <w:bookmarkEnd w:id="629"/>
    </w:p>
    <w:bookmarkEnd w:id="620"/>
    <w:bookmarkEnd w:id="621"/>
    <w:bookmarkEnd w:id="622"/>
    <w:bookmarkEnd w:id="623"/>
    <w:bookmarkEnd w:id="624"/>
    <w:bookmarkEnd w:id="625"/>
    <w:p w14:paraId="5A26EFEF">
      <w:pPr>
        <w:spacing w:line="540" w:lineRule="exact"/>
        <w:ind w:firstLine="480" w:firstLineChars="200"/>
        <w:rPr>
          <w:rFonts w:ascii="Times New Roman" w:hAnsi="Times New Roman" w:eastAsia="黑体"/>
          <w:color w:val="000000" w:themeColor="text1"/>
          <w:sz w:val="24"/>
          <w:szCs w:val="24"/>
          <w14:textFill>
            <w14:solidFill>
              <w14:schemeClr w14:val="tx1"/>
            </w14:solidFill>
          </w14:textFill>
        </w:rPr>
      </w:pPr>
      <w:bookmarkStart w:id="630" w:name="_Toc292559916"/>
      <w:bookmarkStart w:id="631" w:name="_Toc267251461"/>
      <w:bookmarkStart w:id="632" w:name="_Toc292559411"/>
      <w:bookmarkStart w:id="633" w:name="_Toc296891246"/>
      <w:bookmarkStart w:id="634" w:name="_Toc297120506"/>
      <w:bookmarkStart w:id="635" w:name="_Toc296346707"/>
      <w:bookmarkStart w:id="636" w:name="_Toc296891034"/>
      <w:bookmarkStart w:id="637" w:name="_Toc296503206"/>
      <w:bookmarkStart w:id="638" w:name="_Toc296944545"/>
      <w:bookmarkStart w:id="639" w:name="_Toc296347205"/>
      <w:bookmarkStart w:id="640" w:name="_Toc297048392"/>
      <w:bookmarkStart w:id="641" w:name="_Toc297123553"/>
      <w:bookmarkStart w:id="642" w:name="_Toc304295580"/>
      <w:bookmarkStart w:id="643" w:name="_Toc312678041"/>
      <w:bookmarkStart w:id="644" w:name="_Toc297216212"/>
      <w:bookmarkStart w:id="645" w:name="_Toc303539160"/>
      <w:bookmarkStart w:id="646" w:name="_Toc300935003"/>
      <w:r>
        <w:rPr>
          <w:rFonts w:ascii="Times New Roman" w:hAnsi="Times New Roman" w:eastAsia="黑体"/>
          <w:color w:val="000000" w:themeColor="text1"/>
          <w:sz w:val="24"/>
          <w:szCs w:val="24"/>
          <w14:textFill>
            <w14:solidFill>
              <w14:schemeClr w14:val="tx1"/>
            </w14:solidFill>
          </w14:textFill>
        </w:rPr>
        <w:t>12.1 合</w:t>
      </w:r>
      <w:bookmarkEnd w:id="630"/>
      <w:bookmarkEnd w:id="631"/>
      <w:bookmarkEnd w:id="632"/>
      <w:r>
        <w:rPr>
          <w:rFonts w:ascii="Times New Roman" w:hAnsi="Times New Roman" w:eastAsia="黑体"/>
          <w:color w:val="000000" w:themeColor="text1"/>
          <w:sz w:val="24"/>
          <w:szCs w:val="24"/>
          <w14:textFill>
            <w14:solidFill>
              <w14:schemeClr w14:val="tx1"/>
            </w14:solidFill>
          </w14:textFill>
        </w:rPr>
        <w:t>同价</w:t>
      </w:r>
      <w:bookmarkEnd w:id="633"/>
      <w:bookmarkEnd w:id="634"/>
      <w:bookmarkEnd w:id="635"/>
      <w:bookmarkEnd w:id="636"/>
      <w:bookmarkEnd w:id="637"/>
      <w:bookmarkEnd w:id="638"/>
      <w:bookmarkEnd w:id="639"/>
      <w:bookmarkEnd w:id="640"/>
      <w:r>
        <w:rPr>
          <w:rFonts w:ascii="Times New Roman" w:hAnsi="Times New Roman" w:eastAsia="黑体"/>
          <w:color w:val="000000" w:themeColor="text1"/>
          <w:sz w:val="24"/>
          <w:szCs w:val="24"/>
          <w14:textFill>
            <w14:solidFill>
              <w14:schemeClr w14:val="tx1"/>
            </w14:solidFill>
          </w14:textFill>
        </w:rPr>
        <w:t>格形式</w:t>
      </w:r>
    </w:p>
    <w:bookmarkEnd w:id="641"/>
    <w:bookmarkEnd w:id="642"/>
    <w:bookmarkEnd w:id="643"/>
    <w:bookmarkEnd w:id="644"/>
    <w:bookmarkEnd w:id="645"/>
    <w:bookmarkEnd w:id="646"/>
    <w:p w14:paraId="49B668B3">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hint="eastAsia" w:ascii="Times New Roman" w:hAnsi="Times New Roman" w:eastAsia="仿宋_GB2312"/>
          <w:color w:val="000000" w:themeColor="text1"/>
          <w:sz w:val="24"/>
          <w:szCs w:val="24"/>
          <w:lang w:val="en-US"/>
          <w14:textFill>
            <w14:solidFill>
              <w14:schemeClr w14:val="tx1"/>
            </w14:solidFill>
          </w14:textFill>
        </w:rPr>
        <w:t>12.1.</w:t>
      </w:r>
      <w:r>
        <w:rPr>
          <w:rFonts w:ascii="Times New Roman" w:hAnsi="Times New Roman" w:eastAsia="仿宋_GB2312"/>
          <w:color w:val="000000" w:themeColor="text1"/>
          <w:sz w:val="24"/>
          <w:szCs w:val="24"/>
          <w14:textFill>
            <w14:solidFill>
              <w14:schemeClr w14:val="tx1"/>
            </w14:solidFill>
          </w14:textFill>
        </w:rPr>
        <w:t>1单价合同。</w:t>
      </w:r>
    </w:p>
    <w:p w14:paraId="3A00E276">
      <w:pPr>
        <w:spacing w:line="540" w:lineRule="exact"/>
        <w:ind w:firstLine="645"/>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综合单价包含的风险范围：</w:t>
      </w:r>
      <w:r>
        <w:rPr>
          <w:rFonts w:ascii="Times New Roman" w:hAnsi="Times New Roman" w:eastAsia="仿宋_GB2312"/>
          <w:color w:val="000000" w:themeColor="text1"/>
          <w:sz w:val="24"/>
          <w:szCs w:val="24"/>
          <w:u w:val="single"/>
          <w14:textFill>
            <w14:solidFill>
              <w14:schemeClr w14:val="tx1"/>
            </w14:solidFill>
          </w14:textFill>
        </w:rPr>
        <w:sym w:font="Wingdings" w:char="F081"/>
      </w:r>
      <w:r>
        <w:rPr>
          <w:rFonts w:hint="eastAsia" w:ascii="Times New Roman" w:hAnsi="Times New Roman" w:eastAsia="仿宋_GB2312"/>
          <w:color w:val="000000" w:themeColor="text1"/>
          <w:sz w:val="24"/>
          <w:szCs w:val="24"/>
          <w:u w:val="single"/>
          <w14:textFill>
            <w14:solidFill>
              <w14:schemeClr w14:val="tx1"/>
            </w14:solidFill>
          </w14:textFill>
        </w:rPr>
        <w:t>投标基期与施工时段材料价格变动的±</w:t>
      </w:r>
      <w:r>
        <w:rPr>
          <w:rFonts w:hint="eastAsia" w:ascii="Times New Roman" w:hAnsi="Times New Roman" w:eastAsia="仿宋_GB2312"/>
          <w:color w:val="000000" w:themeColor="text1"/>
          <w:sz w:val="24"/>
          <w:szCs w:val="24"/>
          <w:u w:val="single"/>
          <w:lang w:val="en-US" w:eastAsia="zh-CN"/>
          <w14:textFill>
            <w14:solidFill>
              <w14:schemeClr w14:val="tx1"/>
            </w14:solidFill>
          </w14:textFill>
        </w:rPr>
        <w:t xml:space="preserve">   </w:t>
      </w:r>
      <w:r>
        <w:rPr>
          <w:rFonts w:hint="eastAsia" w:ascii="Times New Roman" w:hAnsi="Times New Roman" w:eastAsia="仿宋_GB2312"/>
          <w:color w:val="000000" w:themeColor="text1"/>
          <w:sz w:val="24"/>
          <w:szCs w:val="24"/>
          <w:u w:val="single"/>
          <w14:textFill>
            <w14:solidFill>
              <w14:schemeClr w14:val="tx1"/>
            </w14:solidFill>
          </w14:textFill>
        </w:rPr>
        <w:t>%；</w:t>
      </w:r>
      <w:r>
        <w:rPr>
          <w:rFonts w:hint="eastAsia" w:ascii="Times New Roman" w:hAnsi="Times New Roman" w:eastAsia="仿宋_GB2312"/>
          <w:color w:val="000000" w:themeColor="text1"/>
          <w:sz w:val="24"/>
          <w:szCs w:val="24"/>
          <w:u w:val="single"/>
          <w14:textFill>
            <w14:solidFill>
              <w14:schemeClr w14:val="tx1"/>
            </w14:solidFill>
          </w14:textFill>
        </w:rPr>
        <w:sym w:font="Wingdings" w:char="F082"/>
      </w:r>
      <w:r>
        <w:rPr>
          <w:rFonts w:hint="eastAsia" w:ascii="Times New Roman" w:hAnsi="Times New Roman" w:eastAsia="仿宋_GB2312"/>
          <w:color w:val="000000" w:themeColor="text1"/>
          <w:sz w:val="24"/>
          <w:szCs w:val="24"/>
          <w:u w:val="single"/>
          <w14:textFill>
            <w14:solidFill>
              <w14:schemeClr w14:val="tx1"/>
            </w14:solidFill>
          </w14:textFill>
        </w:rPr>
        <w:t>施工不当带来的人、机窝工和材料浪费；</w:t>
      </w:r>
      <w:r>
        <w:rPr>
          <w:rFonts w:hint="eastAsia" w:ascii="Times New Roman" w:hAnsi="Times New Roman" w:eastAsia="仿宋_GB2312"/>
          <w:color w:val="000000" w:themeColor="text1"/>
          <w:sz w:val="24"/>
          <w:szCs w:val="24"/>
          <w:u w:val="single"/>
          <w14:textFill>
            <w14:solidFill>
              <w14:schemeClr w14:val="tx1"/>
            </w14:solidFill>
          </w14:textFill>
        </w:rPr>
        <w:sym w:font="Wingdings" w:char="F083"/>
      </w:r>
      <w:r>
        <w:rPr>
          <w:rFonts w:hint="eastAsia" w:ascii="Times New Roman" w:hAnsi="Times New Roman" w:eastAsia="仿宋_GB2312"/>
          <w:color w:val="000000" w:themeColor="text1"/>
          <w:sz w:val="24"/>
          <w:szCs w:val="24"/>
          <w:u w:val="single"/>
          <w14:textFill>
            <w14:solidFill>
              <w14:schemeClr w14:val="tx1"/>
            </w14:solidFill>
          </w14:textFill>
        </w:rPr>
        <w:t>管理不善导致的管理经费超支；</w:t>
      </w:r>
      <w:r>
        <w:rPr>
          <w:rFonts w:hint="eastAsia" w:ascii="仿宋" w:hAnsi="仿宋" w:eastAsia="仿宋" w:cs="仿宋"/>
          <w:color w:val="000000" w:themeColor="text1"/>
          <w:sz w:val="24"/>
          <w:szCs w:val="24"/>
          <w:u w:val="single"/>
          <w14:textFill>
            <w14:solidFill>
              <w14:schemeClr w14:val="tx1"/>
            </w14:solidFill>
          </w14:textFill>
        </w:rPr>
        <w:t>④ 经营不善使得经济效益下滑等</w:t>
      </w:r>
      <w:r>
        <w:rPr>
          <w:rFonts w:ascii="Times New Roman" w:hAnsi="Times New Roman" w:eastAsia="仿宋_GB2312"/>
          <w:color w:val="000000" w:themeColor="text1"/>
          <w:sz w:val="24"/>
          <w:szCs w:val="24"/>
          <w14:textFill>
            <w14:solidFill>
              <w14:schemeClr w14:val="tx1"/>
            </w14:solidFill>
          </w14:textFill>
        </w:rPr>
        <w:t>。</w:t>
      </w:r>
    </w:p>
    <w:p w14:paraId="766D06F8">
      <w:pPr>
        <w:spacing w:line="540" w:lineRule="exact"/>
        <w:ind w:firstLine="645"/>
        <w:rPr>
          <w:rFonts w:ascii="Times New Roman" w:hAnsi="Times New Roman" w:eastAsia="仿宋_GB2312"/>
          <w:color w:val="000000" w:themeColor="text1"/>
          <w:sz w:val="24"/>
          <w:szCs w:val="24"/>
          <w:u w:val="single"/>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风险费用的计算方法：</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hint="eastAsia" w:ascii="Times New Roman" w:hAnsi="Times New Roman" w:eastAsia="仿宋_GB2312"/>
          <w:color w:val="000000" w:themeColor="text1"/>
          <w:sz w:val="24"/>
          <w:szCs w:val="24"/>
          <w:u w:val="single"/>
          <w14:textFill>
            <w14:solidFill>
              <w14:schemeClr w14:val="tx1"/>
            </w14:solidFill>
          </w14:textFill>
        </w:rPr>
        <w:t>/</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w:t>
      </w:r>
    </w:p>
    <w:p w14:paraId="2CD53A4E">
      <w:pPr>
        <w:spacing w:line="540" w:lineRule="exact"/>
        <w:ind w:firstLine="645"/>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风险范围以外合同价格的调整方法：</w:t>
      </w:r>
      <w:r>
        <w:rPr>
          <w:rFonts w:hint="eastAsia" w:ascii="仿宋" w:hAnsi="仿宋" w:eastAsia="仿宋" w:cs="仿宋"/>
          <w:color w:val="000000" w:themeColor="text1"/>
          <w:sz w:val="24"/>
          <w:szCs w:val="24"/>
          <w:u w:val="single"/>
          <w14:textFill>
            <w14:solidFill>
              <w14:schemeClr w14:val="tx1"/>
            </w14:solidFill>
          </w14:textFill>
        </w:rPr>
        <w:t>参照《建设工程工程量清单计价规范》（GB50500-2013），第9条“合同价款调整”及第11条“竣工结算与支付”</w:t>
      </w:r>
      <w:r>
        <w:rPr>
          <w:rFonts w:ascii="Times New Roman" w:hAnsi="Times New Roman" w:eastAsia="仿宋_GB2312"/>
          <w:color w:val="000000" w:themeColor="text1"/>
          <w:sz w:val="24"/>
          <w:szCs w:val="24"/>
          <w14:textFill>
            <w14:solidFill>
              <w14:schemeClr w14:val="tx1"/>
            </w14:solidFill>
          </w14:textFill>
        </w:rPr>
        <w:t>。</w:t>
      </w:r>
    </w:p>
    <w:p w14:paraId="49495FDD">
      <w:pPr>
        <w:spacing w:line="540" w:lineRule="exact"/>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rPr>
        <w:t>12.1.2</w:t>
      </w:r>
      <w:r>
        <w:rPr>
          <w:rFonts w:ascii="Times New Roman" w:hAnsi="Times New Roman" w:eastAsia="仿宋_GB2312"/>
          <w:color w:val="000000"/>
          <w:sz w:val="24"/>
          <w:szCs w:val="24"/>
        </w:rPr>
        <w:t>总价合同。</w:t>
      </w:r>
    </w:p>
    <w:p w14:paraId="3A83541A">
      <w:pPr>
        <w:spacing w:line="540" w:lineRule="exact"/>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总价包含的风险范围：</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B5292AE">
      <w:pPr>
        <w:spacing w:line="540" w:lineRule="exact"/>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风险费用的计算方法：</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6D65521">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风险范围以外合同价格的调整方法：</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BC1B0F8">
      <w:pPr>
        <w:spacing w:line="540" w:lineRule="exact"/>
        <w:ind w:firstLine="480" w:firstLineChars="200"/>
        <w:rPr>
          <w:rFonts w:ascii="Times New Roman" w:hAnsi="Times New Roman" w:eastAsia="仿宋_GB2312"/>
          <w:color w:val="000000"/>
          <w:sz w:val="24"/>
          <w:szCs w:val="24"/>
          <w:u w:val="single"/>
        </w:rPr>
      </w:pPr>
      <w:r>
        <w:rPr>
          <w:rFonts w:hint="eastAsia" w:ascii="Times New Roman" w:hAnsi="Times New Roman" w:eastAsia="仿宋_GB2312"/>
          <w:color w:val="000000"/>
          <w:sz w:val="24"/>
          <w:szCs w:val="24"/>
          <w:lang w:val="en-US"/>
        </w:rPr>
        <w:t>12.1.3</w:t>
      </w:r>
      <w:r>
        <w:rPr>
          <w:rFonts w:ascii="Times New Roman" w:hAnsi="Times New Roman" w:eastAsia="仿宋_GB2312"/>
          <w:color w:val="000000"/>
          <w:sz w:val="24"/>
          <w:szCs w:val="24"/>
        </w:rPr>
        <w:t>其他价格方式：</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3C97FA1">
      <w:pPr>
        <w:spacing w:line="540" w:lineRule="exact"/>
        <w:ind w:firstLine="480" w:firstLineChars="200"/>
        <w:rPr>
          <w:rFonts w:ascii="Times New Roman" w:hAnsi="Times New Roman" w:eastAsia="黑体"/>
          <w:color w:val="000000"/>
          <w:sz w:val="24"/>
          <w:szCs w:val="24"/>
        </w:rPr>
      </w:pPr>
      <w:bookmarkStart w:id="647" w:name="_Toc297216213"/>
      <w:bookmarkStart w:id="648" w:name="_Toc303539161"/>
      <w:bookmarkStart w:id="649" w:name="_Toc304295581"/>
      <w:bookmarkStart w:id="650" w:name="_Toc297123554"/>
      <w:bookmarkStart w:id="651" w:name="_Toc312678042"/>
      <w:bookmarkStart w:id="652" w:name="_Toc300935004"/>
      <w:bookmarkStart w:id="653" w:name="_Toc296891247"/>
      <w:bookmarkStart w:id="654" w:name="_Toc296346708"/>
      <w:bookmarkStart w:id="655" w:name="_Toc292559917"/>
      <w:bookmarkStart w:id="656" w:name="_Toc297120507"/>
      <w:bookmarkStart w:id="657" w:name="_Toc297048393"/>
      <w:bookmarkStart w:id="658" w:name="_Toc296944546"/>
      <w:bookmarkStart w:id="659" w:name="_Toc296347206"/>
      <w:bookmarkStart w:id="660" w:name="_Toc296891035"/>
      <w:bookmarkStart w:id="661" w:name="_Toc296503207"/>
      <w:bookmarkStart w:id="662" w:name="_Toc292559412"/>
      <w:r>
        <w:rPr>
          <w:rFonts w:ascii="Times New Roman" w:hAnsi="Times New Roman" w:eastAsia="黑体"/>
          <w:color w:val="000000"/>
          <w:sz w:val="24"/>
          <w:szCs w:val="24"/>
        </w:rPr>
        <w:t>12.2 预付款</w:t>
      </w:r>
    </w:p>
    <w:bookmarkEnd w:id="647"/>
    <w:bookmarkEnd w:id="648"/>
    <w:bookmarkEnd w:id="649"/>
    <w:bookmarkEnd w:id="650"/>
    <w:bookmarkEnd w:id="651"/>
    <w:bookmarkEnd w:id="652"/>
    <w:p w14:paraId="562FADE0">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12.2.1 预付款的支付</w:t>
      </w:r>
    </w:p>
    <w:p w14:paraId="4397A9A1">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预付款支付比例或金额：</w:t>
      </w:r>
      <w:r>
        <w:rPr>
          <w:rFonts w:hint="eastAsia"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hint="eastAsia" w:ascii="Times New Roman" w:hAnsi="Times New Roman" w:eastAsia="仿宋_GB2312"/>
          <w:color w:val="000000" w:themeColor="text1"/>
          <w:sz w:val="24"/>
          <w:szCs w:val="24"/>
          <w:u w:val="single"/>
          <w:lang w:val="en-US" w:eastAsia="zh-CN"/>
          <w14:textFill>
            <w14:solidFill>
              <w14:schemeClr w14:val="tx1"/>
            </w14:solidFill>
          </w14:textFill>
        </w:rPr>
        <w:t xml:space="preserve">    </w:t>
      </w:r>
      <w:r>
        <w:rPr>
          <w:rFonts w:hint="eastAsia" w:ascii="Times New Roman" w:hAnsi="Times New Roman" w:eastAsia="仿宋_GB2312"/>
          <w:color w:val="000000" w:themeColor="text1"/>
          <w:sz w:val="24"/>
          <w:szCs w:val="24"/>
          <w:u w:val="single"/>
          <w:lang w:val="en-US"/>
          <w14:textFill>
            <w14:solidFill>
              <w14:schemeClr w14:val="tx1"/>
            </w14:solidFill>
          </w14:textFill>
        </w:rPr>
        <w:t>%</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w:t>
      </w:r>
    </w:p>
    <w:p w14:paraId="7749F892">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预付款支付期限：</w:t>
      </w:r>
      <w:r>
        <w:rPr>
          <w:rFonts w:hint="eastAsia"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hint="eastAsia" w:ascii="Times New Roman" w:hAnsi="Times New Roman" w:eastAsia="仿宋_GB2312"/>
          <w:color w:val="000000" w:themeColor="text1"/>
          <w:sz w:val="24"/>
          <w:szCs w:val="24"/>
          <w:u w:val="single"/>
          <w:lang w:val="en-US"/>
          <w14:textFill>
            <w14:solidFill>
              <w14:schemeClr w14:val="tx1"/>
            </w14:solidFill>
          </w14:textFill>
        </w:rPr>
        <w:t>合同签订7日内</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w:t>
      </w:r>
    </w:p>
    <w:p w14:paraId="7C3016E0">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预付款扣回的方式：</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0C86593">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12.2.2 预付款担保</w:t>
      </w:r>
    </w:p>
    <w:p w14:paraId="396E2392">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承包人提交预付款担保的期限：</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CFEE083">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预付款担保的形式为：</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653"/>
    <w:bookmarkEnd w:id="654"/>
    <w:bookmarkEnd w:id="655"/>
    <w:bookmarkEnd w:id="656"/>
    <w:bookmarkEnd w:id="657"/>
    <w:bookmarkEnd w:id="658"/>
    <w:bookmarkEnd w:id="659"/>
    <w:bookmarkEnd w:id="660"/>
    <w:bookmarkEnd w:id="661"/>
    <w:bookmarkEnd w:id="662"/>
    <w:p w14:paraId="2FF08023">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12.3 计量</w:t>
      </w:r>
    </w:p>
    <w:p w14:paraId="24B866A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12.3.1 计量原则</w:t>
      </w:r>
    </w:p>
    <w:p w14:paraId="0E48CF9B">
      <w:pPr>
        <w:pStyle w:val="24"/>
        <w:widowControl/>
        <w:shd w:val="clear" w:color="auto" w:fill="FFFFFF"/>
        <w:spacing w:before="330" w:beforeAutospacing="0" w:afterAutospacing="0" w:line="360" w:lineRule="atLeast"/>
        <w:ind w:firstLine="720" w:firstLineChars="300"/>
        <w:jc w:val="both"/>
        <w:rPr>
          <w:rFonts w:ascii="仿宋_GB2312" w:eastAsia="仿宋_GB2312"/>
          <w:szCs w:val="24"/>
        </w:rPr>
      </w:pPr>
      <w:r>
        <w:rPr>
          <w:rFonts w:hint="eastAsia" w:ascii="仿宋_GB2312" w:eastAsia="仿宋_GB2312"/>
          <w:szCs w:val="24"/>
        </w:rPr>
        <w:t>工程量计算规则：</w:t>
      </w:r>
      <w:r>
        <w:rPr>
          <w:rFonts w:hint="eastAsia" w:ascii="仿宋" w:hAnsi="仿宋" w:eastAsia="仿宋" w:cs="仿宋"/>
          <w:color w:val="000000"/>
          <w:szCs w:val="24"/>
          <w:u w:val="single"/>
        </w:rPr>
        <w:t>按照《建设工程工程量清单计价规范》（GB50500-2013）、</w:t>
      </w:r>
      <w:r>
        <w:rPr>
          <w:rFonts w:ascii="仿宋" w:hAnsi="仿宋" w:eastAsia="仿宋" w:cs="仿宋"/>
          <w:color w:val="000000"/>
          <w:szCs w:val="24"/>
          <w:u w:val="single"/>
        </w:rPr>
        <w:t>《河南省房屋建筑与装饰工程预算定额（HA 01-31-2016）》、《河南省通用安装工程预算定额（HA 02-31-2016）》、《河南省市政工程预算定额（HA A1-31-2016）》</w:t>
      </w:r>
      <w:r>
        <w:rPr>
          <w:rFonts w:hint="eastAsia" w:ascii="仿宋" w:hAnsi="仿宋" w:eastAsia="仿宋" w:cs="仿宋"/>
          <w:color w:val="000000"/>
          <w:szCs w:val="24"/>
          <w:u w:val="single"/>
        </w:rPr>
        <w:t>及其综合解释中规定的计算规则</w:t>
      </w:r>
      <w:r>
        <w:rPr>
          <w:rFonts w:hint="eastAsia" w:ascii="仿宋" w:hAnsi="仿宋" w:eastAsia="仿宋" w:cs="仿宋"/>
          <w:color w:val="000000"/>
          <w:szCs w:val="24"/>
          <w:u w:val="single"/>
          <w:lang w:eastAsia="zh-CN"/>
        </w:rPr>
        <w:t>或其它</w:t>
      </w:r>
      <w:r>
        <w:rPr>
          <w:rFonts w:hint="eastAsia" w:ascii="仿宋_GB2312" w:eastAsia="仿宋_GB2312"/>
          <w:szCs w:val="24"/>
        </w:rPr>
        <w:t>。</w:t>
      </w:r>
    </w:p>
    <w:p w14:paraId="2AA929A1">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12.3.2 计量周期</w:t>
      </w:r>
    </w:p>
    <w:p w14:paraId="69FC8E1C">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关于计量周期的约定：</w:t>
      </w:r>
      <w:r>
        <w:rPr>
          <w:rFonts w:hint="eastAsia" w:ascii="仿宋" w:hAnsi="仿宋" w:eastAsia="仿宋" w:cs="仿宋"/>
          <w:color w:val="000000"/>
          <w:sz w:val="24"/>
          <w:szCs w:val="24"/>
          <w:u w:val="single"/>
        </w:rPr>
        <w:t>竣工结算时汇总计算</w:t>
      </w:r>
      <w:r>
        <w:rPr>
          <w:rFonts w:ascii="Times New Roman" w:hAnsi="Times New Roman" w:eastAsia="仿宋_GB2312"/>
          <w:color w:val="000000"/>
          <w:sz w:val="24"/>
          <w:szCs w:val="24"/>
        </w:rPr>
        <w:t>。</w:t>
      </w:r>
    </w:p>
    <w:p w14:paraId="295B7BD9">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12.3.3 单价合同的计量</w:t>
      </w:r>
    </w:p>
    <w:p w14:paraId="43B292E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关于单价合同计量的约定：</w:t>
      </w:r>
      <w:r>
        <w:rPr>
          <w:rFonts w:hint="eastAsia" w:ascii="仿宋" w:hAnsi="仿宋" w:eastAsia="仿宋" w:cs="仿宋"/>
          <w:color w:val="000000"/>
          <w:sz w:val="24"/>
          <w:szCs w:val="24"/>
          <w:u w:val="single"/>
        </w:rPr>
        <w:t>工程量以承包人完成合同工程应予计量的工程量确定。具体要求详见《建设工程工程量清单计价规范》（GB50500-2013），第8.2条“单价合同的计量”</w:t>
      </w:r>
      <w:r>
        <w:rPr>
          <w:rFonts w:ascii="Times New Roman" w:hAnsi="Times New Roman" w:eastAsia="仿宋_GB2312"/>
          <w:color w:val="000000"/>
          <w:sz w:val="24"/>
          <w:szCs w:val="24"/>
        </w:rPr>
        <w:t>。</w:t>
      </w:r>
    </w:p>
    <w:p w14:paraId="289828A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12.3.4 总价合同的计量</w:t>
      </w:r>
    </w:p>
    <w:p w14:paraId="5C4CF63B">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关于总价合同计量的约定：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E164D6B">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12.3.5总价合同采用支付分解表计量支付的，是否适用第12.3.4 项</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总价合同的计量</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约定</w:t>
      </w:r>
      <w:r>
        <w:rPr>
          <w:rFonts w:hint="eastAsia" w:ascii="Times New Roman" w:hAnsi="Times New Roman" w:eastAsia="仿宋_GB2312"/>
          <w:color w:val="000000"/>
          <w:sz w:val="24"/>
          <w:szCs w:val="24"/>
        </w:rPr>
        <w:t>进行计量：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F6F1C2F">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12.3.6 其他价格形式合同的计量</w:t>
      </w:r>
    </w:p>
    <w:p w14:paraId="72CE7CA8">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其他价格形式的计量方式和程序：</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CE5C786">
      <w:pPr>
        <w:spacing w:line="540" w:lineRule="exact"/>
        <w:ind w:firstLine="480" w:firstLineChars="200"/>
        <w:rPr>
          <w:rFonts w:ascii="Times New Roman" w:hAnsi="Times New Roman" w:eastAsia="仿宋_GB2312"/>
          <w:color w:val="000000"/>
          <w:sz w:val="24"/>
          <w:szCs w:val="24"/>
        </w:rPr>
      </w:pPr>
      <w:r>
        <w:rPr>
          <w:rFonts w:ascii="Times New Roman" w:hAnsi="Times New Roman" w:eastAsia="黑体"/>
          <w:color w:val="000000"/>
          <w:sz w:val="24"/>
          <w:szCs w:val="24"/>
        </w:rPr>
        <w:t>12.4 工程进度款支付</w:t>
      </w:r>
    </w:p>
    <w:p w14:paraId="7518287B">
      <w:pPr>
        <w:spacing w:line="540" w:lineRule="exact"/>
        <w:ind w:firstLine="480" w:firstLineChars="200"/>
        <w:rPr>
          <w:rFonts w:ascii="Times New Roman" w:hAnsi="Times New Roman" w:eastAsia="仿宋_GB2312"/>
          <w:color w:val="000000"/>
          <w:sz w:val="24"/>
          <w:szCs w:val="24"/>
        </w:rPr>
      </w:pPr>
      <w:bookmarkStart w:id="663" w:name="_Toc297048397"/>
      <w:bookmarkStart w:id="664" w:name="_Toc296503211"/>
      <w:bookmarkStart w:id="665" w:name="_Toc292559921"/>
      <w:bookmarkStart w:id="666" w:name="_Toc297216215"/>
      <w:bookmarkStart w:id="667" w:name="_Toc303539163"/>
      <w:bookmarkStart w:id="668" w:name="_Toc296347210"/>
      <w:bookmarkStart w:id="669" w:name="_Toc297123556"/>
      <w:bookmarkStart w:id="670" w:name="_Toc297120511"/>
      <w:bookmarkStart w:id="671" w:name="_Toc296346712"/>
      <w:bookmarkStart w:id="672" w:name="_Toc296891039"/>
      <w:bookmarkStart w:id="673" w:name="_Toc296944550"/>
      <w:bookmarkStart w:id="674" w:name="_Toc300935006"/>
      <w:bookmarkStart w:id="675" w:name="_Toc296891251"/>
      <w:bookmarkStart w:id="676" w:name="_Toc292559416"/>
      <w:r>
        <w:rPr>
          <w:rFonts w:ascii="Times New Roman" w:hAnsi="Times New Roman" w:eastAsia="仿宋_GB2312"/>
          <w:color w:val="000000"/>
          <w:sz w:val="24"/>
          <w:szCs w:val="24"/>
        </w:rPr>
        <w:t>12.4.1 付款周期</w:t>
      </w:r>
    </w:p>
    <w:p w14:paraId="40390A0A">
      <w:pPr>
        <w:autoSpaceDE/>
        <w:autoSpaceDN/>
        <w:spacing w:line="540" w:lineRule="exact"/>
        <w:ind w:firstLine="480" w:firstLineChars="200"/>
        <w:jc w:val="both"/>
        <w:rPr>
          <w:rFonts w:hint="default" w:ascii="Times New Roman" w:hAnsi="Times New Roman" w:eastAsia="仿宋"/>
          <w:dstrike/>
          <w:color w:val="auto"/>
          <w:sz w:val="24"/>
          <w:szCs w:val="24"/>
          <w:lang w:val="en-US" w:eastAsia="zh-CN"/>
        </w:rPr>
      </w:pPr>
      <w:r>
        <w:rPr>
          <w:rFonts w:ascii="Times New Roman" w:hAnsi="Times New Roman" w:eastAsia="仿宋_GB2312"/>
          <w:color w:val="000000" w:themeColor="text1"/>
          <w:sz w:val="24"/>
          <w:szCs w:val="24"/>
          <w14:textFill>
            <w14:solidFill>
              <w14:schemeClr w14:val="tx1"/>
            </w14:solidFill>
          </w14:textFill>
        </w:rPr>
        <w:t>关于付款周期的约定</w:t>
      </w:r>
      <w:r>
        <w:rPr>
          <w:rFonts w:ascii="Times New Roman" w:hAnsi="Times New Roman" w:eastAsia="仿宋_GB2312"/>
          <w:color w:val="auto"/>
          <w:sz w:val="24"/>
          <w:szCs w:val="24"/>
        </w:rPr>
        <w:t>：</w:t>
      </w:r>
      <w:r>
        <w:rPr>
          <w:rFonts w:hint="eastAsia" w:ascii="仿宋" w:hAnsi="仿宋" w:eastAsia="仿宋" w:cs="仿宋"/>
          <w:color w:val="auto"/>
          <w:sz w:val="24"/>
          <w:szCs w:val="24"/>
          <w:u w:val="single"/>
          <w:lang w:val="en-US" w:eastAsia="zh-CN"/>
        </w:rPr>
        <w:t xml:space="preserve"> 签订合同时，以采购人与成交人在平等自愿、协商一致的基础上共同确定为准。                                                                  </w:t>
      </w:r>
    </w:p>
    <w:p w14:paraId="72FC2FCF">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12.4.2 进度付款申请单的编制</w:t>
      </w:r>
    </w:p>
    <w:p w14:paraId="0599512A">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关于进度付款申请单编制的约定：</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5E0D82C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rFonts w:ascii="Times New Roman" w:hAnsi="Times New Roman" w:eastAsia="仿宋_GB2312"/>
          <w:color w:val="000000"/>
          <w:sz w:val="24"/>
          <w:szCs w:val="24"/>
        </w:rPr>
        <w:t>2.4.3 进度付款申请单的提交</w:t>
      </w:r>
    </w:p>
    <w:p w14:paraId="1FB6EDBE">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（1）单价合同进度付款申请单提交的约定</w:t>
      </w:r>
      <w:r>
        <w:rPr>
          <w:rFonts w:hint="eastAsia" w:ascii="Times New Roman" w:hAnsi="Times New Roman" w:eastAsia="仿宋_GB2312"/>
          <w:color w:val="000000"/>
          <w:sz w:val="24"/>
          <w:szCs w:val="24"/>
        </w:rPr>
        <w:t>：</w:t>
      </w:r>
      <w:r>
        <w:rPr>
          <w:rFonts w:hint="eastAsia" w:ascii="仿宋" w:hAnsi="仿宋" w:eastAsia="仿宋" w:cs="仿宋"/>
          <w:color w:val="000000"/>
          <w:sz w:val="24"/>
          <w:szCs w:val="24"/>
          <w:u w:val="single"/>
        </w:rPr>
        <w:t>时段执行第12.4.1条约定，方式参照通用条款</w:t>
      </w:r>
      <w:r>
        <w:rPr>
          <w:rFonts w:ascii="Times New Roman" w:hAnsi="Times New Roman" w:eastAsia="仿宋_GB2312"/>
          <w:color w:val="000000"/>
          <w:sz w:val="24"/>
          <w:szCs w:val="24"/>
        </w:rPr>
        <w:t>。</w:t>
      </w:r>
    </w:p>
    <w:p w14:paraId="6383B90D">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（2）总价合同进度付款申请单提交的约定</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4624944">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（3）其他价格形式合同进度付款申请单提交的约定：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B9952B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12.4.4 进度款审核和支付</w:t>
      </w:r>
    </w:p>
    <w:p w14:paraId="08EB808E">
      <w:pPr>
        <w:spacing w:line="540" w:lineRule="exact"/>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（1）监理人审查并报送发包人的期限：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024ECBBA">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发包人完成审批并签发进度款支付证书的期限：</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6C3D1E6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（2）发包人支付进度款的期限：</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7D26ABAC">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发包人逾期支付进度款的违约金的计算方式：</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6DA459A0">
      <w:pPr>
        <w:spacing w:line="540" w:lineRule="exact"/>
        <w:ind w:firstLine="600" w:firstLineChars="250"/>
        <w:rPr>
          <w:rFonts w:ascii="Times New Roman" w:hAnsi="Times New Roman" w:eastAsia="仿宋_GB2312"/>
          <w:color w:val="000000"/>
          <w:sz w:val="24"/>
          <w:szCs w:val="24"/>
        </w:rPr>
      </w:pPr>
      <w:r>
        <w:rPr>
          <w:rFonts w:ascii="Times New Roman" w:hAnsi="Times New Roman" w:eastAsia="仿宋_GB2312"/>
          <w:color w:val="000000"/>
          <w:sz w:val="24"/>
          <w:szCs w:val="24"/>
        </w:rPr>
        <w:t>12.4.</w:t>
      </w:r>
      <w:r>
        <w:rPr>
          <w:rFonts w:hint="eastAsia" w:ascii="Times New Roman" w:hAnsi="Times New Roman" w:eastAsia="仿宋_GB2312"/>
          <w:color w:val="000000"/>
          <w:sz w:val="24"/>
          <w:szCs w:val="24"/>
          <w:lang w:val="en-US"/>
        </w:rPr>
        <w:t>5</w:t>
      </w:r>
      <w:r>
        <w:rPr>
          <w:rFonts w:ascii="Times New Roman" w:hAnsi="Times New Roman" w:eastAsia="仿宋_GB2312"/>
          <w:color w:val="000000"/>
          <w:sz w:val="24"/>
          <w:szCs w:val="24"/>
        </w:rPr>
        <w:t xml:space="preserve"> 支付分解表的编制</w:t>
      </w:r>
    </w:p>
    <w:p w14:paraId="491247B7">
      <w:pPr>
        <w:spacing w:line="540" w:lineRule="exact"/>
        <w:ind w:firstLine="600" w:firstLineChars="250"/>
        <w:rPr>
          <w:rFonts w:ascii="Times New Roman" w:hAnsi="Times New Roman" w:eastAsia="仿宋_GB2312"/>
          <w:color w:val="000000"/>
          <w:sz w:val="24"/>
          <w:szCs w:val="24"/>
        </w:rPr>
      </w:pPr>
      <w:r>
        <w:rPr>
          <w:rFonts w:ascii="Times New Roman" w:hAnsi="Times New Roman" w:eastAsia="仿宋_GB2312"/>
          <w:color w:val="000000"/>
          <w:sz w:val="24"/>
          <w:szCs w:val="24"/>
        </w:rPr>
        <w:t>2、总价合同支付分解表的编制与审批：</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B972BCE">
      <w:pPr>
        <w:spacing w:line="540" w:lineRule="exact"/>
        <w:ind w:firstLine="600" w:firstLineChars="250"/>
        <w:rPr>
          <w:rFonts w:ascii="Times New Roman" w:hAnsi="Times New Roman" w:eastAsia="仿宋_GB2312"/>
          <w:color w:val="000000"/>
          <w:sz w:val="24"/>
          <w:szCs w:val="24"/>
        </w:rPr>
      </w:pPr>
      <w:r>
        <w:rPr>
          <w:rFonts w:ascii="Times New Roman" w:hAnsi="Times New Roman" w:eastAsia="仿宋_GB2312"/>
          <w:color w:val="000000"/>
          <w:sz w:val="24"/>
          <w:szCs w:val="24"/>
        </w:rPr>
        <w:t>3、单价合同的总价项目支付分解表的编制与审批：</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4E2DE87">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12</w:t>
      </w:r>
      <w:r>
        <w:rPr>
          <w:rFonts w:hint="eastAsia" w:ascii="Times New Roman" w:hAnsi="Times New Roman" w:eastAsia="黑体"/>
          <w:color w:val="000000"/>
          <w:sz w:val="24"/>
          <w:szCs w:val="24"/>
        </w:rPr>
        <w:t>.5</w:t>
      </w:r>
      <w:r>
        <w:rPr>
          <w:rFonts w:ascii="Times New Roman" w:hAnsi="Times New Roman" w:eastAsia="黑体"/>
          <w:color w:val="000000"/>
          <w:sz w:val="24"/>
          <w:szCs w:val="24"/>
        </w:rPr>
        <w:t>支付账户</w:t>
      </w:r>
    </w:p>
    <w:p w14:paraId="192DF521">
      <w:pPr>
        <w:spacing w:line="540" w:lineRule="exact"/>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发包人</w:t>
      </w:r>
      <w:r>
        <w:rPr>
          <w:rFonts w:ascii="Times New Roman" w:hAnsi="Times New Roman" w:eastAsia="仿宋_GB2312"/>
          <w:color w:val="000000"/>
          <w:sz w:val="24"/>
          <w:szCs w:val="24"/>
        </w:rPr>
        <w:t>应将合同价款支付至合同协议书中约定的承包人账户</w:t>
      </w:r>
      <w:r>
        <w:rPr>
          <w:rFonts w:hint="eastAsia" w:ascii="Times New Roman" w:hAnsi="Times New Roman" w:eastAsia="仿宋_GB2312"/>
          <w:color w:val="000000"/>
          <w:sz w:val="24"/>
          <w:szCs w:val="24"/>
        </w:rPr>
        <w:t>。</w:t>
      </w:r>
    </w:p>
    <w:bookmarkEnd w:id="501"/>
    <w:p w14:paraId="24648131">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677" w:name="_Toc22904"/>
      <w:bookmarkStart w:id="678" w:name="_Toc30997"/>
      <w:bookmarkStart w:id="679" w:name="_Toc1140"/>
      <w:bookmarkStart w:id="680" w:name="_Toc351203645"/>
      <w:bookmarkStart w:id="681" w:name="_Toc7290"/>
      <w:bookmarkStart w:id="682" w:name="_Toc296944558"/>
      <w:bookmarkStart w:id="683" w:name="_Toc300935015"/>
      <w:bookmarkStart w:id="684" w:name="_Toc292559929"/>
      <w:bookmarkStart w:id="685" w:name="_Toc296891259"/>
      <w:bookmarkStart w:id="686" w:name="_Toc296503219"/>
      <w:bookmarkStart w:id="687" w:name="_Toc303539172"/>
      <w:bookmarkStart w:id="688" w:name="_Toc292559424"/>
      <w:bookmarkStart w:id="689" w:name="_Toc297216223"/>
      <w:bookmarkStart w:id="690" w:name="_Toc297048405"/>
      <w:bookmarkStart w:id="691" w:name="_Toc312678053"/>
      <w:bookmarkStart w:id="692" w:name="_Toc297120519"/>
      <w:bookmarkStart w:id="693" w:name="_Toc296346720"/>
      <w:bookmarkStart w:id="694" w:name="_Toc296891047"/>
      <w:bookmarkStart w:id="695" w:name="_Toc297123564"/>
      <w:bookmarkStart w:id="696" w:name="_Toc304295593"/>
      <w:bookmarkStart w:id="697" w:name="_Toc296347218"/>
      <w:r>
        <w:rPr>
          <w:rFonts w:ascii="Times New Roman" w:hAnsi="Times New Roman"/>
          <w:bCs w:val="0"/>
          <w:color w:val="000000"/>
          <w:sz w:val="24"/>
          <w:szCs w:val="24"/>
        </w:rPr>
        <w:t>13.</w:t>
      </w:r>
      <w:r>
        <w:rPr>
          <w:rFonts w:hint="eastAsia" w:ascii="Times New Roman" w:hAnsi="Times New Roman"/>
          <w:bCs w:val="0"/>
          <w:color w:val="000000"/>
          <w:sz w:val="24"/>
          <w:szCs w:val="24"/>
        </w:rPr>
        <w:t xml:space="preserve"> </w:t>
      </w:r>
      <w:r>
        <w:rPr>
          <w:rFonts w:ascii="Times New Roman" w:hAnsi="Times New Roman"/>
          <w:bCs w:val="0"/>
          <w:color w:val="000000"/>
          <w:sz w:val="24"/>
          <w:szCs w:val="24"/>
        </w:rPr>
        <w:t>验收和工程试车</w:t>
      </w:r>
      <w:bookmarkEnd w:id="677"/>
      <w:bookmarkEnd w:id="678"/>
      <w:bookmarkEnd w:id="679"/>
      <w:bookmarkEnd w:id="680"/>
      <w:bookmarkEnd w:id="681"/>
    </w:p>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14:paraId="243240D1">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13.1 分部分项工程验收</w:t>
      </w:r>
    </w:p>
    <w:p w14:paraId="5F0EEEE8">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监理人不能按时进行验收时，应提前</w:t>
      </w:r>
      <w:r>
        <w:rPr>
          <w:rFonts w:hint="eastAsia" w:ascii="仿宋" w:hAnsi="仿宋" w:eastAsia="仿宋" w:cs="仿宋"/>
          <w:color w:val="000000"/>
          <w:sz w:val="24"/>
          <w:szCs w:val="24"/>
          <w:u w:val="single"/>
        </w:rPr>
        <w:t xml:space="preserve"> 24 </w:t>
      </w:r>
      <w:r>
        <w:rPr>
          <w:rFonts w:ascii="Times New Roman" w:hAnsi="Times New Roman" w:eastAsia="仿宋_GB2312"/>
          <w:sz w:val="24"/>
          <w:szCs w:val="24"/>
        </w:rPr>
        <w:t>小时提交书面延期要求。</w:t>
      </w:r>
    </w:p>
    <w:p w14:paraId="5B6C5946">
      <w:pPr>
        <w:spacing w:line="540" w:lineRule="exact"/>
        <w:ind w:firstLine="480" w:firstLineChars="200"/>
        <w:rPr>
          <w:rFonts w:ascii="Times New Roman" w:hAnsi="Times New Roman" w:eastAsia="仿宋_GB2312"/>
          <w:b/>
          <w:color w:val="000000"/>
          <w:sz w:val="24"/>
          <w:szCs w:val="24"/>
        </w:rPr>
      </w:pPr>
      <w:r>
        <w:rPr>
          <w:rFonts w:ascii="Times New Roman" w:hAnsi="Times New Roman" w:eastAsia="仿宋_GB2312"/>
          <w:sz w:val="24"/>
          <w:szCs w:val="24"/>
        </w:rPr>
        <w:t>关于延期最长不得超过：</w:t>
      </w:r>
      <w:r>
        <w:rPr>
          <w:rFonts w:hint="eastAsia" w:ascii="仿宋" w:hAnsi="仿宋" w:eastAsia="仿宋" w:cs="仿宋"/>
          <w:color w:val="000000"/>
          <w:sz w:val="24"/>
          <w:szCs w:val="24"/>
          <w:u w:val="single"/>
        </w:rPr>
        <w:t xml:space="preserve"> 48 </w:t>
      </w:r>
      <w:r>
        <w:rPr>
          <w:rFonts w:ascii="Times New Roman" w:hAnsi="Times New Roman" w:eastAsia="仿宋_GB2312"/>
          <w:sz w:val="24"/>
          <w:szCs w:val="24"/>
        </w:rPr>
        <w:t>小时。</w:t>
      </w:r>
    </w:p>
    <w:p w14:paraId="5255B028">
      <w:pPr>
        <w:spacing w:line="540" w:lineRule="exact"/>
        <w:ind w:firstLine="480" w:firstLineChars="200"/>
        <w:rPr>
          <w:rFonts w:ascii="Times New Roman" w:hAnsi="Times New Roman" w:eastAsia="黑体"/>
          <w:color w:val="000000"/>
          <w:sz w:val="24"/>
          <w:szCs w:val="24"/>
        </w:rPr>
      </w:pPr>
      <w:bookmarkStart w:id="698" w:name="_Toc304295596"/>
      <w:bookmarkStart w:id="699" w:name="_Toc292559428"/>
      <w:bookmarkStart w:id="700" w:name="_Toc296347222"/>
      <w:bookmarkStart w:id="701" w:name="_Toc296944562"/>
      <w:bookmarkStart w:id="702" w:name="_Toc296346724"/>
      <w:bookmarkStart w:id="703" w:name="_Toc296891263"/>
      <w:bookmarkStart w:id="704" w:name="_Toc292559933"/>
      <w:bookmarkStart w:id="705" w:name="_Toc296503223"/>
      <w:bookmarkStart w:id="706" w:name="_Toc297048409"/>
      <w:bookmarkStart w:id="707" w:name="_Toc297123565"/>
      <w:bookmarkStart w:id="708" w:name="_Toc312678056"/>
      <w:bookmarkStart w:id="709" w:name="_Toc297216224"/>
      <w:bookmarkStart w:id="710" w:name="_Toc303539173"/>
      <w:bookmarkStart w:id="711" w:name="_Toc296891051"/>
      <w:bookmarkStart w:id="712" w:name="_Toc297120523"/>
      <w:bookmarkStart w:id="713" w:name="_Toc300935016"/>
      <w:bookmarkStart w:id="714" w:name="_Toc267251474"/>
      <w:bookmarkStart w:id="715" w:name="_Toc267251472"/>
      <w:bookmarkStart w:id="716" w:name="_Toc267251473"/>
      <w:bookmarkStart w:id="717" w:name="_Toc267251470"/>
      <w:bookmarkStart w:id="718" w:name="_Toc267251471"/>
      <w:bookmarkStart w:id="719" w:name="_Toc267251476"/>
      <w:bookmarkStart w:id="720" w:name="_Toc267251475"/>
      <w:r>
        <w:rPr>
          <w:rFonts w:ascii="Times New Roman" w:hAnsi="Times New Roman" w:eastAsia="黑体"/>
          <w:color w:val="000000"/>
          <w:sz w:val="24"/>
          <w:szCs w:val="24"/>
        </w:rPr>
        <w:t>13.2 竣工验收</w:t>
      </w:r>
    </w:p>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14:paraId="7A1795B2">
      <w:pPr>
        <w:spacing w:line="540" w:lineRule="exact"/>
        <w:ind w:firstLine="480" w:firstLineChars="200"/>
        <w:rPr>
          <w:rFonts w:ascii="Times New Roman" w:hAnsi="Times New Roman" w:eastAsia="仿宋_GB2312"/>
          <w:color w:val="000000"/>
          <w:sz w:val="24"/>
          <w:szCs w:val="24"/>
        </w:rPr>
      </w:pPr>
      <w:bookmarkStart w:id="721" w:name="_Toc280868704"/>
      <w:bookmarkStart w:id="722" w:name="_Toc280868705"/>
      <w:bookmarkStart w:id="723" w:name="_Toc280868706"/>
      <w:bookmarkStart w:id="724" w:name="_Toc280868707"/>
      <w:bookmarkStart w:id="725" w:name="_Toc280868708"/>
      <w:bookmarkStart w:id="726" w:name="_Toc280868709"/>
      <w:r>
        <w:rPr>
          <w:rFonts w:ascii="Times New Roman" w:hAnsi="Times New Roman" w:eastAsia="仿宋_GB2312"/>
          <w:color w:val="000000"/>
          <w:sz w:val="24"/>
          <w:szCs w:val="24"/>
        </w:rPr>
        <w:t>13.2.</w:t>
      </w:r>
      <w:r>
        <w:rPr>
          <w:rFonts w:hint="eastAsia" w:ascii="Times New Roman" w:hAnsi="Times New Roman" w:eastAsia="仿宋_GB2312"/>
          <w:color w:val="000000"/>
          <w:sz w:val="24"/>
          <w:szCs w:val="24"/>
          <w:lang w:val="en-US"/>
        </w:rPr>
        <w:t>1</w:t>
      </w:r>
      <w:r>
        <w:rPr>
          <w:rFonts w:ascii="Times New Roman" w:hAnsi="Times New Roman" w:eastAsia="仿宋_GB2312"/>
          <w:color w:val="000000"/>
          <w:sz w:val="24"/>
          <w:szCs w:val="24"/>
        </w:rPr>
        <w:t>竣工验收程序</w:t>
      </w:r>
    </w:p>
    <w:bookmarkEnd w:id="721"/>
    <w:p w14:paraId="50AB42A4">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关于竣工验收程序的约定：</w:t>
      </w:r>
      <w:r>
        <w:rPr>
          <w:rFonts w:hint="eastAsia" w:ascii="仿宋" w:hAnsi="仿宋" w:eastAsia="仿宋" w:cs="仿宋"/>
          <w:color w:val="000000"/>
          <w:sz w:val="24"/>
          <w:szCs w:val="24"/>
          <w:u w:val="single"/>
        </w:rPr>
        <w:t>执行通用条款</w:t>
      </w:r>
      <w:r>
        <w:rPr>
          <w:rFonts w:hint="eastAsia" w:ascii="楷体_GB2312" w:hAnsi="Times New Roman" w:eastAsia="楷体_GB2312"/>
          <w:color w:val="000000"/>
          <w:sz w:val="24"/>
          <w:szCs w:val="24"/>
        </w:rPr>
        <w:t>。</w:t>
      </w:r>
    </w:p>
    <w:p w14:paraId="129F213F">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发包人不按照本项约定组织竣工验收、颁发工程接收证书的违约金的计算方法：</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bookmarkEnd w:id="722"/>
    <w:p w14:paraId="17440A1F">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13.2.</w:t>
      </w:r>
      <w:r>
        <w:rPr>
          <w:rFonts w:hint="eastAsia" w:ascii="Times New Roman" w:hAnsi="Times New Roman" w:eastAsia="仿宋_GB2312"/>
          <w:color w:val="000000"/>
          <w:sz w:val="24"/>
          <w:szCs w:val="24"/>
          <w:lang w:val="en-US"/>
        </w:rPr>
        <w:t>2</w:t>
      </w:r>
      <w:r>
        <w:rPr>
          <w:rFonts w:ascii="Times New Roman" w:hAnsi="Times New Roman" w:eastAsia="仿宋_GB2312"/>
          <w:color w:val="000000"/>
          <w:sz w:val="24"/>
          <w:szCs w:val="24"/>
        </w:rPr>
        <w:t>移交、接收全部与部分工程</w:t>
      </w:r>
    </w:p>
    <w:bookmarkEnd w:id="723"/>
    <w:p w14:paraId="1D47D49B">
      <w:pPr>
        <w:spacing w:line="540" w:lineRule="exact"/>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承包人向发包人移交工程的期限：</w:t>
      </w:r>
      <w:r>
        <w:rPr>
          <w:rFonts w:hint="eastAsia" w:ascii="仿宋" w:hAnsi="仿宋" w:eastAsia="仿宋" w:cs="仿宋"/>
          <w:color w:val="000000"/>
          <w:sz w:val="24"/>
          <w:szCs w:val="24"/>
          <w:u w:val="single"/>
        </w:rPr>
        <w:t>执行通用条款</w:t>
      </w:r>
      <w:r>
        <w:rPr>
          <w:rFonts w:hint="eastAsia" w:ascii="Times New Roman" w:hAnsi="Times New Roman" w:eastAsia="仿宋_GB2312"/>
          <w:color w:val="000000"/>
          <w:sz w:val="24"/>
          <w:szCs w:val="24"/>
        </w:rPr>
        <w:t>。</w:t>
      </w:r>
    </w:p>
    <w:p w14:paraId="39D338A2">
      <w:pPr>
        <w:spacing w:line="540" w:lineRule="exact"/>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发包人未按本合同约定接收全部或部分工程的，违约金的计算方法为：</w:t>
      </w:r>
      <w:r>
        <w:rPr>
          <w:rFonts w:hint="eastAsia"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bookmarkEnd w:id="724"/>
    <w:p w14:paraId="6B0C5EB6">
      <w:pPr>
        <w:snapToGrid w:val="0"/>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承包人未按时移交工程的，违约金的计算方法为：</w:t>
      </w:r>
      <w:r>
        <w:rPr>
          <w:rFonts w:hint="eastAsia" w:ascii="仿宋" w:hAnsi="仿宋" w:eastAsia="仿宋" w:cs="仿宋"/>
          <w:color w:val="000000"/>
          <w:sz w:val="24"/>
          <w:szCs w:val="24"/>
          <w:u w:val="single"/>
        </w:rPr>
        <w:t>同第7.5.2条“因承包人原因导致工期延误”的处罚方式</w:t>
      </w:r>
      <w:r>
        <w:rPr>
          <w:rFonts w:ascii="Times New Roman" w:hAnsi="Times New Roman" w:eastAsia="仿宋_GB2312"/>
          <w:color w:val="000000"/>
          <w:sz w:val="24"/>
          <w:szCs w:val="24"/>
        </w:rPr>
        <w:t>。</w:t>
      </w:r>
    </w:p>
    <w:p w14:paraId="0CEE208E">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13.3 工程试车</w:t>
      </w:r>
    </w:p>
    <w:bookmarkEnd w:id="725"/>
    <w:p w14:paraId="41DA2C19">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13.3.1 试车程序</w:t>
      </w:r>
    </w:p>
    <w:p w14:paraId="7714115D">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工程试车内容：</w:t>
      </w:r>
      <w:r>
        <w:rPr>
          <w:rFonts w:hint="eastAsia"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63CB5F13">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（1）单机无负荷试车费用由</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承担；</w:t>
      </w:r>
    </w:p>
    <w:p w14:paraId="5326D610">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（2）无负荷联动试车费用由</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承担。</w:t>
      </w:r>
    </w:p>
    <w:p w14:paraId="24A4B0DF">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13.3.</w:t>
      </w:r>
      <w:r>
        <w:rPr>
          <w:rFonts w:hint="eastAsia" w:ascii="Times New Roman" w:hAnsi="Times New Roman" w:eastAsia="仿宋_GB2312"/>
          <w:color w:val="000000"/>
          <w:sz w:val="24"/>
          <w:szCs w:val="24"/>
          <w:lang w:val="en-US"/>
        </w:rPr>
        <w:t>2</w:t>
      </w:r>
      <w:r>
        <w:rPr>
          <w:rFonts w:ascii="Times New Roman" w:hAnsi="Times New Roman" w:eastAsia="仿宋_GB2312"/>
          <w:color w:val="000000"/>
          <w:sz w:val="24"/>
          <w:szCs w:val="24"/>
        </w:rPr>
        <w:t xml:space="preserve"> 投料试车</w:t>
      </w:r>
    </w:p>
    <w:p w14:paraId="68A8B94B">
      <w:pPr>
        <w:spacing w:line="540" w:lineRule="exact"/>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关于投料试车相关事项的约定：</w:t>
      </w:r>
      <w:r>
        <w:rPr>
          <w:rFonts w:hint="eastAsia"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76464DF0">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13.</w:t>
      </w:r>
      <w:r>
        <w:rPr>
          <w:rFonts w:hint="eastAsia" w:ascii="Times New Roman" w:hAnsi="Times New Roman" w:eastAsia="黑体"/>
          <w:color w:val="000000"/>
          <w:sz w:val="24"/>
          <w:szCs w:val="24"/>
          <w:lang w:val="en-US"/>
        </w:rPr>
        <w:t>4</w:t>
      </w:r>
      <w:r>
        <w:rPr>
          <w:rFonts w:ascii="Times New Roman" w:hAnsi="Times New Roman" w:eastAsia="黑体"/>
          <w:color w:val="000000"/>
          <w:sz w:val="24"/>
          <w:szCs w:val="24"/>
        </w:rPr>
        <w:t xml:space="preserve"> 竣工退场</w:t>
      </w:r>
      <w:r>
        <w:rPr>
          <w:rFonts w:hint="eastAsia" w:ascii="Times New Roman" w:hAnsi="Times New Roman" w:eastAsia="黑体"/>
          <w:color w:val="000000"/>
          <w:sz w:val="24"/>
          <w:szCs w:val="24"/>
        </w:rPr>
        <w:t xml:space="preserve">  </w:t>
      </w:r>
    </w:p>
    <w:p w14:paraId="57E9E188">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承包人完成竣工退场的期限：</w:t>
      </w:r>
      <w:r>
        <w:rPr>
          <w:rFonts w:hint="eastAsia" w:ascii="仿宋" w:hAnsi="仿宋" w:eastAsia="仿宋" w:cs="仿宋"/>
          <w:color w:val="000000"/>
          <w:sz w:val="24"/>
          <w:szCs w:val="24"/>
          <w:u w:val="single"/>
        </w:rPr>
        <w:t>颁发工程竣工证书后3天内</w:t>
      </w:r>
      <w:r>
        <w:rPr>
          <w:rFonts w:ascii="Times New Roman" w:hAnsi="Times New Roman" w:eastAsia="仿宋_GB2312"/>
          <w:color w:val="000000"/>
          <w:sz w:val="24"/>
          <w:szCs w:val="24"/>
        </w:rPr>
        <w:t>。</w:t>
      </w:r>
    </w:p>
    <w:p w14:paraId="37C58EB3">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727" w:name="_Toc19156"/>
      <w:bookmarkStart w:id="728" w:name="_Toc1605"/>
      <w:bookmarkStart w:id="729" w:name="_Toc16501"/>
      <w:bookmarkStart w:id="730" w:name="_Toc351203646"/>
      <w:bookmarkStart w:id="731" w:name="_Toc30693"/>
      <w:r>
        <w:rPr>
          <w:rFonts w:ascii="Times New Roman" w:hAnsi="Times New Roman"/>
          <w:bCs w:val="0"/>
          <w:color w:val="000000"/>
          <w:sz w:val="24"/>
          <w:szCs w:val="24"/>
        </w:rPr>
        <w:t>14. 竣工结算</w:t>
      </w:r>
      <w:bookmarkEnd w:id="727"/>
      <w:bookmarkEnd w:id="728"/>
      <w:bookmarkEnd w:id="729"/>
      <w:bookmarkEnd w:id="730"/>
      <w:bookmarkEnd w:id="731"/>
    </w:p>
    <w:p w14:paraId="2E8992C3">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14.1 竣工付款申请</w:t>
      </w:r>
    </w:p>
    <w:p w14:paraId="587AA2F3">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sz w:val="24"/>
          <w:szCs w:val="24"/>
        </w:rPr>
        <w:t>承包人提交竣工付款申请单的期限：</w:t>
      </w:r>
      <w:r>
        <w:rPr>
          <w:rFonts w:hint="eastAsia" w:ascii="仿宋" w:hAnsi="仿宋" w:eastAsia="仿宋" w:cs="仿宋"/>
          <w:color w:val="000000"/>
          <w:sz w:val="24"/>
          <w:szCs w:val="24"/>
          <w:u w:val="single"/>
        </w:rPr>
        <w:t>工程竣工验收合格后28天内</w:t>
      </w:r>
      <w:r>
        <w:rPr>
          <w:rFonts w:ascii="Times New Roman" w:hAnsi="Times New Roman" w:eastAsia="仿宋_GB2312"/>
          <w:color w:val="000000"/>
          <w:sz w:val="24"/>
          <w:szCs w:val="24"/>
        </w:rPr>
        <w:t>。</w:t>
      </w:r>
    </w:p>
    <w:p w14:paraId="2EF5B2A6">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竣工付款申请单应包括的内容</w:t>
      </w:r>
      <w:r>
        <w:rPr>
          <w:rFonts w:ascii="Times New Roman" w:hAnsi="Times New Roman" w:eastAsia="仿宋_GB2312"/>
          <w:color w:val="000000"/>
          <w:sz w:val="24"/>
          <w:szCs w:val="24"/>
        </w:rPr>
        <w:t>：</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161D6F7C">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14.2 竣工结算审核</w:t>
      </w:r>
    </w:p>
    <w:p w14:paraId="7D2FB953">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发包人</w:t>
      </w:r>
      <w:r>
        <w:rPr>
          <w:rFonts w:hint="eastAsia" w:ascii="Times New Roman" w:hAnsi="Times New Roman" w:eastAsia="仿宋_GB2312"/>
          <w:sz w:val="24"/>
          <w:szCs w:val="24"/>
        </w:rPr>
        <w:t>审批</w:t>
      </w:r>
      <w:r>
        <w:rPr>
          <w:rFonts w:ascii="Times New Roman" w:hAnsi="Times New Roman" w:eastAsia="仿宋_GB2312"/>
          <w:sz w:val="24"/>
          <w:szCs w:val="24"/>
        </w:rPr>
        <w:t>竣工付款申请单的期限：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rPr>
        <w:t>30</w:t>
      </w:r>
      <w:r>
        <w:rPr>
          <w:rFonts w:hint="eastAsia" w:ascii="仿宋" w:hAnsi="仿宋" w:eastAsia="仿宋" w:cs="仿宋"/>
          <w:color w:val="000000"/>
          <w:sz w:val="24"/>
          <w:szCs w:val="24"/>
          <w:u w:val="single"/>
        </w:rPr>
        <w:t xml:space="preserve">天  </w:t>
      </w:r>
      <w:r>
        <w:rPr>
          <w:rFonts w:ascii="Times New Roman" w:hAnsi="Times New Roman" w:eastAsia="仿宋_GB2312"/>
          <w:color w:val="000000"/>
          <w:sz w:val="24"/>
          <w:szCs w:val="24"/>
        </w:rPr>
        <w:t>。</w:t>
      </w:r>
    </w:p>
    <w:p w14:paraId="38EEA99A">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sz w:val="24"/>
          <w:szCs w:val="24"/>
        </w:rPr>
        <w:t>发包人完成竣工付款的期限：</w:t>
      </w:r>
      <w:r>
        <w:rPr>
          <w:rFonts w:hint="eastAsia" w:ascii="仿宋" w:hAnsi="仿宋" w:eastAsia="仿宋" w:cs="仿宋"/>
          <w:color w:val="000000"/>
          <w:sz w:val="24"/>
          <w:szCs w:val="24"/>
          <w:u w:val="single"/>
        </w:rPr>
        <w:t xml:space="preserve">  30天  </w:t>
      </w:r>
      <w:r>
        <w:rPr>
          <w:rFonts w:ascii="Times New Roman" w:hAnsi="Times New Roman" w:eastAsia="仿宋_GB2312"/>
          <w:color w:val="000000"/>
          <w:sz w:val="24"/>
          <w:szCs w:val="24"/>
        </w:rPr>
        <w:t>。</w:t>
      </w:r>
    </w:p>
    <w:p w14:paraId="3B00F424">
      <w:pPr>
        <w:spacing w:line="540" w:lineRule="exact"/>
        <w:ind w:firstLine="480" w:firstLineChars="200"/>
        <w:rPr>
          <w:rFonts w:ascii="Times New Roman" w:hAnsi="Times New Roman" w:eastAsia="仿宋_GB2312"/>
          <w:color w:val="000000"/>
          <w:sz w:val="24"/>
          <w:szCs w:val="24"/>
        </w:rPr>
      </w:pPr>
      <w:r>
        <w:rPr>
          <w:rFonts w:hint="eastAsia" w:ascii="Times New Roman" w:hAnsi="Times New Roman" w:eastAsia="仿宋_GB2312"/>
          <w:sz w:val="24"/>
          <w:szCs w:val="24"/>
        </w:rPr>
        <w:t>关于竣工付款证书异议部分复核的方式和程序</w:t>
      </w:r>
      <w:r>
        <w:rPr>
          <w:rFonts w:hint="eastAsia" w:ascii="Times New Roman" w:hAnsi="Times New Roman" w:eastAsia="仿宋_GB2312"/>
          <w:color w:val="000000"/>
          <w:sz w:val="24"/>
          <w:szCs w:val="24"/>
        </w:rPr>
        <w:t>：</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78E7A181">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14.</w:t>
      </w:r>
      <w:r>
        <w:rPr>
          <w:rFonts w:hint="eastAsia" w:ascii="Times New Roman" w:hAnsi="Times New Roman" w:eastAsia="黑体"/>
          <w:color w:val="000000"/>
          <w:sz w:val="24"/>
          <w:szCs w:val="24"/>
          <w:lang w:val="en-US"/>
        </w:rPr>
        <w:t>3</w:t>
      </w:r>
      <w:r>
        <w:rPr>
          <w:rFonts w:ascii="Times New Roman" w:hAnsi="Times New Roman" w:eastAsia="黑体"/>
          <w:color w:val="000000"/>
          <w:sz w:val="24"/>
          <w:szCs w:val="24"/>
        </w:rPr>
        <w:t xml:space="preserve"> 最终结清</w:t>
      </w:r>
    </w:p>
    <w:p w14:paraId="48EF13CC">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14.</w:t>
      </w:r>
      <w:r>
        <w:rPr>
          <w:rFonts w:hint="eastAsia" w:ascii="Times New Roman" w:hAnsi="Times New Roman" w:eastAsia="仿宋_GB2312"/>
          <w:color w:val="000000"/>
          <w:sz w:val="24"/>
          <w:szCs w:val="24"/>
          <w:lang w:val="en-US"/>
        </w:rPr>
        <w:t>3</w:t>
      </w:r>
      <w:r>
        <w:rPr>
          <w:rFonts w:ascii="Times New Roman" w:hAnsi="Times New Roman" w:eastAsia="仿宋_GB2312"/>
          <w:color w:val="000000"/>
          <w:sz w:val="24"/>
          <w:szCs w:val="24"/>
        </w:rPr>
        <w:t>.1 最终结清申请单</w:t>
      </w:r>
    </w:p>
    <w:p w14:paraId="09557838">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承包人提交最终结清申请单的份数：</w:t>
      </w:r>
      <w:r>
        <w:rPr>
          <w:rFonts w:hint="eastAsia" w:ascii="仿宋" w:hAnsi="仿宋" w:eastAsia="仿宋" w:cs="仿宋"/>
          <w:color w:val="000000"/>
          <w:sz w:val="24"/>
          <w:szCs w:val="24"/>
          <w:u w:val="single"/>
        </w:rPr>
        <w:t xml:space="preserve">  叁份  </w:t>
      </w:r>
      <w:r>
        <w:rPr>
          <w:rFonts w:ascii="Times New Roman" w:hAnsi="Times New Roman" w:eastAsia="仿宋_GB2312"/>
          <w:color w:val="000000"/>
          <w:sz w:val="24"/>
          <w:szCs w:val="24"/>
        </w:rPr>
        <w:t>。</w:t>
      </w:r>
    </w:p>
    <w:p w14:paraId="6D623E9A">
      <w:pPr>
        <w:spacing w:line="540" w:lineRule="exact"/>
        <w:ind w:firstLine="480" w:firstLineChars="200"/>
        <w:rPr>
          <w:rFonts w:ascii="Times New Roman" w:hAnsi="Times New Roman" w:eastAsia="仿宋_GB2312"/>
          <w:sz w:val="24"/>
          <w:szCs w:val="24"/>
        </w:rPr>
      </w:pPr>
      <w:r>
        <w:rPr>
          <w:rFonts w:ascii="Times New Roman" w:hAnsi="Times New Roman" w:eastAsia="仿宋_GB2312"/>
          <w:color w:val="000000"/>
          <w:sz w:val="24"/>
          <w:szCs w:val="24"/>
        </w:rPr>
        <w:t>承包人提交最终结算申请单的期限：</w:t>
      </w:r>
      <w:r>
        <w:rPr>
          <w:rFonts w:hint="eastAsia" w:ascii="仿宋" w:hAnsi="仿宋" w:eastAsia="仿宋" w:cs="仿宋"/>
          <w:color w:val="000000"/>
          <w:sz w:val="24"/>
          <w:szCs w:val="24"/>
          <w:u w:val="single"/>
        </w:rPr>
        <w:t>缺陷责任期满后7日内</w:t>
      </w:r>
      <w:r>
        <w:rPr>
          <w:rFonts w:ascii="Times New Roman" w:hAnsi="Times New Roman" w:eastAsia="仿宋_GB2312"/>
          <w:color w:val="000000"/>
          <w:sz w:val="24"/>
          <w:szCs w:val="24"/>
        </w:rPr>
        <w:t>。</w:t>
      </w:r>
      <w:r>
        <w:rPr>
          <w:rFonts w:ascii="Times New Roman" w:hAnsi="Times New Roman" w:eastAsia="仿宋_GB2312"/>
          <w:sz w:val="24"/>
          <w:szCs w:val="24"/>
        </w:rPr>
        <w:t xml:space="preserve"> </w:t>
      </w:r>
    </w:p>
    <w:p w14:paraId="5AF285C4">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14.</w:t>
      </w:r>
      <w:r>
        <w:rPr>
          <w:rFonts w:hint="eastAsia" w:ascii="Times New Roman" w:hAnsi="Times New Roman" w:eastAsia="仿宋_GB2312"/>
          <w:sz w:val="24"/>
          <w:szCs w:val="24"/>
          <w:lang w:val="en-US"/>
        </w:rPr>
        <w:t>3</w:t>
      </w:r>
      <w:r>
        <w:rPr>
          <w:rFonts w:ascii="Times New Roman" w:hAnsi="Times New Roman" w:eastAsia="仿宋_GB2312"/>
          <w:sz w:val="24"/>
          <w:szCs w:val="24"/>
        </w:rPr>
        <w:t>.2 最终结清证书和支付</w:t>
      </w:r>
    </w:p>
    <w:p w14:paraId="4479A210">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（1）发包人完成最终结清申请单的</w:t>
      </w:r>
      <w:r>
        <w:rPr>
          <w:rFonts w:hint="eastAsia" w:ascii="Times New Roman" w:hAnsi="Times New Roman" w:eastAsia="仿宋_GB2312"/>
          <w:sz w:val="24"/>
          <w:szCs w:val="24"/>
        </w:rPr>
        <w:t>审批</w:t>
      </w:r>
      <w:r>
        <w:rPr>
          <w:rFonts w:ascii="Times New Roman" w:hAnsi="Times New Roman" w:eastAsia="仿宋_GB2312"/>
          <w:sz w:val="24"/>
          <w:szCs w:val="24"/>
        </w:rPr>
        <w:t>并颁发最终结清证书的期限：</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3082F540">
      <w:pPr>
        <w:spacing w:line="540" w:lineRule="exact"/>
        <w:ind w:firstLine="480" w:firstLineChars="200"/>
        <w:rPr>
          <w:rFonts w:ascii="Times New Roman" w:hAnsi="Times New Roman" w:eastAsia="仿宋_GB2312"/>
          <w:sz w:val="24"/>
          <w:szCs w:val="24"/>
        </w:rPr>
      </w:pPr>
      <w:r>
        <w:rPr>
          <w:rFonts w:ascii="Times New Roman" w:hAnsi="Times New Roman" w:eastAsia="仿宋_GB2312"/>
          <w:sz w:val="24"/>
          <w:szCs w:val="24"/>
        </w:rPr>
        <w:t>（2）发包人完成支付的期限：</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bookmarkEnd w:id="714"/>
    <w:bookmarkEnd w:id="715"/>
    <w:bookmarkEnd w:id="716"/>
    <w:bookmarkEnd w:id="717"/>
    <w:bookmarkEnd w:id="718"/>
    <w:bookmarkEnd w:id="719"/>
    <w:bookmarkEnd w:id="720"/>
    <w:bookmarkEnd w:id="726"/>
    <w:p w14:paraId="62406AFA">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732" w:name="_Toc28960"/>
      <w:bookmarkStart w:id="733" w:name="_Toc26444"/>
      <w:bookmarkStart w:id="734" w:name="_Toc15250"/>
      <w:bookmarkStart w:id="735" w:name="_Toc351203647"/>
      <w:bookmarkStart w:id="736" w:name="_Toc31362"/>
      <w:bookmarkStart w:id="737" w:name="_Toc267251483"/>
      <w:bookmarkStart w:id="738" w:name="_Toc267251482"/>
      <w:bookmarkStart w:id="739" w:name="_Toc267251484"/>
      <w:bookmarkStart w:id="740" w:name="_Toc267251485"/>
      <w:bookmarkStart w:id="741" w:name="_Toc267251490"/>
      <w:bookmarkStart w:id="742" w:name="_Toc267251488"/>
      <w:bookmarkStart w:id="743" w:name="_Toc267251486"/>
      <w:bookmarkStart w:id="744" w:name="_Toc267251489"/>
      <w:bookmarkStart w:id="745" w:name="_Toc267251514"/>
      <w:bookmarkStart w:id="746" w:name="_Toc267251497"/>
      <w:bookmarkStart w:id="747" w:name="_Toc267251506"/>
      <w:bookmarkStart w:id="748" w:name="_Toc267251494"/>
      <w:bookmarkStart w:id="749" w:name="_Toc267251511"/>
      <w:bookmarkStart w:id="750" w:name="_Toc267251496"/>
      <w:bookmarkStart w:id="751" w:name="_Toc267251510"/>
      <w:bookmarkStart w:id="752" w:name="_Toc267251507"/>
      <w:bookmarkStart w:id="753" w:name="_Toc267251498"/>
      <w:bookmarkStart w:id="754" w:name="_Toc267251515"/>
      <w:bookmarkStart w:id="755" w:name="_Toc267251501"/>
      <w:bookmarkStart w:id="756" w:name="_Toc267251504"/>
      <w:bookmarkStart w:id="757" w:name="_Toc267251508"/>
      <w:bookmarkStart w:id="758" w:name="_Toc267251491"/>
      <w:bookmarkStart w:id="759" w:name="_Toc267251499"/>
      <w:bookmarkStart w:id="760" w:name="_Toc267251492"/>
      <w:bookmarkStart w:id="761" w:name="_Toc267251509"/>
      <w:bookmarkStart w:id="762" w:name="_Toc267251503"/>
      <w:bookmarkStart w:id="763" w:name="_Toc267251502"/>
      <w:bookmarkStart w:id="764" w:name="_Toc267251495"/>
      <w:bookmarkStart w:id="765" w:name="_Toc267251493"/>
      <w:bookmarkStart w:id="766" w:name="_Toc267251513"/>
      <w:r>
        <w:rPr>
          <w:rFonts w:ascii="Times New Roman" w:hAnsi="Times New Roman"/>
          <w:bCs w:val="0"/>
          <w:color w:val="000000"/>
          <w:sz w:val="24"/>
          <w:szCs w:val="24"/>
        </w:rPr>
        <w:t>15. 缺陷责任期与保修</w:t>
      </w:r>
      <w:bookmarkEnd w:id="732"/>
      <w:bookmarkEnd w:id="733"/>
      <w:bookmarkEnd w:id="734"/>
      <w:bookmarkEnd w:id="735"/>
      <w:bookmarkEnd w:id="736"/>
    </w:p>
    <w:p w14:paraId="70B987F4">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15.</w:t>
      </w:r>
      <w:r>
        <w:rPr>
          <w:rFonts w:hint="eastAsia" w:ascii="Times New Roman" w:hAnsi="Times New Roman" w:eastAsia="黑体"/>
          <w:color w:val="000000"/>
          <w:sz w:val="24"/>
          <w:szCs w:val="24"/>
          <w:lang w:val="en-US"/>
        </w:rPr>
        <w:t>1</w:t>
      </w:r>
      <w:r>
        <w:rPr>
          <w:rFonts w:ascii="Times New Roman" w:hAnsi="Times New Roman" w:eastAsia="黑体"/>
          <w:color w:val="000000"/>
          <w:sz w:val="24"/>
          <w:szCs w:val="24"/>
        </w:rPr>
        <w:t>缺陷责任期</w:t>
      </w:r>
      <w:bookmarkEnd w:id="737"/>
    </w:p>
    <w:p w14:paraId="26C6A448">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缺陷责任期的具体期限：</w:t>
      </w:r>
      <w:r>
        <w:rPr>
          <w:rFonts w:hint="eastAsia" w:ascii="仿宋" w:hAnsi="仿宋" w:eastAsia="仿宋" w:cs="仿宋"/>
          <w:color w:val="000000"/>
          <w:sz w:val="24"/>
          <w:szCs w:val="24"/>
          <w:u w:val="single"/>
        </w:rPr>
        <w:t>详见附件3—《工程质量保修书》第三条“缺陷责任期”</w:t>
      </w:r>
      <w:r>
        <w:rPr>
          <w:rFonts w:ascii="Times New Roman" w:hAnsi="Times New Roman" w:eastAsia="仿宋_GB2312"/>
          <w:color w:val="000000"/>
          <w:sz w:val="24"/>
          <w:szCs w:val="24"/>
        </w:rPr>
        <w:t>。</w:t>
      </w:r>
    </w:p>
    <w:p w14:paraId="2216F471">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15.</w:t>
      </w:r>
      <w:r>
        <w:rPr>
          <w:rFonts w:hint="eastAsia" w:ascii="Times New Roman" w:hAnsi="Times New Roman" w:eastAsia="黑体"/>
          <w:color w:val="000000"/>
          <w:sz w:val="24"/>
          <w:szCs w:val="24"/>
          <w:lang w:val="en-US"/>
        </w:rPr>
        <w:t>2</w:t>
      </w:r>
      <w:r>
        <w:rPr>
          <w:rFonts w:ascii="Times New Roman" w:hAnsi="Times New Roman" w:eastAsia="黑体"/>
          <w:color w:val="000000"/>
          <w:sz w:val="24"/>
          <w:szCs w:val="24"/>
        </w:rPr>
        <w:t xml:space="preserve"> 质量保证金</w:t>
      </w:r>
    </w:p>
    <w:p w14:paraId="41EDA78F">
      <w:pPr>
        <w:spacing w:line="540" w:lineRule="exact"/>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关于是否扣留质量保证金的约定：</w:t>
      </w:r>
      <w:r>
        <w:rPr>
          <w:rFonts w:hint="eastAsia" w:ascii="仿宋" w:hAnsi="仿宋" w:eastAsia="仿宋" w:cs="仿宋"/>
          <w:b/>
          <w:bCs/>
          <w:color w:val="000000"/>
          <w:sz w:val="24"/>
          <w:szCs w:val="24"/>
          <w:u w:val="single"/>
        </w:rPr>
        <w:t xml:space="preserve"> 扣留</w:t>
      </w:r>
      <w:r>
        <w:rPr>
          <w:rFonts w:hint="eastAsia" w:ascii="楷体_GB2312" w:hAnsi="Times New Roman" w:eastAsia="楷体_GB2312"/>
          <w:color w:val="000000"/>
          <w:sz w:val="24"/>
          <w:szCs w:val="24"/>
          <w:u w:val="single"/>
        </w:rPr>
        <w:t xml:space="preserve"> </w:t>
      </w:r>
      <w:r>
        <w:rPr>
          <w:rFonts w:ascii="Times New Roman" w:hAnsi="Times New Roman" w:eastAsia="仿宋_GB2312"/>
          <w:color w:val="000000"/>
          <w:sz w:val="24"/>
          <w:szCs w:val="24"/>
        </w:rPr>
        <w:t>。</w:t>
      </w:r>
    </w:p>
    <w:p w14:paraId="748FF53F">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15.</w:t>
      </w:r>
      <w:r>
        <w:rPr>
          <w:rFonts w:hint="eastAsia" w:ascii="Times New Roman" w:hAnsi="Times New Roman" w:eastAsia="仿宋_GB2312"/>
          <w:color w:val="000000"/>
          <w:sz w:val="24"/>
          <w:szCs w:val="24"/>
          <w:lang w:val="en-US"/>
        </w:rPr>
        <w:t>2</w:t>
      </w:r>
      <w:r>
        <w:rPr>
          <w:rFonts w:ascii="Times New Roman" w:hAnsi="Times New Roman" w:eastAsia="仿宋_GB2312"/>
          <w:color w:val="000000"/>
          <w:sz w:val="24"/>
          <w:szCs w:val="24"/>
        </w:rPr>
        <w:t xml:space="preserve">.1 </w:t>
      </w:r>
      <w:r>
        <w:rPr>
          <w:rFonts w:hint="eastAsia" w:ascii="Times New Roman" w:hAnsi="Times New Roman" w:eastAsia="仿宋_GB2312"/>
          <w:color w:val="000000"/>
          <w:sz w:val="24"/>
          <w:szCs w:val="24"/>
        </w:rPr>
        <w:t>承包人提供</w:t>
      </w:r>
      <w:r>
        <w:rPr>
          <w:rFonts w:ascii="Times New Roman" w:hAnsi="Times New Roman" w:eastAsia="仿宋_GB2312"/>
          <w:color w:val="000000"/>
          <w:sz w:val="24"/>
          <w:szCs w:val="24"/>
        </w:rPr>
        <w:t>质量保证金的</w:t>
      </w:r>
      <w:r>
        <w:rPr>
          <w:rFonts w:hint="eastAsia" w:ascii="Times New Roman" w:hAnsi="Times New Roman" w:eastAsia="仿宋_GB2312"/>
          <w:color w:val="000000"/>
          <w:sz w:val="24"/>
          <w:szCs w:val="24"/>
        </w:rPr>
        <w:t>方</w:t>
      </w:r>
      <w:r>
        <w:rPr>
          <w:rFonts w:ascii="Times New Roman" w:hAnsi="Times New Roman" w:eastAsia="仿宋_GB2312"/>
          <w:color w:val="000000"/>
          <w:sz w:val="24"/>
          <w:szCs w:val="24"/>
        </w:rPr>
        <w:t>式</w:t>
      </w:r>
    </w:p>
    <w:p w14:paraId="3D7922D7">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质量保证金采用以下第</w:t>
      </w:r>
      <w:r>
        <w:rPr>
          <w:rFonts w:hint="eastAsia" w:ascii="仿宋" w:hAnsi="仿宋" w:eastAsia="仿宋" w:cs="仿宋"/>
          <w:color w:val="000000"/>
          <w:sz w:val="24"/>
          <w:szCs w:val="24"/>
          <w:u w:val="single"/>
        </w:rPr>
        <w:t xml:space="preserve"> （2）</w:t>
      </w:r>
      <w:r>
        <w:rPr>
          <w:rFonts w:hint="eastAsia" w:ascii="楷体_GB2312" w:hAnsi="Times New Roman" w:eastAsia="楷体_GB2312"/>
          <w:color w:val="000000"/>
          <w:sz w:val="24"/>
          <w:szCs w:val="24"/>
          <w:u w:val="single"/>
        </w:rPr>
        <w:t xml:space="preserve"> </w:t>
      </w:r>
      <w:r>
        <w:rPr>
          <w:rFonts w:ascii="Times New Roman" w:hAnsi="Times New Roman" w:eastAsia="仿宋_GB2312"/>
          <w:color w:val="000000"/>
          <w:sz w:val="24"/>
          <w:szCs w:val="24"/>
        </w:rPr>
        <w:t>种方式：</w:t>
      </w:r>
    </w:p>
    <w:p w14:paraId="5FB33F84">
      <w:pPr>
        <w:numPr>
          <w:ilvl w:val="0"/>
          <w:numId w:val="9"/>
        </w:numPr>
        <w:adjustRightInd w:val="0"/>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质量保证金保函，保证金额为：</w:t>
      </w:r>
      <w:r>
        <w:rPr>
          <w:rFonts w:hint="eastAsia"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 xml:space="preserve">； </w:t>
      </w:r>
    </w:p>
    <w:p w14:paraId="64ED6E88">
      <w:pPr>
        <w:adjustRightInd w:val="0"/>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rPr>
        <w:t>3</w:t>
      </w:r>
      <w:r>
        <w:rPr>
          <w:rFonts w:hint="eastAsia" w:ascii="仿宋" w:hAnsi="仿宋" w:eastAsia="仿宋" w:cs="仿宋"/>
          <w:color w:val="000000"/>
          <w:sz w:val="24"/>
          <w:szCs w:val="24"/>
          <w:u w:val="single"/>
        </w:rPr>
        <w:t xml:space="preserve"> </w:t>
      </w:r>
      <w:r>
        <w:rPr>
          <w:rFonts w:ascii="Times New Roman" w:hAnsi="Times New Roman" w:eastAsia="仿宋_GB2312"/>
          <w:color w:val="000000"/>
          <w:sz w:val="24"/>
          <w:szCs w:val="24"/>
        </w:rPr>
        <w:t>%的</w:t>
      </w:r>
      <w:r>
        <w:rPr>
          <w:rFonts w:hint="eastAsia" w:ascii="Times New Roman" w:hAnsi="Times New Roman" w:eastAsia="仿宋_GB2312"/>
          <w:color w:val="000000"/>
          <w:sz w:val="24"/>
          <w:szCs w:val="24"/>
        </w:rPr>
        <w:t>工程</w:t>
      </w:r>
      <w:r>
        <w:rPr>
          <w:rFonts w:hint="eastAsia" w:ascii="Times New Roman" w:hAnsi="Times New Roman" w:eastAsia="仿宋_GB2312"/>
          <w:color w:val="000000"/>
          <w:sz w:val="24"/>
          <w:szCs w:val="24"/>
          <w:lang w:eastAsia="zh-CN"/>
        </w:rPr>
        <w:t>结算总价</w:t>
      </w:r>
      <w:r>
        <w:rPr>
          <w:rFonts w:hint="eastAsia" w:ascii="Times New Roman" w:hAnsi="Times New Roman" w:eastAsia="仿宋_GB2312"/>
          <w:color w:val="000000"/>
          <w:sz w:val="24"/>
          <w:szCs w:val="24"/>
        </w:rPr>
        <w:t>款</w:t>
      </w:r>
      <w:r>
        <w:rPr>
          <w:rFonts w:ascii="Times New Roman" w:hAnsi="Times New Roman" w:eastAsia="仿宋_GB2312"/>
          <w:color w:val="000000"/>
          <w:sz w:val="24"/>
          <w:szCs w:val="24"/>
        </w:rPr>
        <w:t>；</w:t>
      </w:r>
    </w:p>
    <w:p w14:paraId="5AE578D7">
      <w:pPr>
        <w:adjustRightInd w:val="0"/>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（3）其他</w:t>
      </w:r>
      <w:r>
        <w:rPr>
          <w:rFonts w:hint="eastAsia" w:ascii="Times New Roman" w:hAnsi="Times New Roman" w:eastAsia="仿宋_GB2312"/>
          <w:color w:val="000000"/>
          <w:sz w:val="24"/>
          <w:szCs w:val="24"/>
        </w:rPr>
        <w:t>方</w:t>
      </w:r>
      <w:r>
        <w:rPr>
          <w:rFonts w:ascii="Times New Roman" w:hAnsi="Times New Roman" w:eastAsia="仿宋_GB2312"/>
          <w:color w:val="000000"/>
          <w:sz w:val="24"/>
          <w:szCs w:val="24"/>
        </w:rPr>
        <w:t>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3DC91BA">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15.</w:t>
      </w:r>
      <w:r>
        <w:rPr>
          <w:rFonts w:hint="eastAsia" w:ascii="Times New Roman" w:hAnsi="Times New Roman" w:eastAsia="仿宋_GB2312"/>
          <w:color w:val="000000"/>
          <w:sz w:val="24"/>
          <w:szCs w:val="24"/>
          <w:lang w:val="en-US"/>
        </w:rPr>
        <w:t>2</w:t>
      </w:r>
      <w:r>
        <w:rPr>
          <w:rFonts w:ascii="Times New Roman" w:hAnsi="Times New Roman" w:eastAsia="仿宋_GB2312"/>
          <w:color w:val="000000"/>
          <w:sz w:val="24"/>
          <w:szCs w:val="24"/>
        </w:rPr>
        <w:t xml:space="preserve">.2 质量保证金的扣留 </w:t>
      </w:r>
    </w:p>
    <w:p w14:paraId="2C6D0360">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质量保证金的扣留采取以下第</w:t>
      </w:r>
      <w:r>
        <w:rPr>
          <w:rFonts w:ascii="Times New Roman" w:hAnsi="Times New Roman" w:eastAsia="仿宋_GB2312"/>
          <w:color w:val="000000"/>
          <w:sz w:val="24"/>
          <w:szCs w:val="24"/>
          <w:u w:val="single"/>
        </w:rPr>
        <w:t xml:space="preserve"> </w:t>
      </w:r>
      <w:r>
        <w:rPr>
          <w:rFonts w:hint="eastAsia" w:ascii="仿宋" w:hAnsi="仿宋" w:eastAsia="仿宋" w:cs="仿宋"/>
          <w:color w:val="000000"/>
          <w:sz w:val="24"/>
          <w:szCs w:val="24"/>
          <w:u w:val="single"/>
        </w:rPr>
        <w:t>（2）</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种方式：</w:t>
      </w:r>
    </w:p>
    <w:p w14:paraId="3DC5C00E">
      <w:pPr>
        <w:adjustRightInd w:val="0"/>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（1）在支付工程进度款时逐次扣留，在此情形下，质量保证金的计算基数不包括预付款的支付、扣回以及价格调整的金额；</w:t>
      </w:r>
    </w:p>
    <w:p w14:paraId="4F25C3B0">
      <w:pPr>
        <w:adjustRightInd w:val="0"/>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（2）工程竣工结算时一次性扣留质量保证金；</w:t>
      </w:r>
    </w:p>
    <w:p w14:paraId="3B19426C">
      <w:pPr>
        <w:adjustRightInd w:val="0"/>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（3）其他扣留方式:</w:t>
      </w:r>
      <w:r>
        <w:rPr>
          <w:rFonts w:hint="eastAsia"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016AB457">
      <w:pPr>
        <w:adjustRightInd w:val="0"/>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关于质量保证金的补充约定：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E4CF9AC">
      <w:pPr>
        <w:adjustRightInd w:val="0"/>
        <w:spacing w:line="540" w:lineRule="exact"/>
        <w:ind w:firstLine="240" w:firstLineChars="1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15.</w:t>
      </w:r>
      <w:r>
        <w:rPr>
          <w:rFonts w:hint="eastAsia" w:ascii="Times New Roman" w:hAnsi="Times New Roman" w:eastAsia="仿宋_GB2312"/>
          <w:color w:val="000000" w:themeColor="text1"/>
          <w:sz w:val="24"/>
          <w:szCs w:val="24"/>
          <w:lang w:val="en-US"/>
          <w14:textFill>
            <w14:solidFill>
              <w14:schemeClr w14:val="tx1"/>
            </w14:solidFill>
          </w14:textFill>
        </w:rPr>
        <w:t>2</w:t>
      </w:r>
      <w:r>
        <w:rPr>
          <w:rFonts w:ascii="Times New Roman" w:hAnsi="Times New Roman" w:eastAsia="仿宋_GB2312"/>
          <w:color w:val="000000" w:themeColor="text1"/>
          <w:sz w:val="24"/>
          <w:szCs w:val="24"/>
          <w14:textFill>
            <w14:solidFill>
              <w14:schemeClr w14:val="tx1"/>
            </w14:solidFill>
          </w14:textFill>
        </w:rPr>
        <w:t>.</w:t>
      </w:r>
      <w:r>
        <w:rPr>
          <w:rFonts w:hint="eastAsia" w:ascii="Times New Roman" w:hAnsi="Times New Roman" w:eastAsia="仿宋_GB2312"/>
          <w:color w:val="000000" w:themeColor="text1"/>
          <w:sz w:val="24"/>
          <w:szCs w:val="24"/>
          <w14:textFill>
            <w14:solidFill>
              <w14:schemeClr w14:val="tx1"/>
            </w14:solidFill>
          </w14:textFill>
        </w:rPr>
        <w:t>3质量保证金的退还：</w:t>
      </w:r>
      <w:r>
        <w:rPr>
          <w:rFonts w:hint="eastAsia" w:ascii="仿宋" w:hAnsi="仿宋" w:eastAsia="仿宋" w:cs="仿宋"/>
          <w:color w:val="000000" w:themeColor="text1"/>
          <w:sz w:val="24"/>
          <w:szCs w:val="24"/>
          <w:u w:val="single"/>
          <w14:textFill>
            <w14:solidFill>
              <w14:schemeClr w14:val="tx1"/>
            </w14:solidFill>
          </w14:textFill>
        </w:rPr>
        <w:t>缺陷责任期满后，承包人可向发包人提出返还质量保证金的申请，发、承包双方应于14日内共同核实；经复验无质量问题，发包人应于14日内承包人一次性退还完质量保证金</w:t>
      </w:r>
      <w:r>
        <w:rPr>
          <w:rFonts w:ascii="Times New Roman" w:hAnsi="Times New Roman" w:eastAsia="仿宋_GB2312"/>
          <w:color w:val="000000" w:themeColor="text1"/>
          <w:sz w:val="24"/>
          <w:szCs w:val="24"/>
          <w14:textFill>
            <w14:solidFill>
              <w14:schemeClr w14:val="tx1"/>
            </w14:solidFill>
          </w14:textFill>
        </w:rPr>
        <w:t>。</w:t>
      </w:r>
    </w:p>
    <w:bookmarkEnd w:id="738"/>
    <w:bookmarkEnd w:id="739"/>
    <w:p w14:paraId="2A7B107B">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15.</w:t>
      </w:r>
      <w:r>
        <w:rPr>
          <w:rFonts w:hint="eastAsia" w:ascii="Times New Roman" w:hAnsi="Times New Roman" w:eastAsia="黑体"/>
          <w:color w:val="000000"/>
          <w:sz w:val="24"/>
          <w:szCs w:val="24"/>
          <w:lang w:val="en-US"/>
        </w:rPr>
        <w:t>3</w:t>
      </w:r>
      <w:r>
        <w:rPr>
          <w:rFonts w:ascii="Times New Roman" w:hAnsi="Times New Roman" w:eastAsia="黑体"/>
          <w:color w:val="000000"/>
          <w:sz w:val="24"/>
          <w:szCs w:val="24"/>
        </w:rPr>
        <w:t>保修</w:t>
      </w:r>
    </w:p>
    <w:bookmarkEnd w:id="740"/>
    <w:p w14:paraId="7A114779">
      <w:pPr>
        <w:spacing w:line="540" w:lineRule="exact"/>
        <w:ind w:firstLine="468" w:firstLineChars="195"/>
        <w:rPr>
          <w:rFonts w:ascii="Times New Roman" w:hAnsi="Times New Roman" w:eastAsia="仿宋_GB2312"/>
          <w:color w:val="000000"/>
          <w:sz w:val="24"/>
          <w:szCs w:val="24"/>
        </w:rPr>
      </w:pPr>
      <w:r>
        <w:rPr>
          <w:rFonts w:ascii="Times New Roman" w:hAnsi="Times New Roman" w:eastAsia="仿宋_GB2312"/>
          <w:color w:val="000000"/>
          <w:sz w:val="24"/>
          <w:szCs w:val="24"/>
        </w:rPr>
        <w:t>15.</w:t>
      </w:r>
      <w:r>
        <w:rPr>
          <w:rFonts w:hint="eastAsia" w:ascii="Times New Roman" w:hAnsi="Times New Roman" w:eastAsia="仿宋_GB2312"/>
          <w:color w:val="000000"/>
          <w:sz w:val="24"/>
          <w:szCs w:val="24"/>
          <w:lang w:val="en-US"/>
        </w:rPr>
        <w:t>3</w:t>
      </w:r>
      <w:r>
        <w:rPr>
          <w:rFonts w:ascii="Times New Roman" w:hAnsi="Times New Roman" w:eastAsia="仿宋_GB2312"/>
          <w:color w:val="000000"/>
          <w:sz w:val="24"/>
          <w:szCs w:val="24"/>
        </w:rPr>
        <w:t>.1 保修责任</w:t>
      </w:r>
    </w:p>
    <w:p w14:paraId="6CD1C926">
      <w:pPr>
        <w:spacing w:line="540" w:lineRule="exact"/>
        <w:ind w:firstLine="468" w:firstLineChars="195"/>
        <w:rPr>
          <w:rFonts w:ascii="Times New Roman" w:hAnsi="Times New Roman" w:eastAsia="仿宋_GB2312"/>
          <w:color w:val="000000"/>
          <w:sz w:val="24"/>
          <w:szCs w:val="24"/>
        </w:rPr>
      </w:pPr>
      <w:r>
        <w:rPr>
          <w:rFonts w:ascii="Times New Roman" w:hAnsi="Times New Roman" w:eastAsia="仿宋_GB2312"/>
          <w:color w:val="000000"/>
          <w:sz w:val="24"/>
          <w:szCs w:val="24"/>
        </w:rPr>
        <w:t>工程保修期为：</w:t>
      </w:r>
      <w:r>
        <w:rPr>
          <w:rFonts w:hint="eastAsia" w:ascii="仿宋" w:hAnsi="仿宋" w:eastAsia="仿宋" w:cs="仿宋"/>
          <w:color w:val="000000"/>
          <w:sz w:val="24"/>
          <w:szCs w:val="24"/>
          <w:u w:val="single"/>
        </w:rPr>
        <w:t>详见附件3—《工程质量保修书》第二条“质量保修期”</w:t>
      </w:r>
      <w:r>
        <w:rPr>
          <w:rFonts w:ascii="Times New Roman" w:hAnsi="Times New Roman" w:eastAsia="仿宋_GB2312"/>
          <w:color w:val="000000"/>
          <w:sz w:val="24"/>
          <w:szCs w:val="24"/>
        </w:rPr>
        <w:t>。</w:t>
      </w:r>
    </w:p>
    <w:p w14:paraId="40DC469D">
      <w:pPr>
        <w:spacing w:line="540" w:lineRule="exact"/>
        <w:ind w:firstLine="468" w:firstLineChars="195"/>
        <w:rPr>
          <w:rFonts w:ascii="Times New Roman" w:hAnsi="Times New Roman" w:eastAsia="仿宋_GB2312"/>
          <w:color w:val="000000"/>
          <w:sz w:val="24"/>
          <w:szCs w:val="24"/>
        </w:rPr>
      </w:pPr>
      <w:r>
        <w:rPr>
          <w:rFonts w:ascii="Times New Roman" w:hAnsi="Times New Roman" w:eastAsia="仿宋_GB2312"/>
          <w:color w:val="000000"/>
          <w:sz w:val="24"/>
          <w:szCs w:val="24"/>
        </w:rPr>
        <w:t>15.</w:t>
      </w:r>
      <w:r>
        <w:rPr>
          <w:rFonts w:hint="eastAsia" w:ascii="Times New Roman" w:hAnsi="Times New Roman" w:eastAsia="仿宋_GB2312"/>
          <w:color w:val="000000"/>
          <w:sz w:val="24"/>
          <w:szCs w:val="24"/>
          <w:lang w:val="en-US"/>
        </w:rPr>
        <w:t>3</w:t>
      </w:r>
      <w:r>
        <w:rPr>
          <w:rFonts w:ascii="Times New Roman" w:hAnsi="Times New Roman" w:eastAsia="仿宋_GB2312"/>
          <w:color w:val="000000"/>
          <w:sz w:val="24"/>
          <w:szCs w:val="24"/>
        </w:rPr>
        <w:t>.</w:t>
      </w:r>
      <w:r>
        <w:rPr>
          <w:rFonts w:hint="eastAsia" w:ascii="Times New Roman" w:hAnsi="Times New Roman" w:eastAsia="仿宋_GB2312"/>
          <w:color w:val="000000"/>
          <w:sz w:val="24"/>
          <w:szCs w:val="24"/>
          <w:lang w:val="en-US"/>
        </w:rPr>
        <w:t>2</w:t>
      </w:r>
      <w:r>
        <w:rPr>
          <w:rFonts w:ascii="Times New Roman" w:hAnsi="Times New Roman" w:eastAsia="仿宋_GB2312"/>
          <w:color w:val="000000"/>
          <w:sz w:val="24"/>
          <w:szCs w:val="24"/>
        </w:rPr>
        <w:t xml:space="preserve"> 修复通知</w:t>
      </w:r>
    </w:p>
    <w:p w14:paraId="2D291245">
      <w:pPr>
        <w:spacing w:line="540" w:lineRule="exact"/>
        <w:ind w:firstLine="468" w:firstLineChars="195"/>
        <w:rPr>
          <w:rFonts w:ascii="Times New Roman" w:hAnsi="Times New Roman" w:eastAsia="仿宋_GB2312"/>
          <w:color w:val="000000"/>
          <w:sz w:val="24"/>
          <w:szCs w:val="24"/>
        </w:rPr>
      </w:pPr>
      <w:r>
        <w:rPr>
          <w:rFonts w:ascii="Times New Roman" w:hAnsi="Times New Roman" w:eastAsia="仿宋_GB2312"/>
          <w:color w:val="000000"/>
          <w:sz w:val="24"/>
          <w:szCs w:val="24"/>
        </w:rPr>
        <w:t>承包人收到保修通知并到达工程现场的合理时间：</w:t>
      </w:r>
      <w:r>
        <w:rPr>
          <w:rFonts w:hint="eastAsia" w:ascii="仿宋" w:hAnsi="仿宋" w:eastAsia="仿宋" w:cs="仿宋"/>
          <w:color w:val="000000"/>
          <w:sz w:val="24"/>
          <w:szCs w:val="24"/>
          <w:u w:val="single"/>
        </w:rPr>
        <w:t>3天内</w:t>
      </w:r>
      <w:r>
        <w:rPr>
          <w:rFonts w:ascii="Times New Roman" w:hAnsi="Times New Roman" w:eastAsia="仿宋_GB2312"/>
          <w:color w:val="000000"/>
          <w:sz w:val="24"/>
          <w:szCs w:val="24"/>
        </w:rPr>
        <w:t>。</w:t>
      </w:r>
    </w:p>
    <w:bookmarkEnd w:id="741"/>
    <w:bookmarkEnd w:id="742"/>
    <w:bookmarkEnd w:id="743"/>
    <w:bookmarkEnd w:id="744"/>
    <w:p w14:paraId="45746661">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767" w:name="_Toc25618"/>
      <w:bookmarkStart w:id="768" w:name="_Toc4893"/>
      <w:bookmarkStart w:id="769" w:name="_Toc657"/>
      <w:bookmarkStart w:id="770" w:name="_Toc12222"/>
      <w:bookmarkStart w:id="771" w:name="_Toc351203648"/>
      <w:bookmarkStart w:id="772" w:name="_Toc280868717"/>
      <w:bookmarkStart w:id="773" w:name="_Toc280868718"/>
      <w:r>
        <w:rPr>
          <w:rFonts w:ascii="Times New Roman" w:hAnsi="Times New Roman"/>
          <w:bCs w:val="0"/>
          <w:color w:val="000000"/>
          <w:sz w:val="24"/>
          <w:szCs w:val="24"/>
        </w:rPr>
        <w:t>16. 违约</w:t>
      </w:r>
      <w:bookmarkEnd w:id="767"/>
      <w:bookmarkEnd w:id="768"/>
      <w:bookmarkEnd w:id="769"/>
      <w:bookmarkEnd w:id="770"/>
      <w:bookmarkEnd w:id="771"/>
    </w:p>
    <w:p w14:paraId="0F1768A0">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16.1 发包人违约</w:t>
      </w:r>
    </w:p>
    <w:p w14:paraId="1271EA8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16.1.1发包人违约的情形</w:t>
      </w:r>
    </w:p>
    <w:p w14:paraId="4496C7F5">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发包人违约的其他情形：</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D59C6CC">
      <w:pPr>
        <w:spacing w:line="540" w:lineRule="exact"/>
        <w:ind w:left="1200" w:hanging="1200" w:hangingChars="500"/>
        <w:rPr>
          <w:rFonts w:ascii="Times New Roman" w:hAnsi="Times New Roman" w:eastAsia="仿宋_GB2312"/>
          <w:color w:val="000000"/>
          <w:sz w:val="24"/>
          <w:szCs w:val="24"/>
        </w:rPr>
      </w:pPr>
      <w:r>
        <w:rPr>
          <w:rFonts w:ascii="Times New Roman" w:hAnsi="Times New Roman" w:eastAsia="仿宋_GB2312"/>
          <w:color w:val="000000"/>
          <w:sz w:val="24"/>
          <w:szCs w:val="24"/>
        </w:rPr>
        <w:t xml:space="preserve">    16.1.2 发包人违约的责任</w:t>
      </w:r>
    </w:p>
    <w:p w14:paraId="2EFA89F8">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发包人违约责任的承担方式和计算方法：</w:t>
      </w:r>
    </w:p>
    <w:p w14:paraId="4EDFD584">
      <w:pPr>
        <w:spacing w:line="540" w:lineRule="exact"/>
        <w:ind w:firstLine="480" w:firstLineChars="200"/>
        <w:rPr>
          <w:rFonts w:ascii="Times New Roman" w:hAnsi="Times New Roman" w:eastAsia="仿宋_GB2312"/>
          <w:color w:val="000000" w:themeColor="text1"/>
          <w:sz w:val="24"/>
          <w:szCs w:val="24"/>
          <w:u w:val="single"/>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（1）因发包人原因未能在计划开工日期前7天内下达开工通知的违约责任：</w:t>
      </w:r>
      <w:r>
        <w:rPr>
          <w:rFonts w:hint="eastAsia" w:ascii="仿宋" w:hAnsi="仿宋" w:eastAsia="仿宋" w:cs="仿宋"/>
          <w:color w:val="000000" w:themeColor="text1"/>
          <w:sz w:val="24"/>
          <w:szCs w:val="24"/>
          <w:u w:val="single"/>
          <w14:textFill>
            <w14:solidFill>
              <w14:schemeClr w14:val="tx1"/>
            </w14:solidFill>
          </w14:textFill>
        </w:rPr>
        <w:t>承担承包人实际发生的费用，工期相应顺延</w:t>
      </w:r>
      <w:r>
        <w:rPr>
          <w:rFonts w:ascii="Times New Roman" w:hAnsi="Times New Roman" w:eastAsia="仿宋_GB2312"/>
          <w:color w:val="000000" w:themeColor="text1"/>
          <w:sz w:val="24"/>
          <w:szCs w:val="24"/>
          <w14:textFill>
            <w14:solidFill>
              <w14:schemeClr w14:val="tx1"/>
            </w14:solidFill>
          </w14:textFill>
        </w:rPr>
        <w:t>。</w:t>
      </w:r>
    </w:p>
    <w:p w14:paraId="0C45680B">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（2）因发包人原因未能按合同约定支付合同价款的违约责任：</w:t>
      </w:r>
      <w:r>
        <w:rPr>
          <w:rFonts w:hint="eastAsia" w:ascii="仿宋" w:hAnsi="仿宋" w:eastAsia="仿宋" w:cs="仿宋"/>
          <w:color w:val="000000" w:themeColor="text1"/>
          <w:sz w:val="24"/>
          <w:szCs w:val="24"/>
          <w:u w:val="single"/>
          <w14:textFill>
            <w14:solidFill>
              <w14:schemeClr w14:val="tx1"/>
            </w14:solidFill>
          </w14:textFill>
        </w:rPr>
        <w:t>承包人有权暂停施工，发包人承担停工期间的一切损失，工期相应顺延；如承包人继续施工，发包人承担同期银行贷款利率计算的相应贷款利息，工期不顺延</w:t>
      </w:r>
      <w:r>
        <w:rPr>
          <w:rFonts w:hint="eastAsia" w:ascii="楷体_GB2312" w:hAnsi="Times New Roman" w:eastAsia="楷体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w:t>
      </w:r>
    </w:p>
    <w:p w14:paraId="42DD34C4">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（3）发包人违反第10.1款</w:t>
      </w:r>
      <w:r>
        <w:rPr>
          <w:rFonts w:hint="eastAsia" w:ascii="Times New Roman" w:hAnsi="Times New Roman" w:eastAsia="仿宋_GB2312"/>
          <w:color w:val="000000" w:themeColor="text1"/>
          <w:sz w:val="24"/>
          <w:szCs w:val="24"/>
          <w14:textFill>
            <w14:solidFill>
              <w14:schemeClr w14:val="tx1"/>
            </w14:solidFill>
          </w14:textFill>
        </w:rPr>
        <w:t>〔</w:t>
      </w:r>
      <w:r>
        <w:rPr>
          <w:rFonts w:ascii="Times New Roman" w:hAnsi="Times New Roman" w:eastAsia="仿宋_GB2312"/>
          <w:color w:val="000000" w:themeColor="text1"/>
          <w:sz w:val="24"/>
          <w:szCs w:val="24"/>
          <w14:textFill>
            <w14:solidFill>
              <w14:schemeClr w14:val="tx1"/>
            </w14:solidFill>
          </w14:textFill>
        </w:rPr>
        <w:t>变更的范围</w:t>
      </w:r>
      <w:r>
        <w:rPr>
          <w:rFonts w:hint="eastAsia" w:ascii="Times New Roman" w:hAnsi="Times New Roman" w:eastAsia="仿宋_GB2312"/>
          <w:color w:val="000000" w:themeColor="text1"/>
          <w:sz w:val="24"/>
          <w:szCs w:val="24"/>
          <w14:textFill>
            <w14:solidFill>
              <w14:schemeClr w14:val="tx1"/>
            </w14:solidFill>
          </w14:textFill>
        </w:rPr>
        <w:t>〕</w:t>
      </w:r>
      <w:r>
        <w:rPr>
          <w:rFonts w:ascii="Times New Roman" w:hAnsi="Times New Roman" w:eastAsia="仿宋_GB2312"/>
          <w:color w:val="000000" w:themeColor="text1"/>
          <w:sz w:val="24"/>
          <w:szCs w:val="24"/>
          <w14:textFill>
            <w14:solidFill>
              <w14:schemeClr w14:val="tx1"/>
            </w14:solidFill>
          </w14:textFill>
        </w:rPr>
        <w:t>第（2）项约定，自行实施被取消的工作或转由他人实施的违约责任：</w:t>
      </w:r>
      <w:r>
        <w:rPr>
          <w:rFonts w:hint="eastAsia" w:ascii="仿宋" w:hAnsi="仿宋" w:eastAsia="仿宋" w:cs="仿宋"/>
          <w:color w:val="000000" w:themeColor="text1"/>
          <w:sz w:val="24"/>
          <w:szCs w:val="24"/>
          <w:u w:val="single"/>
          <w14:textFill>
            <w14:solidFill>
              <w14:schemeClr w14:val="tx1"/>
            </w14:solidFill>
          </w14:textFill>
        </w:rPr>
        <w:t>①影响工期的，工期相应顺延，并承担承包人相应损失；②承包人不承担该部分的质量缺陷责任；③承包人不承担该部分的竣工资料的移交；④此部分工作使用承包人施工设备、临时设施等，由发包人承担相应费用</w:t>
      </w:r>
      <w:r>
        <w:rPr>
          <w:rFonts w:ascii="Times New Roman" w:hAnsi="Times New Roman" w:eastAsia="仿宋_GB2312"/>
          <w:color w:val="000000" w:themeColor="text1"/>
          <w:sz w:val="24"/>
          <w:szCs w:val="24"/>
          <w14:textFill>
            <w14:solidFill>
              <w14:schemeClr w14:val="tx1"/>
            </w14:solidFill>
          </w14:textFill>
        </w:rPr>
        <w:t>。</w:t>
      </w:r>
    </w:p>
    <w:p w14:paraId="60F5AF5F">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仿宋" w:hAnsi="仿宋" w:eastAsia="仿宋" w:cs="仿宋"/>
          <w:color w:val="000000" w:themeColor="text1"/>
          <w:sz w:val="24"/>
          <w:szCs w:val="24"/>
          <w:u w:val="single"/>
          <w14:textFill>
            <w14:solidFill>
              <w14:schemeClr w14:val="tx1"/>
            </w14:solidFill>
          </w14:textFill>
        </w:rPr>
        <w:t>工期相应顺延，并承担相应的费用</w:t>
      </w:r>
      <w:r>
        <w:rPr>
          <w:rFonts w:ascii="Times New Roman" w:hAnsi="Times New Roman" w:eastAsia="仿宋_GB2312"/>
          <w:color w:val="000000" w:themeColor="text1"/>
          <w:sz w:val="24"/>
          <w:szCs w:val="24"/>
          <w14:textFill>
            <w14:solidFill>
              <w14:schemeClr w14:val="tx1"/>
            </w14:solidFill>
          </w14:textFill>
        </w:rPr>
        <w:t>。</w:t>
      </w:r>
    </w:p>
    <w:p w14:paraId="2E106E9B">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（5）因发包人违反合同约定造成暂停施工的违约责任</w:t>
      </w:r>
      <w:r>
        <w:rPr>
          <w:rFonts w:hint="eastAsia" w:ascii="Times New Roman" w:hAnsi="Times New Roman" w:eastAsia="仿宋_GB2312"/>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u w:val="single"/>
          <w14:textFill>
            <w14:solidFill>
              <w14:schemeClr w14:val="tx1"/>
            </w14:solidFill>
          </w14:textFill>
        </w:rPr>
        <w:t>工期相应顺延，并承担相应的费用</w:t>
      </w:r>
      <w:r>
        <w:rPr>
          <w:rFonts w:ascii="Times New Roman" w:hAnsi="Times New Roman" w:eastAsia="仿宋_GB2312"/>
          <w:color w:val="000000" w:themeColor="text1"/>
          <w:sz w:val="24"/>
          <w:szCs w:val="24"/>
          <w14:textFill>
            <w14:solidFill>
              <w14:schemeClr w14:val="tx1"/>
            </w14:solidFill>
          </w14:textFill>
        </w:rPr>
        <w:t>。</w:t>
      </w:r>
    </w:p>
    <w:p w14:paraId="33720EF8">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（6）发包人无正当理由没有在约定期限内发出复工指示，导致承包人无法复工的违约责任：</w:t>
      </w:r>
      <w:r>
        <w:rPr>
          <w:rFonts w:hint="eastAsia" w:ascii="Times New Roman" w:hAnsi="Times New Roman" w:eastAsia="仿宋_GB2312"/>
          <w:color w:val="000000" w:themeColor="text1"/>
          <w:sz w:val="24"/>
          <w:szCs w:val="24"/>
          <w:u w:val="single"/>
          <w14:textFill>
            <w14:solidFill>
              <w14:schemeClr w14:val="tx1"/>
            </w14:solidFill>
          </w14:textFill>
        </w:rPr>
        <w:t>工期相应顺延，并承担相应的费用</w:t>
      </w:r>
      <w:r>
        <w:rPr>
          <w:rFonts w:ascii="Times New Roman" w:hAnsi="Times New Roman" w:eastAsia="仿宋_GB2312"/>
          <w:color w:val="000000" w:themeColor="text1"/>
          <w:sz w:val="24"/>
          <w:szCs w:val="24"/>
          <w14:textFill>
            <w14:solidFill>
              <w14:schemeClr w14:val="tx1"/>
            </w14:solidFill>
          </w14:textFill>
        </w:rPr>
        <w:t>。</w:t>
      </w:r>
    </w:p>
    <w:p w14:paraId="2A845FF7">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（7）</w:t>
      </w:r>
      <w:r>
        <w:rPr>
          <w:rFonts w:hint="eastAsia" w:ascii="Times New Roman" w:hAnsi="Times New Roman" w:eastAsia="仿宋_GB2312"/>
          <w:color w:val="000000" w:themeColor="text1"/>
          <w:sz w:val="24"/>
          <w:szCs w:val="24"/>
          <w14:textFill>
            <w14:solidFill>
              <w14:schemeClr w14:val="tx1"/>
            </w14:solidFill>
          </w14:textFill>
        </w:rPr>
        <w:t>其他：</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hint="eastAsia" w:ascii="Times New Roman" w:hAnsi="Times New Roman" w:eastAsia="仿宋_GB2312"/>
          <w:color w:val="000000" w:themeColor="text1"/>
          <w:sz w:val="24"/>
          <w:szCs w:val="24"/>
          <w:u w:val="single"/>
          <w14:textFill>
            <w14:solidFill>
              <w14:schemeClr w14:val="tx1"/>
            </w14:solidFill>
          </w14:textFill>
        </w:rPr>
        <w:t>/</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w:t>
      </w:r>
    </w:p>
    <w:p w14:paraId="3E57213B">
      <w:pPr>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16.1.3 因发包人违约解除合同</w:t>
      </w:r>
    </w:p>
    <w:p w14:paraId="02BEF292">
      <w:pPr>
        <w:adjustRightInd w:val="0"/>
        <w:spacing w:line="54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承包人按16.1.1项</w:t>
      </w:r>
      <w:r>
        <w:rPr>
          <w:rFonts w:hint="eastAsia" w:ascii="Times New Roman" w:hAnsi="Times New Roman" w:eastAsia="仿宋_GB2312"/>
          <w:color w:val="000000" w:themeColor="text1"/>
          <w:sz w:val="24"/>
          <w:szCs w:val="24"/>
          <w14:textFill>
            <w14:solidFill>
              <w14:schemeClr w14:val="tx1"/>
            </w14:solidFill>
          </w14:textFill>
        </w:rPr>
        <w:t>〔</w:t>
      </w:r>
      <w:r>
        <w:rPr>
          <w:rFonts w:ascii="Times New Roman" w:hAnsi="Times New Roman" w:eastAsia="仿宋_GB2312"/>
          <w:color w:val="000000" w:themeColor="text1"/>
          <w:sz w:val="24"/>
          <w:szCs w:val="24"/>
          <w14:textFill>
            <w14:solidFill>
              <w14:schemeClr w14:val="tx1"/>
            </w14:solidFill>
          </w14:textFill>
        </w:rPr>
        <w:t>发包人违约的情形</w:t>
      </w:r>
      <w:r>
        <w:rPr>
          <w:rFonts w:hint="eastAsia" w:ascii="Times New Roman" w:hAnsi="Times New Roman" w:eastAsia="仿宋_GB2312"/>
          <w:color w:val="000000" w:themeColor="text1"/>
          <w:sz w:val="24"/>
          <w:szCs w:val="24"/>
          <w14:textFill>
            <w14:solidFill>
              <w14:schemeClr w14:val="tx1"/>
            </w14:solidFill>
          </w14:textFill>
        </w:rPr>
        <w:t>〕</w:t>
      </w:r>
      <w:r>
        <w:rPr>
          <w:rFonts w:ascii="Times New Roman" w:hAnsi="Times New Roman" w:eastAsia="仿宋_GB2312"/>
          <w:color w:val="000000" w:themeColor="text1"/>
          <w:sz w:val="24"/>
          <w:szCs w:val="24"/>
          <w14:textFill>
            <w14:solidFill>
              <w14:schemeClr w14:val="tx1"/>
            </w14:solidFill>
          </w14:textFill>
        </w:rPr>
        <w:t>约定暂停施工满</w:t>
      </w:r>
      <w:r>
        <w:rPr>
          <w:rFonts w:hint="eastAsia" w:ascii="仿宋" w:hAnsi="仿宋" w:eastAsia="仿宋" w:cs="仿宋"/>
          <w:color w:val="000000" w:themeColor="text1"/>
          <w:sz w:val="24"/>
          <w:szCs w:val="24"/>
          <w:u w:val="single"/>
          <w14:textFill>
            <w14:solidFill>
              <w14:schemeClr w14:val="tx1"/>
            </w14:solidFill>
          </w14:textFill>
        </w:rPr>
        <w:t xml:space="preserve"> 28 </w:t>
      </w:r>
      <w:r>
        <w:rPr>
          <w:rFonts w:ascii="Times New Roman" w:hAnsi="Times New Roman" w:eastAsia="仿宋_GB2312"/>
          <w:color w:val="000000" w:themeColor="text1"/>
          <w:sz w:val="24"/>
          <w:szCs w:val="24"/>
          <w14:textFill>
            <w14:solidFill>
              <w14:schemeClr w14:val="tx1"/>
            </w14:solidFill>
          </w14:textFill>
        </w:rPr>
        <w:t>天后发包人仍不纠正其违约行为并致使合同目的不能实现的，承包人有权解除合同。</w:t>
      </w:r>
    </w:p>
    <w:p w14:paraId="76023780">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16.2 承包人违约</w:t>
      </w:r>
    </w:p>
    <w:p w14:paraId="14E8E11E">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16.2.1 承包人违约的情形</w:t>
      </w:r>
    </w:p>
    <w:p w14:paraId="2B7E5DED">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承包人违约的其他情形：</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B777954">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16.2.2承包人违约的责任</w:t>
      </w:r>
    </w:p>
    <w:p w14:paraId="1258AF18">
      <w:pPr>
        <w:spacing w:line="540" w:lineRule="exact"/>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承包人违约责任的承担方式和计算方法：</w:t>
      </w:r>
      <w:r>
        <w:rPr>
          <w:rFonts w:hint="eastAsia" w:ascii="仿宋" w:hAnsi="仿宋" w:eastAsia="仿宋" w:cs="仿宋"/>
          <w:color w:val="000000"/>
          <w:sz w:val="24"/>
          <w:szCs w:val="24"/>
          <w:u w:val="single"/>
        </w:rPr>
        <w:t>承担相应费用和延误的工期，及由此造成的相关法律责任</w:t>
      </w:r>
      <w:r>
        <w:rPr>
          <w:rFonts w:ascii="Times New Roman" w:hAnsi="Times New Roman" w:eastAsia="仿宋_GB2312"/>
          <w:color w:val="000000"/>
          <w:sz w:val="24"/>
          <w:szCs w:val="24"/>
        </w:rPr>
        <w:t>。</w:t>
      </w:r>
    </w:p>
    <w:p w14:paraId="05B32844">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16.2.3 因承包人违约解除合同</w:t>
      </w:r>
    </w:p>
    <w:p w14:paraId="0E0893C8">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关于承包人违约解除合同的特别约定：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6759F5B">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继续</w:t>
      </w:r>
      <w:r>
        <w:rPr>
          <w:rFonts w:ascii="Times New Roman" w:hAnsi="Times New Roman" w:eastAsia="仿宋_GB2312"/>
          <w:color w:val="000000"/>
          <w:sz w:val="24"/>
          <w:szCs w:val="24"/>
        </w:rPr>
        <w:t>使用承包人在施工现场的材料、设备、临时工程、承包人文件和由承包人或以其名义编制的其他文件</w:t>
      </w:r>
      <w:r>
        <w:rPr>
          <w:rFonts w:hint="eastAsia" w:ascii="Times New Roman" w:hAnsi="Times New Roman" w:eastAsia="仿宋_GB2312"/>
          <w:color w:val="000000"/>
          <w:sz w:val="24"/>
          <w:szCs w:val="24"/>
        </w:rPr>
        <w:t>的费用承担方式</w:t>
      </w:r>
      <w:r>
        <w:rPr>
          <w:rFonts w:ascii="Times New Roman" w:hAnsi="Times New Roman" w:eastAsia="仿宋_GB2312"/>
          <w:color w:val="000000"/>
          <w:sz w:val="24"/>
          <w:szCs w:val="24"/>
        </w:rPr>
        <w:t>：</w:t>
      </w:r>
      <w:r>
        <w:rPr>
          <w:rFonts w:hint="eastAsia" w:ascii="仿宋" w:hAnsi="仿宋" w:eastAsia="仿宋" w:cs="仿宋"/>
          <w:color w:val="000000"/>
          <w:sz w:val="24"/>
          <w:szCs w:val="24"/>
          <w:u w:val="single"/>
        </w:rPr>
        <w:t>按实际的费用支付给承包人</w:t>
      </w:r>
      <w:r>
        <w:rPr>
          <w:rFonts w:hint="eastAsia" w:ascii="Times New Roman" w:hAnsi="Times New Roman" w:eastAsia="仿宋_GB2312"/>
          <w:color w:val="000000"/>
          <w:sz w:val="24"/>
          <w:szCs w:val="24"/>
        </w:rPr>
        <w:t>。</w:t>
      </w:r>
    </w:p>
    <w:p w14:paraId="55D65416">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774" w:name="_Toc28261"/>
      <w:bookmarkStart w:id="775" w:name="_Toc351203649"/>
      <w:bookmarkStart w:id="776" w:name="_Toc31856"/>
      <w:bookmarkStart w:id="777" w:name="_Toc567"/>
      <w:bookmarkStart w:id="778" w:name="_Toc28682"/>
      <w:r>
        <w:rPr>
          <w:rFonts w:ascii="Times New Roman" w:hAnsi="Times New Roman"/>
          <w:bCs w:val="0"/>
          <w:color w:val="000000"/>
          <w:sz w:val="24"/>
          <w:szCs w:val="24"/>
        </w:rPr>
        <w:t>17. 不可抗力</w:t>
      </w:r>
      <w:bookmarkEnd w:id="774"/>
      <w:bookmarkEnd w:id="775"/>
      <w:bookmarkEnd w:id="776"/>
      <w:bookmarkEnd w:id="777"/>
      <w:bookmarkEnd w:id="778"/>
      <w:r>
        <w:rPr>
          <w:rFonts w:ascii="Times New Roman" w:hAnsi="Times New Roman"/>
          <w:bCs w:val="0"/>
          <w:color w:val="000000"/>
          <w:sz w:val="24"/>
          <w:szCs w:val="24"/>
        </w:rPr>
        <w:t xml:space="preserve"> </w:t>
      </w:r>
      <w:bookmarkEnd w:id="772"/>
    </w:p>
    <w:p w14:paraId="5F437944">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17.1 不可抗力的确认</w:t>
      </w:r>
    </w:p>
    <w:p w14:paraId="6C7005A3">
      <w:pPr>
        <w:spacing w:line="540" w:lineRule="exact"/>
        <w:ind w:firstLine="412" w:firstLineChars="200"/>
        <w:rPr>
          <w:rFonts w:ascii="Times New Roman" w:hAnsi="Times New Roman" w:eastAsia="仿宋_GB2312"/>
          <w:color w:val="000000"/>
          <w:sz w:val="24"/>
          <w:szCs w:val="24"/>
          <w:u w:val="single"/>
        </w:rPr>
      </w:pPr>
      <w:r>
        <w:rPr>
          <w:rFonts w:ascii="Times New Roman" w:hAnsi="Times New Roman" w:eastAsia="仿宋_GB2312"/>
          <w:color w:val="000000"/>
          <w:spacing w:val="-17"/>
          <w:sz w:val="24"/>
          <w:szCs w:val="24"/>
        </w:rPr>
        <w:t>除通用合同条款约定的不可抗力事件之外，视为不可抗力的其他情形：</w:t>
      </w:r>
      <w:r>
        <w:rPr>
          <w:rFonts w:hint="eastAsia" w:ascii="Times New Roman" w:hAnsi="Times New Roman" w:eastAsia="仿宋_GB2312"/>
          <w:color w:val="000000"/>
          <w:spacing w:val="-17"/>
          <w:sz w:val="24"/>
          <w:szCs w:val="24"/>
          <w:u w:val="single"/>
          <w:lang w:val="en-US"/>
        </w:rPr>
        <w:t xml:space="preserve">  </w:t>
      </w:r>
      <w:r>
        <w:rPr>
          <w:rFonts w:hint="eastAsia" w:ascii="Times New Roman" w:hAnsi="Times New Roman" w:eastAsia="仿宋_GB2312"/>
          <w:color w:val="000000"/>
          <w:spacing w:val="-17"/>
          <w:sz w:val="24"/>
          <w:szCs w:val="24"/>
          <w:u w:val="single"/>
        </w:rPr>
        <w:t>/</w:t>
      </w:r>
      <w:r>
        <w:rPr>
          <w:rFonts w:ascii="Times New Roman" w:hAnsi="Times New Roman" w:eastAsia="仿宋_GB2312"/>
          <w:color w:val="000000"/>
          <w:spacing w:val="-17"/>
          <w:sz w:val="24"/>
          <w:szCs w:val="24"/>
          <w:u w:val="single"/>
        </w:rPr>
        <w:t xml:space="preserve">  </w:t>
      </w:r>
      <w:r>
        <w:rPr>
          <w:rFonts w:ascii="Times New Roman" w:hAnsi="Times New Roman" w:eastAsia="仿宋_GB2312"/>
          <w:color w:val="000000"/>
          <w:spacing w:val="-17"/>
          <w:sz w:val="24"/>
          <w:szCs w:val="24"/>
        </w:rPr>
        <w:t>。</w:t>
      </w:r>
    </w:p>
    <w:p w14:paraId="5F281627">
      <w:pPr>
        <w:spacing w:line="540" w:lineRule="exact"/>
        <w:ind w:firstLine="480" w:firstLineChars="200"/>
        <w:rPr>
          <w:rFonts w:ascii="Times New Roman" w:hAnsi="Times New Roman" w:eastAsia="黑体"/>
          <w:color w:val="000000"/>
          <w:sz w:val="24"/>
          <w:szCs w:val="24"/>
          <w:lang w:val="en-US"/>
        </w:rPr>
      </w:pPr>
      <w:r>
        <w:rPr>
          <w:rFonts w:ascii="Times New Roman" w:hAnsi="Times New Roman" w:eastAsia="黑体"/>
          <w:color w:val="000000"/>
          <w:sz w:val="24"/>
          <w:szCs w:val="24"/>
        </w:rPr>
        <w:t>17.</w:t>
      </w:r>
      <w:r>
        <w:rPr>
          <w:rFonts w:hint="eastAsia" w:ascii="Times New Roman" w:hAnsi="Times New Roman" w:eastAsia="黑体"/>
          <w:color w:val="000000"/>
          <w:sz w:val="24"/>
          <w:szCs w:val="24"/>
          <w:lang w:val="en-US"/>
        </w:rPr>
        <w:t>2</w:t>
      </w:r>
      <w:r>
        <w:rPr>
          <w:rFonts w:ascii="Times New Roman" w:hAnsi="Times New Roman" w:eastAsia="黑体"/>
          <w:color w:val="000000"/>
          <w:sz w:val="24"/>
          <w:szCs w:val="24"/>
        </w:rPr>
        <w:t xml:space="preserve"> 因不可抗力解除合同</w:t>
      </w:r>
    </w:p>
    <w:p w14:paraId="3278D639">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合同解除后，发包人应在商定或确定发包人应支付款项后</w:t>
      </w:r>
      <w:r>
        <w:rPr>
          <w:rFonts w:hint="eastAsia" w:ascii="Times New Roman" w:hAnsi="Times New Roman" w:eastAsia="仿宋_GB2312"/>
          <w:color w:val="000000"/>
          <w:sz w:val="24"/>
          <w:szCs w:val="24"/>
          <w:u w:val="single"/>
        </w:rPr>
        <w:t>28</w:t>
      </w:r>
      <w:r>
        <w:rPr>
          <w:rFonts w:ascii="Times New Roman" w:hAnsi="Times New Roman" w:eastAsia="仿宋_GB2312"/>
          <w:color w:val="000000"/>
          <w:sz w:val="24"/>
          <w:szCs w:val="24"/>
        </w:rPr>
        <w:t>天内完成款项的支付。</w:t>
      </w:r>
    </w:p>
    <w:p w14:paraId="47E3CF79">
      <w:pPr>
        <w:pStyle w:val="3"/>
        <w:keepNext/>
        <w:keepLines/>
        <w:autoSpaceDE/>
        <w:autoSpaceDN/>
        <w:spacing w:before="120" w:beforeLines="50" w:after="120" w:afterLines="50" w:line="540" w:lineRule="exact"/>
        <w:rPr>
          <w:rFonts w:ascii="Times New Roman" w:hAnsi="Times New Roman"/>
          <w:bCs w:val="0"/>
          <w:color w:val="000000"/>
          <w:sz w:val="24"/>
          <w:szCs w:val="24"/>
        </w:rPr>
      </w:pPr>
      <w:bookmarkStart w:id="779" w:name="_Toc4785"/>
      <w:bookmarkStart w:id="780" w:name="_Toc5802"/>
      <w:bookmarkStart w:id="781" w:name="_Toc8855"/>
      <w:bookmarkStart w:id="782" w:name="_Toc24490"/>
      <w:bookmarkStart w:id="783" w:name="_Toc351203650"/>
      <w:r>
        <w:rPr>
          <w:rFonts w:ascii="Times New Roman" w:hAnsi="Times New Roman"/>
          <w:bCs w:val="0"/>
          <w:color w:val="000000"/>
          <w:sz w:val="24"/>
          <w:szCs w:val="24"/>
        </w:rPr>
        <w:t>18. 保险</w:t>
      </w:r>
      <w:bookmarkEnd w:id="779"/>
      <w:bookmarkEnd w:id="780"/>
      <w:bookmarkEnd w:id="781"/>
      <w:bookmarkEnd w:id="782"/>
      <w:bookmarkEnd w:id="783"/>
    </w:p>
    <w:bookmarkEnd w:id="773"/>
    <w:p w14:paraId="5F55F893">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18.1 工程保险</w:t>
      </w:r>
    </w:p>
    <w:p w14:paraId="09909E5F">
      <w:pPr>
        <w:spacing w:line="5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关于工程保险的特别约定：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E004930">
      <w:pPr>
        <w:spacing w:line="540" w:lineRule="exact"/>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18.</w:t>
      </w:r>
      <w:r>
        <w:rPr>
          <w:rFonts w:hint="eastAsia" w:ascii="Times New Roman" w:hAnsi="Times New Roman" w:eastAsia="黑体"/>
          <w:color w:val="000000"/>
          <w:sz w:val="24"/>
          <w:szCs w:val="24"/>
          <w:lang w:val="en-US"/>
        </w:rPr>
        <w:t>2</w:t>
      </w:r>
      <w:r>
        <w:rPr>
          <w:rFonts w:ascii="Times New Roman" w:hAnsi="Times New Roman" w:eastAsia="黑体"/>
          <w:color w:val="000000"/>
          <w:sz w:val="24"/>
          <w:szCs w:val="24"/>
        </w:rPr>
        <w:t xml:space="preserve"> 其他保险</w:t>
      </w:r>
    </w:p>
    <w:p w14:paraId="633810B7">
      <w:pPr>
        <w:spacing w:line="540" w:lineRule="exact"/>
        <w:ind w:firstLine="480" w:firstLineChars="200"/>
        <w:rPr>
          <w:rFonts w:ascii="Times New Roman" w:hAnsi="Times New Roman" w:eastAsia="仿宋_GB2312"/>
          <w:color w:val="000000" w:themeColor="text1"/>
          <w:sz w:val="24"/>
          <w:szCs w:val="24"/>
          <w:u w:val="single"/>
          <w:lang w:val="en-US"/>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关于其他保险的约定：</w:t>
      </w:r>
      <w:r>
        <w:rPr>
          <w:rFonts w:hint="eastAsia" w:ascii="Times New Roman" w:hAnsi="Times New Roman" w:eastAsia="仿宋_GB2312"/>
          <w:color w:val="000000" w:themeColor="text1"/>
          <w:sz w:val="24"/>
          <w:szCs w:val="24"/>
          <w:u w:val="single"/>
          <w:lang w:val="en-US"/>
          <w14:textFill>
            <w14:solidFill>
              <w14:schemeClr w14:val="tx1"/>
            </w14:solidFill>
          </w14:textFill>
        </w:rPr>
        <w:t xml:space="preserve">                                  </w:t>
      </w:r>
    </w:p>
    <w:p w14:paraId="627D34D4">
      <w:pPr>
        <w:spacing w:line="360" w:lineRule="auto"/>
        <w:ind w:firstLine="480" w:firstLineChars="200"/>
        <w:rPr>
          <w:rFonts w:ascii="Times New Roman" w:hAnsi="Times New Roman" w:eastAsia="仿宋_GB2312"/>
          <w:sz w:val="24"/>
          <w:szCs w:val="24"/>
        </w:rPr>
      </w:pPr>
      <w:r>
        <w:rPr>
          <w:rFonts w:ascii="Times New Roman" w:hAnsi="Times New Roman" w:eastAsia="仿宋_GB2312"/>
          <w:sz w:val="24"/>
          <w:szCs w:val="24"/>
        </w:rPr>
        <w:t>承包人是否应为其施工设备等办理财产保险：</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6948DC62">
      <w:pPr>
        <w:spacing w:line="360" w:lineRule="auto"/>
        <w:ind w:firstLine="480" w:firstLineChars="200"/>
        <w:rPr>
          <w:rFonts w:ascii="Times New Roman" w:hAnsi="Times New Roman" w:eastAsia="黑体"/>
          <w:sz w:val="24"/>
          <w:szCs w:val="24"/>
        </w:rPr>
      </w:pPr>
      <w:r>
        <w:rPr>
          <w:rFonts w:ascii="Times New Roman" w:hAnsi="Times New Roman" w:eastAsia="黑体"/>
          <w:sz w:val="24"/>
          <w:szCs w:val="24"/>
        </w:rPr>
        <w:t>18.</w:t>
      </w:r>
      <w:r>
        <w:rPr>
          <w:rFonts w:hint="eastAsia" w:ascii="Times New Roman" w:hAnsi="Times New Roman" w:eastAsia="黑体"/>
          <w:sz w:val="24"/>
          <w:szCs w:val="24"/>
          <w:lang w:val="en-US"/>
        </w:rPr>
        <w:t>3</w:t>
      </w:r>
      <w:r>
        <w:rPr>
          <w:rFonts w:ascii="Times New Roman" w:hAnsi="Times New Roman" w:eastAsia="黑体"/>
          <w:sz w:val="24"/>
          <w:szCs w:val="24"/>
        </w:rPr>
        <w:t xml:space="preserve"> 通知义务</w:t>
      </w:r>
    </w:p>
    <w:p w14:paraId="2718E9E6">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关于变更保险合同时的通知义务的约定：</w:t>
      </w:r>
      <w:r>
        <w:rPr>
          <w:rFonts w:hint="eastAsia" w:ascii="仿宋" w:hAnsi="仿宋" w:eastAsia="仿宋" w:cs="仿宋"/>
          <w:color w:val="000000"/>
          <w:sz w:val="24"/>
          <w:szCs w:val="24"/>
          <w:u w:val="single"/>
        </w:rPr>
        <w:t>执行通用条款</w:t>
      </w:r>
      <w:r>
        <w:rPr>
          <w:rFonts w:ascii="Times New Roman" w:hAnsi="Times New Roman" w:eastAsia="仿宋_GB2312"/>
          <w:color w:val="000000"/>
          <w:sz w:val="24"/>
          <w:szCs w:val="24"/>
        </w:rPr>
        <w:t>。</w:t>
      </w:r>
    </w:p>
    <w:p w14:paraId="00D021F0">
      <w:pPr>
        <w:pStyle w:val="3"/>
        <w:keepNext/>
        <w:keepLines/>
        <w:autoSpaceDE/>
        <w:autoSpaceDN/>
        <w:spacing w:before="120" w:beforeLines="50" w:after="120" w:afterLines="50" w:line="360" w:lineRule="auto"/>
        <w:rPr>
          <w:rFonts w:ascii="Times New Roman" w:hAnsi="Times New Roman"/>
          <w:bCs w:val="0"/>
          <w:color w:val="000000"/>
          <w:sz w:val="24"/>
          <w:szCs w:val="24"/>
        </w:rPr>
      </w:pPr>
      <w:bookmarkStart w:id="784" w:name="_Toc11425"/>
      <w:bookmarkStart w:id="785" w:name="_Toc351203651"/>
      <w:r>
        <w:rPr>
          <w:rFonts w:hint="eastAsia" w:ascii="Times New Roman" w:hAnsi="Times New Roman"/>
          <w:bCs w:val="0"/>
          <w:color w:val="000000"/>
          <w:sz w:val="24"/>
          <w:szCs w:val="24"/>
        </w:rPr>
        <w:t xml:space="preserve">    </w:t>
      </w:r>
      <w:bookmarkStart w:id="786" w:name="_Toc22788"/>
      <w:bookmarkStart w:id="787" w:name="_Toc28444"/>
      <w:bookmarkStart w:id="788" w:name="_Toc10852"/>
      <w:r>
        <w:rPr>
          <w:rFonts w:hint="eastAsia" w:ascii="Times New Roman" w:hAnsi="Times New Roman"/>
          <w:bCs w:val="0"/>
          <w:color w:val="000000"/>
          <w:sz w:val="24"/>
          <w:szCs w:val="24"/>
          <w:lang w:val="en-US"/>
        </w:rPr>
        <w:t>19</w:t>
      </w:r>
      <w:r>
        <w:rPr>
          <w:rFonts w:ascii="Times New Roman" w:hAnsi="Times New Roman"/>
          <w:bCs w:val="0"/>
          <w:color w:val="000000"/>
          <w:sz w:val="24"/>
          <w:szCs w:val="24"/>
        </w:rPr>
        <w:t>. 争议解决</w:t>
      </w:r>
      <w:bookmarkEnd w:id="784"/>
      <w:bookmarkEnd w:id="785"/>
      <w:bookmarkEnd w:id="786"/>
      <w:bookmarkEnd w:id="787"/>
      <w:bookmarkEnd w:id="788"/>
    </w:p>
    <w:p w14:paraId="6F2211F7">
      <w:pPr>
        <w:spacing w:line="360" w:lineRule="auto"/>
        <w:ind w:firstLine="480" w:firstLineChars="200"/>
        <w:rPr>
          <w:rFonts w:ascii="Times New Roman" w:hAnsi="Times New Roman" w:eastAsia="黑体"/>
          <w:color w:val="000000"/>
          <w:sz w:val="24"/>
          <w:szCs w:val="24"/>
        </w:rPr>
      </w:pPr>
      <w:r>
        <w:rPr>
          <w:rFonts w:hint="eastAsia" w:ascii="Times New Roman" w:hAnsi="Times New Roman" w:eastAsia="黑体"/>
          <w:color w:val="000000"/>
          <w:sz w:val="24"/>
          <w:szCs w:val="24"/>
          <w:lang w:val="en-US"/>
        </w:rPr>
        <w:t>19.1</w:t>
      </w:r>
      <w:r>
        <w:rPr>
          <w:rFonts w:ascii="Times New Roman" w:hAnsi="Times New Roman" w:eastAsia="黑体"/>
          <w:color w:val="000000"/>
          <w:sz w:val="24"/>
          <w:szCs w:val="24"/>
        </w:rPr>
        <w:t xml:space="preserve"> 争议评审</w:t>
      </w:r>
    </w:p>
    <w:p w14:paraId="63F626DA">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合同当事人是否同意将工程争议提交争议评审小组决</w:t>
      </w:r>
      <w:r>
        <w:rPr>
          <w:rFonts w:hint="eastAsia" w:ascii="Times New Roman" w:hAnsi="Times New Roman" w:eastAsia="仿宋_GB2312"/>
          <w:color w:val="000000"/>
          <w:sz w:val="24"/>
          <w:szCs w:val="24"/>
        </w:rPr>
        <w:t>定：</w:t>
      </w:r>
      <w:r>
        <w:rPr>
          <w:rFonts w:hint="eastAsia" w:ascii="仿宋" w:hAnsi="仿宋" w:eastAsia="仿宋" w:cs="仿宋"/>
          <w:color w:val="000000"/>
          <w:sz w:val="24"/>
          <w:szCs w:val="24"/>
          <w:u w:val="single"/>
        </w:rPr>
        <w:t>同意</w:t>
      </w:r>
      <w:r>
        <w:rPr>
          <w:rFonts w:hint="eastAsia" w:ascii="Times New Roman" w:hAnsi="Times New Roman" w:eastAsia="仿宋_GB2312"/>
          <w:color w:val="000000"/>
          <w:sz w:val="24"/>
          <w:szCs w:val="24"/>
        </w:rPr>
        <w:t>。</w:t>
      </w:r>
    </w:p>
    <w:p w14:paraId="6ADE99EF">
      <w:pPr>
        <w:spacing w:line="360" w:lineRule="auto"/>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rPr>
        <w:t>19.1</w:t>
      </w:r>
      <w:r>
        <w:rPr>
          <w:rFonts w:ascii="Times New Roman" w:hAnsi="Times New Roman" w:eastAsia="仿宋_GB2312"/>
          <w:color w:val="000000"/>
          <w:sz w:val="24"/>
          <w:szCs w:val="24"/>
        </w:rPr>
        <w:t>.1 争议评审小组的确定</w:t>
      </w:r>
    </w:p>
    <w:p w14:paraId="36126699">
      <w:pPr>
        <w:spacing w:line="360" w:lineRule="auto"/>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争议评审小组成员的确定：</w:t>
      </w:r>
      <w:r>
        <w:rPr>
          <w:rFonts w:hint="eastAsia" w:ascii="仿宋" w:hAnsi="仿宋" w:eastAsia="仿宋" w:cs="仿宋"/>
          <w:color w:val="000000"/>
          <w:sz w:val="24"/>
          <w:szCs w:val="24"/>
          <w:u w:val="single"/>
        </w:rPr>
        <w:t>由合同当事人各自选定一名争议评审员；第三名成员由合同当事人共同确定，为首席争议评审员</w:t>
      </w:r>
      <w:r>
        <w:rPr>
          <w:rFonts w:ascii="Times New Roman" w:hAnsi="Times New Roman" w:eastAsia="仿宋_GB2312"/>
          <w:color w:val="000000"/>
          <w:sz w:val="24"/>
          <w:szCs w:val="24"/>
        </w:rPr>
        <w:t>。</w:t>
      </w:r>
    </w:p>
    <w:p w14:paraId="7D04A9C4">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选定争议评审员的期限：</w:t>
      </w:r>
      <w:r>
        <w:rPr>
          <w:rFonts w:hint="eastAsia" w:ascii="仿宋" w:hAnsi="仿宋" w:eastAsia="仿宋" w:cs="仿宋"/>
          <w:color w:val="000000"/>
          <w:sz w:val="24"/>
          <w:szCs w:val="24"/>
          <w:u w:val="single"/>
        </w:rPr>
        <w:t>争议发生后14天内</w:t>
      </w:r>
      <w:r>
        <w:rPr>
          <w:rFonts w:ascii="Times New Roman" w:hAnsi="Times New Roman" w:eastAsia="仿宋_GB2312"/>
          <w:color w:val="000000"/>
          <w:sz w:val="24"/>
          <w:szCs w:val="24"/>
        </w:rPr>
        <w:t>。</w:t>
      </w:r>
    </w:p>
    <w:p w14:paraId="407BA841">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争议评审小组成员的报酬承担方式：</w:t>
      </w:r>
      <w:r>
        <w:rPr>
          <w:rFonts w:hint="eastAsia" w:ascii="仿宋" w:hAnsi="仿宋" w:eastAsia="仿宋" w:cs="仿宋"/>
          <w:color w:val="000000"/>
          <w:sz w:val="24"/>
          <w:szCs w:val="24"/>
          <w:u w:val="single"/>
        </w:rPr>
        <w:t>发、承包双方平均分担</w:t>
      </w:r>
      <w:r>
        <w:rPr>
          <w:rFonts w:ascii="Times New Roman" w:hAnsi="Times New Roman" w:eastAsia="仿宋_GB2312"/>
          <w:color w:val="000000"/>
          <w:sz w:val="24"/>
          <w:szCs w:val="24"/>
        </w:rPr>
        <w:t>。</w:t>
      </w:r>
    </w:p>
    <w:p w14:paraId="500E5380">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其他事项的约定：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68D6925">
      <w:pPr>
        <w:adjustRightInd w:val="0"/>
        <w:spacing w:line="360" w:lineRule="auto"/>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lang w:val="en-US"/>
        </w:rPr>
        <w:t>19.1</w:t>
      </w:r>
      <w:r>
        <w:rPr>
          <w:rFonts w:ascii="Times New Roman" w:hAnsi="Times New Roman" w:eastAsia="仿宋_GB2312"/>
          <w:color w:val="000000"/>
          <w:sz w:val="24"/>
          <w:szCs w:val="24"/>
        </w:rPr>
        <w:t>.2 争议评审小组的决定</w:t>
      </w:r>
    </w:p>
    <w:p w14:paraId="288B1B88">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合同当事人关于本项的约定</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执行通用条款</w:t>
      </w:r>
      <w:r>
        <w:rPr>
          <w:rFonts w:hint="eastAsia" w:ascii="仿宋" w:hAnsi="仿宋" w:eastAsia="仿宋" w:cs="仿宋"/>
          <w:color w:val="000000"/>
          <w:sz w:val="24"/>
          <w:szCs w:val="24"/>
        </w:rPr>
        <w:t>。</w:t>
      </w:r>
    </w:p>
    <w:p w14:paraId="6D358355">
      <w:pPr>
        <w:spacing w:line="360" w:lineRule="auto"/>
        <w:ind w:firstLine="480" w:firstLineChars="200"/>
        <w:rPr>
          <w:rFonts w:ascii="Times New Roman" w:hAnsi="Times New Roman" w:eastAsia="黑体"/>
          <w:color w:val="000000"/>
          <w:sz w:val="24"/>
          <w:szCs w:val="24"/>
        </w:rPr>
      </w:pPr>
      <w:r>
        <w:rPr>
          <w:rFonts w:hint="eastAsia" w:ascii="Times New Roman" w:hAnsi="Times New Roman" w:eastAsia="黑体"/>
          <w:color w:val="000000"/>
          <w:sz w:val="24"/>
          <w:szCs w:val="24"/>
          <w:lang w:val="en-US"/>
        </w:rPr>
        <w:t>19.2</w:t>
      </w:r>
      <w:r>
        <w:rPr>
          <w:rFonts w:ascii="Times New Roman" w:hAnsi="Times New Roman" w:eastAsia="黑体"/>
          <w:color w:val="000000"/>
          <w:sz w:val="24"/>
          <w:szCs w:val="24"/>
        </w:rPr>
        <w:t>仲裁或诉讼</w:t>
      </w:r>
    </w:p>
    <w:p w14:paraId="0AEABD4D">
      <w:pPr>
        <w:spacing w:line="360" w:lineRule="auto"/>
        <w:ind w:firstLine="480" w:firstLineChars="200"/>
        <w:rPr>
          <w:rFonts w:ascii="Times New Roman" w:hAnsi="Times New Roman" w:eastAsia="黑体"/>
          <w:color w:val="000000"/>
          <w:sz w:val="24"/>
          <w:szCs w:val="24"/>
        </w:rPr>
      </w:pPr>
      <w:r>
        <w:rPr>
          <w:rFonts w:ascii="Times New Roman" w:hAnsi="Times New Roman" w:eastAsia="仿宋_GB2312"/>
          <w:color w:val="000000"/>
          <w:sz w:val="24"/>
          <w:szCs w:val="24"/>
        </w:rPr>
        <w:t>因合同及合同有关事项发生的争议，按下列第</w:t>
      </w:r>
      <w:r>
        <w:rPr>
          <w:rFonts w:hint="eastAsia" w:ascii="Times New Roman" w:hAnsi="Times New Roman" w:eastAsia="仿宋_GB2312"/>
          <w:color w:val="000000"/>
          <w:sz w:val="24"/>
          <w:szCs w:val="24"/>
          <w:u w:val="single"/>
        </w:rPr>
        <w:t>（2）</w:t>
      </w:r>
      <w:r>
        <w:rPr>
          <w:rFonts w:ascii="Times New Roman" w:hAnsi="Times New Roman" w:eastAsia="仿宋_GB2312"/>
          <w:color w:val="000000"/>
          <w:sz w:val="24"/>
          <w:szCs w:val="24"/>
        </w:rPr>
        <w:t>种方式</w:t>
      </w:r>
      <w:r>
        <w:rPr>
          <w:rFonts w:hint="eastAsia" w:ascii="Times New Roman" w:hAnsi="Times New Roman" w:eastAsia="仿宋_GB2312"/>
          <w:color w:val="000000"/>
          <w:sz w:val="24"/>
          <w:szCs w:val="24"/>
        </w:rPr>
        <w:t>解</w:t>
      </w:r>
      <w:r>
        <w:rPr>
          <w:rFonts w:ascii="Times New Roman" w:hAnsi="Times New Roman" w:eastAsia="仿宋_GB2312"/>
          <w:color w:val="000000"/>
          <w:sz w:val="24"/>
          <w:szCs w:val="24"/>
        </w:rPr>
        <w:t>决：</w:t>
      </w:r>
    </w:p>
    <w:p w14:paraId="18F44F90">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（1）向</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仲裁委员会申请仲裁；</w:t>
      </w:r>
    </w:p>
    <w:p w14:paraId="1E3670E0">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（2）向</w:t>
      </w:r>
      <w:r>
        <w:rPr>
          <w:rFonts w:hint="eastAsia" w:ascii="仿宋" w:hAnsi="仿宋" w:eastAsia="仿宋" w:cs="仿宋"/>
          <w:color w:val="000000"/>
          <w:sz w:val="24"/>
          <w:szCs w:val="24"/>
          <w:u w:val="single"/>
        </w:rPr>
        <w:t>有管辖权的</w:t>
      </w:r>
      <w:r>
        <w:rPr>
          <w:rFonts w:hint="eastAsia" w:ascii="仿宋" w:hAnsi="仿宋" w:eastAsia="仿宋" w:cs="仿宋"/>
          <w:color w:val="000000"/>
          <w:sz w:val="24"/>
          <w:szCs w:val="24"/>
        </w:rPr>
        <w:t>人</w:t>
      </w:r>
      <w:r>
        <w:rPr>
          <w:rFonts w:ascii="Times New Roman" w:hAnsi="Times New Roman" w:eastAsia="仿宋_GB2312"/>
          <w:color w:val="000000"/>
          <w:sz w:val="24"/>
          <w:szCs w:val="24"/>
        </w:rPr>
        <w:t>民法院起诉。</w:t>
      </w:r>
    </w:p>
    <w:p w14:paraId="26E09C08">
      <w:pPr>
        <w:spacing w:line="360" w:lineRule="auto"/>
        <w:ind w:firstLine="480" w:firstLineChars="200"/>
        <w:rPr>
          <w:rFonts w:ascii="Times New Roman" w:hAnsi="Times New Roman"/>
          <w:bCs w:val="0"/>
          <w:color w:val="000000"/>
          <w:sz w:val="24"/>
          <w:szCs w:val="24"/>
        </w:rPr>
      </w:pPr>
      <w:r>
        <w:rPr>
          <w:rFonts w:hint="eastAsia" w:ascii="Times New Roman" w:hAnsi="Times New Roman"/>
          <w:bCs w:val="0"/>
          <w:color w:val="000000"/>
          <w:sz w:val="24"/>
          <w:szCs w:val="24"/>
        </w:rPr>
        <w:t xml:space="preserve"> </w:t>
      </w:r>
      <w:r>
        <w:rPr>
          <w:rFonts w:hint="eastAsia" w:ascii="Times New Roman" w:hAnsi="Times New Roman" w:eastAsia="黑体" w:cs="宋体"/>
          <w:color w:val="000000"/>
          <w:sz w:val="24"/>
          <w:szCs w:val="24"/>
        </w:rPr>
        <w:t xml:space="preserve"> </w:t>
      </w:r>
      <w:bookmarkStart w:id="789" w:name="_Toc16599"/>
      <w:r>
        <w:rPr>
          <w:rFonts w:ascii="Times New Roman" w:hAnsi="Times New Roman" w:eastAsia="黑体" w:cs="宋体"/>
          <w:color w:val="000000"/>
          <w:sz w:val="24"/>
          <w:szCs w:val="24"/>
        </w:rPr>
        <w:t>2</w:t>
      </w:r>
      <w:r>
        <w:rPr>
          <w:rFonts w:hint="eastAsia" w:ascii="Times New Roman" w:hAnsi="Times New Roman" w:eastAsia="黑体" w:cs="宋体"/>
          <w:color w:val="000000"/>
          <w:sz w:val="24"/>
          <w:szCs w:val="24"/>
          <w:lang w:val="en-US"/>
        </w:rPr>
        <w:t>0</w:t>
      </w:r>
      <w:r>
        <w:rPr>
          <w:rFonts w:ascii="Times New Roman" w:hAnsi="Times New Roman" w:eastAsia="黑体" w:cs="宋体"/>
          <w:color w:val="000000"/>
          <w:sz w:val="24"/>
          <w:szCs w:val="24"/>
        </w:rPr>
        <w:t>.</w:t>
      </w:r>
      <w:r>
        <w:rPr>
          <w:rFonts w:hint="eastAsia" w:ascii="Times New Roman" w:hAnsi="Times New Roman" w:eastAsia="黑体" w:cs="宋体"/>
          <w:color w:val="000000"/>
          <w:sz w:val="24"/>
          <w:szCs w:val="24"/>
        </w:rPr>
        <w:t xml:space="preserve"> 补充条款</w:t>
      </w:r>
      <w:bookmarkEnd w:id="789"/>
    </w:p>
    <w:p w14:paraId="73EF459A">
      <w:pPr>
        <w:spacing w:line="360" w:lineRule="auto"/>
        <w:ind w:firstLine="480" w:firstLineChars="200"/>
        <w:rPr>
          <w:rFonts w:ascii="Times New Roman" w:hAnsi="Times New Roman" w:eastAsia="仿宋_GB2312"/>
          <w:color w:val="000000"/>
          <w:sz w:val="24"/>
          <w:szCs w:val="24"/>
          <w:lang w:val="en-US"/>
        </w:rPr>
      </w:pPr>
      <w:r>
        <w:rPr>
          <w:rFonts w:hint="eastAsia" w:ascii="Times New Roman" w:hAnsi="Times New Roman" w:eastAsia="仿宋_GB2312"/>
          <w:color w:val="000000"/>
          <w:sz w:val="24"/>
          <w:szCs w:val="24"/>
        </w:rPr>
        <w:t>人工费的调整：以施工期间河南省定额站发布的人工</w:t>
      </w:r>
      <w:r>
        <w:rPr>
          <w:rFonts w:hint="eastAsia" w:ascii="Times New Roman" w:hAnsi="Times New Roman" w:eastAsia="仿宋_GB2312"/>
          <w:color w:val="000000" w:themeColor="text1"/>
          <w:sz w:val="24"/>
          <w:szCs w:val="24"/>
          <w14:textFill>
            <w14:solidFill>
              <w14:schemeClr w14:val="tx1"/>
            </w14:solidFill>
          </w14:textFill>
        </w:rPr>
        <w:t>价格指数</w:t>
      </w:r>
      <w:r>
        <w:rPr>
          <w:rFonts w:hint="eastAsia" w:ascii="Times New Roman" w:hAnsi="Times New Roman" w:eastAsia="仿宋_GB2312"/>
          <w:color w:val="000000"/>
          <w:sz w:val="24"/>
          <w:szCs w:val="24"/>
        </w:rPr>
        <w:t>平均值调整。</w:t>
      </w:r>
    </w:p>
    <w:p w14:paraId="56EEEA50">
      <w:pPr>
        <w:spacing w:line="360" w:lineRule="auto"/>
        <w:rPr>
          <w:rFonts w:ascii="Times New Roman" w:hAnsi="Times New Roman" w:eastAsia="黑体"/>
          <w:color w:val="000000"/>
          <w:sz w:val="24"/>
          <w:szCs w:val="24"/>
        </w:rPr>
      </w:pPr>
      <w:r>
        <w:rPr>
          <w:rFonts w:ascii="Times New Roman" w:hAnsi="Times New Roman" w:eastAsia="仿宋_GB2312"/>
          <w:color w:val="000000"/>
          <w:sz w:val="24"/>
          <w:szCs w:val="24"/>
        </w:rPr>
        <w:t>附</w:t>
      </w:r>
      <w:bookmarkStart w:id="790" w:name="_Toc296891054"/>
      <w:bookmarkStart w:id="791" w:name="_Toc296503226"/>
      <w:bookmarkStart w:id="792" w:name="_Toc296346727"/>
      <w:bookmarkStart w:id="793" w:name="_Toc296944565"/>
      <w:bookmarkStart w:id="794" w:name="_Toc296891266"/>
      <w:bookmarkStart w:id="795" w:name="_Toc267261693"/>
      <w:bookmarkStart w:id="796" w:name="_Toc296347225"/>
      <w:r>
        <w:rPr>
          <w:rFonts w:ascii="Times New Roman" w:hAnsi="Times New Roman" w:eastAsia="仿宋_GB2312"/>
          <w:color w:val="000000"/>
          <w:sz w:val="24"/>
          <w:szCs w:val="24"/>
        </w:rPr>
        <w:t>件：</w:t>
      </w:r>
      <w:bookmarkEnd w:id="790"/>
      <w:bookmarkEnd w:id="791"/>
      <w:bookmarkEnd w:id="792"/>
      <w:bookmarkEnd w:id="793"/>
      <w:bookmarkEnd w:id="794"/>
      <w:bookmarkEnd w:id="795"/>
      <w:bookmarkEnd w:id="796"/>
      <w:r>
        <w:rPr>
          <w:rFonts w:ascii="Times New Roman" w:hAnsi="Times New Roman" w:eastAsia="黑体"/>
          <w:color w:val="000000"/>
          <w:sz w:val="24"/>
          <w:szCs w:val="24"/>
        </w:rPr>
        <w:t xml:space="preserve">    </w:t>
      </w:r>
    </w:p>
    <w:p w14:paraId="5EDAEA22">
      <w:pPr>
        <w:spacing w:before="120" w:beforeLines="50" w:after="120" w:afterLines="50" w:line="500" w:lineRule="exact"/>
        <w:jc w:val="center"/>
        <w:rPr>
          <w:rFonts w:ascii="Times New Roman" w:hAnsi="Times New Roman" w:eastAsia="黑体"/>
          <w:color w:val="000000"/>
          <w:sz w:val="24"/>
          <w:szCs w:val="24"/>
        </w:rPr>
      </w:pPr>
      <w:r>
        <w:rPr>
          <w:rFonts w:ascii="Times New Roman" w:hAnsi="Times New Roman" w:eastAsia="黑体"/>
          <w:color w:val="000000"/>
          <w:sz w:val="24"/>
          <w:szCs w:val="24"/>
        </w:rPr>
        <w:t>工程质量保修书</w:t>
      </w:r>
    </w:p>
    <w:p w14:paraId="07492DB7">
      <w:pPr>
        <w:spacing w:line="500" w:lineRule="exact"/>
        <w:ind w:firstLine="504" w:firstLineChars="209"/>
        <w:rPr>
          <w:rFonts w:ascii="楷体_GB2312" w:hAnsi="Times New Roman" w:eastAsia="楷体_GB2312"/>
          <w:b/>
          <w:spacing w:val="10"/>
          <w:sz w:val="24"/>
          <w:szCs w:val="24"/>
          <w:u w:val="single"/>
        </w:rPr>
      </w:pPr>
      <w:r>
        <w:rPr>
          <w:rFonts w:ascii="Times New Roman" w:hAnsi="Times New Roman" w:eastAsia="仿宋_GB2312"/>
          <w:b/>
          <w:color w:val="000000"/>
          <w:sz w:val="24"/>
          <w:szCs w:val="24"/>
        </w:rPr>
        <w:t>发包人（全称）：</w:t>
      </w:r>
      <w:r>
        <w:rPr>
          <w:rFonts w:hint="eastAsia" w:ascii="Times New Roman" w:hAnsi="Times New Roman" w:eastAsia="仿宋_GB2312"/>
          <w:b/>
          <w:sz w:val="24"/>
          <w:szCs w:val="24"/>
          <w:u w:val="single"/>
        </w:rPr>
        <w:t xml:space="preserve"> </w:t>
      </w:r>
      <w:r>
        <w:rPr>
          <w:rFonts w:hint="eastAsia" w:ascii="楷体_GB2312" w:hAnsi="Times New Roman" w:eastAsia="楷体_GB2312"/>
          <w:b/>
          <w:spacing w:val="72"/>
          <w:sz w:val="24"/>
          <w:szCs w:val="24"/>
          <w:u w:val="single"/>
        </w:rPr>
        <w:t xml:space="preserve"> </w:t>
      </w:r>
      <w:r>
        <w:rPr>
          <w:rFonts w:hint="eastAsia" w:ascii="楷体_GB2312" w:hAnsi="Times New Roman" w:eastAsia="楷体_GB2312"/>
          <w:b/>
          <w:spacing w:val="5"/>
          <w:sz w:val="24"/>
          <w:szCs w:val="24"/>
          <w:u w:val="single"/>
        </w:rPr>
        <w:t xml:space="preserve"> </w:t>
      </w:r>
    </w:p>
    <w:p w14:paraId="423E7EEF">
      <w:pPr>
        <w:spacing w:line="500" w:lineRule="exact"/>
        <w:ind w:firstLine="504" w:firstLineChars="209"/>
        <w:rPr>
          <w:rFonts w:ascii="Times New Roman" w:hAnsi="Times New Roman" w:eastAsia="仿宋_GB2312"/>
          <w:sz w:val="24"/>
          <w:szCs w:val="24"/>
        </w:rPr>
      </w:pPr>
      <w:r>
        <w:rPr>
          <w:rFonts w:ascii="Times New Roman" w:hAnsi="Times New Roman" w:eastAsia="仿宋_GB2312"/>
          <w:b/>
          <w:sz w:val="24"/>
          <w:szCs w:val="24"/>
        </w:rPr>
        <w:t>承包人（全称）：</w:t>
      </w:r>
      <w:r>
        <w:rPr>
          <w:rFonts w:hint="eastAsia" w:ascii="Times New Roman" w:hAnsi="Times New Roman" w:eastAsia="仿宋_GB2312"/>
          <w:b/>
          <w:sz w:val="24"/>
          <w:szCs w:val="24"/>
          <w:u w:val="single"/>
        </w:rPr>
        <w:t xml:space="preserve"> </w:t>
      </w:r>
      <w:r>
        <w:rPr>
          <w:rFonts w:hint="eastAsia" w:ascii="楷体_GB2312" w:hAnsi="Times New Roman" w:eastAsia="楷体_GB2312"/>
          <w:b/>
          <w:sz w:val="24"/>
          <w:szCs w:val="24"/>
          <w:u w:val="single"/>
        </w:rPr>
        <w:t xml:space="preserve">   </w:t>
      </w:r>
    </w:p>
    <w:p w14:paraId="0EDE2434">
      <w:pPr>
        <w:spacing w:line="5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发包人和承包人根据《中华人民共和国建筑法》和《建设工程质量管理条例》，经协商一致就</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lang w:val="en-US"/>
        </w:rPr>
        <w:t xml:space="preserve">              </w:t>
      </w:r>
      <w:r>
        <w:rPr>
          <w:rFonts w:ascii="Times New Roman" w:hAnsi="Times New Roman" w:eastAsia="仿宋_GB2312"/>
          <w:color w:val="000000"/>
          <w:sz w:val="24"/>
          <w:szCs w:val="24"/>
        </w:rPr>
        <w:t>签订工程质量保修书。</w:t>
      </w:r>
    </w:p>
    <w:p w14:paraId="33FE734F">
      <w:pPr>
        <w:spacing w:line="500" w:lineRule="exact"/>
        <w:rPr>
          <w:rFonts w:ascii="Times New Roman" w:hAnsi="Times New Roman" w:eastAsia="黑体"/>
          <w:color w:val="000000"/>
          <w:sz w:val="24"/>
          <w:szCs w:val="24"/>
        </w:rPr>
      </w:pPr>
      <w:r>
        <w:rPr>
          <w:rFonts w:hint="eastAsia" w:ascii="Times New Roman" w:hAnsi="Times New Roman" w:eastAsia="黑体"/>
          <w:color w:val="000000"/>
          <w:sz w:val="24"/>
          <w:szCs w:val="24"/>
        </w:rPr>
        <w:t xml:space="preserve">     </w:t>
      </w:r>
      <w:r>
        <w:rPr>
          <w:rFonts w:ascii="Times New Roman" w:hAnsi="Times New Roman" w:eastAsia="黑体"/>
          <w:color w:val="000000"/>
          <w:sz w:val="24"/>
          <w:szCs w:val="24"/>
        </w:rPr>
        <w:t>一、工程质量保修范围和内容</w:t>
      </w:r>
      <w:r>
        <w:rPr>
          <w:rFonts w:hint="eastAsia" w:ascii="Times New Roman" w:hAnsi="Times New Roman" w:eastAsia="黑体"/>
          <w:color w:val="000000"/>
          <w:sz w:val="24"/>
          <w:szCs w:val="24"/>
        </w:rPr>
        <w:t xml:space="preserve"> </w:t>
      </w:r>
    </w:p>
    <w:p w14:paraId="138FEAAE">
      <w:pPr>
        <w:spacing w:line="5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承包人在质量保修期内，按照有关法律规定和合同约定，承担工程质量保修责任。</w:t>
      </w:r>
    </w:p>
    <w:p w14:paraId="16923723">
      <w:pPr>
        <w:spacing w:line="5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Times New Roman" w:hAnsi="Times New Roman" w:eastAsia="仿宋_GB2312"/>
          <w:color w:val="000000"/>
          <w:sz w:val="24"/>
          <w:szCs w:val="24"/>
        </w:rPr>
        <w:t>砖样、屋面防水、内外墙装饰装修</w:t>
      </w:r>
      <w:r>
        <w:rPr>
          <w:rFonts w:ascii="Times New Roman" w:hAnsi="Times New Roman" w:eastAsia="仿宋_GB2312"/>
          <w:color w:val="000000"/>
          <w:sz w:val="24"/>
          <w:szCs w:val="24"/>
        </w:rPr>
        <w:t>。</w:t>
      </w:r>
    </w:p>
    <w:p w14:paraId="7374C262">
      <w:pPr>
        <w:spacing w:line="500" w:lineRule="exact"/>
        <w:ind w:left="-209" w:leftChars="-95" w:firstLine="158" w:firstLineChars="66"/>
        <w:rPr>
          <w:rFonts w:ascii="Times New Roman" w:hAnsi="Times New Roman" w:eastAsia="黑体"/>
          <w:color w:val="000000"/>
          <w:sz w:val="24"/>
          <w:szCs w:val="24"/>
        </w:rPr>
      </w:pPr>
      <w:r>
        <w:rPr>
          <w:rFonts w:hint="eastAsia" w:ascii="Times New Roman" w:hAnsi="Times New Roman" w:eastAsia="黑体"/>
          <w:color w:val="000000"/>
          <w:sz w:val="24"/>
          <w:szCs w:val="24"/>
        </w:rPr>
        <w:t xml:space="preserve">     </w:t>
      </w:r>
      <w:r>
        <w:rPr>
          <w:rFonts w:ascii="Times New Roman" w:hAnsi="Times New Roman" w:eastAsia="黑体"/>
          <w:color w:val="000000"/>
          <w:sz w:val="24"/>
          <w:szCs w:val="24"/>
        </w:rPr>
        <w:t>二、质量保修期</w:t>
      </w:r>
    </w:p>
    <w:p w14:paraId="32733241">
      <w:pPr>
        <w:spacing w:line="50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根据《建设工程质量管理条例》及有关规定，工程的质量保修期如下：</w:t>
      </w:r>
    </w:p>
    <w:p w14:paraId="77F40032">
      <w:pPr>
        <w:spacing w:line="500" w:lineRule="exact"/>
        <w:ind w:firstLine="480" w:firstLineChars="200"/>
        <w:rPr>
          <w:rFonts w:ascii="仿宋_GB2312" w:eastAsia="仿宋_GB2312"/>
          <w:sz w:val="24"/>
          <w:szCs w:val="24"/>
        </w:rPr>
      </w:pPr>
      <w:r>
        <w:rPr>
          <w:rFonts w:hint="eastAsia" w:ascii="仿宋_GB2312" w:eastAsia="仿宋_GB2312"/>
          <w:sz w:val="24"/>
          <w:szCs w:val="24"/>
        </w:rPr>
        <w:t>1</w:t>
      </w:r>
      <w:r>
        <w:rPr>
          <w:rFonts w:hint="eastAsia" w:ascii="Times New Roman" w:hAnsi="Times New Roman" w:eastAsia="仿宋_GB2312"/>
          <w:color w:val="000000"/>
          <w:sz w:val="24"/>
          <w:szCs w:val="24"/>
        </w:rPr>
        <w:t>．</w:t>
      </w:r>
      <w:r>
        <w:rPr>
          <w:rFonts w:hint="eastAsia" w:ascii="仿宋_GB2312" w:eastAsia="仿宋_GB2312"/>
          <w:sz w:val="24"/>
          <w:szCs w:val="24"/>
        </w:rPr>
        <w:t>地基基础工程和主体结构工程为设计文件规定的工程合理使用年限；</w:t>
      </w:r>
    </w:p>
    <w:p w14:paraId="4A681396">
      <w:pPr>
        <w:spacing w:line="500" w:lineRule="exact"/>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2</w:t>
      </w:r>
      <w:r>
        <w:rPr>
          <w:rFonts w:hint="eastAsia" w:ascii="仿宋_GB2312" w:eastAsia="仿宋_GB2312"/>
          <w:sz w:val="24"/>
          <w:szCs w:val="24"/>
        </w:rPr>
        <w:t>．</w:t>
      </w:r>
      <w:r>
        <w:rPr>
          <w:rFonts w:ascii="Times New Roman" w:hAnsi="Times New Roman" w:eastAsia="仿宋_GB2312"/>
          <w:color w:val="000000"/>
          <w:sz w:val="24"/>
          <w:szCs w:val="24"/>
        </w:rPr>
        <w:t>屋面防水工程、有防水要求的卫生间、房间和外墙面的防渗</w:t>
      </w:r>
      <w:r>
        <w:rPr>
          <w:rFonts w:hint="eastAsia" w:ascii="Times New Roman" w:hAnsi="Times New Roman" w:eastAsia="仿宋_GB2312"/>
          <w:color w:val="000000"/>
          <w:sz w:val="24"/>
          <w:szCs w:val="24"/>
        </w:rPr>
        <w:t>为</w:t>
      </w:r>
      <w:r>
        <w:rPr>
          <w:rFonts w:hint="eastAsia" w:ascii="Times New Roman" w:hAnsi="Times New Roman" w:eastAsia="仿宋_GB2312"/>
          <w:color w:val="000000"/>
          <w:sz w:val="24"/>
          <w:szCs w:val="24"/>
          <w:u w:val="single"/>
        </w:rPr>
        <w:t xml:space="preserve"> 伍 </w:t>
      </w:r>
      <w:r>
        <w:rPr>
          <w:rFonts w:ascii="Times New Roman" w:hAnsi="Times New Roman" w:eastAsia="仿宋_GB2312"/>
          <w:color w:val="000000"/>
          <w:sz w:val="24"/>
          <w:szCs w:val="24"/>
        </w:rPr>
        <w:t>年；</w:t>
      </w:r>
    </w:p>
    <w:p w14:paraId="7DF3D1F3">
      <w:pPr>
        <w:spacing w:line="500" w:lineRule="exact"/>
        <w:ind w:left="440" w:leftChars="200" w:firstLine="120" w:firstLineChars="5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3</w:t>
      </w:r>
      <w:r>
        <w:rPr>
          <w:rFonts w:hint="eastAsia" w:ascii="仿宋_GB2312" w:eastAsia="仿宋_GB2312"/>
          <w:sz w:val="24"/>
          <w:szCs w:val="24"/>
        </w:rPr>
        <w:t>．</w:t>
      </w:r>
      <w:r>
        <w:rPr>
          <w:rFonts w:ascii="Times New Roman" w:hAnsi="Times New Roman" w:eastAsia="仿宋_GB2312"/>
          <w:color w:val="000000"/>
          <w:sz w:val="24"/>
          <w:szCs w:val="24"/>
        </w:rPr>
        <w:t>装修工程为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贰</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p>
    <w:p w14:paraId="3F7B982D">
      <w:pPr>
        <w:spacing w:line="500" w:lineRule="exact"/>
        <w:ind w:left="440" w:leftChars="200" w:firstLine="120" w:firstLineChars="5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4</w:t>
      </w:r>
      <w:r>
        <w:rPr>
          <w:rFonts w:hint="eastAsia" w:ascii="仿宋_GB2312" w:eastAsia="仿宋_GB2312"/>
          <w:sz w:val="24"/>
          <w:szCs w:val="24"/>
        </w:rPr>
        <w:t>．</w:t>
      </w:r>
      <w:r>
        <w:rPr>
          <w:rFonts w:ascii="Times New Roman" w:hAnsi="Times New Roman" w:eastAsia="仿宋_GB2312"/>
          <w:color w:val="000000"/>
          <w:sz w:val="24"/>
          <w:szCs w:val="24"/>
        </w:rPr>
        <w:t>电气管线、给排水管道、设备安装工程为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贰</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p>
    <w:p w14:paraId="3BDDBCE5">
      <w:pPr>
        <w:spacing w:line="500" w:lineRule="exact"/>
        <w:ind w:left="440" w:leftChars="200" w:firstLine="120" w:firstLineChars="5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5</w:t>
      </w:r>
      <w:r>
        <w:rPr>
          <w:rFonts w:hint="eastAsia" w:ascii="仿宋_GB2312" w:eastAsia="仿宋_GB2312"/>
          <w:sz w:val="24"/>
          <w:szCs w:val="24"/>
        </w:rPr>
        <w:t>．</w:t>
      </w:r>
      <w:r>
        <w:rPr>
          <w:rFonts w:ascii="Times New Roman" w:hAnsi="Times New Roman" w:eastAsia="仿宋_GB2312"/>
          <w:color w:val="000000"/>
          <w:sz w:val="24"/>
          <w:szCs w:val="24"/>
        </w:rPr>
        <w:t>供热与供冷系统为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贰</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个采暖期、供冷期；</w:t>
      </w:r>
    </w:p>
    <w:p w14:paraId="23A430F4">
      <w:pPr>
        <w:spacing w:line="500" w:lineRule="exact"/>
        <w:ind w:left="440" w:leftChars="200" w:firstLine="120" w:firstLineChars="5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6</w:t>
      </w:r>
      <w:r>
        <w:rPr>
          <w:rFonts w:hint="eastAsia" w:ascii="仿宋_GB2312" w:eastAsia="仿宋_GB2312"/>
          <w:sz w:val="24"/>
          <w:szCs w:val="24"/>
        </w:rPr>
        <w:t>．</w:t>
      </w:r>
      <w:r>
        <w:rPr>
          <w:rFonts w:ascii="Times New Roman" w:hAnsi="Times New Roman" w:eastAsia="仿宋_GB2312"/>
          <w:color w:val="000000"/>
          <w:sz w:val="24"/>
          <w:szCs w:val="24"/>
        </w:rPr>
        <w:t>住宅小区内的给排水设施、道路等配套工程为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贰</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p>
    <w:p w14:paraId="6E05383B">
      <w:pPr>
        <w:spacing w:line="500" w:lineRule="exact"/>
        <w:ind w:left="440" w:leftChars="200" w:firstLine="120" w:firstLineChars="5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7</w:t>
      </w:r>
      <w:r>
        <w:rPr>
          <w:rFonts w:hint="eastAsia" w:ascii="仿宋_GB2312" w:eastAsia="仿宋_GB2312"/>
          <w:sz w:val="24"/>
          <w:szCs w:val="24"/>
        </w:rPr>
        <w:t>．</w:t>
      </w:r>
      <w:r>
        <w:rPr>
          <w:rFonts w:ascii="Times New Roman" w:hAnsi="Times New Roman" w:eastAsia="仿宋_GB2312"/>
          <w:color w:val="000000"/>
          <w:sz w:val="24"/>
          <w:szCs w:val="24"/>
        </w:rPr>
        <w:t>其他项目保修期限约定如下：</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7CFD17A">
      <w:pPr>
        <w:spacing w:line="5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质量保修期自工程竣工验收合格之日起计算。</w:t>
      </w:r>
    </w:p>
    <w:p w14:paraId="66C0EEFA">
      <w:pPr>
        <w:spacing w:line="500" w:lineRule="exact"/>
        <w:ind w:firstLine="480" w:firstLineChars="200"/>
        <w:rPr>
          <w:rFonts w:ascii="Times New Roman" w:hAnsi="Times New Roman" w:eastAsia="黑体"/>
          <w:color w:val="000000" w:themeColor="text1"/>
          <w:sz w:val="24"/>
          <w:szCs w:val="24"/>
          <w14:textFill>
            <w14:solidFill>
              <w14:schemeClr w14:val="tx1"/>
            </w14:solidFill>
          </w14:textFill>
        </w:rPr>
      </w:pPr>
      <w:r>
        <w:rPr>
          <w:rFonts w:ascii="Times New Roman" w:hAnsi="Times New Roman" w:eastAsia="黑体"/>
          <w:color w:val="000000" w:themeColor="text1"/>
          <w:sz w:val="24"/>
          <w:szCs w:val="24"/>
          <w14:textFill>
            <w14:solidFill>
              <w14:schemeClr w14:val="tx1"/>
            </w14:solidFill>
          </w14:textFill>
        </w:rPr>
        <w:t>三、缺陷责任期</w:t>
      </w:r>
    </w:p>
    <w:p w14:paraId="1FB83851">
      <w:pPr>
        <w:spacing w:line="50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工程缺陷责任期为</w:t>
      </w:r>
      <w:r>
        <w:rPr>
          <w:rFonts w:ascii="Times New Roman" w:hAnsi="Times New Roman" w:eastAsia="仿宋_GB2312"/>
          <w:color w:val="000000" w:themeColor="text1"/>
          <w:sz w:val="24"/>
          <w:szCs w:val="24"/>
          <w:u w:val="single"/>
          <w14:textFill>
            <w14:solidFill>
              <w14:schemeClr w14:val="tx1"/>
            </w14:solidFill>
          </w14:textFill>
        </w:rPr>
        <w:t xml:space="preserve"> </w:t>
      </w:r>
      <w:r>
        <w:rPr>
          <w:rFonts w:hint="eastAsia" w:ascii="Times New Roman" w:hAnsi="Times New Roman" w:eastAsia="仿宋_GB2312"/>
          <w:color w:val="000000" w:themeColor="text1"/>
          <w:sz w:val="24"/>
          <w:szCs w:val="24"/>
          <w:u w:val="single"/>
          <w14:textFill>
            <w14:solidFill>
              <w14:schemeClr w14:val="tx1"/>
            </w14:solidFill>
          </w14:textFill>
        </w:rPr>
        <w:t xml:space="preserve"> </w:t>
      </w:r>
      <w:r>
        <w:rPr>
          <w:rFonts w:hint="eastAsia" w:ascii="Times New Roman" w:hAnsi="Times New Roman" w:eastAsia="仿宋_GB2312"/>
          <w:color w:val="000000" w:themeColor="text1"/>
          <w:sz w:val="24"/>
          <w:szCs w:val="24"/>
          <w:u w:val="single"/>
          <w:lang w:val="en-US"/>
          <w14:textFill>
            <w14:solidFill>
              <w14:schemeClr w14:val="tx1"/>
            </w14:solidFill>
          </w14:textFill>
        </w:rPr>
        <w:t xml:space="preserve">  </w:t>
      </w:r>
      <w:r>
        <w:rPr>
          <w:rFonts w:hint="eastAsia" w:ascii="Times New Roman" w:hAnsi="Times New Roman" w:eastAsia="仿宋_GB2312"/>
          <w:color w:val="000000" w:themeColor="text1"/>
          <w:sz w:val="24"/>
          <w:szCs w:val="24"/>
          <w:u w:val="single"/>
          <w14:textFill>
            <w14:solidFill>
              <w14:schemeClr w14:val="tx1"/>
            </w14:solidFill>
          </w14:textFill>
        </w:rPr>
        <w:t xml:space="preserve">  </w:t>
      </w:r>
      <w:r>
        <w:rPr>
          <w:rFonts w:ascii="Times New Roman" w:hAnsi="Times New Roman" w:eastAsia="仿宋_GB2312"/>
          <w:color w:val="000000" w:themeColor="text1"/>
          <w:sz w:val="24"/>
          <w:szCs w:val="24"/>
          <w14:textFill>
            <w14:solidFill>
              <w14:schemeClr w14:val="tx1"/>
            </w14:solidFill>
          </w14:textFill>
        </w:rPr>
        <w:t>个月</w:t>
      </w:r>
      <w:r>
        <w:rPr>
          <w:rFonts w:hint="eastAsia" w:ascii="Times New Roman" w:hAnsi="Times New Roman" w:eastAsia="仿宋_GB2312"/>
          <w:color w:val="000000" w:themeColor="text1"/>
          <w:sz w:val="24"/>
          <w:szCs w:val="24"/>
          <w:lang w:val="en-US"/>
          <w14:textFill>
            <w14:solidFill>
              <w14:schemeClr w14:val="tx1"/>
            </w14:solidFill>
          </w14:textFill>
        </w:rPr>
        <w:t>，</w:t>
      </w:r>
      <w:r>
        <w:rPr>
          <w:rFonts w:ascii="Times New Roman" w:hAnsi="Times New Roman" w:eastAsia="仿宋_GB2312"/>
          <w:color w:val="000000" w:themeColor="text1"/>
          <w:sz w:val="24"/>
          <w:szCs w:val="24"/>
          <w14:textFill>
            <w14:solidFill>
              <w14:schemeClr w14:val="tx1"/>
            </w14:solidFill>
          </w14:textFill>
        </w:rPr>
        <w:t>自工程实际竣工日期起计算。单位工程先于全部工程进行验收，单位工程缺陷责任期自单位工程验收合格之日起算。</w:t>
      </w:r>
    </w:p>
    <w:p w14:paraId="3BA9A8DC">
      <w:pPr>
        <w:spacing w:line="500" w:lineRule="exact"/>
        <w:ind w:firstLine="480" w:firstLineChars="200"/>
        <w:rPr>
          <w:rFonts w:ascii="Times New Roman" w:hAnsi="Times New Roman" w:eastAsia="仿宋_GB2312"/>
          <w:color w:val="000000" w:themeColor="text1"/>
          <w:sz w:val="24"/>
          <w:szCs w:val="24"/>
          <w14:textFill>
            <w14:solidFill>
              <w14:schemeClr w14:val="tx1"/>
            </w14:solidFill>
          </w14:textFill>
        </w:rPr>
      </w:pPr>
      <w:r>
        <w:rPr>
          <w:rFonts w:ascii="Times New Roman" w:hAnsi="Times New Roman" w:eastAsia="仿宋_GB2312"/>
          <w:color w:val="000000" w:themeColor="text1"/>
          <w:sz w:val="24"/>
          <w:szCs w:val="24"/>
          <w14:textFill>
            <w14:solidFill>
              <w14:schemeClr w14:val="tx1"/>
            </w14:solidFill>
          </w14:textFill>
        </w:rPr>
        <w:t>缺陷责任期终止后，发包人应退还剩余的质量保证金。</w:t>
      </w:r>
    </w:p>
    <w:p w14:paraId="20330F91">
      <w:pPr>
        <w:spacing w:line="500" w:lineRule="exact"/>
        <w:rPr>
          <w:rFonts w:ascii="Times New Roman" w:hAnsi="Times New Roman" w:eastAsia="黑体"/>
          <w:color w:val="000000"/>
          <w:sz w:val="24"/>
          <w:szCs w:val="24"/>
        </w:rPr>
      </w:pPr>
      <w:r>
        <w:rPr>
          <w:rFonts w:ascii="Times New Roman" w:hAnsi="Times New Roman" w:eastAsia="黑体"/>
          <w:color w:val="000000"/>
          <w:sz w:val="24"/>
          <w:szCs w:val="24"/>
        </w:rPr>
        <w:t xml:space="preserve">    四、质量保修责任</w:t>
      </w:r>
    </w:p>
    <w:p w14:paraId="7CC25083">
      <w:pPr>
        <w:spacing w:line="500" w:lineRule="exact"/>
        <w:ind w:left="110" w:leftChars="50" w:firstLine="491" w:firstLineChars="205"/>
        <w:rPr>
          <w:rFonts w:ascii="Times New Roman" w:hAnsi="Times New Roman" w:eastAsia="仿宋_GB2312"/>
          <w:color w:val="000000"/>
          <w:sz w:val="24"/>
          <w:szCs w:val="24"/>
        </w:rPr>
      </w:pPr>
      <w:r>
        <w:rPr>
          <w:rFonts w:hint="eastAsia" w:ascii="Times New Roman" w:hAnsi="Times New Roman" w:eastAsia="仿宋_GB2312"/>
          <w:color w:val="000000"/>
          <w:sz w:val="24"/>
          <w:szCs w:val="24"/>
        </w:rPr>
        <w:t>1</w:t>
      </w:r>
      <w:r>
        <w:rPr>
          <w:rFonts w:hint="eastAsia" w:ascii="仿宋_GB2312" w:eastAsia="仿宋_GB2312"/>
          <w:sz w:val="24"/>
          <w:szCs w:val="24"/>
        </w:rPr>
        <w:t>．</w:t>
      </w:r>
      <w:r>
        <w:rPr>
          <w:rFonts w:ascii="Times New Roman" w:hAnsi="Times New Roman" w:eastAsia="仿宋_GB2312"/>
          <w:color w:val="000000"/>
          <w:sz w:val="24"/>
          <w:szCs w:val="24"/>
        </w:rPr>
        <w:t>属于保修范围、内容的项目，承包人应当在接到保修通知之日起7天内派人保修。承包人不在约定期限内派人保修的，发包人可以委托他人修理。</w:t>
      </w:r>
    </w:p>
    <w:p w14:paraId="439B4395">
      <w:pPr>
        <w:spacing w:line="500" w:lineRule="exact"/>
        <w:ind w:left="110" w:leftChars="50" w:firstLine="491" w:firstLineChars="205"/>
        <w:rPr>
          <w:rFonts w:ascii="Times New Roman" w:hAnsi="Times New Roman" w:eastAsia="仿宋_GB2312"/>
          <w:color w:val="000000"/>
          <w:sz w:val="24"/>
          <w:szCs w:val="24"/>
        </w:rPr>
      </w:pPr>
      <w:r>
        <w:rPr>
          <w:rFonts w:hint="eastAsia" w:ascii="Times New Roman" w:hAnsi="Times New Roman" w:eastAsia="仿宋_GB2312"/>
          <w:color w:val="000000"/>
          <w:sz w:val="24"/>
          <w:szCs w:val="24"/>
        </w:rPr>
        <w:t>2</w:t>
      </w:r>
      <w:r>
        <w:rPr>
          <w:rFonts w:hint="eastAsia" w:ascii="仿宋_GB2312" w:eastAsia="仿宋_GB2312"/>
          <w:sz w:val="24"/>
          <w:szCs w:val="24"/>
        </w:rPr>
        <w:t>．</w:t>
      </w:r>
      <w:r>
        <w:rPr>
          <w:rFonts w:ascii="Times New Roman" w:hAnsi="Times New Roman" w:eastAsia="仿宋_GB2312"/>
          <w:color w:val="000000"/>
          <w:sz w:val="24"/>
          <w:szCs w:val="24"/>
        </w:rPr>
        <w:t>发生紧急事故需抢修的，承包人在接到事故通知后，应当立即到达事故现场抢修。</w:t>
      </w:r>
    </w:p>
    <w:p w14:paraId="0AAF4C75">
      <w:pPr>
        <w:spacing w:line="500" w:lineRule="exact"/>
        <w:ind w:left="110" w:leftChars="50" w:firstLine="491" w:firstLineChars="205"/>
        <w:rPr>
          <w:rFonts w:ascii="Times New Roman" w:hAnsi="Times New Roman" w:eastAsia="仿宋_GB2312"/>
          <w:color w:val="000000"/>
          <w:sz w:val="24"/>
          <w:szCs w:val="24"/>
        </w:rPr>
      </w:pPr>
      <w:r>
        <w:rPr>
          <w:rFonts w:hint="eastAsia" w:ascii="Times New Roman" w:hAnsi="Times New Roman" w:eastAsia="仿宋_GB2312"/>
          <w:color w:val="000000"/>
          <w:sz w:val="24"/>
          <w:szCs w:val="24"/>
        </w:rPr>
        <w:t>3</w:t>
      </w:r>
      <w:r>
        <w:rPr>
          <w:rFonts w:hint="eastAsia" w:ascii="仿宋_GB2312" w:eastAsia="仿宋_GB2312"/>
          <w:sz w:val="24"/>
          <w:szCs w:val="24"/>
        </w:rPr>
        <w:t>．</w:t>
      </w:r>
      <w:r>
        <w:rPr>
          <w:rFonts w:ascii="Times New Roman" w:hAnsi="Times New Roman" w:eastAsia="仿宋_GB2312"/>
          <w:color w:val="000000"/>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C7E659B">
      <w:pPr>
        <w:spacing w:line="500" w:lineRule="exact"/>
        <w:ind w:left="440" w:leftChars="200" w:firstLine="120" w:firstLineChars="5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4</w:t>
      </w:r>
      <w:r>
        <w:rPr>
          <w:rFonts w:hint="eastAsia" w:ascii="仿宋_GB2312" w:eastAsia="仿宋_GB2312"/>
          <w:sz w:val="24"/>
          <w:szCs w:val="24"/>
        </w:rPr>
        <w:t>．</w:t>
      </w:r>
      <w:r>
        <w:rPr>
          <w:rFonts w:ascii="Times New Roman" w:hAnsi="Times New Roman" w:eastAsia="仿宋_GB2312"/>
          <w:color w:val="000000"/>
          <w:sz w:val="24"/>
          <w:szCs w:val="24"/>
        </w:rPr>
        <w:t>质量保修完成后，由发包人组织验收。</w:t>
      </w:r>
    </w:p>
    <w:p w14:paraId="4607A25B">
      <w:pPr>
        <w:spacing w:line="500" w:lineRule="exact"/>
        <w:rPr>
          <w:rFonts w:ascii="Times New Roman" w:hAnsi="Times New Roman" w:eastAsia="黑体"/>
          <w:color w:val="000000"/>
          <w:sz w:val="24"/>
          <w:szCs w:val="24"/>
        </w:rPr>
      </w:pPr>
      <w:r>
        <w:rPr>
          <w:rFonts w:hint="eastAsia" w:ascii="Times New Roman" w:hAnsi="Times New Roman" w:eastAsia="黑体"/>
          <w:color w:val="000000"/>
          <w:sz w:val="24"/>
          <w:szCs w:val="24"/>
        </w:rPr>
        <w:t xml:space="preserve">    </w:t>
      </w:r>
      <w:r>
        <w:rPr>
          <w:rFonts w:ascii="Times New Roman" w:hAnsi="Times New Roman" w:eastAsia="黑体"/>
          <w:color w:val="000000"/>
          <w:sz w:val="24"/>
          <w:szCs w:val="24"/>
        </w:rPr>
        <w:t>五、保修费用</w:t>
      </w:r>
    </w:p>
    <w:p w14:paraId="77BEB1A8">
      <w:pPr>
        <w:spacing w:line="5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保修费用由造成质量缺陷的责任方承担。</w:t>
      </w:r>
    </w:p>
    <w:p w14:paraId="1A3F2E2C">
      <w:pPr>
        <w:spacing w:line="500" w:lineRule="exact"/>
        <w:ind w:firstLine="458" w:firstLineChars="190"/>
        <w:rPr>
          <w:rFonts w:ascii="Times New Roman" w:hAnsi="Times New Roman" w:eastAsia="仿宋_GB2312"/>
          <w:color w:val="000000"/>
          <w:sz w:val="24"/>
          <w:szCs w:val="24"/>
          <w:u w:val="single"/>
        </w:rPr>
      </w:pPr>
      <w:r>
        <w:rPr>
          <w:rFonts w:ascii="Times New Roman" w:hAnsi="Times New Roman" w:eastAsia="仿宋_GB2312"/>
          <w:b/>
          <w:bCs/>
          <w:color w:val="000000"/>
          <w:sz w:val="24"/>
          <w:szCs w:val="24"/>
        </w:rPr>
        <w:t>六、双方约定的其他工程质量保修事项：</w:t>
      </w:r>
      <w:r>
        <w:rPr>
          <w:rFonts w:hint="eastAsia"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rPr>
        <w:t>。</w:t>
      </w:r>
    </w:p>
    <w:p w14:paraId="13594A2F">
      <w:pPr>
        <w:spacing w:line="500" w:lineRule="exact"/>
        <w:ind w:firstLine="456" w:firstLineChars="190"/>
        <w:rPr>
          <w:rFonts w:ascii="Times New Roman" w:hAnsi="Times New Roman" w:eastAsia="仿宋_GB2312"/>
          <w:color w:val="000000"/>
          <w:sz w:val="24"/>
          <w:szCs w:val="24"/>
        </w:rPr>
      </w:pPr>
      <w:r>
        <w:rPr>
          <w:rFonts w:ascii="Times New Roman" w:hAnsi="Times New Roman" w:eastAsia="仿宋_GB2312"/>
          <w:color w:val="000000"/>
          <w:sz w:val="24"/>
          <w:szCs w:val="24"/>
        </w:rPr>
        <w:t>工程质量保修书由发包人、承包人在工程竣工验收前共同签署，作为施工合同附件，其有效期限至保修期满。</w:t>
      </w:r>
    </w:p>
    <w:p w14:paraId="479A0135">
      <w:pPr>
        <w:spacing w:line="500" w:lineRule="exact"/>
        <w:ind w:firstLine="456" w:firstLineChars="190"/>
        <w:rPr>
          <w:rFonts w:ascii="Times New Roman" w:hAnsi="Times New Roman" w:eastAsia="仿宋_GB2312"/>
          <w:color w:val="000000"/>
          <w:sz w:val="24"/>
          <w:szCs w:val="24"/>
        </w:rPr>
      </w:pPr>
    </w:p>
    <w:tbl>
      <w:tblPr>
        <w:tblStyle w:val="27"/>
        <w:tblW w:w="0" w:type="auto"/>
        <w:tblInd w:w="0" w:type="dxa"/>
        <w:tblLayout w:type="fixed"/>
        <w:tblCellMar>
          <w:top w:w="0" w:type="dxa"/>
          <w:left w:w="108" w:type="dxa"/>
          <w:bottom w:w="0" w:type="dxa"/>
          <w:right w:w="108" w:type="dxa"/>
        </w:tblCellMar>
      </w:tblPr>
      <w:tblGrid>
        <w:gridCol w:w="4587"/>
        <w:gridCol w:w="4587"/>
      </w:tblGrid>
      <w:tr w14:paraId="7438291D">
        <w:tblPrEx>
          <w:tblCellMar>
            <w:top w:w="0" w:type="dxa"/>
            <w:left w:w="108" w:type="dxa"/>
            <w:bottom w:w="0" w:type="dxa"/>
            <w:right w:w="108" w:type="dxa"/>
          </w:tblCellMar>
        </w:tblPrEx>
        <w:trPr>
          <w:trHeight w:val="1185" w:hRule="atLeast"/>
        </w:trPr>
        <w:tc>
          <w:tcPr>
            <w:tcW w:w="4587" w:type="dxa"/>
          </w:tcPr>
          <w:p w14:paraId="0597A223">
            <w:pPr>
              <w:spacing w:line="5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p>
          <w:p w14:paraId="3D745D99">
            <w:pPr>
              <w:spacing w:line="500" w:lineRule="exact"/>
              <w:rPr>
                <w:rFonts w:ascii="Times New Roman" w:hAnsi="Times New Roman" w:eastAsia="仿宋_GB2312"/>
                <w:color w:val="000000"/>
                <w:sz w:val="24"/>
                <w:szCs w:val="24"/>
              </w:rPr>
            </w:pPr>
          </w:p>
          <w:p w14:paraId="18A05023">
            <w:pPr>
              <w:spacing w:line="500" w:lineRule="exact"/>
              <w:rPr>
                <w:rFonts w:ascii="Times New Roman" w:hAnsi="Times New Roman" w:eastAsia="仿宋_GB2312"/>
                <w:color w:val="000000"/>
                <w:sz w:val="24"/>
                <w:szCs w:val="24"/>
              </w:rPr>
            </w:pPr>
          </w:p>
        </w:tc>
        <w:tc>
          <w:tcPr>
            <w:tcW w:w="4587" w:type="dxa"/>
          </w:tcPr>
          <w:p w14:paraId="32B4A05E">
            <w:pPr>
              <w:spacing w:line="50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承包人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p>
        </w:tc>
      </w:tr>
      <w:tr w14:paraId="7DB860E4">
        <w:tblPrEx>
          <w:tblCellMar>
            <w:top w:w="0" w:type="dxa"/>
            <w:left w:w="108" w:type="dxa"/>
            <w:bottom w:w="0" w:type="dxa"/>
            <w:right w:w="108" w:type="dxa"/>
          </w:tblCellMar>
        </w:tblPrEx>
        <w:trPr>
          <w:trHeight w:val="1430" w:hRule="atLeast"/>
        </w:trPr>
        <w:tc>
          <w:tcPr>
            <w:tcW w:w="4587" w:type="dxa"/>
          </w:tcPr>
          <w:p w14:paraId="1E1FA16B">
            <w:pPr>
              <w:spacing w:line="5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法定代表人或其委托代理人：</w:t>
            </w:r>
          </w:p>
          <w:p w14:paraId="7120CCC1">
            <w:pPr>
              <w:spacing w:line="5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（签字）</w:t>
            </w:r>
          </w:p>
        </w:tc>
        <w:tc>
          <w:tcPr>
            <w:tcW w:w="4587" w:type="dxa"/>
          </w:tcPr>
          <w:p w14:paraId="22DBC284">
            <w:pPr>
              <w:spacing w:line="5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法定代表人或其委托代理人：</w:t>
            </w:r>
          </w:p>
          <w:p w14:paraId="4BA714AF">
            <w:pPr>
              <w:spacing w:line="500" w:lineRule="exac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（签字）</w:t>
            </w:r>
          </w:p>
          <w:p w14:paraId="6A43E691">
            <w:pPr>
              <w:spacing w:line="500" w:lineRule="exact"/>
              <w:rPr>
                <w:rFonts w:ascii="Times New Roman" w:hAnsi="Times New Roman" w:eastAsia="仿宋_GB2312"/>
                <w:color w:val="000000"/>
                <w:sz w:val="24"/>
                <w:szCs w:val="24"/>
              </w:rPr>
            </w:pPr>
          </w:p>
          <w:p w14:paraId="64E6B5BF">
            <w:pPr>
              <w:spacing w:line="500" w:lineRule="exact"/>
              <w:rPr>
                <w:rFonts w:ascii="Times New Roman" w:hAnsi="Times New Roman" w:eastAsia="仿宋_GB2312"/>
                <w:color w:val="000000"/>
                <w:sz w:val="24"/>
                <w:szCs w:val="24"/>
              </w:rPr>
            </w:pPr>
          </w:p>
        </w:tc>
      </w:tr>
    </w:tbl>
    <w:p w14:paraId="679AD5D0">
      <w:pPr>
        <w:rPr>
          <w:lang w:val="en-US"/>
        </w:rPr>
      </w:pPr>
      <w:r>
        <w:rPr>
          <w:rFonts w:hint="eastAsia" w:ascii="Times New Roman" w:hAnsi="Times New Roman" w:eastAsia="仿宋_GB2312"/>
          <w:b/>
          <w:color w:val="000000"/>
          <w:sz w:val="24"/>
          <w:szCs w:val="24"/>
        </w:rPr>
        <w:t xml:space="preserve">日  期：    年   月   日          </w:t>
      </w:r>
      <w:r>
        <w:rPr>
          <w:rFonts w:hint="eastAsia" w:ascii="Times New Roman" w:hAnsi="Times New Roman" w:eastAsia="仿宋_GB2312"/>
          <w:b/>
          <w:color w:val="000000"/>
          <w:sz w:val="24"/>
          <w:szCs w:val="24"/>
          <w:lang w:val="en-US"/>
        </w:rPr>
        <w:t xml:space="preserve">                                                </w:t>
      </w:r>
      <w:r>
        <w:rPr>
          <w:rFonts w:hint="eastAsia" w:ascii="Times New Roman" w:hAnsi="Times New Roman" w:eastAsia="仿宋_GB2312"/>
          <w:b/>
          <w:color w:val="000000"/>
          <w:sz w:val="24"/>
          <w:szCs w:val="24"/>
        </w:rPr>
        <w:t xml:space="preserve"> 日  期：    年   月   日 </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14:paraId="2A3CE445">
      <w:pPr>
        <w:pStyle w:val="12"/>
        <w:spacing w:line="357" w:lineRule="auto"/>
        <w:ind w:left="240" w:right="647" w:firstLine="420"/>
        <w:rPr>
          <w:color w:val="4F81BD" w:themeColor="accent1"/>
          <w:lang w:val="en-US"/>
          <w14:textFill>
            <w14:solidFill>
              <w14:schemeClr w14:val="accent1"/>
            </w14:solidFill>
          </w14:textFill>
        </w:rPr>
      </w:pPr>
    </w:p>
    <w:p w14:paraId="3CB8553F">
      <w:pPr>
        <w:pStyle w:val="25"/>
        <w:ind w:firstLine="0" w:firstLineChars="0"/>
        <w:rPr>
          <w:lang w:val="en-US"/>
        </w:rPr>
      </w:pPr>
    </w:p>
    <w:p w14:paraId="4FA6BE8F">
      <w:pPr>
        <w:pStyle w:val="25"/>
        <w:ind w:firstLine="0" w:firstLineChars="0"/>
        <w:sectPr>
          <w:pgSz w:w="12240" w:h="15840"/>
          <w:pgMar w:top="1440" w:right="1080" w:bottom="1440" w:left="1080" w:header="0" w:footer="844" w:gutter="0"/>
          <w:pgNumType w:fmt="decimal"/>
          <w:cols w:space="720" w:num="1"/>
        </w:sectPr>
      </w:pPr>
      <w:r>
        <w:rPr>
          <w:rFonts w:hint="eastAsia"/>
          <w:lang w:val="en-US"/>
        </w:rPr>
        <w:t xml:space="preserve"> </w:t>
      </w:r>
      <w:bookmarkStart w:id="797" w:name="_TOC_250115"/>
      <w:bookmarkEnd w:id="797"/>
      <w:bookmarkStart w:id="798" w:name="_TOC_250020"/>
      <w:bookmarkEnd w:id="798"/>
      <w:bookmarkStart w:id="799" w:name="_TOC_250031"/>
      <w:bookmarkEnd w:id="799"/>
      <w:bookmarkStart w:id="800" w:name="_TOC_250032"/>
      <w:bookmarkEnd w:id="800"/>
    </w:p>
    <w:p w14:paraId="02BF4D8D">
      <w:pPr>
        <w:jc w:val="center"/>
        <w:outlineLvl w:val="0"/>
        <w:rPr>
          <w:b/>
          <w:bCs/>
          <w:sz w:val="44"/>
          <w:szCs w:val="44"/>
          <w:lang w:val="en-US"/>
        </w:rPr>
      </w:pPr>
      <w:bookmarkStart w:id="801" w:name="_TOC_250019"/>
      <w:bookmarkEnd w:id="801"/>
      <w:bookmarkStart w:id="802" w:name="_Toc21696"/>
      <w:r>
        <w:rPr>
          <w:rFonts w:hint="eastAsia"/>
          <w:b/>
          <w:bCs/>
          <w:sz w:val="44"/>
          <w:szCs w:val="44"/>
          <w:lang w:val="en-US"/>
        </w:rPr>
        <w:t>第五章 工程量清单（另附）</w:t>
      </w:r>
      <w:bookmarkEnd w:id="802"/>
    </w:p>
    <w:p w14:paraId="67192150">
      <w:pPr>
        <w:rPr>
          <w:b/>
          <w:bCs/>
          <w:sz w:val="44"/>
          <w:szCs w:val="44"/>
          <w:lang w:val="en-US"/>
        </w:rPr>
      </w:pPr>
    </w:p>
    <w:p w14:paraId="1FE31B95">
      <w:pPr>
        <w:spacing w:after="120" w:afterLines="50" w:line="360" w:lineRule="auto"/>
        <w:ind w:firstLine="482" w:firstLineChars="200"/>
        <w:rPr>
          <w:rFonts w:hint="eastAsia"/>
          <w:b/>
          <w:bCs/>
          <w:sz w:val="24"/>
          <w:szCs w:val="24"/>
          <w:lang w:val="en-US"/>
        </w:rPr>
      </w:pPr>
      <w:r>
        <w:rPr>
          <w:rFonts w:hint="eastAsia"/>
          <w:b/>
          <w:bCs/>
          <w:sz w:val="24"/>
          <w:szCs w:val="24"/>
          <w:lang w:val="en-US"/>
        </w:rPr>
        <w:t>注：1、供应商在编制投标报价时，需保证投标报价中“分部分项工程和单价措施项目清单与计价表”给出的子目编码、子目名称、子目特征、计量单位和工程量与上传的“工程量清单”一致；</w:t>
      </w:r>
    </w:p>
    <w:p w14:paraId="4D704861">
      <w:pPr>
        <w:spacing w:after="120" w:afterLines="50" w:line="360" w:lineRule="auto"/>
        <w:ind w:firstLine="964" w:firstLineChars="400"/>
        <w:rPr>
          <w:b/>
          <w:bCs/>
          <w:sz w:val="24"/>
          <w:szCs w:val="24"/>
          <w:lang w:val="en-US"/>
        </w:rPr>
      </w:pPr>
      <w:r>
        <w:rPr>
          <w:rFonts w:hint="eastAsia"/>
          <w:b/>
          <w:bCs/>
          <w:sz w:val="24"/>
          <w:szCs w:val="24"/>
          <w:lang w:val="en-US"/>
        </w:rPr>
        <w:t>2、供应商的二次（最终）报价按照“供应商须知前附表 总则</w:t>
      </w:r>
      <w:r>
        <w:rPr>
          <w:rFonts w:hint="eastAsia"/>
          <w:b/>
          <w:bCs/>
          <w:sz w:val="24"/>
          <w:szCs w:val="24"/>
          <w:lang w:val="en-US" w:eastAsia="zh-CN"/>
        </w:rPr>
        <w:t xml:space="preserve"> </w:t>
      </w:r>
      <w:r>
        <w:rPr>
          <w:rFonts w:hint="eastAsia"/>
          <w:b/>
          <w:bCs/>
          <w:sz w:val="24"/>
          <w:szCs w:val="24"/>
          <w:lang w:val="en-US"/>
        </w:rPr>
        <w:t xml:space="preserve">3.2 </w:t>
      </w:r>
      <w:r>
        <w:rPr>
          <w:rFonts w:hint="eastAsia"/>
          <w:b/>
          <w:bCs/>
          <w:sz w:val="24"/>
          <w:szCs w:val="24"/>
          <w:lang w:val="en-US" w:eastAsia="zh-CN"/>
        </w:rPr>
        <w:t>磋商</w:t>
      </w:r>
      <w:r>
        <w:rPr>
          <w:rFonts w:hint="eastAsia"/>
          <w:b/>
          <w:bCs/>
          <w:sz w:val="24"/>
          <w:szCs w:val="24"/>
          <w:lang w:val="en-US"/>
        </w:rPr>
        <w:t>报价</w:t>
      </w:r>
      <w:r>
        <w:rPr>
          <w:rFonts w:hint="eastAsia"/>
          <w:b/>
          <w:bCs/>
          <w:sz w:val="24"/>
          <w:szCs w:val="24"/>
          <w:lang w:val="en-US" w:eastAsia="zh-CN"/>
        </w:rPr>
        <w:t>”</w:t>
      </w:r>
      <w:r>
        <w:rPr>
          <w:rFonts w:hint="eastAsia"/>
          <w:b/>
          <w:bCs/>
          <w:sz w:val="24"/>
          <w:szCs w:val="24"/>
          <w:lang w:val="en-US"/>
        </w:rPr>
        <w:t>执行。</w:t>
      </w:r>
    </w:p>
    <w:p w14:paraId="4A8E5CA3">
      <w:pPr>
        <w:rPr>
          <w:b/>
          <w:bCs/>
          <w:sz w:val="24"/>
          <w:szCs w:val="24"/>
          <w:lang w:val="en-US"/>
        </w:rPr>
      </w:pPr>
      <w:r>
        <w:rPr>
          <w:rFonts w:hint="eastAsia"/>
          <w:b/>
          <w:bCs/>
          <w:sz w:val="24"/>
          <w:szCs w:val="24"/>
          <w:lang w:val="en-US"/>
        </w:rPr>
        <w:br w:type="page"/>
      </w:r>
    </w:p>
    <w:p w14:paraId="25DCBFDE">
      <w:pPr>
        <w:jc w:val="center"/>
        <w:outlineLvl w:val="0"/>
        <w:rPr>
          <w:b/>
          <w:bCs/>
          <w:kern w:val="44"/>
          <w:sz w:val="44"/>
          <w:szCs w:val="44"/>
        </w:rPr>
      </w:pPr>
      <w:bookmarkStart w:id="803" w:name="_Toc28840"/>
      <w:r>
        <w:rPr>
          <w:rFonts w:hint="eastAsia"/>
          <w:b/>
          <w:bCs/>
          <w:kern w:val="44"/>
          <w:sz w:val="44"/>
          <w:szCs w:val="44"/>
        </w:rPr>
        <w:t>第六章 技术标准和要求</w:t>
      </w:r>
      <w:bookmarkEnd w:id="803"/>
    </w:p>
    <w:p w14:paraId="49A2F7EF">
      <w:pPr>
        <w:spacing w:line="500" w:lineRule="exact"/>
        <w:ind w:firstLine="440" w:firstLineChars="200"/>
        <w:rPr>
          <w:szCs w:val="21"/>
        </w:rPr>
      </w:pPr>
    </w:p>
    <w:p w14:paraId="59B9DA8D">
      <w:pPr>
        <w:spacing w:line="500" w:lineRule="exact"/>
        <w:ind w:firstLine="440" w:firstLineChars="200"/>
        <w:rPr>
          <w:szCs w:val="21"/>
        </w:rPr>
      </w:pPr>
      <w:r>
        <w:rPr>
          <w:rFonts w:hint="eastAsia"/>
          <w:szCs w:val="21"/>
        </w:rPr>
        <w:t>本节由</w:t>
      </w:r>
      <w:r>
        <w:rPr>
          <w:rFonts w:hint="eastAsia"/>
          <w:szCs w:val="21"/>
          <w:lang w:val="en-US"/>
        </w:rPr>
        <w:t>采购</w:t>
      </w:r>
      <w:r>
        <w:rPr>
          <w:rFonts w:hint="eastAsia"/>
          <w:szCs w:val="21"/>
        </w:rPr>
        <w:t>人根据国家、行业和地方现行标准、规范和规程等，以及项目具体情况摘录。</w:t>
      </w:r>
    </w:p>
    <w:p w14:paraId="49CF6C7E">
      <w:pPr>
        <w:spacing w:line="500" w:lineRule="exact"/>
        <w:ind w:firstLine="440" w:firstLineChars="200"/>
        <w:rPr>
          <w:szCs w:val="21"/>
        </w:rPr>
      </w:pPr>
      <w:r>
        <w:rPr>
          <w:rFonts w:hint="eastAsia"/>
          <w:szCs w:val="21"/>
        </w:rPr>
        <w:t>一、国家关于工程建设现行的有关法律、法规。</w:t>
      </w:r>
    </w:p>
    <w:p w14:paraId="5C7C528B">
      <w:pPr>
        <w:spacing w:line="500" w:lineRule="exact"/>
        <w:ind w:firstLine="440" w:firstLineChars="200"/>
        <w:rPr>
          <w:szCs w:val="21"/>
        </w:rPr>
      </w:pPr>
      <w:r>
        <w:rPr>
          <w:rFonts w:hint="eastAsia"/>
          <w:szCs w:val="21"/>
        </w:rPr>
        <w:t>二、国家关于工程建设现行的规范、标准及行业的有关规定。</w:t>
      </w:r>
    </w:p>
    <w:p w14:paraId="512E5B6C">
      <w:pPr>
        <w:spacing w:line="500" w:lineRule="exact"/>
        <w:ind w:firstLine="440" w:firstLineChars="200"/>
        <w:rPr>
          <w:szCs w:val="21"/>
        </w:rPr>
      </w:pPr>
      <w:r>
        <w:rPr>
          <w:rFonts w:hint="eastAsia"/>
          <w:szCs w:val="21"/>
        </w:rPr>
        <w:t>三、以上第一至第二条两项规范涉及到的其他现行国家规范、规程、规定和地方管理规定。</w:t>
      </w:r>
    </w:p>
    <w:p w14:paraId="5E559DCD">
      <w:pPr>
        <w:spacing w:line="500" w:lineRule="exact"/>
        <w:ind w:left="420"/>
        <w:rPr>
          <w:rFonts w:hint="eastAsia"/>
          <w:szCs w:val="21"/>
        </w:rPr>
      </w:pPr>
      <w:r>
        <w:rPr>
          <w:rFonts w:hint="eastAsia"/>
          <w:szCs w:val="21"/>
        </w:rPr>
        <w:t>四、工程施工设计图。</w:t>
      </w:r>
    </w:p>
    <w:p w14:paraId="67ED52C0">
      <w:pPr>
        <w:spacing w:line="500" w:lineRule="exact"/>
        <w:ind w:left="420"/>
        <w:rPr>
          <w:rFonts w:hint="eastAsia" w:eastAsia="宋体"/>
          <w:szCs w:val="21"/>
          <w:lang w:eastAsia="zh-CN"/>
        </w:rPr>
      </w:pPr>
      <w:r>
        <w:rPr>
          <w:rFonts w:hint="eastAsia"/>
          <w:szCs w:val="21"/>
          <w:lang w:eastAsia="zh-CN"/>
        </w:rPr>
        <w:t>五、采购文件中详细评审中“技术部分”的相关内容。</w:t>
      </w:r>
    </w:p>
    <w:p w14:paraId="33482EE1">
      <w:pPr>
        <w:spacing w:line="500" w:lineRule="exact"/>
        <w:ind w:firstLine="440" w:firstLineChars="200"/>
        <w:rPr>
          <w:szCs w:val="21"/>
        </w:rPr>
      </w:pPr>
      <w:r>
        <w:rPr>
          <w:rFonts w:hint="eastAsia"/>
          <w:szCs w:val="21"/>
        </w:rPr>
        <w:t>声明：标准、规范及规程是本工程建设的最基本依据。实施中所用标准和技术规范均应为经审批之日为止时的最新版本。</w:t>
      </w:r>
    </w:p>
    <w:p w14:paraId="0128DE23">
      <w:pPr>
        <w:spacing w:after="120" w:afterLines="50" w:line="360" w:lineRule="auto"/>
        <w:ind w:firstLine="482" w:firstLineChars="200"/>
        <w:rPr>
          <w:b/>
          <w:bCs/>
          <w:sz w:val="24"/>
          <w:szCs w:val="24"/>
          <w:lang w:val="en-US"/>
        </w:rPr>
      </w:pPr>
      <w:r>
        <w:rPr>
          <w:rFonts w:hint="eastAsia"/>
          <w:b/>
          <w:bCs/>
          <w:sz w:val="24"/>
          <w:szCs w:val="24"/>
          <w:lang w:val="en-US"/>
        </w:rPr>
        <w:br w:type="page"/>
      </w:r>
    </w:p>
    <w:p w14:paraId="155825FC">
      <w:pPr>
        <w:pStyle w:val="2"/>
        <w:spacing w:before="169"/>
        <w:jc w:val="center"/>
        <w:rPr>
          <w:lang w:val="en-US"/>
        </w:rPr>
      </w:pPr>
      <w:bookmarkStart w:id="804" w:name="_Toc21545"/>
      <w:r>
        <w:rPr>
          <w:rFonts w:hint="eastAsia"/>
          <w:lang w:val="en-US"/>
        </w:rPr>
        <w:t>第七章  响应文件格式</w:t>
      </w:r>
      <w:bookmarkEnd w:id="804"/>
    </w:p>
    <w:p w14:paraId="0CA0ABAE">
      <w:pPr>
        <w:rPr>
          <w:lang w:val="en-US"/>
        </w:rPr>
      </w:pPr>
    </w:p>
    <w:p w14:paraId="72C51A05">
      <w:pPr>
        <w:widowControl/>
      </w:pPr>
      <w:r>
        <w:rPr>
          <w:rFonts w:hint="eastAsia"/>
          <w:b/>
          <w:sz w:val="20"/>
          <w:lang w:val="en-US"/>
        </w:rPr>
        <w:t xml:space="preserve">                                                                            </w:t>
      </w:r>
    </w:p>
    <w:p w14:paraId="6B1154B5">
      <w:pPr>
        <w:pStyle w:val="12"/>
        <w:rPr>
          <w:b/>
          <w:sz w:val="20"/>
          <w:lang w:val="en-US"/>
        </w:rPr>
      </w:pPr>
    </w:p>
    <w:p w14:paraId="30ED05D1">
      <w:pPr>
        <w:pStyle w:val="12"/>
        <w:rPr>
          <w:b/>
          <w:sz w:val="20"/>
        </w:rPr>
      </w:pPr>
    </w:p>
    <w:p w14:paraId="17150613">
      <w:pPr>
        <w:pStyle w:val="12"/>
        <w:rPr>
          <w:b/>
          <w:sz w:val="20"/>
        </w:rPr>
      </w:pPr>
    </w:p>
    <w:p w14:paraId="0021D38F">
      <w:pPr>
        <w:pStyle w:val="12"/>
        <w:spacing w:before="1"/>
        <w:rPr>
          <w:b/>
          <w:sz w:val="18"/>
        </w:rPr>
      </w:pPr>
    </w:p>
    <w:p w14:paraId="66D322F2">
      <w:pPr>
        <w:jc w:val="center"/>
        <w:rPr>
          <w:sz w:val="32"/>
          <w:szCs w:val="32"/>
        </w:rPr>
      </w:pPr>
      <w:r>
        <w:rPr>
          <w:rFonts w:hint="eastAsia"/>
          <w:sz w:val="32"/>
          <w:szCs w:val="32"/>
          <w:u w:val="single"/>
        </w:rPr>
        <w:t xml:space="preserve">             </w:t>
      </w:r>
      <w:r>
        <w:rPr>
          <w:rFonts w:hint="eastAsia"/>
          <w:sz w:val="32"/>
          <w:szCs w:val="32"/>
          <w:u w:val="single"/>
          <w:lang w:val="en-US"/>
        </w:rPr>
        <w:t xml:space="preserve">                     </w:t>
      </w:r>
      <w:bookmarkStart w:id="805" w:name="_Toc29024"/>
      <w:r>
        <w:rPr>
          <w:rFonts w:hint="eastAsia"/>
          <w:sz w:val="32"/>
          <w:szCs w:val="32"/>
        </w:rPr>
        <w:t>（项目名称）</w:t>
      </w:r>
      <w:bookmarkEnd w:id="805"/>
    </w:p>
    <w:p w14:paraId="598EFEBA">
      <w:pPr>
        <w:tabs>
          <w:tab w:val="left" w:pos="3440"/>
        </w:tabs>
        <w:spacing w:before="69"/>
        <w:ind w:firstLine="1400" w:firstLineChars="500"/>
        <w:rPr>
          <w:rFonts w:ascii="黑体" w:eastAsia="黑体"/>
          <w:sz w:val="28"/>
          <w:lang w:val="en-US"/>
        </w:rPr>
      </w:pPr>
    </w:p>
    <w:p w14:paraId="167B343C">
      <w:pPr>
        <w:tabs>
          <w:tab w:val="left" w:pos="659"/>
          <w:tab w:val="left" w:pos="1319"/>
          <w:tab w:val="left" w:pos="1979"/>
        </w:tabs>
        <w:ind w:right="457"/>
        <w:jc w:val="both"/>
        <w:rPr>
          <w:rFonts w:ascii="黑体" w:eastAsia="黑体"/>
          <w:sz w:val="84"/>
          <w:szCs w:val="84"/>
        </w:rPr>
      </w:pPr>
    </w:p>
    <w:p w14:paraId="4C4A171A">
      <w:pPr>
        <w:tabs>
          <w:tab w:val="left" w:pos="659"/>
          <w:tab w:val="left" w:pos="1319"/>
          <w:tab w:val="left" w:pos="1979"/>
        </w:tabs>
        <w:ind w:right="457"/>
        <w:jc w:val="center"/>
        <w:rPr>
          <w:rFonts w:ascii="黑体" w:eastAsia="黑体"/>
          <w:sz w:val="84"/>
          <w:szCs w:val="84"/>
        </w:rPr>
      </w:pPr>
      <w:bookmarkStart w:id="806" w:name="_Toc14025"/>
      <w:r>
        <w:rPr>
          <w:rFonts w:hint="eastAsia" w:ascii="黑体" w:eastAsia="黑体"/>
          <w:sz w:val="84"/>
          <w:szCs w:val="84"/>
          <w:lang w:val="en-US"/>
        </w:rPr>
        <w:t>响</w:t>
      </w:r>
      <w:r>
        <w:rPr>
          <w:rFonts w:hint="eastAsia" w:ascii="黑体" w:eastAsia="黑体"/>
          <w:sz w:val="84"/>
          <w:szCs w:val="84"/>
        </w:rPr>
        <w:tab/>
      </w:r>
      <w:r>
        <w:rPr>
          <w:rFonts w:hint="eastAsia" w:ascii="黑体" w:eastAsia="黑体"/>
          <w:sz w:val="84"/>
          <w:szCs w:val="84"/>
          <w:lang w:val="en-US"/>
        </w:rPr>
        <w:t xml:space="preserve"> 应</w:t>
      </w:r>
      <w:r>
        <w:rPr>
          <w:rFonts w:hint="eastAsia" w:ascii="黑体" w:eastAsia="黑体"/>
          <w:sz w:val="84"/>
          <w:szCs w:val="84"/>
        </w:rPr>
        <w:tab/>
      </w:r>
      <w:r>
        <w:rPr>
          <w:rFonts w:hint="eastAsia" w:ascii="黑体" w:eastAsia="黑体"/>
          <w:sz w:val="84"/>
          <w:szCs w:val="84"/>
          <w:lang w:val="en-US"/>
        </w:rPr>
        <w:t xml:space="preserve"> </w:t>
      </w:r>
      <w:r>
        <w:rPr>
          <w:rFonts w:hint="eastAsia" w:ascii="黑体" w:eastAsia="黑体"/>
          <w:sz w:val="84"/>
          <w:szCs w:val="84"/>
        </w:rPr>
        <w:t>文</w:t>
      </w:r>
      <w:r>
        <w:rPr>
          <w:rFonts w:hint="eastAsia" w:ascii="黑体" w:eastAsia="黑体"/>
          <w:sz w:val="84"/>
          <w:szCs w:val="84"/>
          <w:lang w:val="en-US"/>
        </w:rPr>
        <w:t xml:space="preserve"> </w:t>
      </w:r>
      <w:r>
        <w:rPr>
          <w:rFonts w:hint="eastAsia" w:ascii="黑体" w:eastAsia="黑体"/>
          <w:sz w:val="84"/>
          <w:szCs w:val="84"/>
        </w:rPr>
        <w:tab/>
      </w:r>
      <w:r>
        <w:rPr>
          <w:rFonts w:hint="eastAsia" w:ascii="黑体" w:eastAsia="黑体"/>
          <w:sz w:val="84"/>
          <w:szCs w:val="84"/>
        </w:rPr>
        <w:t>件</w:t>
      </w:r>
      <w:bookmarkEnd w:id="806"/>
    </w:p>
    <w:p w14:paraId="3467A1FA">
      <w:pPr>
        <w:pStyle w:val="12"/>
        <w:rPr>
          <w:rFonts w:ascii="黑体"/>
          <w:sz w:val="44"/>
        </w:rPr>
      </w:pPr>
    </w:p>
    <w:p w14:paraId="5225485D">
      <w:pPr>
        <w:pStyle w:val="12"/>
        <w:rPr>
          <w:rFonts w:ascii="黑体"/>
          <w:sz w:val="44"/>
        </w:rPr>
      </w:pPr>
    </w:p>
    <w:p w14:paraId="7BC73A3E">
      <w:pPr>
        <w:pStyle w:val="12"/>
        <w:rPr>
          <w:rFonts w:ascii="黑体"/>
          <w:sz w:val="44"/>
        </w:rPr>
      </w:pPr>
    </w:p>
    <w:p w14:paraId="5539AE08">
      <w:pPr>
        <w:pStyle w:val="12"/>
        <w:rPr>
          <w:rFonts w:ascii="黑体"/>
          <w:sz w:val="44"/>
        </w:rPr>
      </w:pPr>
    </w:p>
    <w:p w14:paraId="32681F5B">
      <w:pPr>
        <w:pStyle w:val="12"/>
        <w:rPr>
          <w:rFonts w:ascii="黑体"/>
          <w:sz w:val="44"/>
        </w:rPr>
      </w:pPr>
    </w:p>
    <w:p w14:paraId="3AF43EFE">
      <w:pPr>
        <w:pStyle w:val="12"/>
        <w:rPr>
          <w:rFonts w:ascii="黑体"/>
          <w:sz w:val="44"/>
        </w:rPr>
      </w:pPr>
    </w:p>
    <w:p w14:paraId="0BA9E45D">
      <w:pPr>
        <w:pStyle w:val="12"/>
        <w:rPr>
          <w:rFonts w:ascii="黑体"/>
          <w:sz w:val="44"/>
        </w:rPr>
      </w:pPr>
    </w:p>
    <w:p w14:paraId="40B07CF4">
      <w:pPr>
        <w:pStyle w:val="12"/>
        <w:rPr>
          <w:rFonts w:ascii="黑体"/>
          <w:sz w:val="44"/>
        </w:rPr>
      </w:pPr>
    </w:p>
    <w:p w14:paraId="1E03B44D">
      <w:pPr>
        <w:pStyle w:val="12"/>
        <w:spacing w:before="9"/>
        <w:rPr>
          <w:rFonts w:ascii="黑体"/>
          <w:sz w:val="39"/>
        </w:rPr>
      </w:pPr>
    </w:p>
    <w:p w14:paraId="7AC10C88">
      <w:pPr>
        <w:tabs>
          <w:tab w:val="left" w:pos="5740"/>
        </w:tabs>
        <w:spacing w:line="364" w:lineRule="auto"/>
        <w:ind w:left="1359" w:right="797"/>
        <w:rPr>
          <w:spacing w:val="-17"/>
          <w:sz w:val="28"/>
        </w:rPr>
      </w:pPr>
      <w:bookmarkStart w:id="807" w:name="_Toc14056"/>
      <w:bookmarkStart w:id="808" w:name="_Toc11732"/>
      <w:r>
        <w:rPr>
          <w:rFonts w:hint="eastAsia"/>
          <w:sz w:val="28"/>
          <w:lang w:val="en-US"/>
        </w:rPr>
        <w:t>供应商</w:t>
      </w:r>
      <w:r>
        <w:rPr>
          <w:rFonts w:hint="eastAsia"/>
          <w:sz w:val="28"/>
        </w:rPr>
        <w:t>：</w:t>
      </w:r>
      <w:r>
        <w:rPr>
          <w:rFonts w:hint="eastAsia"/>
          <w:sz w:val="28"/>
          <w:u w:val="single"/>
        </w:rPr>
        <w:t xml:space="preserve"> </w:t>
      </w:r>
      <w:r>
        <w:rPr>
          <w:rFonts w:hint="eastAsia"/>
          <w:sz w:val="28"/>
          <w:u w:val="single"/>
        </w:rPr>
        <w:tab/>
      </w:r>
      <w:r>
        <w:rPr>
          <w:rFonts w:hint="eastAsia"/>
          <w:sz w:val="28"/>
        </w:rPr>
        <w:t>（</w:t>
      </w:r>
      <w:r>
        <w:rPr>
          <w:rFonts w:hint="eastAsia" w:ascii="宋体" w:hAnsi="宋体" w:cs="宋体"/>
          <w:sz w:val="28"/>
          <w:szCs w:val="28"/>
        </w:rPr>
        <w:t>单位电子CA印章</w:t>
      </w:r>
      <w:r>
        <w:rPr>
          <w:rFonts w:hint="eastAsia"/>
          <w:spacing w:val="-17"/>
          <w:sz w:val="28"/>
        </w:rPr>
        <w:t xml:space="preserve">） </w:t>
      </w:r>
    </w:p>
    <w:p w14:paraId="5A679DB9">
      <w:pPr>
        <w:tabs>
          <w:tab w:val="left" w:pos="5734"/>
          <w:tab w:val="left" w:pos="5996"/>
        </w:tabs>
        <w:spacing w:line="364" w:lineRule="auto"/>
        <w:ind w:left="1359" w:right="797"/>
        <w:rPr>
          <w:sz w:val="28"/>
        </w:rPr>
      </w:pPr>
      <w:r>
        <w:rPr>
          <w:rFonts w:hint="eastAsia"/>
          <w:sz w:val="28"/>
        </w:rPr>
        <w:t>法定代表人或其委托代理人</w:t>
      </w:r>
      <w:r>
        <w:rPr>
          <w:rFonts w:hint="eastAsia"/>
          <w:spacing w:val="-3"/>
          <w:sz w:val="28"/>
        </w:rPr>
        <w:t>：</w:t>
      </w:r>
      <w:r>
        <w:rPr>
          <w:rFonts w:hint="eastAsia"/>
          <w:spacing w:val="-3"/>
          <w:sz w:val="28"/>
          <w:u w:val="single"/>
        </w:rPr>
        <w:t xml:space="preserve"> </w:t>
      </w:r>
      <w:r>
        <w:rPr>
          <w:rFonts w:hint="eastAsia"/>
          <w:spacing w:val="-3"/>
          <w:sz w:val="28"/>
          <w:u w:val="single"/>
        </w:rPr>
        <w:tab/>
      </w:r>
      <w:r>
        <w:rPr>
          <w:rFonts w:hint="eastAsia"/>
          <w:sz w:val="28"/>
        </w:rPr>
        <w:t>（</w:t>
      </w:r>
      <w:r>
        <w:rPr>
          <w:rFonts w:hint="eastAsia" w:ascii="宋体" w:hAnsi="宋体" w:cs="宋体"/>
          <w:sz w:val="28"/>
          <w:szCs w:val="28"/>
        </w:rPr>
        <w:t>按照要求正确签署</w:t>
      </w:r>
      <w:r>
        <w:rPr>
          <w:rFonts w:hint="eastAsia"/>
          <w:sz w:val="28"/>
        </w:rPr>
        <w:t>）</w:t>
      </w:r>
      <w:bookmarkEnd w:id="807"/>
      <w:bookmarkEnd w:id="808"/>
    </w:p>
    <w:p w14:paraId="7FC2001A">
      <w:pPr>
        <w:pStyle w:val="12"/>
        <w:spacing w:before="4"/>
        <w:rPr>
          <w:sz w:val="23"/>
        </w:rPr>
      </w:pPr>
    </w:p>
    <w:p w14:paraId="5C7AF906">
      <w:pPr>
        <w:tabs>
          <w:tab w:val="left" w:pos="3771"/>
          <w:tab w:val="left" w:pos="4786"/>
          <w:tab w:val="left" w:pos="5801"/>
        </w:tabs>
        <w:spacing w:before="61"/>
        <w:ind w:left="3037"/>
        <w:rPr>
          <w:sz w:val="28"/>
        </w:rPr>
        <w:sectPr>
          <w:pgSz w:w="12240" w:h="15840"/>
          <w:pgMar w:top="1440" w:right="1080" w:bottom="1440" w:left="1080" w:header="0" w:footer="844" w:gutter="0"/>
          <w:pgNumType w:fmt="decimal"/>
          <w:cols w:space="720" w:num="1"/>
        </w:sectPr>
      </w:pPr>
      <w:r>
        <w:rPr>
          <w:rFonts w:hint="eastAsia"/>
          <w:sz w:val="28"/>
          <w:u w:val="single"/>
        </w:rPr>
        <w:t xml:space="preserve"> </w:t>
      </w:r>
      <w:r>
        <w:rPr>
          <w:rFonts w:hint="eastAsia"/>
          <w:sz w:val="28"/>
          <w:u w:val="single"/>
        </w:rPr>
        <w:tab/>
      </w:r>
      <w:bookmarkStart w:id="809" w:name="_Toc9408"/>
      <w:bookmarkStart w:id="810" w:name="_Toc3471"/>
      <w:r>
        <w:rPr>
          <w:rFonts w:hint="eastAsia"/>
          <w:sz w:val="28"/>
        </w:rPr>
        <w:t>年</w:t>
      </w:r>
      <w:r>
        <w:rPr>
          <w:rFonts w:hint="eastAsia"/>
          <w:sz w:val="28"/>
          <w:u w:val="single"/>
        </w:rPr>
        <w:t xml:space="preserve"> </w:t>
      </w:r>
      <w:r>
        <w:rPr>
          <w:rFonts w:hint="eastAsia"/>
          <w:sz w:val="28"/>
          <w:u w:val="single"/>
        </w:rPr>
        <w:tab/>
      </w:r>
      <w:r>
        <w:rPr>
          <w:rFonts w:hint="eastAsia"/>
          <w:sz w:val="28"/>
        </w:rPr>
        <w:t>月</w:t>
      </w:r>
      <w:r>
        <w:rPr>
          <w:rFonts w:hint="eastAsia"/>
          <w:sz w:val="28"/>
          <w:u w:val="single"/>
        </w:rPr>
        <w:t xml:space="preserve"> </w:t>
      </w:r>
      <w:r>
        <w:rPr>
          <w:rFonts w:hint="eastAsia"/>
          <w:sz w:val="28"/>
          <w:u w:val="single"/>
        </w:rPr>
        <w:tab/>
      </w:r>
      <w:r>
        <w:rPr>
          <w:rFonts w:hint="eastAsia"/>
          <w:sz w:val="28"/>
        </w:rPr>
        <w:t>日</w:t>
      </w:r>
      <w:bookmarkEnd w:id="809"/>
      <w:bookmarkEnd w:id="810"/>
    </w:p>
    <w:p w14:paraId="36FB3497">
      <w:pPr>
        <w:pStyle w:val="12"/>
        <w:spacing w:before="8"/>
        <w:rPr>
          <w:rFonts w:ascii="黑体"/>
          <w:sz w:val="22"/>
        </w:rPr>
      </w:pPr>
    </w:p>
    <w:p w14:paraId="74ABE540">
      <w:pPr>
        <w:spacing w:before="55"/>
        <w:ind w:right="458"/>
        <w:jc w:val="center"/>
        <w:rPr>
          <w:rFonts w:ascii="黑体"/>
          <w:b/>
          <w:sz w:val="20"/>
        </w:rPr>
      </w:pPr>
      <w:bookmarkStart w:id="811" w:name="_TOC_250018"/>
      <w:bookmarkEnd w:id="811"/>
      <w:bookmarkStart w:id="812" w:name="_Toc4027"/>
      <w:bookmarkStart w:id="813" w:name="_Toc7309"/>
      <w:r>
        <w:rPr>
          <w:b/>
          <w:bCs/>
          <w:sz w:val="36"/>
          <w:szCs w:val="36"/>
        </w:rPr>
        <w:t>目录</w:t>
      </w:r>
      <w:bookmarkEnd w:id="812"/>
      <w:bookmarkEnd w:id="813"/>
    </w:p>
    <w:p w14:paraId="3F9CDB30">
      <w:pPr>
        <w:pStyle w:val="12"/>
        <w:rPr>
          <w:rFonts w:ascii="黑体"/>
          <w:b/>
          <w:sz w:val="20"/>
        </w:rPr>
      </w:pPr>
    </w:p>
    <w:p w14:paraId="3A9DE437">
      <w:pPr>
        <w:pStyle w:val="12"/>
        <w:rPr>
          <w:rFonts w:ascii="黑体"/>
          <w:b/>
          <w:sz w:val="20"/>
        </w:rPr>
      </w:pPr>
    </w:p>
    <w:p w14:paraId="3D82E953">
      <w:pPr>
        <w:pStyle w:val="12"/>
        <w:spacing w:before="8"/>
        <w:rPr>
          <w:rFonts w:ascii="黑体"/>
          <w:b/>
          <w:sz w:val="17"/>
        </w:rPr>
      </w:pPr>
    </w:p>
    <w:p w14:paraId="4C7D689B">
      <w:pPr>
        <w:pStyle w:val="12"/>
        <w:spacing w:before="71" w:line="480" w:lineRule="auto"/>
        <w:ind w:left="240"/>
        <w:rPr>
          <w:sz w:val="24"/>
          <w:szCs w:val="24"/>
        </w:rPr>
      </w:pPr>
      <w:bookmarkStart w:id="814" w:name="_Toc5451"/>
      <w:r>
        <w:rPr>
          <w:sz w:val="24"/>
          <w:szCs w:val="24"/>
        </w:rPr>
        <w:t>一、投标函及投标函附录</w:t>
      </w:r>
      <w:bookmarkEnd w:id="814"/>
    </w:p>
    <w:p w14:paraId="2E8E4653">
      <w:pPr>
        <w:pStyle w:val="12"/>
        <w:spacing w:before="71" w:line="480" w:lineRule="auto"/>
        <w:ind w:left="240"/>
        <w:rPr>
          <w:sz w:val="24"/>
          <w:szCs w:val="24"/>
        </w:rPr>
      </w:pPr>
      <w:bookmarkStart w:id="815" w:name="_Toc20428"/>
      <w:r>
        <w:rPr>
          <w:rFonts w:hint="eastAsia"/>
          <w:sz w:val="24"/>
          <w:szCs w:val="24"/>
          <w:lang w:val="en-US"/>
        </w:rPr>
        <w:t>二、</w:t>
      </w:r>
      <w:r>
        <w:rPr>
          <w:sz w:val="24"/>
          <w:szCs w:val="24"/>
        </w:rPr>
        <w:t>法定代表人身份证明</w:t>
      </w:r>
      <w:r>
        <w:rPr>
          <w:rFonts w:hint="eastAsia"/>
          <w:sz w:val="24"/>
          <w:szCs w:val="24"/>
          <w:lang w:val="en-US"/>
        </w:rPr>
        <w:t>或</w:t>
      </w:r>
      <w:r>
        <w:rPr>
          <w:sz w:val="24"/>
          <w:szCs w:val="24"/>
        </w:rPr>
        <w:t>授权委托书</w:t>
      </w:r>
      <w:bookmarkEnd w:id="815"/>
    </w:p>
    <w:p w14:paraId="5D8343C3">
      <w:pPr>
        <w:pStyle w:val="12"/>
        <w:spacing w:before="71" w:line="480" w:lineRule="auto"/>
        <w:ind w:left="240"/>
        <w:rPr>
          <w:sz w:val="24"/>
          <w:szCs w:val="24"/>
          <w:lang w:val="en-US"/>
        </w:rPr>
      </w:pPr>
      <w:bookmarkStart w:id="816" w:name="_Toc20041"/>
      <w:r>
        <w:rPr>
          <w:rFonts w:hint="eastAsia"/>
          <w:sz w:val="24"/>
          <w:szCs w:val="24"/>
          <w:lang w:val="en-US"/>
        </w:rPr>
        <w:t>三、</w:t>
      </w:r>
      <w:bookmarkEnd w:id="816"/>
      <w:r>
        <w:rPr>
          <w:rFonts w:hint="eastAsia"/>
          <w:sz w:val="24"/>
          <w:szCs w:val="24"/>
          <w:lang w:val="en-US"/>
        </w:rPr>
        <w:t>供应商基本情况表</w:t>
      </w:r>
    </w:p>
    <w:p w14:paraId="3E7B6DD3">
      <w:pPr>
        <w:pStyle w:val="12"/>
        <w:spacing w:before="71" w:line="480" w:lineRule="auto"/>
        <w:ind w:left="240"/>
        <w:rPr>
          <w:sz w:val="24"/>
          <w:szCs w:val="24"/>
          <w:lang w:val="en-US"/>
        </w:rPr>
      </w:pPr>
      <w:r>
        <w:rPr>
          <w:rFonts w:hint="eastAsia"/>
          <w:sz w:val="24"/>
          <w:szCs w:val="24"/>
          <w:lang w:val="en-US"/>
        </w:rPr>
        <w:t>四、近年财务及税收、社保状况</w:t>
      </w:r>
    </w:p>
    <w:p w14:paraId="08E45021">
      <w:pPr>
        <w:pStyle w:val="12"/>
        <w:spacing w:before="71" w:line="480" w:lineRule="auto"/>
        <w:ind w:left="240"/>
        <w:rPr>
          <w:sz w:val="24"/>
          <w:szCs w:val="24"/>
          <w:lang w:val="en-US"/>
        </w:rPr>
      </w:pPr>
      <w:r>
        <w:rPr>
          <w:rFonts w:hint="eastAsia"/>
          <w:sz w:val="24"/>
          <w:szCs w:val="24"/>
          <w:lang w:val="en-US"/>
        </w:rPr>
        <w:t>五、</w:t>
      </w:r>
      <w:bookmarkStart w:id="817" w:name="_Toc4891"/>
      <w:r>
        <w:rPr>
          <w:rFonts w:hint="eastAsia"/>
          <w:sz w:val="24"/>
          <w:szCs w:val="24"/>
          <w:lang w:val="en-US"/>
        </w:rPr>
        <w:t>信誉情况</w:t>
      </w:r>
    </w:p>
    <w:p w14:paraId="122EDF75">
      <w:pPr>
        <w:pStyle w:val="12"/>
        <w:spacing w:before="71" w:line="480" w:lineRule="auto"/>
        <w:ind w:left="240"/>
        <w:rPr>
          <w:sz w:val="24"/>
          <w:szCs w:val="24"/>
          <w:lang w:val="en-US"/>
        </w:rPr>
      </w:pPr>
      <w:r>
        <w:rPr>
          <w:rFonts w:hint="eastAsia"/>
          <w:sz w:val="24"/>
          <w:szCs w:val="24"/>
          <w:lang w:val="en-US"/>
        </w:rPr>
        <w:t>六、</w:t>
      </w:r>
      <w:bookmarkEnd w:id="817"/>
      <w:r>
        <w:rPr>
          <w:rFonts w:hint="eastAsia"/>
          <w:sz w:val="24"/>
          <w:szCs w:val="24"/>
          <w:lang w:val="en-US"/>
        </w:rPr>
        <w:t>已标价工程量清单</w:t>
      </w:r>
    </w:p>
    <w:p w14:paraId="5E2D935F">
      <w:pPr>
        <w:pStyle w:val="12"/>
        <w:spacing w:before="71" w:line="480" w:lineRule="auto"/>
        <w:ind w:left="240"/>
        <w:rPr>
          <w:sz w:val="24"/>
          <w:szCs w:val="24"/>
          <w:lang w:val="en-US"/>
        </w:rPr>
      </w:pPr>
      <w:bookmarkStart w:id="818" w:name="_Toc16610"/>
      <w:r>
        <w:rPr>
          <w:rFonts w:hint="eastAsia"/>
          <w:sz w:val="24"/>
          <w:szCs w:val="24"/>
          <w:lang w:val="en-US"/>
        </w:rPr>
        <w:t>七、</w:t>
      </w:r>
      <w:bookmarkEnd w:id="818"/>
      <w:r>
        <w:rPr>
          <w:rFonts w:hint="eastAsia"/>
          <w:sz w:val="24"/>
          <w:szCs w:val="24"/>
          <w:lang w:val="en-US" w:eastAsia="zh-CN"/>
        </w:rPr>
        <w:t>综合</w:t>
      </w:r>
      <w:r>
        <w:rPr>
          <w:rFonts w:hint="eastAsia"/>
          <w:sz w:val="24"/>
          <w:szCs w:val="24"/>
          <w:lang w:val="en-US"/>
        </w:rPr>
        <w:t xml:space="preserve">部分   </w:t>
      </w:r>
    </w:p>
    <w:p w14:paraId="31207A4C">
      <w:pPr>
        <w:pStyle w:val="12"/>
        <w:spacing w:before="71" w:line="480" w:lineRule="auto"/>
        <w:ind w:left="240"/>
        <w:rPr>
          <w:sz w:val="24"/>
          <w:szCs w:val="24"/>
          <w:lang w:val="en-US"/>
        </w:rPr>
      </w:pPr>
      <w:bookmarkStart w:id="819" w:name="_Toc6344"/>
      <w:r>
        <w:rPr>
          <w:rFonts w:hint="eastAsia"/>
          <w:sz w:val="24"/>
          <w:szCs w:val="24"/>
          <w:lang w:val="en-US"/>
        </w:rPr>
        <w:t>八、</w:t>
      </w:r>
      <w:bookmarkEnd w:id="819"/>
      <w:r>
        <w:rPr>
          <w:rFonts w:hint="eastAsia"/>
          <w:sz w:val="24"/>
          <w:szCs w:val="24"/>
          <w:lang w:val="en-US"/>
        </w:rPr>
        <w:t>项目管理机构</w:t>
      </w:r>
    </w:p>
    <w:p w14:paraId="750AE842">
      <w:pPr>
        <w:pStyle w:val="12"/>
        <w:spacing w:before="71" w:line="480" w:lineRule="auto"/>
        <w:ind w:left="240"/>
        <w:rPr>
          <w:sz w:val="24"/>
          <w:szCs w:val="24"/>
          <w:lang w:val="en-US"/>
        </w:rPr>
      </w:pPr>
      <w:r>
        <w:rPr>
          <w:rFonts w:hint="eastAsia"/>
          <w:sz w:val="24"/>
          <w:szCs w:val="24"/>
          <w:lang w:val="en-US"/>
        </w:rPr>
        <w:t>九、施工组织设计方案（技术部分）</w:t>
      </w:r>
    </w:p>
    <w:p w14:paraId="433B1416">
      <w:pPr>
        <w:pStyle w:val="12"/>
        <w:spacing w:before="71" w:line="480" w:lineRule="auto"/>
        <w:ind w:left="240"/>
        <w:rPr>
          <w:sz w:val="24"/>
          <w:szCs w:val="24"/>
          <w:lang w:val="en-US"/>
        </w:rPr>
        <w:sectPr>
          <w:pgSz w:w="12240" w:h="15840"/>
          <w:pgMar w:top="1440" w:right="1080" w:bottom="1440" w:left="1080" w:header="0" w:footer="844" w:gutter="0"/>
          <w:pgNumType w:fmt="decimal"/>
          <w:cols w:space="720" w:num="1"/>
        </w:sectPr>
      </w:pPr>
      <w:r>
        <w:rPr>
          <w:rFonts w:hint="eastAsia"/>
          <w:sz w:val="24"/>
          <w:szCs w:val="24"/>
          <w:lang w:val="en-US"/>
        </w:rPr>
        <w:t>十、其他材料</w:t>
      </w:r>
    </w:p>
    <w:p w14:paraId="56D53376">
      <w:pPr>
        <w:pStyle w:val="3"/>
        <w:spacing w:before="229"/>
        <w:ind w:left="2793" w:firstLine="0"/>
        <w:rPr>
          <w:rFonts w:ascii="宋体" w:hAnsi="宋体" w:eastAsia="宋体" w:cs="宋体"/>
        </w:rPr>
      </w:pPr>
      <w:bookmarkStart w:id="820" w:name="_TOC_250017"/>
      <w:bookmarkEnd w:id="820"/>
      <w:bookmarkStart w:id="821" w:name="_Toc13247"/>
      <w:bookmarkStart w:id="822" w:name="_Toc11160"/>
      <w:r>
        <w:rPr>
          <w:rFonts w:hint="eastAsia" w:ascii="宋体" w:hAnsi="宋体" w:eastAsia="宋体" w:cs="宋体"/>
        </w:rPr>
        <w:t>一、投标函及投标函附录</w:t>
      </w:r>
      <w:bookmarkEnd w:id="821"/>
      <w:bookmarkEnd w:id="822"/>
    </w:p>
    <w:p w14:paraId="24980412">
      <w:pPr>
        <w:pStyle w:val="12"/>
        <w:rPr>
          <w:rFonts w:ascii="黑体"/>
          <w:b/>
          <w:sz w:val="20"/>
        </w:rPr>
      </w:pPr>
    </w:p>
    <w:p w14:paraId="2C43FE39">
      <w:pPr>
        <w:pStyle w:val="12"/>
        <w:spacing w:before="2"/>
        <w:rPr>
          <w:rFonts w:ascii="黑体"/>
          <w:b/>
          <w:sz w:val="19"/>
        </w:rPr>
      </w:pPr>
    </w:p>
    <w:p w14:paraId="72294AF8">
      <w:pPr>
        <w:pStyle w:val="4"/>
        <w:spacing w:before="61"/>
        <w:ind w:left="376" w:firstLine="3654" w:firstLineChars="1300"/>
        <w:rPr>
          <w:rFonts w:ascii="宋体" w:hAnsi="宋体" w:eastAsia="宋体" w:cs="宋体"/>
          <w:b/>
          <w:bCs/>
        </w:rPr>
      </w:pPr>
      <w:bookmarkStart w:id="823" w:name="_TOC_250016"/>
      <w:bookmarkEnd w:id="823"/>
      <w:r>
        <w:rPr>
          <w:rFonts w:hint="eastAsia" w:ascii="宋体" w:hAnsi="宋体" w:eastAsia="宋体" w:cs="宋体"/>
          <w:b/>
          <w:bCs/>
        </w:rPr>
        <w:t>（一）投标函</w:t>
      </w:r>
    </w:p>
    <w:p w14:paraId="25FFA7FF">
      <w:pPr>
        <w:pStyle w:val="12"/>
        <w:spacing w:before="9"/>
        <w:rPr>
          <w:rFonts w:ascii="黑体"/>
          <w:sz w:val="25"/>
        </w:rPr>
      </w:pPr>
    </w:p>
    <w:p w14:paraId="279AEFAD">
      <w:pPr>
        <w:pStyle w:val="12"/>
        <w:tabs>
          <w:tab w:val="left" w:pos="2129"/>
        </w:tabs>
        <w:spacing w:before="77" w:line="360" w:lineRule="auto"/>
        <w:ind w:left="240"/>
      </w:pPr>
      <w:r>
        <w:rPr>
          <w:rFonts w:ascii="Times New Roman" w:eastAsia="Times New Roman"/>
          <w:u w:val="single"/>
        </w:rPr>
        <w:t xml:space="preserve"> </w:t>
      </w:r>
      <w:r>
        <w:rPr>
          <w:rFonts w:ascii="Times New Roman" w:eastAsia="Times New Roman"/>
          <w:u w:val="single"/>
        </w:rPr>
        <w:tab/>
      </w:r>
      <w:r>
        <w:t>（</w:t>
      </w:r>
      <w:r>
        <w:rPr>
          <w:rFonts w:hint="eastAsia"/>
          <w:lang w:val="en-US"/>
        </w:rPr>
        <w:t>采购</w:t>
      </w:r>
      <w:r>
        <w:t>人名称</w:t>
      </w:r>
      <w:r>
        <w:rPr>
          <w:spacing w:val="-106"/>
        </w:rPr>
        <w:t>）</w:t>
      </w:r>
      <w:r>
        <w:t>：</w:t>
      </w:r>
    </w:p>
    <w:p w14:paraId="012FE4DB">
      <w:pPr>
        <w:pStyle w:val="37"/>
        <w:numPr>
          <w:ilvl w:val="0"/>
          <w:numId w:val="10"/>
        </w:numPr>
        <w:tabs>
          <w:tab w:val="left" w:pos="961"/>
          <w:tab w:val="left" w:pos="1604"/>
          <w:tab w:val="left" w:pos="3878"/>
          <w:tab w:val="left" w:pos="4019"/>
          <w:tab w:val="left" w:pos="4419"/>
          <w:tab w:val="left" w:pos="5768"/>
        </w:tabs>
        <w:spacing w:line="360" w:lineRule="auto"/>
        <w:ind w:left="238" w:right="220" w:rightChars="100" w:firstLine="403"/>
        <w:rPr>
          <w:sz w:val="21"/>
        </w:rPr>
      </w:pPr>
      <w:r>
        <w:rPr>
          <w:sz w:val="21"/>
        </w:rPr>
        <w:t>我方已仔细研究了</w:t>
      </w:r>
      <w:r>
        <w:rPr>
          <w:sz w:val="21"/>
          <w:u w:val="single"/>
        </w:rPr>
        <w:t xml:space="preserve"> </w:t>
      </w:r>
      <w:r>
        <w:rPr>
          <w:sz w:val="21"/>
          <w:u w:val="single"/>
        </w:rPr>
        <w:tab/>
      </w:r>
      <w:r>
        <w:rPr>
          <w:rFonts w:hint="eastAsia"/>
          <w:sz w:val="21"/>
          <w:u w:val="single"/>
          <w:lang w:val="en-US"/>
        </w:rPr>
        <w:t xml:space="preserve">  </w:t>
      </w:r>
      <w:r>
        <w:rPr>
          <w:sz w:val="21"/>
          <w:u w:val="single"/>
        </w:rPr>
        <w:tab/>
      </w:r>
      <w:r>
        <w:rPr>
          <w:rFonts w:hint="eastAsia"/>
          <w:sz w:val="21"/>
          <w:u w:val="single"/>
          <w:lang w:val="en-US"/>
        </w:rPr>
        <w:t xml:space="preserve"> </w:t>
      </w:r>
      <w:r>
        <w:rPr>
          <w:sz w:val="21"/>
          <w:u w:val="single"/>
        </w:rPr>
        <w:t>（</w:t>
      </w:r>
      <w:r>
        <w:rPr>
          <w:sz w:val="21"/>
        </w:rPr>
        <w:t>项目名称</w:t>
      </w:r>
      <w:r>
        <w:rPr>
          <w:spacing w:val="-56"/>
          <w:sz w:val="21"/>
        </w:rPr>
        <w:t>）</w:t>
      </w:r>
      <w:r>
        <w:rPr>
          <w:rFonts w:hint="eastAsia"/>
          <w:sz w:val="21"/>
          <w:lang w:val="en-US"/>
        </w:rPr>
        <w:t>采购</w:t>
      </w:r>
      <w:r>
        <w:rPr>
          <w:sz w:val="21"/>
        </w:rPr>
        <w:t>项目</w:t>
      </w:r>
      <w:r>
        <w:rPr>
          <w:rFonts w:hint="eastAsia"/>
          <w:sz w:val="21"/>
          <w:lang w:val="en-US"/>
        </w:rPr>
        <w:t>磋商</w:t>
      </w:r>
      <w:r>
        <w:rPr>
          <w:sz w:val="21"/>
        </w:rPr>
        <w:t>文件的全部内容</w:t>
      </w:r>
      <w:r>
        <w:rPr>
          <w:spacing w:val="-16"/>
          <w:sz w:val="21"/>
        </w:rPr>
        <w:t xml:space="preserve">， </w:t>
      </w:r>
      <w:r>
        <w:rPr>
          <w:sz w:val="21"/>
        </w:rPr>
        <w:t>愿意</w:t>
      </w:r>
      <w:r>
        <w:rPr>
          <w:rFonts w:hint="eastAsia"/>
          <w:sz w:val="21"/>
          <w:lang w:val="en-US"/>
        </w:rPr>
        <w:t>以人民币（大写）</w:t>
      </w:r>
      <w:r>
        <w:rPr>
          <w:rFonts w:hint="eastAsia"/>
          <w:sz w:val="21"/>
          <w:u w:val="single"/>
          <w:lang w:val="en-US"/>
        </w:rPr>
        <w:t xml:space="preserve">         </w:t>
      </w:r>
      <w:r>
        <w:rPr>
          <w:rFonts w:hint="eastAsia"/>
          <w:sz w:val="21"/>
          <w:lang w:val="en-US"/>
        </w:rPr>
        <w:t>（￥</w:t>
      </w:r>
      <w:r>
        <w:rPr>
          <w:rFonts w:hint="eastAsia"/>
          <w:sz w:val="21"/>
          <w:u w:val="single"/>
          <w:lang w:val="en-US"/>
        </w:rPr>
        <w:t xml:space="preserve">        </w:t>
      </w:r>
      <w:r>
        <w:rPr>
          <w:rFonts w:hint="eastAsia"/>
          <w:sz w:val="21"/>
          <w:lang w:val="en-US"/>
        </w:rPr>
        <w:t>元）</w:t>
      </w:r>
      <w:r>
        <w:rPr>
          <w:rFonts w:hint="eastAsia"/>
          <w:spacing w:val="-12"/>
          <w:sz w:val="21"/>
          <w:lang w:val="en-US"/>
        </w:rPr>
        <w:t>进行第一轮投标报价</w:t>
      </w:r>
      <w:r>
        <w:rPr>
          <w:rFonts w:hint="eastAsia" w:ascii="黑体" w:hAnsi="黑体" w:eastAsia="黑体"/>
          <w:sz w:val="21"/>
        </w:rPr>
        <w:t>，</w:t>
      </w:r>
      <w:r>
        <w:rPr>
          <w:rFonts w:hint="eastAsia"/>
          <w:sz w:val="21"/>
          <w:lang w:val="en-US"/>
        </w:rPr>
        <w:t>工期</w:t>
      </w:r>
      <w:r>
        <w:rPr>
          <w:rFonts w:hint="eastAsia"/>
          <w:sz w:val="21"/>
          <w:u w:val="single"/>
          <w:lang w:val="en-US"/>
        </w:rPr>
        <w:t xml:space="preserve">        </w:t>
      </w:r>
      <w:r>
        <w:rPr>
          <w:rFonts w:hint="eastAsia"/>
          <w:sz w:val="21"/>
          <w:lang w:val="en-US"/>
        </w:rPr>
        <w:t>日历天，按合同约定实施和完成承包工程，修补工程中的任何缺陷，工程质量达到</w:t>
      </w:r>
      <w:r>
        <w:rPr>
          <w:rFonts w:hint="eastAsia"/>
          <w:sz w:val="21"/>
          <w:u w:val="single"/>
          <w:lang w:val="en-US"/>
        </w:rPr>
        <w:t xml:space="preserve">        </w:t>
      </w:r>
      <w:r>
        <w:rPr>
          <w:rFonts w:hint="eastAsia"/>
          <w:sz w:val="21"/>
          <w:lang w:val="en-US"/>
        </w:rPr>
        <w:t>。</w:t>
      </w:r>
    </w:p>
    <w:p w14:paraId="4C37CD42">
      <w:pPr>
        <w:pStyle w:val="37"/>
        <w:tabs>
          <w:tab w:val="left" w:pos="976"/>
          <w:tab w:val="left" w:pos="4019"/>
        </w:tabs>
        <w:spacing w:before="171"/>
        <w:ind w:left="659" w:firstLine="0"/>
        <w:rPr>
          <w:sz w:val="21"/>
        </w:rPr>
      </w:pPr>
      <w:r>
        <w:rPr>
          <w:rFonts w:hint="eastAsia"/>
          <w:sz w:val="21"/>
        </w:rPr>
        <w:t>2.我方承诺投标有效期为</w:t>
      </w:r>
      <w:r>
        <w:rPr>
          <w:rFonts w:hint="eastAsia"/>
          <w:sz w:val="21"/>
          <w:u w:val="single"/>
        </w:rPr>
        <w:t xml:space="preserve">   </w:t>
      </w:r>
      <w:r>
        <w:rPr>
          <w:rFonts w:hint="eastAsia"/>
          <w:sz w:val="21"/>
          <w:u w:val="single"/>
          <w:lang w:val="en-US"/>
        </w:rPr>
        <w:t xml:space="preserve">   </w:t>
      </w:r>
      <w:r>
        <w:rPr>
          <w:rFonts w:hint="eastAsia"/>
          <w:sz w:val="21"/>
          <w:u w:val="single"/>
        </w:rPr>
        <w:t xml:space="preserve"> </w:t>
      </w:r>
      <w:r>
        <w:rPr>
          <w:rFonts w:hint="eastAsia"/>
          <w:sz w:val="21"/>
        </w:rPr>
        <w:t>天，在投标有效期内不修改、撤销</w:t>
      </w:r>
      <w:r>
        <w:rPr>
          <w:rFonts w:hint="eastAsia"/>
          <w:sz w:val="21"/>
          <w:lang w:val="en-US"/>
        </w:rPr>
        <w:t>响应</w:t>
      </w:r>
      <w:r>
        <w:rPr>
          <w:rFonts w:hint="eastAsia"/>
          <w:sz w:val="21"/>
        </w:rPr>
        <w:t>文件。</w:t>
      </w:r>
    </w:p>
    <w:p w14:paraId="77DB6412">
      <w:pPr>
        <w:pStyle w:val="37"/>
        <w:tabs>
          <w:tab w:val="left" w:pos="976"/>
          <w:tab w:val="left" w:pos="4019"/>
        </w:tabs>
        <w:spacing w:before="171"/>
        <w:ind w:left="659" w:firstLine="0"/>
        <w:rPr>
          <w:sz w:val="21"/>
        </w:rPr>
      </w:pPr>
      <w:r>
        <w:rPr>
          <w:rFonts w:hint="eastAsia"/>
          <w:sz w:val="21"/>
        </w:rPr>
        <w:t>3.如我方</w:t>
      </w:r>
      <w:r>
        <w:rPr>
          <w:rFonts w:hint="eastAsia"/>
          <w:sz w:val="21"/>
          <w:lang w:val="en-US"/>
        </w:rPr>
        <w:t>成为成交供应商</w:t>
      </w:r>
      <w:r>
        <w:rPr>
          <w:rFonts w:hint="eastAsia"/>
          <w:sz w:val="21"/>
        </w:rPr>
        <w:t>：</w:t>
      </w:r>
    </w:p>
    <w:p w14:paraId="4D53E5B9">
      <w:pPr>
        <w:pStyle w:val="37"/>
        <w:tabs>
          <w:tab w:val="left" w:pos="976"/>
          <w:tab w:val="left" w:pos="4019"/>
        </w:tabs>
        <w:spacing w:before="171"/>
        <w:ind w:left="659" w:firstLine="0"/>
        <w:rPr>
          <w:sz w:val="21"/>
        </w:rPr>
      </w:pPr>
      <w:r>
        <w:rPr>
          <w:rFonts w:hint="eastAsia"/>
          <w:sz w:val="21"/>
        </w:rPr>
        <w:t>（1）我方承诺在收到</w:t>
      </w:r>
      <w:r>
        <w:rPr>
          <w:rFonts w:hint="eastAsia"/>
          <w:sz w:val="21"/>
          <w:lang w:val="en-US"/>
        </w:rPr>
        <w:t>成交</w:t>
      </w:r>
      <w:r>
        <w:rPr>
          <w:rFonts w:hint="eastAsia"/>
          <w:sz w:val="21"/>
        </w:rPr>
        <w:t>通知书后，在</w:t>
      </w:r>
      <w:r>
        <w:rPr>
          <w:rFonts w:hint="eastAsia"/>
          <w:sz w:val="21"/>
          <w:lang w:val="en-US"/>
        </w:rPr>
        <w:t>成交</w:t>
      </w:r>
      <w:r>
        <w:rPr>
          <w:rFonts w:hint="eastAsia"/>
          <w:sz w:val="21"/>
        </w:rPr>
        <w:t>通知书规定的期限内与你方签订合同。</w:t>
      </w:r>
    </w:p>
    <w:p w14:paraId="040D00F7">
      <w:pPr>
        <w:pStyle w:val="37"/>
        <w:tabs>
          <w:tab w:val="left" w:pos="976"/>
          <w:tab w:val="left" w:pos="4019"/>
        </w:tabs>
        <w:spacing w:before="171"/>
        <w:ind w:left="659" w:firstLine="0"/>
        <w:rPr>
          <w:sz w:val="21"/>
        </w:rPr>
      </w:pPr>
      <w:r>
        <w:rPr>
          <w:rFonts w:hint="eastAsia"/>
          <w:sz w:val="21"/>
        </w:rPr>
        <w:t>（2）随同本投标函递交的投标函附录</w:t>
      </w:r>
      <w:r>
        <w:rPr>
          <w:rFonts w:hint="eastAsia"/>
          <w:sz w:val="21"/>
          <w:lang w:val="en-US"/>
        </w:rPr>
        <w:t>及二次（最终）报价清单</w:t>
      </w:r>
      <w:r>
        <w:rPr>
          <w:rFonts w:hint="eastAsia"/>
          <w:sz w:val="21"/>
        </w:rPr>
        <w:t>属于合同文件的组成部分。</w:t>
      </w:r>
    </w:p>
    <w:p w14:paraId="5831D87A">
      <w:pPr>
        <w:pStyle w:val="37"/>
        <w:tabs>
          <w:tab w:val="left" w:pos="976"/>
          <w:tab w:val="left" w:pos="4019"/>
        </w:tabs>
        <w:spacing w:before="171"/>
        <w:ind w:left="659" w:firstLine="0"/>
        <w:rPr>
          <w:sz w:val="21"/>
        </w:rPr>
      </w:pPr>
      <w:r>
        <w:rPr>
          <w:rFonts w:hint="eastAsia"/>
          <w:sz w:val="21"/>
        </w:rPr>
        <w:t>（3）我方承诺按照</w:t>
      </w:r>
      <w:r>
        <w:rPr>
          <w:rFonts w:hint="eastAsia"/>
          <w:sz w:val="21"/>
          <w:lang w:val="en-US"/>
        </w:rPr>
        <w:t>磋商</w:t>
      </w:r>
      <w:r>
        <w:rPr>
          <w:rFonts w:hint="eastAsia"/>
          <w:sz w:val="21"/>
        </w:rPr>
        <w:t>文件规定向你方递交履约担保（</w:t>
      </w:r>
      <w:r>
        <w:rPr>
          <w:rFonts w:hint="eastAsia"/>
          <w:sz w:val="21"/>
          <w:lang w:val="en-US"/>
        </w:rPr>
        <w:t>如有</w:t>
      </w:r>
      <w:r>
        <w:rPr>
          <w:rFonts w:hint="eastAsia"/>
          <w:sz w:val="21"/>
        </w:rPr>
        <w:t>）。</w:t>
      </w:r>
    </w:p>
    <w:p w14:paraId="5C877CBE">
      <w:pPr>
        <w:pStyle w:val="37"/>
        <w:tabs>
          <w:tab w:val="left" w:pos="976"/>
          <w:tab w:val="left" w:pos="4019"/>
        </w:tabs>
        <w:spacing w:before="171"/>
        <w:ind w:left="659" w:firstLine="0"/>
        <w:rPr>
          <w:sz w:val="21"/>
        </w:rPr>
      </w:pPr>
      <w:r>
        <w:rPr>
          <w:rFonts w:hint="eastAsia"/>
          <w:sz w:val="21"/>
        </w:rPr>
        <w:t>（4）我方承诺在合同约定的期限内完成并移交全部合同工程并保证工程质量。</w:t>
      </w:r>
    </w:p>
    <w:p w14:paraId="46455773">
      <w:pPr>
        <w:pStyle w:val="37"/>
        <w:tabs>
          <w:tab w:val="left" w:pos="976"/>
          <w:tab w:val="left" w:pos="4019"/>
        </w:tabs>
        <w:spacing w:before="171"/>
        <w:ind w:left="0" w:firstLine="630" w:firstLineChars="300"/>
        <w:rPr>
          <w:sz w:val="21"/>
        </w:rPr>
      </w:pPr>
      <w:r>
        <w:rPr>
          <w:rFonts w:hint="eastAsia"/>
          <w:sz w:val="21"/>
        </w:rPr>
        <w:t>（5）我方承诺本工程施工中不拖欠农民工工资。</w:t>
      </w:r>
    </w:p>
    <w:p w14:paraId="02D2EFB1">
      <w:pPr>
        <w:pStyle w:val="37"/>
        <w:tabs>
          <w:tab w:val="left" w:pos="976"/>
          <w:tab w:val="left" w:pos="4019"/>
        </w:tabs>
        <w:spacing w:before="171" w:line="360" w:lineRule="auto"/>
        <w:ind w:left="659" w:firstLine="0"/>
        <w:rPr>
          <w:sz w:val="21"/>
        </w:rPr>
      </w:pPr>
      <w:r>
        <w:rPr>
          <w:rFonts w:hint="eastAsia"/>
          <w:sz w:val="21"/>
        </w:rPr>
        <w:t>（6）若我方在</w:t>
      </w:r>
      <w:r>
        <w:rPr>
          <w:rFonts w:hint="eastAsia"/>
          <w:sz w:val="21"/>
          <w:lang w:val="en-US"/>
        </w:rPr>
        <w:t>本项目采购活动</w:t>
      </w:r>
      <w:r>
        <w:rPr>
          <w:rFonts w:hint="eastAsia"/>
          <w:sz w:val="21"/>
        </w:rPr>
        <w:t>中有违规行为，你方有权中止我方</w:t>
      </w:r>
      <w:r>
        <w:rPr>
          <w:rFonts w:hint="eastAsia"/>
          <w:sz w:val="21"/>
          <w:lang w:val="en-US"/>
        </w:rPr>
        <w:t>投标</w:t>
      </w:r>
      <w:r>
        <w:rPr>
          <w:rFonts w:hint="eastAsia"/>
          <w:sz w:val="21"/>
        </w:rPr>
        <w:t>活动或取消我方</w:t>
      </w:r>
      <w:r>
        <w:rPr>
          <w:rFonts w:hint="eastAsia"/>
          <w:sz w:val="21"/>
          <w:lang w:val="en-US"/>
        </w:rPr>
        <w:t>成交</w:t>
      </w:r>
      <w:r>
        <w:rPr>
          <w:rFonts w:hint="eastAsia"/>
          <w:sz w:val="21"/>
        </w:rPr>
        <w:t>资格。</w:t>
      </w:r>
    </w:p>
    <w:p w14:paraId="328304CC">
      <w:pPr>
        <w:pStyle w:val="37"/>
        <w:tabs>
          <w:tab w:val="left" w:pos="976"/>
          <w:tab w:val="left" w:pos="4019"/>
        </w:tabs>
        <w:spacing w:before="171"/>
        <w:ind w:left="659" w:firstLine="0"/>
        <w:rPr>
          <w:sz w:val="21"/>
        </w:rPr>
      </w:pPr>
      <w:r>
        <w:rPr>
          <w:rFonts w:hint="eastAsia"/>
          <w:sz w:val="21"/>
        </w:rPr>
        <w:t>4.我方在此声明，所递交的</w:t>
      </w:r>
      <w:r>
        <w:rPr>
          <w:rFonts w:hint="eastAsia"/>
          <w:sz w:val="21"/>
          <w:lang w:val="en-US"/>
        </w:rPr>
        <w:t>响应</w:t>
      </w:r>
      <w:r>
        <w:rPr>
          <w:rFonts w:hint="eastAsia"/>
          <w:sz w:val="21"/>
        </w:rPr>
        <w:t>文件及有关资料内容完整、真实和准确。</w:t>
      </w:r>
    </w:p>
    <w:p w14:paraId="2140A1FA">
      <w:pPr>
        <w:pStyle w:val="37"/>
        <w:tabs>
          <w:tab w:val="left" w:pos="976"/>
          <w:tab w:val="left" w:pos="4019"/>
        </w:tabs>
        <w:spacing w:before="171"/>
        <w:ind w:left="659" w:firstLine="0"/>
        <w:rPr>
          <w:spacing w:val="-106"/>
          <w:sz w:val="21"/>
        </w:rPr>
      </w:pPr>
      <w:r>
        <w:rPr>
          <w:rFonts w:hint="eastAsia"/>
          <w:sz w:val="21"/>
        </w:rPr>
        <w:t>5.</w:t>
      </w:r>
      <w:r>
        <w:rPr>
          <w:rFonts w:hint="eastAsia"/>
          <w:sz w:val="21"/>
          <w:u w:val="single"/>
        </w:rPr>
        <w:t xml:space="preserve">                                 </w:t>
      </w:r>
      <w:r>
        <w:rPr>
          <w:rFonts w:hint="eastAsia"/>
          <w:sz w:val="21"/>
        </w:rPr>
        <w:t>（其他补充说明）。</w:t>
      </w:r>
    </w:p>
    <w:p w14:paraId="68986193">
      <w:pPr>
        <w:pStyle w:val="37"/>
        <w:tabs>
          <w:tab w:val="left" w:pos="976"/>
          <w:tab w:val="left" w:pos="4019"/>
        </w:tabs>
        <w:spacing w:before="171"/>
        <w:ind w:left="0" w:firstLine="0"/>
        <w:rPr>
          <w:spacing w:val="-106"/>
          <w:sz w:val="21"/>
        </w:rPr>
      </w:pPr>
    </w:p>
    <w:p w14:paraId="676180B9">
      <w:pPr>
        <w:pStyle w:val="37"/>
        <w:tabs>
          <w:tab w:val="left" w:pos="976"/>
          <w:tab w:val="left" w:pos="4019"/>
        </w:tabs>
        <w:spacing w:before="171"/>
        <w:ind w:left="0" w:firstLine="0"/>
        <w:rPr>
          <w:spacing w:val="-106"/>
          <w:sz w:val="21"/>
          <w:lang w:val="en-US"/>
        </w:rPr>
      </w:pPr>
      <w:r>
        <w:rPr>
          <w:rFonts w:hint="eastAsia"/>
          <w:spacing w:val="-106"/>
          <w:sz w:val="21"/>
          <w:lang w:val="en-US"/>
        </w:rPr>
        <w:t xml:space="preserve">      </w:t>
      </w:r>
    </w:p>
    <w:p w14:paraId="43C1DF79">
      <w:pPr>
        <w:pStyle w:val="37"/>
        <w:tabs>
          <w:tab w:val="left" w:pos="976"/>
          <w:tab w:val="left" w:pos="4019"/>
        </w:tabs>
        <w:spacing w:before="171"/>
        <w:ind w:left="0" w:firstLine="0"/>
        <w:rPr>
          <w:spacing w:val="-106"/>
          <w:sz w:val="21"/>
        </w:rPr>
      </w:pPr>
    </w:p>
    <w:p w14:paraId="0C3EF6AA">
      <w:pPr>
        <w:pStyle w:val="12"/>
        <w:tabs>
          <w:tab w:val="left" w:pos="6539"/>
          <w:tab w:val="left" w:pos="7379"/>
        </w:tabs>
        <w:spacing w:before="80" w:line="393" w:lineRule="auto"/>
        <w:ind w:right="939" w:firstLine="3306" w:firstLineChars="1900"/>
        <w:rPr>
          <w:spacing w:val="-18"/>
          <w:lang w:val="en-US"/>
        </w:rPr>
      </w:pPr>
      <w:r>
        <w:rPr>
          <w:rFonts w:hint="eastAsia"/>
          <w:spacing w:val="-18"/>
          <w:lang w:val="en-US"/>
        </w:rPr>
        <w:t xml:space="preserve">   </w:t>
      </w:r>
      <w:r>
        <w:rPr>
          <w:rFonts w:hint="eastAsia"/>
          <w:spacing w:val="-106"/>
          <w:lang w:val="en-US"/>
        </w:rPr>
        <w:t xml:space="preserve">        </w:t>
      </w:r>
      <w:r>
        <w:rPr>
          <w:rFonts w:hint="eastAsia"/>
          <w:lang w:val="en-US"/>
        </w:rPr>
        <w:t>供应商</w:t>
      </w:r>
      <w:r>
        <w:t>：</w:t>
      </w:r>
      <w:r>
        <w:rPr>
          <w:u w:val="single"/>
        </w:rPr>
        <w:t xml:space="preserve"> </w:t>
      </w:r>
      <w:r>
        <w:rPr>
          <w:rFonts w:hint="eastAsia"/>
          <w:u w:val="single"/>
          <w:lang w:val="en-US"/>
        </w:rPr>
        <w:t xml:space="preserve">                </w:t>
      </w:r>
      <w:r>
        <w:rPr>
          <w:rFonts w:hint="eastAsia"/>
          <w:u w:val="single"/>
          <w:lang w:val="en-US" w:eastAsia="zh-CN"/>
        </w:rPr>
        <w:t xml:space="preserve"> </w:t>
      </w:r>
      <w:r>
        <w:t>（</w:t>
      </w:r>
      <w:r>
        <w:rPr>
          <w:rFonts w:hint="eastAsia" w:ascii="宋体" w:hAnsi="宋体" w:cs="宋体"/>
          <w:szCs w:val="21"/>
        </w:rPr>
        <w:t>单位电子CA印章</w:t>
      </w:r>
      <w:r>
        <w:rPr>
          <w:spacing w:val="-18"/>
        </w:rPr>
        <w:t>）</w:t>
      </w:r>
    </w:p>
    <w:p w14:paraId="48D514BE">
      <w:pPr>
        <w:pStyle w:val="12"/>
        <w:tabs>
          <w:tab w:val="left" w:pos="6539"/>
          <w:tab w:val="left" w:pos="7379"/>
        </w:tabs>
        <w:spacing w:before="80" w:line="393" w:lineRule="auto"/>
        <w:ind w:right="939"/>
      </w:pPr>
      <w:r>
        <w:rPr>
          <w:spacing w:val="-18"/>
        </w:rPr>
        <w:t xml:space="preserve"> </w:t>
      </w:r>
      <w:r>
        <w:rPr>
          <w:rFonts w:hint="eastAsia"/>
          <w:spacing w:val="-18"/>
          <w:lang w:val="en-US"/>
        </w:rPr>
        <w:t xml:space="preserve">                                        </w:t>
      </w:r>
      <w:r>
        <w:t>法定代表人或其委托代理人：</w:t>
      </w:r>
      <w:r>
        <w:rPr>
          <w:u w:val="single"/>
        </w:rPr>
        <w:t xml:space="preserve"> </w:t>
      </w:r>
      <w:r>
        <w:rPr>
          <w:rFonts w:hint="eastAsia"/>
          <w:u w:val="single"/>
          <w:lang w:val="en-US"/>
        </w:rPr>
        <w:t xml:space="preserve"> </w:t>
      </w:r>
      <w:r>
        <w:t>（</w:t>
      </w:r>
      <w:r>
        <w:rPr>
          <w:rFonts w:hint="eastAsia"/>
        </w:rPr>
        <w:t>按照要求正确签署</w:t>
      </w:r>
      <w:r>
        <w:t>）</w:t>
      </w:r>
    </w:p>
    <w:p w14:paraId="12CB48BB">
      <w:pPr>
        <w:pStyle w:val="12"/>
        <w:tabs>
          <w:tab w:val="left" w:pos="3389"/>
          <w:tab w:val="left" w:pos="8639"/>
        </w:tabs>
        <w:spacing w:line="267" w:lineRule="exact"/>
        <w:ind w:firstLine="3570" w:firstLineChars="1700"/>
        <w:rPr>
          <w:rFonts w:ascii="Times New Roman"/>
          <w:lang w:val="en-US"/>
        </w:rPr>
      </w:pPr>
      <w:r>
        <w:t>地址：</w:t>
      </w:r>
      <w:r>
        <w:rPr>
          <w:rFonts w:ascii="Times New Roman" w:eastAsia="Times New Roman"/>
          <w:u w:val="single"/>
        </w:rPr>
        <w:t xml:space="preserve"> </w:t>
      </w:r>
      <w:r>
        <w:rPr>
          <w:rFonts w:hint="eastAsia" w:ascii="Times New Roman"/>
          <w:u w:val="single"/>
          <w:lang w:val="en-US"/>
        </w:rPr>
        <w:t xml:space="preserve">                                                                              </w:t>
      </w:r>
    </w:p>
    <w:p w14:paraId="3C15BA68">
      <w:pPr>
        <w:pStyle w:val="12"/>
        <w:tabs>
          <w:tab w:val="left" w:pos="3389"/>
          <w:tab w:val="left" w:pos="8639"/>
        </w:tabs>
        <w:spacing w:before="172"/>
        <w:ind w:firstLine="3570" w:firstLineChars="1700"/>
        <w:rPr>
          <w:rFonts w:ascii="Times New Roman"/>
          <w:lang w:val="en-US"/>
        </w:rPr>
      </w:pPr>
      <w:r>
        <w:t>电话：</w:t>
      </w:r>
      <w:r>
        <w:rPr>
          <w:rFonts w:ascii="Times New Roman" w:eastAsia="Times New Roman"/>
          <w:u w:val="single"/>
        </w:rPr>
        <w:t xml:space="preserve"> </w:t>
      </w:r>
      <w:r>
        <w:rPr>
          <w:rFonts w:hint="eastAsia" w:ascii="Times New Roman"/>
          <w:u w:val="single"/>
          <w:lang w:val="en-US"/>
        </w:rPr>
        <w:t xml:space="preserve">                                                                              </w:t>
      </w:r>
    </w:p>
    <w:p w14:paraId="4E3A10C4">
      <w:pPr>
        <w:pStyle w:val="12"/>
        <w:tabs>
          <w:tab w:val="left" w:pos="8639"/>
        </w:tabs>
        <w:spacing w:before="170"/>
        <w:rPr>
          <w:rFonts w:ascii="Times New Roman" w:eastAsia="Times New Roman"/>
        </w:rPr>
      </w:pPr>
    </w:p>
    <w:p w14:paraId="695B2A7B">
      <w:pPr>
        <w:pStyle w:val="12"/>
        <w:spacing w:before="9"/>
        <w:rPr>
          <w:rFonts w:ascii="Times New Roman"/>
          <w:sz w:val="8"/>
        </w:rPr>
      </w:pPr>
    </w:p>
    <w:p w14:paraId="35853708">
      <w:pPr>
        <w:pStyle w:val="12"/>
        <w:tabs>
          <w:tab w:val="left" w:pos="6989"/>
          <w:tab w:val="left" w:pos="7829"/>
          <w:tab w:val="left" w:pos="8669"/>
        </w:tabs>
        <w:spacing w:before="70"/>
        <w:ind w:firstLine="6090" w:firstLineChars="2900"/>
        <w:rPr>
          <w:spacing w:val="-106"/>
          <w:lang w:val="en-US"/>
        </w:rPr>
        <w:sectPr>
          <w:pgSz w:w="12240" w:h="15840"/>
          <w:pgMar w:top="1440" w:right="1080" w:bottom="1440" w:left="1080" w:header="0" w:footer="844" w:gutter="0"/>
          <w:pgNumType w:fmt="decimal"/>
          <w:cols w:space="720" w:num="1"/>
        </w:sectPr>
      </w:pPr>
      <w:r>
        <w:rPr>
          <w:rFonts w:ascii="Times New Roman" w:eastAsia="Times New Roman"/>
          <w:u w:val="single"/>
        </w:rPr>
        <w:t xml:space="preserve"> </w:t>
      </w:r>
      <w:r>
        <w:rPr>
          <w:rFonts w:hint="eastAsia" w:ascii="Times New Roman"/>
          <w:u w:val="single"/>
          <w:lang w:val="en-US"/>
        </w:rPr>
        <w:t xml:space="preserve">          </w:t>
      </w:r>
      <w:r>
        <w:t>年</w:t>
      </w:r>
      <w:r>
        <w:rPr>
          <w:u w:val="single"/>
        </w:rPr>
        <w:t xml:space="preserve"> </w:t>
      </w:r>
      <w:r>
        <w:rPr>
          <w:rFonts w:hint="eastAsia"/>
          <w:u w:val="single"/>
          <w:lang w:val="en-US"/>
        </w:rPr>
        <w:t xml:space="preserve">    </w:t>
      </w:r>
      <w:r>
        <w:t>月</w:t>
      </w:r>
      <w:r>
        <w:rPr>
          <w:u w:val="single"/>
        </w:rPr>
        <w:t xml:space="preserve"> </w:t>
      </w:r>
      <w:r>
        <w:rPr>
          <w:rFonts w:hint="eastAsia"/>
          <w:u w:val="single"/>
          <w:lang w:val="en-US"/>
        </w:rPr>
        <w:t xml:space="preserve">    </w:t>
      </w:r>
      <w:r>
        <w:t>日</w:t>
      </w:r>
    </w:p>
    <w:p w14:paraId="5402A318">
      <w:pPr>
        <w:pStyle w:val="12"/>
        <w:rPr>
          <w:sz w:val="20"/>
        </w:rPr>
      </w:pPr>
    </w:p>
    <w:p w14:paraId="38C51A85">
      <w:pPr>
        <w:spacing w:line="360" w:lineRule="auto"/>
        <w:jc w:val="center"/>
        <w:rPr>
          <w:b/>
          <w:bCs/>
          <w:sz w:val="28"/>
          <w:szCs w:val="28"/>
        </w:rPr>
      </w:pPr>
      <w:bookmarkStart w:id="824" w:name="_TOC_250015"/>
      <w:bookmarkEnd w:id="824"/>
      <w:r>
        <w:rPr>
          <w:rFonts w:hint="eastAsia"/>
          <w:b/>
          <w:bCs/>
          <w:sz w:val="28"/>
          <w:szCs w:val="28"/>
        </w:rPr>
        <w:t>（二）投标函附录（</w:t>
      </w:r>
      <w:r>
        <w:rPr>
          <w:rFonts w:hint="eastAsia"/>
          <w:b/>
          <w:bCs/>
          <w:sz w:val="28"/>
          <w:szCs w:val="28"/>
          <w:lang w:val="en-US"/>
        </w:rPr>
        <w:t>竞争性磋商第一</w:t>
      </w:r>
      <w:r>
        <w:rPr>
          <w:rFonts w:hint="eastAsia"/>
          <w:b/>
          <w:bCs/>
          <w:sz w:val="28"/>
          <w:szCs w:val="28"/>
          <w:lang w:val="en-US" w:eastAsia="zh-CN"/>
        </w:rPr>
        <w:t>次</w:t>
      </w:r>
      <w:r>
        <w:rPr>
          <w:rFonts w:hint="eastAsia"/>
          <w:b/>
          <w:bCs/>
          <w:sz w:val="28"/>
          <w:szCs w:val="28"/>
          <w:lang w:val="en-US"/>
        </w:rPr>
        <w:t>报价</w:t>
      </w:r>
      <w:r>
        <w:rPr>
          <w:rFonts w:hint="eastAsia"/>
          <w:b/>
          <w:bCs/>
          <w:sz w:val="28"/>
          <w:szCs w:val="28"/>
        </w:rPr>
        <w:t>）</w:t>
      </w:r>
    </w:p>
    <w:p w14:paraId="2150EC02">
      <w:pPr>
        <w:spacing w:line="360" w:lineRule="auto"/>
        <w:jc w:val="both"/>
        <w:rPr>
          <w:sz w:val="24"/>
          <w:szCs w:val="24"/>
        </w:rPr>
      </w:pPr>
    </w:p>
    <w:tbl>
      <w:tblPr>
        <w:tblStyle w:val="27"/>
        <w:tblW w:w="922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44"/>
        <w:gridCol w:w="2414"/>
        <w:gridCol w:w="1950"/>
        <w:gridCol w:w="2521"/>
      </w:tblGrid>
      <w:tr w14:paraId="253AA4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2" w:hRule="atLeast"/>
          <w:jc w:val="center"/>
        </w:trPr>
        <w:tc>
          <w:tcPr>
            <w:tcW w:w="2344" w:type="dxa"/>
            <w:tcBorders>
              <w:top w:val="single" w:color="auto" w:sz="12" w:space="0"/>
            </w:tcBorders>
            <w:vAlign w:val="center"/>
          </w:tcPr>
          <w:p w14:paraId="631050E9">
            <w:pPr>
              <w:spacing w:line="540" w:lineRule="exact"/>
              <w:jc w:val="center"/>
              <w:rPr>
                <w:sz w:val="21"/>
                <w:szCs w:val="21"/>
                <w:lang w:val="en-US"/>
              </w:rPr>
            </w:pPr>
            <w:r>
              <w:rPr>
                <w:rFonts w:hint="eastAsia"/>
                <w:sz w:val="21"/>
                <w:szCs w:val="21"/>
                <w:lang w:val="en-US"/>
              </w:rPr>
              <w:t>项目名称</w:t>
            </w:r>
          </w:p>
        </w:tc>
        <w:tc>
          <w:tcPr>
            <w:tcW w:w="6885" w:type="dxa"/>
            <w:gridSpan w:val="3"/>
            <w:tcBorders>
              <w:top w:val="single" w:color="auto" w:sz="12" w:space="0"/>
            </w:tcBorders>
            <w:vAlign w:val="center"/>
          </w:tcPr>
          <w:p w14:paraId="22FB79AE">
            <w:pPr>
              <w:pStyle w:val="10"/>
              <w:spacing w:before="0" w:line="540" w:lineRule="exact"/>
              <w:rPr>
                <w:rFonts w:ascii="宋体" w:hAnsi="宋体"/>
                <w:color w:val="auto"/>
                <w:sz w:val="21"/>
                <w:szCs w:val="21"/>
              </w:rPr>
            </w:pPr>
          </w:p>
        </w:tc>
      </w:tr>
      <w:tr w14:paraId="4E2744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2344" w:type="dxa"/>
            <w:vAlign w:val="center"/>
          </w:tcPr>
          <w:p w14:paraId="29596B0F">
            <w:pPr>
              <w:spacing w:line="540" w:lineRule="exact"/>
              <w:jc w:val="center"/>
              <w:rPr>
                <w:sz w:val="21"/>
                <w:szCs w:val="21"/>
              </w:rPr>
            </w:pPr>
            <w:r>
              <w:rPr>
                <w:rFonts w:hint="eastAsia"/>
                <w:sz w:val="21"/>
                <w:szCs w:val="21"/>
                <w:lang w:val="en-US"/>
              </w:rPr>
              <w:t>供应商</w:t>
            </w:r>
          </w:p>
        </w:tc>
        <w:tc>
          <w:tcPr>
            <w:tcW w:w="6885" w:type="dxa"/>
            <w:gridSpan w:val="3"/>
            <w:vAlign w:val="center"/>
          </w:tcPr>
          <w:p w14:paraId="71F0E41E">
            <w:pPr>
              <w:spacing w:line="540" w:lineRule="exact"/>
              <w:rPr>
                <w:szCs w:val="21"/>
              </w:rPr>
            </w:pPr>
          </w:p>
        </w:tc>
      </w:tr>
      <w:tr w14:paraId="377794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2344" w:type="dxa"/>
            <w:vAlign w:val="center"/>
          </w:tcPr>
          <w:p w14:paraId="74389DA3">
            <w:pPr>
              <w:spacing w:line="240" w:lineRule="exact"/>
              <w:jc w:val="center"/>
              <w:rPr>
                <w:sz w:val="21"/>
                <w:szCs w:val="21"/>
                <w:lang w:val="en-US"/>
              </w:rPr>
            </w:pPr>
            <w:r>
              <w:rPr>
                <w:rFonts w:hint="eastAsia"/>
                <w:szCs w:val="28"/>
              </w:rPr>
              <w:t>投</w:t>
            </w:r>
            <w:r>
              <w:rPr>
                <w:rFonts w:hint="eastAsia"/>
                <w:szCs w:val="28"/>
                <w:lang w:val="en-US"/>
              </w:rPr>
              <w:t>报</w:t>
            </w:r>
            <w:r>
              <w:rPr>
                <w:rFonts w:hint="eastAsia"/>
                <w:szCs w:val="28"/>
              </w:rPr>
              <w:t>范围</w:t>
            </w:r>
          </w:p>
        </w:tc>
        <w:tc>
          <w:tcPr>
            <w:tcW w:w="6885" w:type="dxa"/>
            <w:gridSpan w:val="3"/>
            <w:vAlign w:val="center"/>
          </w:tcPr>
          <w:p w14:paraId="7CC1936C">
            <w:pPr>
              <w:spacing w:line="240" w:lineRule="exact"/>
              <w:rPr>
                <w:sz w:val="21"/>
                <w:szCs w:val="21"/>
              </w:rPr>
            </w:pPr>
            <w:r>
              <w:rPr>
                <w:rFonts w:hint="eastAsia"/>
                <w:sz w:val="21"/>
                <w:szCs w:val="21"/>
              </w:rPr>
              <w:t>本项目工程量清单及施工图纸所包含的全部内容</w:t>
            </w:r>
          </w:p>
        </w:tc>
      </w:tr>
      <w:tr w14:paraId="37803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57" w:hRule="atLeast"/>
          <w:jc w:val="center"/>
        </w:trPr>
        <w:tc>
          <w:tcPr>
            <w:tcW w:w="2344" w:type="dxa"/>
            <w:vAlign w:val="center"/>
          </w:tcPr>
          <w:p w14:paraId="6390610D">
            <w:pPr>
              <w:spacing w:line="540" w:lineRule="exact"/>
              <w:jc w:val="center"/>
              <w:rPr>
                <w:sz w:val="21"/>
                <w:szCs w:val="21"/>
                <w:lang w:val="en-US"/>
              </w:rPr>
            </w:pPr>
            <w:r>
              <w:rPr>
                <w:rFonts w:hint="eastAsia"/>
                <w:sz w:val="21"/>
                <w:szCs w:val="21"/>
                <w:lang w:val="en-US"/>
              </w:rPr>
              <w:t>第一</w:t>
            </w:r>
            <w:r>
              <w:rPr>
                <w:rFonts w:hint="eastAsia"/>
                <w:sz w:val="21"/>
                <w:szCs w:val="21"/>
                <w:lang w:val="en-US" w:eastAsia="zh-CN"/>
              </w:rPr>
              <w:t>次磋商</w:t>
            </w:r>
            <w:r>
              <w:rPr>
                <w:rFonts w:hint="eastAsia"/>
                <w:sz w:val="21"/>
                <w:szCs w:val="21"/>
                <w:lang w:val="en-US"/>
              </w:rPr>
              <w:t>报价</w:t>
            </w:r>
          </w:p>
        </w:tc>
        <w:tc>
          <w:tcPr>
            <w:tcW w:w="6885" w:type="dxa"/>
            <w:gridSpan w:val="3"/>
            <w:vAlign w:val="center"/>
          </w:tcPr>
          <w:p w14:paraId="0F179F07">
            <w:pPr>
              <w:spacing w:line="312" w:lineRule="auto"/>
              <w:rPr>
                <w:sz w:val="21"/>
                <w:szCs w:val="21"/>
                <w:lang w:val="en-US"/>
              </w:rPr>
            </w:pPr>
            <w:r>
              <w:rPr>
                <w:rFonts w:hint="eastAsia"/>
                <w:sz w:val="21"/>
                <w:szCs w:val="21"/>
                <w:lang w:val="en-US"/>
              </w:rPr>
              <w:t>小写：</w:t>
            </w:r>
            <w:r>
              <w:rPr>
                <w:rFonts w:hint="eastAsia"/>
                <w:sz w:val="21"/>
                <w:szCs w:val="21"/>
                <w:u w:val="single"/>
                <w:lang w:val="en-US"/>
              </w:rPr>
              <w:t xml:space="preserve">　　　     </w:t>
            </w:r>
            <w:r>
              <w:rPr>
                <w:rFonts w:hint="eastAsia"/>
                <w:sz w:val="21"/>
                <w:szCs w:val="21"/>
                <w:lang w:val="en-US"/>
              </w:rPr>
              <w:t>元</w:t>
            </w:r>
          </w:p>
          <w:p w14:paraId="07D0F6AE">
            <w:pPr>
              <w:spacing w:line="540" w:lineRule="exact"/>
              <w:rPr>
                <w:sz w:val="21"/>
                <w:szCs w:val="21"/>
                <w:lang w:val="en-US"/>
              </w:rPr>
            </w:pPr>
            <w:r>
              <w:rPr>
                <w:rFonts w:hint="eastAsia"/>
                <w:sz w:val="21"/>
                <w:szCs w:val="21"/>
                <w:lang w:val="en-US"/>
              </w:rPr>
              <w:t>大写：</w:t>
            </w:r>
            <w:r>
              <w:rPr>
                <w:rFonts w:hint="eastAsia"/>
                <w:sz w:val="21"/>
                <w:szCs w:val="21"/>
                <w:u w:val="single"/>
                <w:lang w:val="en-US"/>
              </w:rPr>
              <w:t xml:space="preserve">           </w:t>
            </w:r>
            <w:r>
              <w:rPr>
                <w:rFonts w:hint="eastAsia"/>
                <w:sz w:val="21"/>
                <w:szCs w:val="21"/>
                <w:lang w:val="en-US"/>
              </w:rPr>
              <w:t>元</w:t>
            </w:r>
          </w:p>
        </w:tc>
      </w:tr>
      <w:tr w14:paraId="221E49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3" w:hRule="atLeast"/>
          <w:jc w:val="center"/>
        </w:trPr>
        <w:tc>
          <w:tcPr>
            <w:tcW w:w="2344" w:type="dxa"/>
            <w:vAlign w:val="center"/>
          </w:tcPr>
          <w:p w14:paraId="0F34F134">
            <w:pPr>
              <w:spacing w:line="540" w:lineRule="exact"/>
              <w:jc w:val="center"/>
              <w:rPr>
                <w:sz w:val="21"/>
                <w:szCs w:val="21"/>
                <w:lang w:val="en-US"/>
              </w:rPr>
            </w:pPr>
            <w:r>
              <w:rPr>
                <w:rFonts w:hint="eastAsia"/>
                <w:sz w:val="21"/>
                <w:szCs w:val="21"/>
                <w:lang w:val="en-US"/>
              </w:rPr>
              <w:t>投标有效期</w:t>
            </w:r>
          </w:p>
          <w:p w14:paraId="4DFB6C58">
            <w:pPr>
              <w:pStyle w:val="25"/>
              <w:ind w:firstLine="630" w:firstLineChars="300"/>
              <w:rPr>
                <w:lang w:val="en-US"/>
              </w:rPr>
            </w:pPr>
          </w:p>
        </w:tc>
        <w:tc>
          <w:tcPr>
            <w:tcW w:w="6885" w:type="dxa"/>
            <w:gridSpan w:val="3"/>
            <w:vAlign w:val="center"/>
          </w:tcPr>
          <w:p w14:paraId="7B516AAF">
            <w:pPr>
              <w:spacing w:line="540" w:lineRule="exact"/>
              <w:rPr>
                <w:sz w:val="21"/>
                <w:szCs w:val="21"/>
                <w:lang w:val="en-US"/>
              </w:rPr>
            </w:pPr>
            <w:r>
              <w:rPr>
                <w:rFonts w:hint="eastAsia"/>
                <w:sz w:val="21"/>
                <w:szCs w:val="21"/>
                <w:u w:val="single"/>
                <w:lang w:val="en-US"/>
              </w:rPr>
              <w:t xml:space="preserve">         </w:t>
            </w:r>
            <w:r>
              <w:rPr>
                <w:rFonts w:hint="eastAsia"/>
                <w:sz w:val="21"/>
                <w:szCs w:val="21"/>
                <w:lang w:val="en-US"/>
              </w:rPr>
              <w:t>日历天</w:t>
            </w:r>
          </w:p>
        </w:tc>
      </w:tr>
      <w:tr w14:paraId="29DDFD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2344" w:type="dxa"/>
            <w:vAlign w:val="center"/>
          </w:tcPr>
          <w:p w14:paraId="3151F453">
            <w:pPr>
              <w:spacing w:line="540" w:lineRule="exact"/>
              <w:jc w:val="center"/>
              <w:rPr>
                <w:sz w:val="21"/>
                <w:szCs w:val="21"/>
                <w:lang w:val="en-US"/>
              </w:rPr>
            </w:pPr>
            <w:r>
              <w:rPr>
                <w:rFonts w:hint="eastAsia"/>
                <w:sz w:val="21"/>
                <w:szCs w:val="21"/>
                <w:lang w:val="en-US"/>
              </w:rPr>
              <w:t>投报质量</w:t>
            </w:r>
          </w:p>
        </w:tc>
        <w:tc>
          <w:tcPr>
            <w:tcW w:w="6885" w:type="dxa"/>
            <w:gridSpan w:val="3"/>
            <w:vAlign w:val="center"/>
          </w:tcPr>
          <w:p w14:paraId="26B6ABF2">
            <w:pPr>
              <w:pStyle w:val="10"/>
              <w:spacing w:before="0" w:line="540" w:lineRule="exact"/>
              <w:rPr>
                <w:rFonts w:ascii="宋体" w:hAnsi="宋体"/>
                <w:color w:val="auto"/>
                <w:sz w:val="21"/>
                <w:szCs w:val="21"/>
                <w:lang w:val="en-US"/>
              </w:rPr>
            </w:pPr>
          </w:p>
        </w:tc>
      </w:tr>
      <w:tr w14:paraId="4D937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2344" w:type="dxa"/>
            <w:vAlign w:val="center"/>
          </w:tcPr>
          <w:p w14:paraId="7AEA8610">
            <w:pPr>
              <w:spacing w:line="540" w:lineRule="exact"/>
              <w:jc w:val="center"/>
              <w:rPr>
                <w:sz w:val="21"/>
                <w:szCs w:val="21"/>
                <w:lang w:val="en-US"/>
              </w:rPr>
            </w:pPr>
            <w:r>
              <w:rPr>
                <w:rFonts w:hint="eastAsia"/>
                <w:sz w:val="21"/>
                <w:szCs w:val="21"/>
                <w:lang w:val="en-US"/>
              </w:rPr>
              <w:t>投报工期</w:t>
            </w:r>
          </w:p>
        </w:tc>
        <w:tc>
          <w:tcPr>
            <w:tcW w:w="6885" w:type="dxa"/>
            <w:gridSpan w:val="3"/>
            <w:vAlign w:val="center"/>
          </w:tcPr>
          <w:p w14:paraId="4218F31C">
            <w:pPr>
              <w:spacing w:line="540" w:lineRule="exact"/>
              <w:rPr>
                <w:sz w:val="21"/>
                <w:szCs w:val="21"/>
                <w:lang w:val="en-US"/>
              </w:rPr>
            </w:pPr>
            <w:r>
              <w:rPr>
                <w:rFonts w:hint="eastAsia"/>
                <w:sz w:val="21"/>
                <w:szCs w:val="21"/>
                <w:u w:val="single"/>
              </w:rPr>
              <w:t xml:space="preserve">         </w:t>
            </w:r>
            <w:r>
              <w:rPr>
                <w:rFonts w:hint="eastAsia"/>
                <w:sz w:val="21"/>
                <w:szCs w:val="21"/>
              </w:rPr>
              <w:t>日历天</w:t>
            </w:r>
          </w:p>
        </w:tc>
      </w:tr>
      <w:tr w14:paraId="7D4D08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2344" w:type="dxa"/>
            <w:vAlign w:val="center"/>
          </w:tcPr>
          <w:p w14:paraId="29B25780">
            <w:pPr>
              <w:spacing w:line="540" w:lineRule="exact"/>
              <w:jc w:val="center"/>
              <w:rPr>
                <w:sz w:val="21"/>
                <w:szCs w:val="21"/>
                <w:lang w:val="en-US"/>
              </w:rPr>
            </w:pPr>
            <w:r>
              <w:rPr>
                <w:rFonts w:hint="eastAsia"/>
                <w:sz w:val="21"/>
                <w:szCs w:val="21"/>
                <w:lang w:val="en-US"/>
              </w:rPr>
              <w:t>合同履行期限</w:t>
            </w:r>
          </w:p>
        </w:tc>
        <w:tc>
          <w:tcPr>
            <w:tcW w:w="6885" w:type="dxa"/>
            <w:gridSpan w:val="3"/>
            <w:vAlign w:val="center"/>
          </w:tcPr>
          <w:p w14:paraId="64F9066C">
            <w:pPr>
              <w:spacing w:line="540" w:lineRule="exact"/>
              <w:rPr>
                <w:sz w:val="21"/>
                <w:szCs w:val="21"/>
                <w:lang w:val="en-US"/>
              </w:rPr>
            </w:pPr>
          </w:p>
        </w:tc>
      </w:tr>
      <w:tr w14:paraId="1F45DD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2344" w:type="dxa"/>
            <w:vMerge w:val="restart"/>
            <w:vAlign w:val="center"/>
          </w:tcPr>
          <w:p w14:paraId="2E5069B9">
            <w:pPr>
              <w:spacing w:line="540" w:lineRule="exact"/>
              <w:jc w:val="center"/>
              <w:rPr>
                <w:sz w:val="21"/>
                <w:szCs w:val="21"/>
                <w:lang w:val="en-US"/>
              </w:rPr>
            </w:pPr>
            <w:r>
              <w:rPr>
                <w:rFonts w:hint="eastAsia"/>
                <w:sz w:val="21"/>
                <w:szCs w:val="21"/>
                <w:lang w:val="en-US"/>
              </w:rPr>
              <w:t>建造师</w:t>
            </w:r>
          </w:p>
        </w:tc>
        <w:tc>
          <w:tcPr>
            <w:tcW w:w="2414" w:type="dxa"/>
            <w:tcBorders>
              <w:bottom w:val="single" w:color="auto" w:sz="4" w:space="0"/>
              <w:right w:val="single" w:color="auto" w:sz="4" w:space="0"/>
            </w:tcBorders>
            <w:vAlign w:val="center"/>
          </w:tcPr>
          <w:p w14:paraId="064AE754">
            <w:pPr>
              <w:jc w:val="center"/>
              <w:rPr>
                <w:sz w:val="21"/>
                <w:szCs w:val="21"/>
                <w:lang w:val="en-US"/>
              </w:rPr>
            </w:pPr>
            <w:r>
              <w:rPr>
                <w:rFonts w:hint="eastAsia"/>
                <w:sz w:val="21"/>
                <w:szCs w:val="21"/>
                <w:lang w:val="en-US"/>
              </w:rPr>
              <w:t>姓名</w:t>
            </w:r>
          </w:p>
        </w:tc>
        <w:tc>
          <w:tcPr>
            <w:tcW w:w="1950" w:type="dxa"/>
            <w:tcBorders>
              <w:left w:val="single" w:color="auto" w:sz="4" w:space="0"/>
              <w:bottom w:val="single" w:color="auto" w:sz="4" w:space="0"/>
            </w:tcBorders>
            <w:vAlign w:val="center"/>
          </w:tcPr>
          <w:p w14:paraId="7ECDEEEA">
            <w:pPr>
              <w:spacing w:line="240" w:lineRule="exact"/>
              <w:jc w:val="center"/>
              <w:rPr>
                <w:sz w:val="21"/>
                <w:szCs w:val="21"/>
                <w:lang w:val="en-US"/>
              </w:rPr>
            </w:pPr>
            <w:r>
              <w:rPr>
                <w:rFonts w:hint="eastAsia"/>
                <w:szCs w:val="28"/>
              </w:rPr>
              <w:t>级别</w:t>
            </w:r>
          </w:p>
        </w:tc>
        <w:tc>
          <w:tcPr>
            <w:tcW w:w="2521" w:type="dxa"/>
            <w:tcBorders>
              <w:left w:val="single" w:color="auto" w:sz="4" w:space="0"/>
              <w:bottom w:val="single" w:color="auto" w:sz="4" w:space="0"/>
            </w:tcBorders>
            <w:vAlign w:val="center"/>
          </w:tcPr>
          <w:p w14:paraId="424D89DE">
            <w:pPr>
              <w:spacing w:line="240" w:lineRule="exact"/>
              <w:jc w:val="center"/>
              <w:rPr>
                <w:rFonts w:hint="eastAsia"/>
                <w:szCs w:val="28"/>
              </w:rPr>
            </w:pPr>
          </w:p>
          <w:p w14:paraId="416D5472">
            <w:pPr>
              <w:spacing w:line="240" w:lineRule="exact"/>
              <w:jc w:val="center"/>
              <w:rPr>
                <w:sz w:val="21"/>
                <w:szCs w:val="21"/>
                <w:lang w:val="en-US"/>
              </w:rPr>
            </w:pPr>
            <w:r>
              <w:rPr>
                <w:rFonts w:hint="eastAsia"/>
                <w:szCs w:val="28"/>
              </w:rPr>
              <w:t>证书编号</w:t>
            </w:r>
          </w:p>
          <w:p w14:paraId="13168ED7">
            <w:pPr>
              <w:spacing w:line="240" w:lineRule="exact"/>
              <w:jc w:val="center"/>
              <w:rPr>
                <w:sz w:val="21"/>
                <w:szCs w:val="21"/>
                <w:lang w:val="en-US"/>
              </w:rPr>
            </w:pPr>
          </w:p>
        </w:tc>
      </w:tr>
      <w:tr w14:paraId="5707E7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2" w:hRule="atLeast"/>
          <w:jc w:val="center"/>
        </w:trPr>
        <w:tc>
          <w:tcPr>
            <w:tcW w:w="2344" w:type="dxa"/>
            <w:vMerge w:val="continue"/>
            <w:vAlign w:val="center"/>
          </w:tcPr>
          <w:p w14:paraId="7D2F43E1">
            <w:pPr>
              <w:spacing w:line="540" w:lineRule="exact"/>
              <w:jc w:val="center"/>
              <w:rPr>
                <w:sz w:val="21"/>
                <w:szCs w:val="21"/>
                <w:lang w:val="en-US"/>
              </w:rPr>
            </w:pPr>
          </w:p>
        </w:tc>
        <w:tc>
          <w:tcPr>
            <w:tcW w:w="2414" w:type="dxa"/>
            <w:tcBorders>
              <w:top w:val="single" w:color="auto" w:sz="4" w:space="0"/>
              <w:right w:val="single" w:color="auto" w:sz="4" w:space="0"/>
            </w:tcBorders>
            <w:vAlign w:val="center"/>
          </w:tcPr>
          <w:p w14:paraId="039B43E7">
            <w:pPr>
              <w:spacing w:line="540" w:lineRule="exact"/>
              <w:rPr>
                <w:sz w:val="21"/>
                <w:szCs w:val="21"/>
                <w:lang w:val="en-US"/>
              </w:rPr>
            </w:pPr>
          </w:p>
        </w:tc>
        <w:tc>
          <w:tcPr>
            <w:tcW w:w="1950" w:type="dxa"/>
            <w:tcBorders>
              <w:top w:val="single" w:color="auto" w:sz="4" w:space="0"/>
              <w:left w:val="single" w:color="auto" w:sz="4" w:space="0"/>
            </w:tcBorders>
            <w:vAlign w:val="center"/>
          </w:tcPr>
          <w:p w14:paraId="2D77C7AA">
            <w:pPr>
              <w:spacing w:line="540" w:lineRule="exact"/>
              <w:rPr>
                <w:sz w:val="21"/>
                <w:szCs w:val="21"/>
                <w:lang w:val="en-US"/>
              </w:rPr>
            </w:pPr>
          </w:p>
        </w:tc>
        <w:tc>
          <w:tcPr>
            <w:tcW w:w="2521" w:type="dxa"/>
            <w:tcBorders>
              <w:top w:val="single" w:color="auto" w:sz="4" w:space="0"/>
              <w:left w:val="single" w:color="auto" w:sz="4" w:space="0"/>
            </w:tcBorders>
            <w:vAlign w:val="center"/>
          </w:tcPr>
          <w:p w14:paraId="10AF9BE3">
            <w:pPr>
              <w:spacing w:line="540" w:lineRule="exact"/>
              <w:rPr>
                <w:sz w:val="21"/>
                <w:szCs w:val="21"/>
                <w:lang w:val="en-US"/>
              </w:rPr>
            </w:pPr>
          </w:p>
        </w:tc>
      </w:tr>
      <w:tr w14:paraId="2037C1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0" w:hRule="atLeast"/>
          <w:jc w:val="center"/>
        </w:trPr>
        <w:tc>
          <w:tcPr>
            <w:tcW w:w="2344" w:type="dxa"/>
            <w:tcBorders>
              <w:bottom w:val="single" w:color="auto" w:sz="4" w:space="0"/>
            </w:tcBorders>
            <w:vAlign w:val="center"/>
          </w:tcPr>
          <w:p w14:paraId="4A926E51">
            <w:pPr>
              <w:spacing w:line="540" w:lineRule="exact"/>
              <w:ind w:firstLine="840" w:firstLineChars="400"/>
              <w:rPr>
                <w:sz w:val="21"/>
                <w:szCs w:val="21"/>
                <w:lang w:val="en-US"/>
              </w:rPr>
            </w:pPr>
            <w:r>
              <w:rPr>
                <w:rFonts w:hint="eastAsia"/>
                <w:sz w:val="21"/>
                <w:szCs w:val="21"/>
                <w:lang w:val="en-US"/>
              </w:rPr>
              <w:t>备注</w:t>
            </w:r>
          </w:p>
        </w:tc>
        <w:tc>
          <w:tcPr>
            <w:tcW w:w="6885" w:type="dxa"/>
            <w:gridSpan w:val="3"/>
            <w:tcBorders>
              <w:bottom w:val="single" w:color="auto" w:sz="4" w:space="0"/>
            </w:tcBorders>
            <w:vAlign w:val="center"/>
          </w:tcPr>
          <w:p w14:paraId="24CA78CF">
            <w:pPr>
              <w:spacing w:line="540" w:lineRule="exact"/>
              <w:rPr>
                <w:sz w:val="21"/>
                <w:szCs w:val="21"/>
                <w:lang w:val="en-US"/>
              </w:rPr>
            </w:pPr>
          </w:p>
        </w:tc>
      </w:tr>
    </w:tbl>
    <w:p w14:paraId="5857EB7A">
      <w:pPr>
        <w:spacing w:line="480" w:lineRule="exact"/>
        <w:rPr>
          <w:szCs w:val="21"/>
          <w:lang w:val="en-US"/>
        </w:rPr>
      </w:pPr>
    </w:p>
    <w:p w14:paraId="0D6407C6">
      <w:pPr>
        <w:spacing w:line="540" w:lineRule="exact"/>
        <w:ind w:firstLine="840" w:firstLineChars="400"/>
        <w:jc w:val="right"/>
        <w:rPr>
          <w:sz w:val="21"/>
          <w:szCs w:val="21"/>
          <w:lang w:val="en-US"/>
        </w:rPr>
      </w:pPr>
      <w:r>
        <w:rPr>
          <w:rFonts w:hint="eastAsia"/>
          <w:sz w:val="21"/>
          <w:szCs w:val="21"/>
          <w:lang w:val="en-US"/>
        </w:rPr>
        <w:t>供应商：</w:t>
      </w:r>
      <w:r>
        <w:rPr>
          <w:rFonts w:hint="eastAsia"/>
          <w:sz w:val="21"/>
          <w:szCs w:val="21"/>
          <w:u w:val="single"/>
          <w:lang w:val="en-US"/>
        </w:rPr>
        <w:t xml:space="preserve">               </w:t>
      </w:r>
      <w:r>
        <w:rPr>
          <w:rFonts w:hint="eastAsia"/>
          <w:sz w:val="21"/>
          <w:szCs w:val="21"/>
          <w:lang w:val="en-US"/>
        </w:rPr>
        <w:t>（</w:t>
      </w:r>
      <w:r>
        <w:rPr>
          <w:rFonts w:hint="eastAsia" w:ascii="宋体" w:hAnsi="宋体" w:cs="宋体"/>
          <w:sz w:val="21"/>
          <w:szCs w:val="21"/>
        </w:rPr>
        <w:t>单位电子CA印章</w:t>
      </w:r>
      <w:r>
        <w:rPr>
          <w:rFonts w:hint="eastAsia"/>
          <w:sz w:val="21"/>
          <w:szCs w:val="21"/>
          <w:lang w:val="en-US"/>
        </w:rPr>
        <w:t>）</w:t>
      </w:r>
    </w:p>
    <w:p w14:paraId="02E3353E">
      <w:pPr>
        <w:spacing w:line="540" w:lineRule="exact"/>
        <w:ind w:firstLine="840" w:firstLineChars="400"/>
        <w:jc w:val="right"/>
        <w:rPr>
          <w:sz w:val="21"/>
          <w:szCs w:val="21"/>
          <w:lang w:val="en-US"/>
        </w:rPr>
      </w:pPr>
      <w:r>
        <w:rPr>
          <w:rFonts w:hint="eastAsia"/>
          <w:sz w:val="21"/>
          <w:szCs w:val="21"/>
          <w:lang w:val="en-US"/>
        </w:rPr>
        <w:t>法定代表</w:t>
      </w:r>
      <w:r>
        <w:rPr>
          <w:rFonts w:hint="eastAsia"/>
          <w:sz w:val="21"/>
          <w:szCs w:val="21"/>
          <w:lang w:val="en-US" w:eastAsia="zh-CN"/>
        </w:rPr>
        <w:t>人</w:t>
      </w:r>
      <w:r>
        <w:rPr>
          <w:rFonts w:hint="eastAsia"/>
          <w:sz w:val="21"/>
          <w:szCs w:val="21"/>
          <w:lang w:val="en-US"/>
        </w:rPr>
        <w:t>或委托代理人：</w:t>
      </w:r>
      <w:r>
        <w:rPr>
          <w:rFonts w:hint="eastAsia"/>
          <w:sz w:val="21"/>
          <w:szCs w:val="21"/>
          <w:u w:val="single"/>
          <w:lang w:val="en-US"/>
        </w:rPr>
        <w:t xml:space="preserve">        </w:t>
      </w:r>
      <w:r>
        <w:rPr>
          <w:rFonts w:hint="eastAsia"/>
          <w:sz w:val="21"/>
          <w:szCs w:val="21"/>
          <w:lang w:val="en-US"/>
        </w:rPr>
        <w:t>（</w:t>
      </w:r>
      <w:r>
        <w:rPr>
          <w:rFonts w:hint="eastAsia" w:ascii="宋体" w:hAnsi="宋体" w:cs="宋体"/>
          <w:sz w:val="21"/>
          <w:szCs w:val="21"/>
        </w:rPr>
        <w:t>按照要求正确签署</w:t>
      </w:r>
      <w:r>
        <w:rPr>
          <w:rFonts w:hint="eastAsia"/>
          <w:sz w:val="21"/>
          <w:szCs w:val="21"/>
          <w:lang w:val="en-US"/>
        </w:rPr>
        <w:t>）</w:t>
      </w:r>
    </w:p>
    <w:p w14:paraId="3F6BD890">
      <w:pPr>
        <w:spacing w:line="540" w:lineRule="exact"/>
        <w:ind w:firstLine="840" w:firstLineChars="400"/>
        <w:jc w:val="right"/>
        <w:rPr>
          <w:sz w:val="21"/>
          <w:szCs w:val="21"/>
          <w:lang w:val="en-US"/>
        </w:rPr>
        <w:sectPr>
          <w:pgSz w:w="12240" w:h="15840"/>
          <w:pgMar w:top="1440" w:right="1080" w:bottom="1440" w:left="1080" w:header="0" w:footer="844" w:gutter="0"/>
          <w:pgNumType w:fmt="decimal"/>
          <w:cols w:space="720" w:num="1"/>
        </w:sectPr>
      </w:pPr>
      <w:r>
        <w:rPr>
          <w:rFonts w:hint="eastAsia"/>
          <w:sz w:val="21"/>
          <w:szCs w:val="21"/>
          <w:u w:val="single"/>
          <w:lang w:val="en-US"/>
        </w:rPr>
        <w:t xml:space="preserve">    </w:t>
      </w:r>
      <w:r>
        <w:rPr>
          <w:rFonts w:hint="eastAsia"/>
          <w:sz w:val="21"/>
          <w:szCs w:val="21"/>
          <w:lang w:val="en-US"/>
        </w:rPr>
        <w:t xml:space="preserve">年 </w:t>
      </w:r>
      <w:r>
        <w:rPr>
          <w:rFonts w:hint="eastAsia"/>
          <w:sz w:val="21"/>
          <w:szCs w:val="21"/>
          <w:u w:val="single"/>
          <w:lang w:val="en-US"/>
        </w:rPr>
        <w:t xml:space="preserve">     </w:t>
      </w:r>
      <w:r>
        <w:rPr>
          <w:rFonts w:hint="eastAsia"/>
          <w:sz w:val="21"/>
          <w:szCs w:val="21"/>
          <w:lang w:val="en-US"/>
        </w:rPr>
        <w:t xml:space="preserve">月 </w:t>
      </w:r>
      <w:r>
        <w:rPr>
          <w:rFonts w:hint="eastAsia"/>
          <w:sz w:val="21"/>
          <w:szCs w:val="21"/>
          <w:u w:val="single"/>
          <w:lang w:val="en-US"/>
        </w:rPr>
        <w:t xml:space="preserve">     </w:t>
      </w:r>
      <w:r>
        <w:rPr>
          <w:rFonts w:hint="eastAsia"/>
          <w:sz w:val="21"/>
          <w:szCs w:val="21"/>
          <w:lang w:val="en-US"/>
        </w:rPr>
        <w:t>日</w:t>
      </w:r>
    </w:p>
    <w:p w14:paraId="10C13703">
      <w:pPr>
        <w:pStyle w:val="12"/>
        <w:spacing w:line="483" w:lineRule="auto"/>
        <w:jc w:val="center"/>
        <w:outlineLvl w:val="1"/>
        <w:rPr>
          <w:b/>
          <w:bCs/>
        </w:rPr>
      </w:pPr>
      <w:bookmarkStart w:id="825" w:name="_Toc10512"/>
      <w:r>
        <w:rPr>
          <w:rFonts w:hint="eastAsia"/>
          <w:b/>
          <w:bCs/>
          <w:sz w:val="32"/>
          <w:szCs w:val="32"/>
          <w:lang w:val="en-US"/>
        </w:rPr>
        <w:t>二、</w:t>
      </w:r>
      <w:r>
        <w:rPr>
          <w:rFonts w:hint="eastAsia"/>
          <w:b/>
          <w:bCs/>
          <w:sz w:val="32"/>
          <w:szCs w:val="32"/>
        </w:rPr>
        <w:t>法定代表人身份证明</w:t>
      </w:r>
      <w:r>
        <w:rPr>
          <w:rFonts w:hint="eastAsia"/>
          <w:b/>
          <w:bCs/>
          <w:sz w:val="32"/>
          <w:szCs w:val="32"/>
          <w:lang w:val="en-US"/>
        </w:rPr>
        <w:t>或授权委托书</w:t>
      </w:r>
      <w:bookmarkEnd w:id="825"/>
    </w:p>
    <w:p w14:paraId="6E307E01">
      <w:pPr>
        <w:pStyle w:val="12"/>
        <w:rPr>
          <w:sz w:val="20"/>
          <w:lang w:val="en-US"/>
        </w:rPr>
      </w:pPr>
    </w:p>
    <w:p w14:paraId="755E0D40">
      <w:pPr>
        <w:pStyle w:val="12"/>
        <w:spacing w:before="10"/>
        <w:rPr>
          <w:sz w:val="25"/>
        </w:rPr>
      </w:pPr>
    </w:p>
    <w:p w14:paraId="0C92FA95">
      <w:pPr>
        <w:pStyle w:val="4"/>
        <w:spacing w:before="56"/>
        <w:ind w:left="2793" w:firstLine="0"/>
        <w:rPr>
          <w:rFonts w:ascii="宋体" w:hAnsi="宋体" w:eastAsia="宋体" w:cs="宋体"/>
          <w:b/>
          <w:bCs/>
        </w:rPr>
      </w:pPr>
      <w:bookmarkStart w:id="826" w:name="_TOC_250014"/>
      <w:bookmarkEnd w:id="826"/>
      <w:bookmarkStart w:id="827" w:name="_Toc25429"/>
      <w:r>
        <w:rPr>
          <w:rFonts w:hint="eastAsia" w:ascii="宋体" w:hAnsi="宋体" w:eastAsia="宋体" w:cs="宋体"/>
          <w:b/>
          <w:bCs/>
          <w:lang w:val="en-US"/>
        </w:rPr>
        <w:t>（一</w:t>
      </w:r>
      <w:r>
        <w:rPr>
          <w:rFonts w:hint="eastAsia" w:ascii="宋体" w:hAnsi="宋体" w:eastAsia="宋体" w:cs="宋体"/>
          <w:b/>
          <w:bCs/>
        </w:rPr>
        <w:t>）法定代表人身份证明</w:t>
      </w:r>
      <w:bookmarkEnd w:id="827"/>
    </w:p>
    <w:p w14:paraId="00B832DB">
      <w:pPr>
        <w:pStyle w:val="12"/>
        <w:spacing w:before="4"/>
        <w:rPr>
          <w:rFonts w:ascii="黑体"/>
          <w:b/>
          <w:sz w:val="27"/>
        </w:rPr>
      </w:pPr>
    </w:p>
    <w:p w14:paraId="5A65FFBD">
      <w:pPr>
        <w:spacing w:line="500" w:lineRule="exact"/>
        <w:ind w:firstLine="210" w:firstLineChars="100"/>
        <w:rPr>
          <w:sz w:val="21"/>
          <w:szCs w:val="21"/>
          <w:u w:val="single"/>
          <w:lang w:val="en-US"/>
        </w:rPr>
      </w:pPr>
      <w:r>
        <w:rPr>
          <w:rFonts w:hint="eastAsia"/>
          <w:sz w:val="21"/>
          <w:szCs w:val="21"/>
          <w:lang w:val="en-US"/>
        </w:rPr>
        <w:t>供 应 商：</w:t>
      </w:r>
      <w:r>
        <w:rPr>
          <w:rFonts w:hint="eastAsia"/>
          <w:sz w:val="21"/>
          <w:szCs w:val="21"/>
          <w:u w:val="single"/>
          <w:lang w:val="en-US"/>
        </w:rPr>
        <w:t xml:space="preserve">                                                        </w:t>
      </w:r>
    </w:p>
    <w:p w14:paraId="53E49F10">
      <w:pPr>
        <w:spacing w:line="500" w:lineRule="exact"/>
        <w:ind w:firstLine="210" w:firstLineChars="100"/>
        <w:rPr>
          <w:sz w:val="21"/>
          <w:szCs w:val="21"/>
          <w:lang w:val="en-US"/>
        </w:rPr>
      </w:pPr>
      <w:r>
        <w:rPr>
          <w:rFonts w:hint="eastAsia"/>
          <w:sz w:val="21"/>
          <w:szCs w:val="21"/>
          <w:lang w:val="en-US"/>
        </w:rPr>
        <w:t>单位性质：</w:t>
      </w:r>
      <w:r>
        <w:rPr>
          <w:rFonts w:hint="eastAsia"/>
          <w:sz w:val="21"/>
          <w:szCs w:val="21"/>
          <w:u w:val="single"/>
          <w:lang w:val="en-US"/>
        </w:rPr>
        <w:t xml:space="preserve">                                                        </w:t>
      </w:r>
    </w:p>
    <w:p w14:paraId="7562D3D8">
      <w:pPr>
        <w:spacing w:line="500" w:lineRule="exact"/>
        <w:ind w:firstLine="210" w:firstLineChars="100"/>
        <w:rPr>
          <w:sz w:val="21"/>
          <w:szCs w:val="21"/>
          <w:lang w:val="en-US"/>
        </w:rPr>
      </w:pPr>
      <w:r>
        <w:rPr>
          <w:rFonts w:hint="eastAsia"/>
          <w:sz w:val="21"/>
          <w:szCs w:val="21"/>
          <w:lang w:val="en-US"/>
        </w:rPr>
        <w:t>地    址：</w:t>
      </w:r>
      <w:r>
        <w:rPr>
          <w:rFonts w:hint="eastAsia"/>
          <w:sz w:val="21"/>
          <w:szCs w:val="21"/>
          <w:u w:val="single"/>
          <w:lang w:val="en-US"/>
        </w:rPr>
        <w:t xml:space="preserve">                                                        </w:t>
      </w:r>
    </w:p>
    <w:p w14:paraId="473352FC">
      <w:pPr>
        <w:spacing w:line="500" w:lineRule="exact"/>
        <w:ind w:firstLine="210" w:firstLineChars="100"/>
        <w:rPr>
          <w:sz w:val="21"/>
          <w:szCs w:val="21"/>
          <w:lang w:val="en-US"/>
        </w:rPr>
      </w:pPr>
      <w:r>
        <w:rPr>
          <w:rFonts w:hint="eastAsia"/>
          <w:sz w:val="21"/>
          <w:szCs w:val="21"/>
          <w:lang w:val="en-US"/>
        </w:rPr>
        <w:t>成立时间：</w:t>
      </w:r>
      <w:r>
        <w:rPr>
          <w:rFonts w:hint="eastAsia"/>
          <w:sz w:val="21"/>
          <w:szCs w:val="21"/>
          <w:u w:val="single"/>
          <w:lang w:val="en-US"/>
        </w:rPr>
        <w:t xml:space="preserve">                 </w:t>
      </w:r>
      <w:r>
        <w:rPr>
          <w:rFonts w:hint="eastAsia"/>
          <w:sz w:val="21"/>
          <w:szCs w:val="21"/>
          <w:lang w:val="en-US"/>
        </w:rPr>
        <w:t>年</w:t>
      </w:r>
      <w:r>
        <w:rPr>
          <w:rFonts w:hint="eastAsia"/>
          <w:sz w:val="21"/>
          <w:szCs w:val="21"/>
          <w:u w:val="single"/>
          <w:lang w:val="en-US"/>
        </w:rPr>
        <w:t xml:space="preserve">              </w:t>
      </w:r>
      <w:r>
        <w:rPr>
          <w:rFonts w:hint="eastAsia"/>
          <w:sz w:val="21"/>
          <w:szCs w:val="21"/>
          <w:lang w:val="en-US"/>
        </w:rPr>
        <w:t>月</w:t>
      </w:r>
      <w:r>
        <w:rPr>
          <w:rFonts w:hint="eastAsia"/>
          <w:sz w:val="21"/>
          <w:szCs w:val="21"/>
          <w:u w:val="single"/>
          <w:lang w:val="en-US"/>
        </w:rPr>
        <w:t xml:space="preserve">              </w:t>
      </w:r>
      <w:r>
        <w:rPr>
          <w:rFonts w:hint="eastAsia"/>
          <w:sz w:val="21"/>
          <w:szCs w:val="21"/>
          <w:lang w:val="en-US"/>
        </w:rPr>
        <w:t>日</w:t>
      </w:r>
    </w:p>
    <w:p w14:paraId="2AF24C3D">
      <w:pPr>
        <w:spacing w:line="500" w:lineRule="exact"/>
        <w:ind w:firstLine="210" w:firstLineChars="100"/>
        <w:rPr>
          <w:sz w:val="21"/>
          <w:szCs w:val="21"/>
          <w:u w:val="single"/>
          <w:lang w:val="en-US"/>
        </w:rPr>
      </w:pPr>
      <w:r>
        <w:rPr>
          <w:rFonts w:hint="eastAsia"/>
          <w:sz w:val="21"/>
          <w:szCs w:val="21"/>
          <w:lang w:val="en-US"/>
        </w:rPr>
        <w:t>经营期限：</w:t>
      </w:r>
      <w:r>
        <w:rPr>
          <w:rFonts w:hint="eastAsia"/>
          <w:sz w:val="21"/>
          <w:szCs w:val="21"/>
          <w:u w:val="single"/>
          <w:lang w:val="en-US"/>
        </w:rPr>
        <w:t xml:space="preserve">                                                        </w:t>
      </w:r>
    </w:p>
    <w:p w14:paraId="5C2E112A">
      <w:pPr>
        <w:spacing w:line="500" w:lineRule="exact"/>
        <w:ind w:firstLine="210" w:firstLineChars="100"/>
        <w:rPr>
          <w:sz w:val="21"/>
          <w:szCs w:val="21"/>
          <w:u w:val="single"/>
          <w:lang w:val="en-US"/>
        </w:rPr>
      </w:pPr>
      <w:r>
        <w:rPr>
          <w:rFonts w:hint="eastAsia"/>
          <w:sz w:val="21"/>
          <w:szCs w:val="21"/>
          <w:lang w:val="en-US"/>
        </w:rPr>
        <w:t>姓    名：</w:t>
      </w:r>
      <w:r>
        <w:rPr>
          <w:rFonts w:hint="eastAsia"/>
          <w:sz w:val="21"/>
          <w:szCs w:val="21"/>
          <w:u w:val="single"/>
          <w:lang w:val="en-US"/>
        </w:rPr>
        <w:t xml:space="preserve">                                </w:t>
      </w:r>
      <w:r>
        <w:rPr>
          <w:rFonts w:hint="eastAsia"/>
          <w:sz w:val="21"/>
          <w:szCs w:val="21"/>
          <w:lang w:val="en-US"/>
        </w:rPr>
        <w:t>性  别：</w:t>
      </w:r>
      <w:r>
        <w:rPr>
          <w:rFonts w:hint="eastAsia"/>
          <w:sz w:val="21"/>
          <w:szCs w:val="21"/>
          <w:u w:val="single"/>
          <w:lang w:val="en-US"/>
        </w:rPr>
        <w:t xml:space="preserve">                </w:t>
      </w:r>
    </w:p>
    <w:p w14:paraId="0A0849EC">
      <w:pPr>
        <w:spacing w:line="500" w:lineRule="exact"/>
        <w:ind w:firstLine="210" w:firstLineChars="100"/>
        <w:rPr>
          <w:sz w:val="21"/>
          <w:szCs w:val="21"/>
          <w:lang w:val="en-US"/>
        </w:rPr>
      </w:pPr>
      <w:r>
        <w:rPr>
          <w:rFonts w:hint="eastAsia"/>
          <w:sz w:val="21"/>
          <w:szCs w:val="21"/>
          <w:lang w:val="en-US"/>
        </w:rPr>
        <w:t>年    龄：</w:t>
      </w:r>
      <w:r>
        <w:rPr>
          <w:rFonts w:hint="eastAsia"/>
          <w:sz w:val="21"/>
          <w:szCs w:val="21"/>
          <w:u w:val="single"/>
          <w:lang w:val="en-US"/>
        </w:rPr>
        <w:t xml:space="preserve">                                </w:t>
      </w:r>
      <w:r>
        <w:rPr>
          <w:rFonts w:hint="eastAsia"/>
          <w:sz w:val="21"/>
          <w:szCs w:val="21"/>
          <w:lang w:val="en-US"/>
        </w:rPr>
        <w:t>职  务：</w:t>
      </w:r>
      <w:r>
        <w:rPr>
          <w:rFonts w:hint="eastAsia"/>
          <w:sz w:val="21"/>
          <w:szCs w:val="21"/>
          <w:u w:val="single"/>
          <w:lang w:val="en-US"/>
        </w:rPr>
        <w:t xml:space="preserve">                </w:t>
      </w:r>
    </w:p>
    <w:p w14:paraId="073C348D">
      <w:pPr>
        <w:spacing w:line="500" w:lineRule="exact"/>
        <w:ind w:firstLine="210" w:firstLineChars="100"/>
        <w:rPr>
          <w:sz w:val="21"/>
          <w:szCs w:val="21"/>
          <w:lang w:val="en-US"/>
        </w:rPr>
      </w:pPr>
      <w:r>
        <w:rPr>
          <w:rFonts w:hint="eastAsia"/>
          <w:sz w:val="21"/>
          <w:szCs w:val="21"/>
          <w:lang w:val="en-US"/>
        </w:rPr>
        <w:t xml:space="preserve">系 </w:t>
      </w:r>
      <w:r>
        <w:rPr>
          <w:rFonts w:hint="eastAsia"/>
          <w:sz w:val="21"/>
          <w:szCs w:val="21"/>
          <w:u w:val="single"/>
          <w:lang w:val="en-US"/>
        </w:rPr>
        <w:t xml:space="preserve">                                                </w:t>
      </w:r>
      <w:r>
        <w:rPr>
          <w:rFonts w:hint="eastAsia"/>
          <w:sz w:val="21"/>
          <w:szCs w:val="21"/>
          <w:lang w:val="en-US"/>
        </w:rPr>
        <w:t>（供应商名称）的法定代表人。</w:t>
      </w:r>
    </w:p>
    <w:p w14:paraId="5FEC2F93">
      <w:pPr>
        <w:spacing w:line="500" w:lineRule="exact"/>
        <w:ind w:firstLine="630" w:firstLineChars="300"/>
        <w:rPr>
          <w:sz w:val="21"/>
          <w:szCs w:val="21"/>
          <w:lang w:val="en-US"/>
        </w:rPr>
      </w:pPr>
      <w:r>
        <w:rPr>
          <w:rFonts w:hint="eastAsia"/>
          <w:sz w:val="21"/>
          <w:szCs w:val="21"/>
          <w:lang w:val="en-US"/>
        </w:rPr>
        <w:t>特此证明。</w:t>
      </w:r>
    </w:p>
    <w:p w14:paraId="51CDF353">
      <w:pPr>
        <w:pStyle w:val="12"/>
        <w:tabs>
          <w:tab w:val="left" w:pos="2969"/>
        </w:tabs>
        <w:spacing w:before="170" w:line="393" w:lineRule="auto"/>
        <w:ind w:left="660" w:right="3669" w:hanging="420"/>
        <w:rPr>
          <w:lang w:val="en-US"/>
        </w:rPr>
      </w:pPr>
    </w:p>
    <w:p w14:paraId="73E3E06C">
      <w:pPr>
        <w:pStyle w:val="12"/>
        <w:rPr>
          <w:lang w:val="en-US"/>
        </w:rPr>
      </w:pPr>
    </w:p>
    <w:p w14:paraId="49A23C03">
      <w:pPr>
        <w:pStyle w:val="12"/>
        <w:spacing w:before="2"/>
        <w:rPr>
          <w:lang w:val="en-US"/>
        </w:rPr>
      </w:pPr>
    </w:p>
    <w:p w14:paraId="0F154931">
      <w:pPr>
        <w:pStyle w:val="12"/>
        <w:ind w:left="240"/>
        <w:rPr>
          <w:lang w:val="en-US"/>
        </w:rPr>
      </w:pPr>
      <w:r>
        <w:rPr>
          <w:rFonts w:hint="eastAsia"/>
          <w:lang w:val="en-US"/>
        </w:rPr>
        <w:t>附：法定代表人身份证并加盖单位公章。</w:t>
      </w:r>
    </w:p>
    <w:p w14:paraId="6CFFB08C">
      <w:pPr>
        <w:pStyle w:val="12"/>
        <w:rPr>
          <w:color w:val="FF0000"/>
          <w:lang w:val="en-US"/>
        </w:rPr>
      </w:pPr>
    </w:p>
    <w:p w14:paraId="73792E42">
      <w:pPr>
        <w:pStyle w:val="12"/>
        <w:spacing w:before="10"/>
        <w:rPr>
          <w:color w:val="FF0000"/>
          <w:lang w:val="en-US"/>
        </w:rPr>
      </w:pPr>
    </w:p>
    <w:p w14:paraId="451D95D4">
      <w:pPr>
        <w:pStyle w:val="12"/>
        <w:rPr>
          <w:lang w:val="en-US"/>
        </w:rPr>
      </w:pPr>
    </w:p>
    <w:p w14:paraId="02E9E09D">
      <w:pPr>
        <w:pStyle w:val="12"/>
        <w:rPr>
          <w:lang w:val="en-US"/>
        </w:rPr>
      </w:pPr>
    </w:p>
    <w:p w14:paraId="4DE14DD3">
      <w:pPr>
        <w:pStyle w:val="12"/>
        <w:rPr>
          <w:lang w:val="en-US"/>
        </w:rPr>
      </w:pPr>
    </w:p>
    <w:p w14:paraId="56C1E6AC">
      <w:pPr>
        <w:pStyle w:val="12"/>
        <w:rPr>
          <w:lang w:val="en-US"/>
        </w:rPr>
      </w:pPr>
    </w:p>
    <w:p w14:paraId="3784489A">
      <w:pPr>
        <w:wordWrap w:val="0"/>
        <w:spacing w:line="360" w:lineRule="auto"/>
        <w:jc w:val="right"/>
        <w:rPr>
          <w:sz w:val="21"/>
          <w:szCs w:val="21"/>
          <w:lang w:val="en-US"/>
        </w:rPr>
      </w:pPr>
      <w:r>
        <w:rPr>
          <w:rFonts w:hint="eastAsia"/>
          <w:sz w:val="21"/>
          <w:szCs w:val="21"/>
          <w:lang w:val="en-US"/>
        </w:rPr>
        <w:t>供应商：</w:t>
      </w:r>
      <w:r>
        <w:rPr>
          <w:rFonts w:hint="eastAsia"/>
          <w:sz w:val="21"/>
          <w:szCs w:val="21"/>
          <w:u w:val="single"/>
          <w:lang w:val="en-US"/>
        </w:rPr>
        <w:t xml:space="preserve">               </w:t>
      </w:r>
      <w:r>
        <w:rPr>
          <w:rFonts w:hint="eastAsia"/>
          <w:sz w:val="21"/>
          <w:szCs w:val="21"/>
          <w:lang w:val="en-US"/>
        </w:rPr>
        <w:t>（</w:t>
      </w:r>
      <w:r>
        <w:rPr>
          <w:rFonts w:hint="eastAsia" w:ascii="宋体" w:hAnsi="宋体" w:cs="宋体"/>
          <w:sz w:val="21"/>
          <w:szCs w:val="21"/>
        </w:rPr>
        <w:t>单位电子CA印章</w:t>
      </w:r>
      <w:r>
        <w:rPr>
          <w:rFonts w:hint="eastAsia"/>
          <w:sz w:val="21"/>
          <w:szCs w:val="21"/>
          <w:lang w:val="en-US"/>
        </w:rPr>
        <w:t>）</w:t>
      </w:r>
    </w:p>
    <w:p w14:paraId="0F5C6561">
      <w:pPr>
        <w:pStyle w:val="25"/>
        <w:spacing w:line="360" w:lineRule="auto"/>
        <w:ind w:firstLine="210"/>
        <w:rPr>
          <w:sz w:val="21"/>
          <w:szCs w:val="21"/>
          <w:lang w:val="en-US"/>
        </w:rPr>
      </w:pPr>
      <w:r>
        <w:rPr>
          <w:rFonts w:hint="eastAsia"/>
          <w:sz w:val="21"/>
          <w:szCs w:val="21"/>
          <w:lang w:val="en-US"/>
        </w:rPr>
        <w:t xml:space="preserve">                                          </w:t>
      </w:r>
      <w:r>
        <w:rPr>
          <w:rFonts w:hint="eastAsia"/>
          <w:sz w:val="21"/>
          <w:szCs w:val="21"/>
          <w:lang w:val="en-US" w:eastAsia="zh-CN"/>
        </w:rPr>
        <w:t xml:space="preserve">     </w:t>
      </w:r>
      <w:r>
        <w:rPr>
          <w:rFonts w:hint="eastAsia"/>
          <w:sz w:val="21"/>
          <w:szCs w:val="21"/>
          <w:lang w:val="en-US"/>
        </w:rPr>
        <w:t xml:space="preserve"> 法定代表人：</w:t>
      </w:r>
      <w:r>
        <w:rPr>
          <w:rFonts w:hint="eastAsia"/>
          <w:sz w:val="21"/>
          <w:szCs w:val="21"/>
          <w:u w:val="single"/>
          <w:lang w:val="en-US"/>
        </w:rPr>
        <w:t xml:space="preserve">              </w:t>
      </w:r>
      <w:r>
        <w:rPr>
          <w:rFonts w:hint="eastAsia"/>
          <w:sz w:val="21"/>
          <w:szCs w:val="21"/>
          <w:lang w:val="en-US"/>
        </w:rPr>
        <w:t>（</w:t>
      </w:r>
      <w:r>
        <w:rPr>
          <w:rFonts w:hint="eastAsia" w:ascii="宋体" w:hAnsi="宋体" w:cs="宋体"/>
          <w:sz w:val="21"/>
          <w:szCs w:val="21"/>
        </w:rPr>
        <w:t>按照要求正确签署</w:t>
      </w:r>
      <w:r>
        <w:rPr>
          <w:rFonts w:hint="eastAsia"/>
          <w:sz w:val="21"/>
          <w:szCs w:val="21"/>
          <w:lang w:val="en-US"/>
        </w:rPr>
        <w:t>）</w:t>
      </w:r>
    </w:p>
    <w:p w14:paraId="7EFECC14">
      <w:pPr>
        <w:spacing w:line="360" w:lineRule="auto"/>
        <w:ind w:firstLine="5460" w:firstLineChars="2600"/>
        <w:rPr>
          <w:sz w:val="21"/>
          <w:szCs w:val="21"/>
          <w:lang w:val="en-US"/>
        </w:rPr>
        <w:sectPr>
          <w:pgSz w:w="12240" w:h="15840"/>
          <w:pgMar w:top="1440" w:right="1080" w:bottom="1440" w:left="1080" w:header="0" w:footer="844" w:gutter="0"/>
          <w:pgNumType w:fmt="decimal"/>
          <w:cols w:space="720" w:num="1"/>
        </w:sectPr>
      </w:pPr>
      <w:r>
        <w:rPr>
          <w:rFonts w:hint="eastAsia"/>
          <w:sz w:val="21"/>
          <w:szCs w:val="21"/>
          <w:lang w:val="en-US"/>
        </w:rPr>
        <w:t xml:space="preserve">      </w:t>
      </w:r>
      <w:r>
        <w:rPr>
          <w:rFonts w:hint="eastAsia"/>
          <w:sz w:val="21"/>
          <w:szCs w:val="21"/>
          <w:lang w:val="en-US" w:eastAsia="zh-CN"/>
        </w:rPr>
        <w:t xml:space="preserve">       </w:t>
      </w:r>
      <w:r>
        <w:rPr>
          <w:rFonts w:hint="eastAsia"/>
          <w:sz w:val="21"/>
          <w:szCs w:val="21"/>
          <w:lang w:val="en-US"/>
        </w:rPr>
        <w:t xml:space="preserve">   年        月       日</w:t>
      </w:r>
    </w:p>
    <w:p w14:paraId="4A6F854E">
      <w:pPr>
        <w:pStyle w:val="4"/>
        <w:spacing w:before="56"/>
        <w:ind w:left="2793" w:firstLine="0"/>
        <w:rPr>
          <w:lang w:val="en-US"/>
        </w:rPr>
      </w:pPr>
      <w:bookmarkStart w:id="828" w:name="_TOC_250013"/>
      <w:bookmarkEnd w:id="828"/>
      <w:bookmarkStart w:id="829" w:name="_Toc1222"/>
      <w:r>
        <w:rPr>
          <w:rFonts w:hint="eastAsia" w:ascii="宋体" w:hAnsi="宋体" w:eastAsia="宋体" w:cs="宋体"/>
          <w:b/>
          <w:bCs/>
          <w:lang w:val="en-US"/>
        </w:rPr>
        <w:t>（二）授权委托书</w:t>
      </w:r>
      <w:bookmarkEnd w:id="829"/>
    </w:p>
    <w:p w14:paraId="7EE4E41F">
      <w:pPr>
        <w:pStyle w:val="12"/>
        <w:rPr>
          <w:rFonts w:ascii="黑体"/>
          <w:b/>
          <w:sz w:val="32"/>
        </w:rPr>
      </w:pPr>
    </w:p>
    <w:p w14:paraId="28B5B898">
      <w:pPr>
        <w:pStyle w:val="12"/>
        <w:rPr>
          <w:rFonts w:ascii="黑体"/>
          <w:b/>
          <w:sz w:val="32"/>
        </w:rPr>
      </w:pPr>
    </w:p>
    <w:p w14:paraId="0AE3B99F">
      <w:pPr>
        <w:pStyle w:val="12"/>
        <w:spacing w:before="12"/>
        <w:rPr>
          <w:rFonts w:ascii="黑体"/>
          <w:b/>
          <w:sz w:val="24"/>
        </w:rPr>
      </w:pPr>
    </w:p>
    <w:p w14:paraId="097736B5">
      <w:pPr>
        <w:pStyle w:val="12"/>
        <w:tabs>
          <w:tab w:val="left" w:pos="1928"/>
          <w:tab w:val="left" w:pos="2558"/>
          <w:tab w:val="left" w:pos="3704"/>
          <w:tab w:val="left" w:pos="5721"/>
        </w:tabs>
        <w:spacing w:line="393" w:lineRule="auto"/>
        <w:ind w:left="239" w:right="700" w:firstLine="420"/>
        <w:jc w:val="both"/>
      </w:pPr>
      <w:r>
        <w:t>本人</w:t>
      </w:r>
      <w:r>
        <w:rPr>
          <w:u w:val="single"/>
        </w:rPr>
        <w:t xml:space="preserve"> </w:t>
      </w:r>
      <w:r>
        <w:rPr>
          <w:u w:val="single"/>
        </w:rPr>
        <w:tab/>
      </w:r>
      <w:r>
        <w:rPr>
          <w:u w:val="single"/>
        </w:rPr>
        <w:tab/>
      </w:r>
      <w:r>
        <w:t>（姓名）系</w:t>
      </w:r>
      <w:r>
        <w:rPr>
          <w:u w:val="single"/>
        </w:rPr>
        <w:t xml:space="preserve"> </w:t>
      </w:r>
      <w:r>
        <w:rPr>
          <w:u w:val="single"/>
        </w:rPr>
        <w:tab/>
      </w:r>
      <w:r>
        <w:t>（</w:t>
      </w:r>
      <w:r>
        <w:rPr>
          <w:rFonts w:hint="eastAsia"/>
          <w:lang w:val="en-US"/>
        </w:rPr>
        <w:t>供应商</w:t>
      </w:r>
      <w:r>
        <w:t>名称）的法定代表人，</w:t>
      </w:r>
      <w:r>
        <w:rPr>
          <w:spacing w:val="-16"/>
        </w:rPr>
        <w:t>现</w:t>
      </w:r>
      <w:r>
        <w:t>委托</w:t>
      </w:r>
      <w:r>
        <w:rPr>
          <w:u w:val="single"/>
        </w:rPr>
        <w:t xml:space="preserve"> </w:t>
      </w:r>
      <w:r>
        <w:rPr>
          <w:u w:val="single"/>
        </w:rPr>
        <w:tab/>
      </w:r>
      <w:r>
        <w:t>（姓名）为我方代理人。代理人根据授权，以我方名义签署、澄清确认、</w:t>
      </w:r>
      <w:r>
        <w:rPr>
          <w:spacing w:val="-12"/>
        </w:rPr>
        <w:t>递</w:t>
      </w:r>
      <w:r>
        <w:t>交、撤回、修改</w:t>
      </w:r>
      <w:r>
        <w:rPr>
          <w:rFonts w:hint="eastAsia"/>
          <w:u w:val="single"/>
          <w:lang w:val="en-US"/>
        </w:rPr>
        <w:t xml:space="preserve">                      </w:t>
      </w:r>
      <w:r>
        <w:rPr>
          <w:rFonts w:hint="eastAsia"/>
          <w:lang w:val="en-US"/>
        </w:rPr>
        <w:t>（项目名称）响应</w:t>
      </w:r>
      <w:r>
        <w:t>文件、签订合同和处理有关事宜，其法律后果由我方承担。委托期限：</w:t>
      </w:r>
      <w:r>
        <w:rPr>
          <w:u w:val="single"/>
        </w:rPr>
        <w:t xml:space="preserve"> </w:t>
      </w:r>
      <w:r>
        <w:rPr>
          <w:u w:val="single"/>
        </w:rPr>
        <w:tab/>
      </w:r>
      <w:r>
        <w:rPr>
          <w:u w:val="single"/>
        </w:rPr>
        <w:tab/>
      </w:r>
      <w:r>
        <w:rPr>
          <w:u w:val="single"/>
        </w:rPr>
        <w:tab/>
      </w:r>
      <w:r>
        <w:t>。</w:t>
      </w:r>
    </w:p>
    <w:p w14:paraId="2607EA0E">
      <w:pPr>
        <w:pStyle w:val="12"/>
        <w:spacing w:line="264" w:lineRule="exact"/>
        <w:ind w:left="660"/>
      </w:pPr>
      <w:r>
        <w:t>代理人无转委托权。</w:t>
      </w:r>
    </w:p>
    <w:p w14:paraId="138C8843">
      <w:pPr>
        <w:pStyle w:val="12"/>
        <w:rPr>
          <w:sz w:val="20"/>
        </w:rPr>
      </w:pPr>
    </w:p>
    <w:p w14:paraId="37426082">
      <w:pPr>
        <w:pStyle w:val="12"/>
        <w:spacing w:before="8"/>
        <w:rPr>
          <w:sz w:val="27"/>
        </w:rPr>
      </w:pPr>
    </w:p>
    <w:p w14:paraId="21775334">
      <w:pPr>
        <w:pStyle w:val="12"/>
        <w:spacing w:before="10"/>
      </w:pPr>
      <w:r>
        <w:t>附：法定代表人身份证及委托代理人身份证</w:t>
      </w:r>
      <w:r>
        <w:rPr>
          <w:rFonts w:hint="eastAsia"/>
          <w:lang w:val="en-US"/>
        </w:rPr>
        <w:t>并加盖公章；</w:t>
      </w:r>
    </w:p>
    <w:p w14:paraId="02CFB665">
      <w:pPr>
        <w:pStyle w:val="12"/>
        <w:ind w:left="240"/>
      </w:pPr>
    </w:p>
    <w:p w14:paraId="49739A77">
      <w:pPr>
        <w:pStyle w:val="12"/>
        <w:rPr>
          <w:sz w:val="20"/>
        </w:rPr>
      </w:pPr>
    </w:p>
    <w:p w14:paraId="469F6B98">
      <w:pPr>
        <w:pStyle w:val="12"/>
        <w:spacing w:before="8"/>
        <w:rPr>
          <w:sz w:val="27"/>
        </w:rPr>
      </w:pPr>
    </w:p>
    <w:p w14:paraId="1C4882FC">
      <w:pPr>
        <w:pStyle w:val="12"/>
        <w:tabs>
          <w:tab w:val="left" w:pos="3351"/>
          <w:tab w:val="left" w:pos="3771"/>
          <w:tab w:val="left" w:pos="7379"/>
        </w:tabs>
        <w:ind w:left="2931"/>
      </w:pPr>
      <w:r>
        <w:rPr>
          <w:rFonts w:hint="eastAsia"/>
          <w:lang w:val="en-US"/>
        </w:rPr>
        <w:t>供应商</w:t>
      </w:r>
      <w:r>
        <w:t>：</w:t>
      </w:r>
      <w:r>
        <w:rPr>
          <w:u w:val="single"/>
        </w:rPr>
        <w:t xml:space="preserve"> </w:t>
      </w:r>
      <w:r>
        <w:rPr>
          <w:rFonts w:hint="eastAsia"/>
          <w:u w:val="single"/>
          <w:lang w:val="en-US" w:eastAsia="zh-CN"/>
        </w:rPr>
        <w:t xml:space="preserve">                         </w:t>
      </w:r>
      <w:r>
        <w:t>（</w:t>
      </w:r>
      <w:r>
        <w:rPr>
          <w:rFonts w:hint="eastAsia" w:ascii="宋体" w:hAnsi="宋体" w:cs="宋体"/>
          <w:szCs w:val="21"/>
        </w:rPr>
        <w:t>单位电子CA印章</w:t>
      </w:r>
      <w:r>
        <w:t>）</w:t>
      </w:r>
    </w:p>
    <w:p w14:paraId="41EB57E9">
      <w:pPr>
        <w:pStyle w:val="12"/>
        <w:rPr>
          <w:sz w:val="22"/>
        </w:rPr>
      </w:pPr>
    </w:p>
    <w:p w14:paraId="12588F0E">
      <w:pPr>
        <w:pStyle w:val="12"/>
        <w:spacing w:before="8"/>
        <w:rPr>
          <w:sz w:val="25"/>
        </w:rPr>
      </w:pPr>
    </w:p>
    <w:p w14:paraId="40340CAE">
      <w:pPr>
        <w:pStyle w:val="12"/>
        <w:tabs>
          <w:tab w:val="left" w:pos="6539"/>
        </w:tabs>
        <w:spacing w:before="1"/>
        <w:ind w:left="2930"/>
      </w:pPr>
      <w:r>
        <w:t>法定代表人：</w:t>
      </w:r>
      <w:r>
        <w:rPr>
          <w:u w:val="single"/>
        </w:rPr>
        <w:t xml:space="preserve"> </w:t>
      </w:r>
      <w:r>
        <w:rPr>
          <w:u w:val="single"/>
        </w:rPr>
        <w:tab/>
      </w:r>
      <w:r>
        <w:rPr>
          <w:rFonts w:hint="eastAsia"/>
          <w:u w:val="single"/>
          <w:lang w:val="en-US"/>
        </w:rPr>
        <w:t xml:space="preserve"> </w:t>
      </w:r>
      <w:r>
        <w:t>（</w:t>
      </w:r>
      <w:r>
        <w:rPr>
          <w:rFonts w:hint="eastAsia" w:ascii="宋体" w:hAnsi="宋体" w:cs="宋体"/>
          <w:szCs w:val="21"/>
        </w:rPr>
        <w:t>按照要求正确签署</w:t>
      </w:r>
      <w:r>
        <w:t>）</w:t>
      </w:r>
    </w:p>
    <w:p w14:paraId="00B10836">
      <w:pPr>
        <w:pStyle w:val="12"/>
        <w:rPr>
          <w:sz w:val="22"/>
        </w:rPr>
      </w:pPr>
    </w:p>
    <w:p w14:paraId="58800E2C">
      <w:pPr>
        <w:pStyle w:val="12"/>
        <w:spacing w:before="9"/>
        <w:rPr>
          <w:sz w:val="25"/>
        </w:rPr>
      </w:pPr>
    </w:p>
    <w:p w14:paraId="4AFA81F1">
      <w:pPr>
        <w:pStyle w:val="12"/>
        <w:tabs>
          <w:tab w:val="left" w:pos="8639"/>
        </w:tabs>
        <w:ind w:left="2931"/>
        <w:rPr>
          <w:rFonts w:ascii="Times New Roman" w:eastAsia="Times New Roman"/>
        </w:rPr>
      </w:pPr>
      <w:r>
        <w:t>身份证号码：</w:t>
      </w:r>
      <w:r>
        <w:rPr>
          <w:rFonts w:ascii="Times New Roman" w:eastAsia="Times New Roman"/>
          <w:u w:val="single"/>
        </w:rPr>
        <w:t xml:space="preserve"> </w:t>
      </w:r>
      <w:r>
        <w:rPr>
          <w:rFonts w:ascii="Times New Roman" w:eastAsia="Times New Roman"/>
          <w:u w:val="single"/>
        </w:rPr>
        <w:tab/>
      </w:r>
    </w:p>
    <w:p w14:paraId="002294D5">
      <w:pPr>
        <w:pStyle w:val="12"/>
        <w:rPr>
          <w:rFonts w:ascii="Times New Roman"/>
          <w:sz w:val="20"/>
        </w:rPr>
      </w:pPr>
    </w:p>
    <w:p w14:paraId="2E20318E">
      <w:pPr>
        <w:pStyle w:val="12"/>
        <w:spacing w:before="4"/>
        <w:rPr>
          <w:rFonts w:ascii="Times New Roman"/>
          <w:sz w:val="26"/>
        </w:rPr>
      </w:pPr>
    </w:p>
    <w:p w14:paraId="29FBF8CE">
      <w:pPr>
        <w:pStyle w:val="12"/>
        <w:tabs>
          <w:tab w:val="left" w:pos="7799"/>
        </w:tabs>
        <w:spacing w:before="78"/>
        <w:ind w:left="2931"/>
      </w:pPr>
      <w:r>
        <w:t>委托代理人：</w:t>
      </w:r>
      <w:r>
        <w:rPr>
          <w:u w:val="single"/>
        </w:rPr>
        <w:t xml:space="preserve"> </w:t>
      </w:r>
      <w:r>
        <w:rPr>
          <w:rFonts w:hint="eastAsia"/>
          <w:u w:val="single"/>
          <w:lang w:val="en-US" w:eastAsia="zh-CN"/>
        </w:rPr>
        <w:t xml:space="preserve">                    </w:t>
      </w:r>
      <w:r>
        <w:rPr>
          <w:rFonts w:hint="eastAsia"/>
          <w:u w:val="single"/>
          <w:lang w:val="en-US"/>
        </w:rPr>
        <w:t xml:space="preserve">  </w:t>
      </w:r>
      <w:r>
        <w:t>（</w:t>
      </w:r>
      <w:r>
        <w:rPr>
          <w:rFonts w:hint="eastAsia" w:ascii="宋体" w:hAnsi="宋体" w:cs="宋体"/>
          <w:szCs w:val="21"/>
        </w:rPr>
        <w:t>按照要求正确签署</w:t>
      </w:r>
      <w:r>
        <w:t>）</w:t>
      </w:r>
    </w:p>
    <w:p w14:paraId="6B6A5746">
      <w:pPr>
        <w:pStyle w:val="12"/>
        <w:rPr>
          <w:sz w:val="22"/>
        </w:rPr>
      </w:pPr>
    </w:p>
    <w:p w14:paraId="2FF7912B">
      <w:pPr>
        <w:pStyle w:val="12"/>
        <w:spacing w:before="8"/>
        <w:rPr>
          <w:sz w:val="25"/>
        </w:rPr>
      </w:pPr>
    </w:p>
    <w:p w14:paraId="2F96652F">
      <w:pPr>
        <w:pStyle w:val="12"/>
        <w:tabs>
          <w:tab w:val="left" w:pos="8639"/>
        </w:tabs>
        <w:ind w:left="2931"/>
        <w:rPr>
          <w:rFonts w:ascii="Times New Roman" w:eastAsia="Times New Roman"/>
        </w:rPr>
      </w:pPr>
      <w:r>
        <w:t>身份证号码：</w:t>
      </w:r>
      <w:r>
        <w:rPr>
          <w:rFonts w:ascii="Times New Roman" w:eastAsia="Times New Roman"/>
          <w:u w:val="single"/>
        </w:rPr>
        <w:t xml:space="preserve"> </w:t>
      </w:r>
      <w:r>
        <w:rPr>
          <w:rFonts w:ascii="Times New Roman" w:eastAsia="Times New Roman"/>
          <w:u w:val="single"/>
        </w:rPr>
        <w:tab/>
      </w:r>
    </w:p>
    <w:p w14:paraId="219795B4">
      <w:pPr>
        <w:pStyle w:val="12"/>
        <w:rPr>
          <w:rFonts w:ascii="Times New Roman"/>
          <w:sz w:val="20"/>
        </w:rPr>
      </w:pPr>
    </w:p>
    <w:p w14:paraId="72E1EE3D">
      <w:pPr>
        <w:pStyle w:val="12"/>
        <w:spacing w:before="3"/>
        <w:rPr>
          <w:rFonts w:ascii="Times New Roman"/>
          <w:sz w:val="25"/>
        </w:rPr>
      </w:pPr>
    </w:p>
    <w:p w14:paraId="57CE6351">
      <w:pPr>
        <w:pStyle w:val="12"/>
        <w:tabs>
          <w:tab w:val="left" w:pos="6779"/>
          <w:tab w:val="left" w:pos="7724"/>
          <w:tab w:val="left" w:pos="8669"/>
        </w:tabs>
        <w:spacing w:before="71"/>
        <w:ind w:left="6044"/>
      </w:pPr>
      <w:r>
        <w:rPr>
          <w:rFonts w:ascii="Times New Roman" w:eastAsia="Times New Roman"/>
          <w:u w:val="single"/>
        </w:rPr>
        <w:t xml:space="preserve"> </w:t>
      </w:r>
      <w:r>
        <w:rPr>
          <w:rFonts w:ascii="Times New Roman" w:eastAsia="Times New Roman"/>
          <w:u w:val="single"/>
        </w:rPr>
        <w:tab/>
      </w:r>
      <w:r>
        <w:t>年</w:t>
      </w:r>
      <w:r>
        <w:rPr>
          <w:u w:val="single"/>
        </w:rPr>
        <w:t xml:space="preserve"> </w:t>
      </w:r>
      <w:r>
        <w:rPr>
          <w:u w:val="single"/>
        </w:rPr>
        <w:tab/>
      </w:r>
      <w:r>
        <w:t>月</w:t>
      </w:r>
      <w:r>
        <w:rPr>
          <w:u w:val="single"/>
        </w:rPr>
        <w:t xml:space="preserve"> </w:t>
      </w:r>
      <w:r>
        <w:rPr>
          <w:u w:val="single"/>
        </w:rPr>
        <w:tab/>
      </w:r>
      <w:r>
        <w:t>日</w:t>
      </w:r>
    </w:p>
    <w:p w14:paraId="34A5A58A">
      <w:pPr>
        <w:pStyle w:val="12"/>
        <w:tabs>
          <w:tab w:val="left" w:pos="7379"/>
        </w:tabs>
        <w:spacing w:before="161"/>
      </w:pPr>
    </w:p>
    <w:p w14:paraId="360593DD">
      <w:pPr>
        <w:pStyle w:val="12"/>
        <w:rPr>
          <w:sz w:val="20"/>
        </w:rPr>
      </w:pPr>
    </w:p>
    <w:p w14:paraId="60C1CAEF">
      <w:pPr>
        <w:pStyle w:val="12"/>
        <w:spacing w:before="10"/>
        <w:rPr>
          <w:sz w:val="25"/>
        </w:rPr>
      </w:pPr>
    </w:p>
    <w:p w14:paraId="13A1AD7A">
      <w:pPr>
        <w:pStyle w:val="12"/>
        <w:rPr>
          <w:sz w:val="20"/>
        </w:rPr>
      </w:pPr>
      <w:bookmarkStart w:id="830" w:name="_TOC_250011"/>
      <w:bookmarkEnd w:id="830"/>
    </w:p>
    <w:p w14:paraId="0B2B425F">
      <w:pPr>
        <w:pStyle w:val="12"/>
        <w:spacing w:before="10"/>
        <w:rPr>
          <w:sz w:val="25"/>
        </w:rPr>
      </w:pPr>
    </w:p>
    <w:p w14:paraId="37AAB04E">
      <w:pPr>
        <w:pStyle w:val="12"/>
        <w:rPr>
          <w:rFonts w:ascii="Times New Roman"/>
          <w:lang w:val="en-US"/>
        </w:rPr>
      </w:pPr>
      <w:bookmarkStart w:id="831" w:name="_TOC_250010"/>
      <w:bookmarkEnd w:id="831"/>
    </w:p>
    <w:p w14:paraId="4AD76195">
      <w:pPr>
        <w:pStyle w:val="12"/>
        <w:rPr>
          <w:rFonts w:ascii="Times New Roman"/>
          <w:lang w:val="en-US"/>
        </w:rPr>
        <w:sectPr>
          <w:pgSz w:w="12240" w:h="15840"/>
          <w:pgMar w:top="1440" w:right="1080" w:bottom="1440" w:left="1080" w:header="0" w:footer="844" w:gutter="0"/>
          <w:pgNumType w:fmt="decimal"/>
          <w:cols w:space="720" w:num="1"/>
        </w:sectPr>
      </w:pPr>
    </w:p>
    <w:p w14:paraId="35E8A8E8">
      <w:pPr>
        <w:pStyle w:val="3"/>
        <w:spacing w:before="56"/>
        <w:ind w:left="3435" w:firstLine="0"/>
        <w:rPr>
          <w:rFonts w:ascii="宋体" w:hAnsi="宋体" w:eastAsia="宋体" w:cs="宋体"/>
        </w:rPr>
      </w:pPr>
      <w:bookmarkStart w:id="832" w:name="_TOC_250009"/>
      <w:bookmarkEnd w:id="832"/>
      <w:r>
        <w:rPr>
          <w:rFonts w:hint="eastAsia" w:ascii="宋体" w:hAnsi="宋体" w:eastAsia="宋体" w:cs="宋体"/>
          <w:lang w:val="en-US"/>
        </w:rPr>
        <w:t>三</w:t>
      </w:r>
      <w:r>
        <w:rPr>
          <w:rFonts w:hint="eastAsia" w:ascii="宋体" w:hAnsi="宋体" w:eastAsia="宋体" w:cs="宋体"/>
        </w:rPr>
        <w:t>、</w:t>
      </w:r>
      <w:r>
        <w:rPr>
          <w:rFonts w:hint="eastAsia" w:ascii="宋体" w:hAnsi="宋体" w:eastAsia="宋体" w:cs="宋体"/>
          <w:lang w:val="en-US"/>
        </w:rPr>
        <w:t>供应商</w:t>
      </w:r>
      <w:r>
        <w:rPr>
          <w:rFonts w:hint="eastAsia" w:ascii="宋体" w:hAnsi="宋体" w:eastAsia="宋体" w:cs="宋体"/>
        </w:rPr>
        <w:t>基本情况表</w:t>
      </w:r>
    </w:p>
    <w:p w14:paraId="25EA6411">
      <w:pPr>
        <w:pStyle w:val="12"/>
        <w:spacing w:before="5"/>
        <w:rPr>
          <w:rFonts w:ascii="黑体"/>
          <w:b/>
          <w:sz w:val="20"/>
        </w:rPr>
      </w:pPr>
    </w:p>
    <w:p w14:paraId="67EE91E1">
      <w:pPr>
        <w:pStyle w:val="4"/>
        <w:spacing w:before="61"/>
        <w:ind w:left="376" w:firstLine="0"/>
        <w:rPr>
          <w:rFonts w:ascii="宋体" w:hAnsi="宋体" w:eastAsia="宋体" w:cs="宋体"/>
          <w:b/>
          <w:bCs/>
        </w:rPr>
      </w:pPr>
      <w:bookmarkStart w:id="833" w:name="_TOC_250008"/>
      <w:bookmarkEnd w:id="833"/>
      <w:r>
        <w:rPr>
          <w:rFonts w:hint="eastAsia" w:ascii="宋体" w:hAnsi="宋体" w:eastAsia="宋体" w:cs="宋体"/>
          <w:b/>
          <w:bCs/>
        </w:rPr>
        <w:t>（一）基本情况表</w:t>
      </w:r>
    </w:p>
    <w:tbl>
      <w:tblPr>
        <w:tblStyle w:val="27"/>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6"/>
        <w:gridCol w:w="897"/>
        <w:gridCol w:w="1021"/>
        <w:gridCol w:w="993"/>
        <w:gridCol w:w="283"/>
        <w:gridCol w:w="195"/>
        <w:gridCol w:w="1246"/>
        <w:gridCol w:w="260"/>
        <w:gridCol w:w="709"/>
        <w:gridCol w:w="1416"/>
      </w:tblGrid>
      <w:tr w14:paraId="72983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Align w:val="center"/>
          </w:tcPr>
          <w:p w14:paraId="45B40288">
            <w:pPr>
              <w:jc w:val="center"/>
              <w:rPr>
                <w:szCs w:val="21"/>
              </w:rPr>
            </w:pPr>
            <w:r>
              <w:rPr>
                <w:rFonts w:hint="eastAsia"/>
                <w:szCs w:val="21"/>
                <w:lang w:val="en-US"/>
              </w:rPr>
              <w:t>供应商</w:t>
            </w:r>
            <w:r>
              <w:rPr>
                <w:rFonts w:hint="eastAsia"/>
                <w:szCs w:val="21"/>
              </w:rPr>
              <w:t>名称</w:t>
            </w:r>
          </w:p>
        </w:tc>
        <w:tc>
          <w:tcPr>
            <w:tcW w:w="7020" w:type="dxa"/>
            <w:gridSpan w:val="9"/>
            <w:vAlign w:val="center"/>
          </w:tcPr>
          <w:p w14:paraId="28190612">
            <w:pPr>
              <w:jc w:val="center"/>
              <w:rPr>
                <w:szCs w:val="21"/>
              </w:rPr>
            </w:pPr>
          </w:p>
        </w:tc>
      </w:tr>
      <w:tr w14:paraId="4CE0F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Align w:val="center"/>
          </w:tcPr>
          <w:p w14:paraId="435B8926">
            <w:pPr>
              <w:jc w:val="center"/>
              <w:rPr>
                <w:szCs w:val="21"/>
              </w:rPr>
            </w:pPr>
            <w:r>
              <w:rPr>
                <w:rFonts w:hint="eastAsia"/>
                <w:szCs w:val="21"/>
              </w:rPr>
              <w:t>注册地址</w:t>
            </w:r>
          </w:p>
        </w:tc>
        <w:tc>
          <w:tcPr>
            <w:tcW w:w="3389" w:type="dxa"/>
            <w:gridSpan w:val="5"/>
            <w:vAlign w:val="center"/>
          </w:tcPr>
          <w:p w14:paraId="36E2F95C">
            <w:pPr>
              <w:jc w:val="center"/>
              <w:rPr>
                <w:szCs w:val="21"/>
              </w:rPr>
            </w:pPr>
          </w:p>
        </w:tc>
        <w:tc>
          <w:tcPr>
            <w:tcW w:w="1246" w:type="dxa"/>
            <w:vAlign w:val="center"/>
          </w:tcPr>
          <w:p w14:paraId="45F17521">
            <w:pPr>
              <w:jc w:val="center"/>
              <w:rPr>
                <w:szCs w:val="21"/>
              </w:rPr>
            </w:pPr>
            <w:r>
              <w:rPr>
                <w:rFonts w:hint="eastAsia"/>
                <w:szCs w:val="21"/>
              </w:rPr>
              <w:t>邮政编码</w:t>
            </w:r>
          </w:p>
        </w:tc>
        <w:tc>
          <w:tcPr>
            <w:tcW w:w="2385" w:type="dxa"/>
            <w:gridSpan w:val="3"/>
            <w:vAlign w:val="center"/>
          </w:tcPr>
          <w:p w14:paraId="690CF02A">
            <w:pPr>
              <w:jc w:val="center"/>
              <w:rPr>
                <w:szCs w:val="21"/>
              </w:rPr>
            </w:pPr>
          </w:p>
        </w:tc>
      </w:tr>
      <w:tr w14:paraId="20180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Merge w:val="restart"/>
            <w:vAlign w:val="center"/>
          </w:tcPr>
          <w:p w14:paraId="342286BC">
            <w:pPr>
              <w:jc w:val="center"/>
              <w:rPr>
                <w:szCs w:val="21"/>
              </w:rPr>
            </w:pPr>
            <w:r>
              <w:rPr>
                <w:rFonts w:hint="eastAsia"/>
                <w:szCs w:val="21"/>
              </w:rPr>
              <w:t>联系方式</w:t>
            </w:r>
          </w:p>
        </w:tc>
        <w:tc>
          <w:tcPr>
            <w:tcW w:w="897" w:type="dxa"/>
            <w:vAlign w:val="center"/>
          </w:tcPr>
          <w:p w14:paraId="57C3D6AE">
            <w:pPr>
              <w:jc w:val="center"/>
              <w:rPr>
                <w:szCs w:val="21"/>
              </w:rPr>
            </w:pPr>
            <w:r>
              <w:rPr>
                <w:rFonts w:hint="eastAsia"/>
                <w:szCs w:val="21"/>
              </w:rPr>
              <w:t>联系人</w:t>
            </w:r>
          </w:p>
        </w:tc>
        <w:tc>
          <w:tcPr>
            <w:tcW w:w="2492" w:type="dxa"/>
            <w:gridSpan w:val="4"/>
            <w:vAlign w:val="center"/>
          </w:tcPr>
          <w:p w14:paraId="424FA65E">
            <w:pPr>
              <w:jc w:val="center"/>
              <w:rPr>
                <w:szCs w:val="21"/>
              </w:rPr>
            </w:pPr>
          </w:p>
        </w:tc>
        <w:tc>
          <w:tcPr>
            <w:tcW w:w="1246" w:type="dxa"/>
            <w:vAlign w:val="center"/>
          </w:tcPr>
          <w:p w14:paraId="798B1693">
            <w:pPr>
              <w:jc w:val="center"/>
              <w:rPr>
                <w:szCs w:val="21"/>
              </w:rPr>
            </w:pPr>
            <w:r>
              <w:rPr>
                <w:rFonts w:hint="eastAsia"/>
                <w:szCs w:val="21"/>
              </w:rPr>
              <w:t>电  话</w:t>
            </w:r>
          </w:p>
        </w:tc>
        <w:tc>
          <w:tcPr>
            <w:tcW w:w="2385" w:type="dxa"/>
            <w:gridSpan w:val="3"/>
            <w:vAlign w:val="center"/>
          </w:tcPr>
          <w:p w14:paraId="7BABB206">
            <w:pPr>
              <w:jc w:val="center"/>
              <w:rPr>
                <w:szCs w:val="21"/>
              </w:rPr>
            </w:pPr>
          </w:p>
        </w:tc>
      </w:tr>
      <w:tr w14:paraId="765B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Merge w:val="continue"/>
            <w:vAlign w:val="center"/>
          </w:tcPr>
          <w:p w14:paraId="78E2D5EC">
            <w:pPr>
              <w:jc w:val="center"/>
              <w:rPr>
                <w:szCs w:val="21"/>
              </w:rPr>
            </w:pPr>
          </w:p>
        </w:tc>
        <w:tc>
          <w:tcPr>
            <w:tcW w:w="897" w:type="dxa"/>
            <w:vAlign w:val="center"/>
          </w:tcPr>
          <w:p w14:paraId="39C4FFE8">
            <w:pPr>
              <w:jc w:val="center"/>
              <w:rPr>
                <w:szCs w:val="21"/>
                <w:lang w:val="en-US"/>
              </w:rPr>
            </w:pPr>
            <w:r>
              <w:rPr>
                <w:rFonts w:hint="eastAsia"/>
                <w:szCs w:val="21"/>
                <w:lang w:val="en-US"/>
              </w:rPr>
              <w:t>邮  箱</w:t>
            </w:r>
          </w:p>
        </w:tc>
        <w:tc>
          <w:tcPr>
            <w:tcW w:w="2492" w:type="dxa"/>
            <w:gridSpan w:val="4"/>
            <w:vAlign w:val="center"/>
          </w:tcPr>
          <w:p w14:paraId="55CC9D03">
            <w:pPr>
              <w:jc w:val="center"/>
              <w:rPr>
                <w:szCs w:val="21"/>
              </w:rPr>
            </w:pPr>
          </w:p>
        </w:tc>
        <w:tc>
          <w:tcPr>
            <w:tcW w:w="1246" w:type="dxa"/>
            <w:vAlign w:val="center"/>
          </w:tcPr>
          <w:p w14:paraId="22E39736">
            <w:pPr>
              <w:jc w:val="center"/>
              <w:rPr>
                <w:szCs w:val="21"/>
                <w:lang w:val="en-US"/>
              </w:rPr>
            </w:pPr>
            <w:r>
              <w:rPr>
                <w:rFonts w:hint="eastAsia"/>
                <w:szCs w:val="21"/>
                <w:lang w:val="en-US"/>
              </w:rPr>
              <w:t>手机号码</w:t>
            </w:r>
          </w:p>
        </w:tc>
        <w:tc>
          <w:tcPr>
            <w:tcW w:w="2385" w:type="dxa"/>
            <w:gridSpan w:val="3"/>
            <w:vAlign w:val="center"/>
          </w:tcPr>
          <w:p w14:paraId="6DEB133A">
            <w:pPr>
              <w:jc w:val="center"/>
              <w:rPr>
                <w:szCs w:val="21"/>
              </w:rPr>
            </w:pPr>
          </w:p>
        </w:tc>
      </w:tr>
      <w:tr w14:paraId="7B177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Align w:val="center"/>
          </w:tcPr>
          <w:p w14:paraId="6610B3DA">
            <w:pPr>
              <w:jc w:val="center"/>
              <w:rPr>
                <w:szCs w:val="21"/>
              </w:rPr>
            </w:pPr>
            <w:r>
              <w:rPr>
                <w:rFonts w:hint="eastAsia"/>
                <w:szCs w:val="21"/>
              </w:rPr>
              <w:t>组织结构</w:t>
            </w:r>
          </w:p>
        </w:tc>
        <w:tc>
          <w:tcPr>
            <w:tcW w:w="7020" w:type="dxa"/>
            <w:gridSpan w:val="9"/>
            <w:vAlign w:val="center"/>
          </w:tcPr>
          <w:p w14:paraId="0C46A818">
            <w:pPr>
              <w:jc w:val="center"/>
              <w:rPr>
                <w:szCs w:val="21"/>
              </w:rPr>
            </w:pPr>
          </w:p>
        </w:tc>
      </w:tr>
      <w:tr w14:paraId="2555B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Align w:val="center"/>
          </w:tcPr>
          <w:p w14:paraId="0334FBBD">
            <w:pPr>
              <w:jc w:val="center"/>
              <w:rPr>
                <w:szCs w:val="21"/>
              </w:rPr>
            </w:pPr>
            <w:r>
              <w:rPr>
                <w:rFonts w:hint="eastAsia"/>
                <w:szCs w:val="21"/>
              </w:rPr>
              <w:t>法定代表人</w:t>
            </w:r>
          </w:p>
        </w:tc>
        <w:tc>
          <w:tcPr>
            <w:tcW w:w="897" w:type="dxa"/>
            <w:vAlign w:val="center"/>
          </w:tcPr>
          <w:p w14:paraId="4FE4E069">
            <w:pPr>
              <w:jc w:val="center"/>
              <w:rPr>
                <w:szCs w:val="21"/>
              </w:rPr>
            </w:pPr>
            <w:r>
              <w:rPr>
                <w:rFonts w:hint="eastAsia"/>
                <w:szCs w:val="21"/>
              </w:rPr>
              <w:t>姓名</w:t>
            </w:r>
          </w:p>
        </w:tc>
        <w:tc>
          <w:tcPr>
            <w:tcW w:w="1021" w:type="dxa"/>
            <w:vAlign w:val="center"/>
          </w:tcPr>
          <w:p w14:paraId="23A0AABB">
            <w:pPr>
              <w:jc w:val="center"/>
              <w:rPr>
                <w:szCs w:val="21"/>
              </w:rPr>
            </w:pPr>
          </w:p>
        </w:tc>
        <w:tc>
          <w:tcPr>
            <w:tcW w:w="1276" w:type="dxa"/>
            <w:gridSpan w:val="2"/>
            <w:vAlign w:val="center"/>
          </w:tcPr>
          <w:p w14:paraId="624FDDA1">
            <w:pPr>
              <w:jc w:val="center"/>
              <w:rPr>
                <w:szCs w:val="21"/>
              </w:rPr>
            </w:pPr>
            <w:r>
              <w:rPr>
                <w:rFonts w:hint="eastAsia"/>
                <w:szCs w:val="21"/>
              </w:rPr>
              <w:t>技术职称</w:t>
            </w:r>
          </w:p>
        </w:tc>
        <w:tc>
          <w:tcPr>
            <w:tcW w:w="1701" w:type="dxa"/>
            <w:gridSpan w:val="3"/>
            <w:vAlign w:val="center"/>
          </w:tcPr>
          <w:p w14:paraId="7ED219FF">
            <w:pPr>
              <w:jc w:val="center"/>
              <w:rPr>
                <w:szCs w:val="21"/>
              </w:rPr>
            </w:pPr>
          </w:p>
        </w:tc>
        <w:tc>
          <w:tcPr>
            <w:tcW w:w="709" w:type="dxa"/>
            <w:vAlign w:val="center"/>
          </w:tcPr>
          <w:p w14:paraId="29CD646B">
            <w:pPr>
              <w:jc w:val="center"/>
              <w:rPr>
                <w:szCs w:val="21"/>
              </w:rPr>
            </w:pPr>
            <w:r>
              <w:rPr>
                <w:rFonts w:hint="eastAsia"/>
                <w:szCs w:val="21"/>
              </w:rPr>
              <w:t>电话</w:t>
            </w:r>
          </w:p>
        </w:tc>
        <w:tc>
          <w:tcPr>
            <w:tcW w:w="1416" w:type="dxa"/>
            <w:vAlign w:val="center"/>
          </w:tcPr>
          <w:p w14:paraId="78D0A9FD">
            <w:pPr>
              <w:jc w:val="center"/>
              <w:rPr>
                <w:szCs w:val="21"/>
              </w:rPr>
            </w:pPr>
          </w:p>
        </w:tc>
      </w:tr>
      <w:tr w14:paraId="79597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Align w:val="center"/>
          </w:tcPr>
          <w:p w14:paraId="61AC7CCA">
            <w:pPr>
              <w:jc w:val="center"/>
              <w:rPr>
                <w:szCs w:val="21"/>
              </w:rPr>
            </w:pPr>
            <w:r>
              <w:rPr>
                <w:rFonts w:hint="eastAsia"/>
                <w:szCs w:val="21"/>
              </w:rPr>
              <w:t>技术负责人</w:t>
            </w:r>
          </w:p>
        </w:tc>
        <w:tc>
          <w:tcPr>
            <w:tcW w:w="897" w:type="dxa"/>
            <w:vAlign w:val="center"/>
          </w:tcPr>
          <w:p w14:paraId="1ECAD05E">
            <w:pPr>
              <w:jc w:val="center"/>
              <w:rPr>
                <w:szCs w:val="21"/>
              </w:rPr>
            </w:pPr>
            <w:r>
              <w:rPr>
                <w:rFonts w:hint="eastAsia"/>
                <w:szCs w:val="21"/>
              </w:rPr>
              <w:t>姓名</w:t>
            </w:r>
          </w:p>
        </w:tc>
        <w:tc>
          <w:tcPr>
            <w:tcW w:w="1021" w:type="dxa"/>
            <w:vAlign w:val="center"/>
          </w:tcPr>
          <w:p w14:paraId="6472E3BE">
            <w:pPr>
              <w:jc w:val="center"/>
              <w:rPr>
                <w:szCs w:val="21"/>
              </w:rPr>
            </w:pPr>
          </w:p>
        </w:tc>
        <w:tc>
          <w:tcPr>
            <w:tcW w:w="1276" w:type="dxa"/>
            <w:gridSpan w:val="2"/>
            <w:vAlign w:val="center"/>
          </w:tcPr>
          <w:p w14:paraId="16B0CFB9">
            <w:pPr>
              <w:jc w:val="center"/>
              <w:rPr>
                <w:szCs w:val="21"/>
              </w:rPr>
            </w:pPr>
            <w:r>
              <w:rPr>
                <w:rFonts w:hint="eastAsia"/>
                <w:szCs w:val="21"/>
              </w:rPr>
              <w:t>技术职称</w:t>
            </w:r>
          </w:p>
        </w:tc>
        <w:tc>
          <w:tcPr>
            <w:tcW w:w="1701" w:type="dxa"/>
            <w:gridSpan w:val="3"/>
            <w:vAlign w:val="center"/>
          </w:tcPr>
          <w:p w14:paraId="6B74AB9E">
            <w:pPr>
              <w:jc w:val="center"/>
              <w:rPr>
                <w:szCs w:val="21"/>
              </w:rPr>
            </w:pPr>
          </w:p>
        </w:tc>
        <w:tc>
          <w:tcPr>
            <w:tcW w:w="709" w:type="dxa"/>
            <w:vAlign w:val="center"/>
          </w:tcPr>
          <w:p w14:paraId="176808B0">
            <w:pPr>
              <w:jc w:val="center"/>
              <w:rPr>
                <w:szCs w:val="21"/>
              </w:rPr>
            </w:pPr>
            <w:r>
              <w:rPr>
                <w:rFonts w:hint="eastAsia"/>
                <w:szCs w:val="21"/>
              </w:rPr>
              <w:t>电话</w:t>
            </w:r>
          </w:p>
        </w:tc>
        <w:tc>
          <w:tcPr>
            <w:tcW w:w="1416" w:type="dxa"/>
            <w:vAlign w:val="center"/>
          </w:tcPr>
          <w:p w14:paraId="059865B0">
            <w:pPr>
              <w:jc w:val="center"/>
              <w:rPr>
                <w:szCs w:val="21"/>
              </w:rPr>
            </w:pPr>
          </w:p>
        </w:tc>
      </w:tr>
      <w:tr w14:paraId="71BBD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Align w:val="center"/>
          </w:tcPr>
          <w:p w14:paraId="7E3A3503">
            <w:pPr>
              <w:jc w:val="center"/>
              <w:rPr>
                <w:szCs w:val="21"/>
              </w:rPr>
            </w:pPr>
            <w:r>
              <w:rPr>
                <w:rFonts w:hint="eastAsia"/>
                <w:szCs w:val="21"/>
              </w:rPr>
              <w:t>成立时间</w:t>
            </w:r>
          </w:p>
        </w:tc>
        <w:tc>
          <w:tcPr>
            <w:tcW w:w="1918" w:type="dxa"/>
            <w:gridSpan w:val="2"/>
            <w:vAlign w:val="center"/>
          </w:tcPr>
          <w:p w14:paraId="152B92FC">
            <w:pPr>
              <w:jc w:val="center"/>
              <w:rPr>
                <w:szCs w:val="21"/>
              </w:rPr>
            </w:pPr>
          </w:p>
        </w:tc>
        <w:tc>
          <w:tcPr>
            <w:tcW w:w="5102" w:type="dxa"/>
            <w:gridSpan w:val="7"/>
            <w:vAlign w:val="center"/>
          </w:tcPr>
          <w:p w14:paraId="22A97278">
            <w:pPr>
              <w:jc w:val="center"/>
              <w:rPr>
                <w:szCs w:val="21"/>
              </w:rPr>
            </w:pPr>
            <w:r>
              <w:rPr>
                <w:rFonts w:hint="eastAsia"/>
                <w:szCs w:val="21"/>
              </w:rPr>
              <w:t>员工总人数：</w:t>
            </w:r>
          </w:p>
        </w:tc>
      </w:tr>
      <w:tr w14:paraId="1155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Align w:val="center"/>
          </w:tcPr>
          <w:p w14:paraId="0F69D891">
            <w:pPr>
              <w:jc w:val="center"/>
              <w:rPr>
                <w:szCs w:val="21"/>
              </w:rPr>
            </w:pPr>
            <w:r>
              <w:rPr>
                <w:rFonts w:hint="eastAsia"/>
                <w:szCs w:val="21"/>
              </w:rPr>
              <w:t>企业资质等级</w:t>
            </w:r>
          </w:p>
        </w:tc>
        <w:tc>
          <w:tcPr>
            <w:tcW w:w="1918" w:type="dxa"/>
            <w:gridSpan w:val="2"/>
            <w:vAlign w:val="center"/>
          </w:tcPr>
          <w:p w14:paraId="5550E3CA">
            <w:pPr>
              <w:jc w:val="center"/>
              <w:rPr>
                <w:szCs w:val="21"/>
              </w:rPr>
            </w:pPr>
          </w:p>
        </w:tc>
        <w:tc>
          <w:tcPr>
            <w:tcW w:w="993" w:type="dxa"/>
            <w:vMerge w:val="restart"/>
            <w:vAlign w:val="center"/>
          </w:tcPr>
          <w:p w14:paraId="4FB7017F">
            <w:pPr>
              <w:jc w:val="center"/>
              <w:rPr>
                <w:szCs w:val="21"/>
              </w:rPr>
            </w:pPr>
            <w:r>
              <w:rPr>
                <w:rFonts w:hint="eastAsia"/>
                <w:szCs w:val="21"/>
              </w:rPr>
              <w:t>其中</w:t>
            </w:r>
          </w:p>
        </w:tc>
        <w:tc>
          <w:tcPr>
            <w:tcW w:w="1984" w:type="dxa"/>
            <w:gridSpan w:val="4"/>
            <w:vAlign w:val="center"/>
          </w:tcPr>
          <w:p w14:paraId="4B95FF46">
            <w:pPr>
              <w:jc w:val="center"/>
              <w:rPr>
                <w:szCs w:val="21"/>
              </w:rPr>
            </w:pPr>
            <w:r>
              <w:rPr>
                <w:rFonts w:hint="eastAsia"/>
                <w:szCs w:val="21"/>
              </w:rPr>
              <w:t>项目经理</w:t>
            </w:r>
          </w:p>
        </w:tc>
        <w:tc>
          <w:tcPr>
            <w:tcW w:w="2125" w:type="dxa"/>
            <w:gridSpan w:val="2"/>
            <w:vAlign w:val="center"/>
          </w:tcPr>
          <w:p w14:paraId="49924B1E">
            <w:pPr>
              <w:jc w:val="center"/>
              <w:rPr>
                <w:szCs w:val="21"/>
              </w:rPr>
            </w:pPr>
          </w:p>
        </w:tc>
      </w:tr>
      <w:tr w14:paraId="03740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Merge w:val="restart"/>
            <w:vAlign w:val="center"/>
          </w:tcPr>
          <w:p w14:paraId="4D8DCF3D">
            <w:pPr>
              <w:rPr>
                <w:szCs w:val="21"/>
              </w:rPr>
            </w:pPr>
            <w:r>
              <w:rPr>
                <w:rFonts w:hint="eastAsia"/>
                <w:szCs w:val="21"/>
              </w:rPr>
              <w:t>营业执照号</w:t>
            </w:r>
          </w:p>
        </w:tc>
        <w:tc>
          <w:tcPr>
            <w:tcW w:w="1918" w:type="dxa"/>
            <w:gridSpan w:val="2"/>
            <w:vMerge w:val="restart"/>
            <w:vAlign w:val="center"/>
          </w:tcPr>
          <w:p w14:paraId="70683F9D">
            <w:pPr>
              <w:rPr>
                <w:szCs w:val="21"/>
              </w:rPr>
            </w:pPr>
            <w:r>
              <w:rPr>
                <w:rFonts w:hint="eastAsia"/>
                <w:szCs w:val="21"/>
              </w:rPr>
              <w:t xml:space="preserve">        </w:t>
            </w:r>
          </w:p>
        </w:tc>
        <w:tc>
          <w:tcPr>
            <w:tcW w:w="993" w:type="dxa"/>
            <w:vMerge w:val="continue"/>
            <w:vAlign w:val="center"/>
          </w:tcPr>
          <w:p w14:paraId="592A27A4">
            <w:pPr>
              <w:jc w:val="center"/>
              <w:rPr>
                <w:szCs w:val="21"/>
              </w:rPr>
            </w:pPr>
          </w:p>
        </w:tc>
        <w:tc>
          <w:tcPr>
            <w:tcW w:w="1984" w:type="dxa"/>
            <w:gridSpan w:val="4"/>
            <w:vAlign w:val="center"/>
          </w:tcPr>
          <w:p w14:paraId="2869FA62">
            <w:pPr>
              <w:jc w:val="center"/>
              <w:rPr>
                <w:szCs w:val="21"/>
              </w:rPr>
            </w:pPr>
            <w:r>
              <w:rPr>
                <w:rFonts w:hint="eastAsia"/>
                <w:szCs w:val="21"/>
              </w:rPr>
              <w:t>高级职称人员</w:t>
            </w:r>
          </w:p>
        </w:tc>
        <w:tc>
          <w:tcPr>
            <w:tcW w:w="2125" w:type="dxa"/>
            <w:gridSpan w:val="2"/>
            <w:vAlign w:val="center"/>
          </w:tcPr>
          <w:p w14:paraId="5996BD2D">
            <w:pPr>
              <w:jc w:val="center"/>
              <w:rPr>
                <w:szCs w:val="21"/>
              </w:rPr>
            </w:pPr>
          </w:p>
        </w:tc>
      </w:tr>
      <w:tr w14:paraId="4D675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576" w:type="dxa"/>
            <w:vMerge w:val="continue"/>
            <w:vAlign w:val="center"/>
          </w:tcPr>
          <w:p w14:paraId="483A7D5C">
            <w:pPr>
              <w:rPr>
                <w:szCs w:val="21"/>
              </w:rPr>
            </w:pPr>
          </w:p>
        </w:tc>
        <w:tc>
          <w:tcPr>
            <w:tcW w:w="1918" w:type="dxa"/>
            <w:gridSpan w:val="2"/>
            <w:vMerge w:val="continue"/>
            <w:vAlign w:val="center"/>
          </w:tcPr>
          <w:p w14:paraId="665311AD">
            <w:pPr>
              <w:jc w:val="center"/>
              <w:rPr>
                <w:szCs w:val="21"/>
              </w:rPr>
            </w:pPr>
          </w:p>
        </w:tc>
        <w:tc>
          <w:tcPr>
            <w:tcW w:w="993" w:type="dxa"/>
            <w:vMerge w:val="continue"/>
            <w:vAlign w:val="center"/>
          </w:tcPr>
          <w:p w14:paraId="23FEC05D">
            <w:pPr>
              <w:jc w:val="center"/>
              <w:rPr>
                <w:szCs w:val="21"/>
              </w:rPr>
            </w:pPr>
          </w:p>
        </w:tc>
        <w:tc>
          <w:tcPr>
            <w:tcW w:w="1984" w:type="dxa"/>
            <w:gridSpan w:val="4"/>
            <w:vMerge w:val="restart"/>
            <w:vAlign w:val="center"/>
          </w:tcPr>
          <w:p w14:paraId="7DFF14E7">
            <w:pPr>
              <w:jc w:val="center"/>
              <w:rPr>
                <w:szCs w:val="21"/>
              </w:rPr>
            </w:pPr>
            <w:r>
              <w:rPr>
                <w:rFonts w:hint="eastAsia"/>
                <w:szCs w:val="21"/>
              </w:rPr>
              <w:t>中级职称人员</w:t>
            </w:r>
          </w:p>
        </w:tc>
        <w:tc>
          <w:tcPr>
            <w:tcW w:w="2125" w:type="dxa"/>
            <w:gridSpan w:val="2"/>
            <w:vMerge w:val="restart"/>
            <w:vAlign w:val="center"/>
          </w:tcPr>
          <w:p w14:paraId="094AFFD3">
            <w:pPr>
              <w:jc w:val="center"/>
              <w:rPr>
                <w:szCs w:val="21"/>
              </w:rPr>
            </w:pPr>
          </w:p>
        </w:tc>
      </w:tr>
      <w:tr w14:paraId="0F63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Align w:val="center"/>
          </w:tcPr>
          <w:p w14:paraId="60DD81B2">
            <w:pPr>
              <w:jc w:val="center"/>
              <w:rPr>
                <w:szCs w:val="21"/>
              </w:rPr>
            </w:pPr>
            <w:r>
              <w:rPr>
                <w:rFonts w:hint="eastAsia"/>
                <w:szCs w:val="21"/>
              </w:rPr>
              <w:t>安全生产许可证有效期</w:t>
            </w:r>
          </w:p>
        </w:tc>
        <w:tc>
          <w:tcPr>
            <w:tcW w:w="1918" w:type="dxa"/>
            <w:gridSpan w:val="2"/>
            <w:vAlign w:val="center"/>
          </w:tcPr>
          <w:p w14:paraId="6BA9E21D">
            <w:pPr>
              <w:jc w:val="center"/>
              <w:rPr>
                <w:szCs w:val="21"/>
              </w:rPr>
            </w:pPr>
          </w:p>
        </w:tc>
        <w:tc>
          <w:tcPr>
            <w:tcW w:w="993" w:type="dxa"/>
            <w:vMerge w:val="continue"/>
            <w:vAlign w:val="center"/>
          </w:tcPr>
          <w:p w14:paraId="1F1D39CE">
            <w:pPr>
              <w:jc w:val="center"/>
              <w:rPr>
                <w:szCs w:val="21"/>
              </w:rPr>
            </w:pPr>
          </w:p>
        </w:tc>
        <w:tc>
          <w:tcPr>
            <w:tcW w:w="1984" w:type="dxa"/>
            <w:gridSpan w:val="4"/>
            <w:vMerge w:val="continue"/>
            <w:vAlign w:val="center"/>
          </w:tcPr>
          <w:p w14:paraId="0D1F21D3">
            <w:pPr>
              <w:jc w:val="center"/>
              <w:rPr>
                <w:szCs w:val="21"/>
              </w:rPr>
            </w:pPr>
          </w:p>
        </w:tc>
        <w:tc>
          <w:tcPr>
            <w:tcW w:w="2125" w:type="dxa"/>
            <w:gridSpan w:val="2"/>
            <w:vMerge w:val="continue"/>
            <w:vAlign w:val="center"/>
          </w:tcPr>
          <w:p w14:paraId="299A03A6">
            <w:pPr>
              <w:jc w:val="center"/>
              <w:rPr>
                <w:szCs w:val="21"/>
              </w:rPr>
            </w:pPr>
          </w:p>
        </w:tc>
      </w:tr>
      <w:tr w14:paraId="059B9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Align w:val="center"/>
          </w:tcPr>
          <w:p w14:paraId="2A73C65E">
            <w:pPr>
              <w:jc w:val="center"/>
              <w:rPr>
                <w:szCs w:val="21"/>
              </w:rPr>
            </w:pPr>
            <w:r>
              <w:rPr>
                <w:rFonts w:hint="eastAsia"/>
                <w:szCs w:val="21"/>
              </w:rPr>
              <w:t>注册资金</w:t>
            </w:r>
          </w:p>
        </w:tc>
        <w:tc>
          <w:tcPr>
            <w:tcW w:w="1918" w:type="dxa"/>
            <w:gridSpan w:val="2"/>
            <w:vAlign w:val="center"/>
          </w:tcPr>
          <w:p w14:paraId="509FF99B">
            <w:pPr>
              <w:jc w:val="center"/>
              <w:rPr>
                <w:szCs w:val="21"/>
              </w:rPr>
            </w:pPr>
          </w:p>
        </w:tc>
        <w:tc>
          <w:tcPr>
            <w:tcW w:w="993" w:type="dxa"/>
            <w:vMerge w:val="continue"/>
            <w:vAlign w:val="center"/>
          </w:tcPr>
          <w:p w14:paraId="106B8F00">
            <w:pPr>
              <w:jc w:val="center"/>
              <w:rPr>
                <w:szCs w:val="21"/>
              </w:rPr>
            </w:pPr>
          </w:p>
        </w:tc>
        <w:tc>
          <w:tcPr>
            <w:tcW w:w="1984" w:type="dxa"/>
            <w:gridSpan w:val="4"/>
            <w:vAlign w:val="center"/>
          </w:tcPr>
          <w:p w14:paraId="01A0EC41">
            <w:pPr>
              <w:jc w:val="center"/>
              <w:rPr>
                <w:szCs w:val="21"/>
              </w:rPr>
            </w:pPr>
            <w:r>
              <w:rPr>
                <w:rFonts w:hint="eastAsia"/>
                <w:szCs w:val="21"/>
              </w:rPr>
              <w:t>初级职称人员</w:t>
            </w:r>
          </w:p>
        </w:tc>
        <w:tc>
          <w:tcPr>
            <w:tcW w:w="2125" w:type="dxa"/>
            <w:gridSpan w:val="2"/>
            <w:vAlign w:val="center"/>
          </w:tcPr>
          <w:p w14:paraId="3FC756EE">
            <w:pPr>
              <w:jc w:val="center"/>
              <w:rPr>
                <w:szCs w:val="21"/>
              </w:rPr>
            </w:pPr>
          </w:p>
        </w:tc>
      </w:tr>
      <w:tr w14:paraId="3209C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Align w:val="center"/>
          </w:tcPr>
          <w:p w14:paraId="45D0C85B">
            <w:pPr>
              <w:jc w:val="center"/>
              <w:rPr>
                <w:szCs w:val="21"/>
              </w:rPr>
            </w:pPr>
            <w:r>
              <w:rPr>
                <w:rFonts w:hint="eastAsia"/>
                <w:szCs w:val="21"/>
              </w:rPr>
              <w:t>开户银行</w:t>
            </w:r>
          </w:p>
        </w:tc>
        <w:tc>
          <w:tcPr>
            <w:tcW w:w="1918" w:type="dxa"/>
            <w:gridSpan w:val="2"/>
            <w:vAlign w:val="center"/>
          </w:tcPr>
          <w:p w14:paraId="676683EC">
            <w:pPr>
              <w:jc w:val="center"/>
              <w:rPr>
                <w:szCs w:val="21"/>
              </w:rPr>
            </w:pPr>
          </w:p>
        </w:tc>
        <w:tc>
          <w:tcPr>
            <w:tcW w:w="993" w:type="dxa"/>
            <w:vMerge w:val="continue"/>
            <w:vAlign w:val="center"/>
          </w:tcPr>
          <w:p w14:paraId="65E3A600">
            <w:pPr>
              <w:jc w:val="center"/>
              <w:rPr>
                <w:szCs w:val="21"/>
              </w:rPr>
            </w:pPr>
          </w:p>
        </w:tc>
        <w:tc>
          <w:tcPr>
            <w:tcW w:w="1984" w:type="dxa"/>
            <w:gridSpan w:val="4"/>
            <w:vAlign w:val="center"/>
          </w:tcPr>
          <w:p w14:paraId="6DABBEB4">
            <w:pPr>
              <w:jc w:val="center"/>
              <w:rPr>
                <w:szCs w:val="21"/>
              </w:rPr>
            </w:pPr>
            <w:r>
              <w:rPr>
                <w:rFonts w:hint="eastAsia"/>
                <w:szCs w:val="21"/>
              </w:rPr>
              <w:t>技  工</w:t>
            </w:r>
          </w:p>
        </w:tc>
        <w:tc>
          <w:tcPr>
            <w:tcW w:w="2125" w:type="dxa"/>
            <w:gridSpan w:val="2"/>
            <w:vAlign w:val="center"/>
          </w:tcPr>
          <w:p w14:paraId="05D6948C">
            <w:pPr>
              <w:jc w:val="center"/>
              <w:rPr>
                <w:szCs w:val="21"/>
              </w:rPr>
            </w:pPr>
          </w:p>
        </w:tc>
      </w:tr>
      <w:tr w14:paraId="48A3D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Align w:val="center"/>
          </w:tcPr>
          <w:p w14:paraId="0E27CF2B">
            <w:pPr>
              <w:jc w:val="center"/>
              <w:rPr>
                <w:szCs w:val="21"/>
              </w:rPr>
            </w:pPr>
            <w:r>
              <w:rPr>
                <w:rFonts w:hint="eastAsia"/>
                <w:szCs w:val="21"/>
              </w:rPr>
              <w:t>账号</w:t>
            </w:r>
          </w:p>
        </w:tc>
        <w:tc>
          <w:tcPr>
            <w:tcW w:w="1918" w:type="dxa"/>
            <w:gridSpan w:val="2"/>
            <w:vAlign w:val="center"/>
          </w:tcPr>
          <w:p w14:paraId="27DB78FB">
            <w:pPr>
              <w:jc w:val="center"/>
              <w:rPr>
                <w:szCs w:val="21"/>
              </w:rPr>
            </w:pPr>
          </w:p>
        </w:tc>
        <w:tc>
          <w:tcPr>
            <w:tcW w:w="993" w:type="dxa"/>
            <w:vMerge w:val="continue"/>
            <w:vAlign w:val="center"/>
          </w:tcPr>
          <w:p w14:paraId="7BE18153">
            <w:pPr>
              <w:jc w:val="center"/>
              <w:rPr>
                <w:szCs w:val="21"/>
              </w:rPr>
            </w:pPr>
          </w:p>
        </w:tc>
        <w:tc>
          <w:tcPr>
            <w:tcW w:w="1984" w:type="dxa"/>
            <w:gridSpan w:val="4"/>
            <w:vAlign w:val="center"/>
          </w:tcPr>
          <w:p w14:paraId="1888F2E8">
            <w:pPr>
              <w:jc w:val="center"/>
              <w:rPr>
                <w:szCs w:val="21"/>
              </w:rPr>
            </w:pPr>
            <w:r>
              <w:rPr>
                <w:rFonts w:hint="eastAsia"/>
                <w:szCs w:val="21"/>
              </w:rPr>
              <w:t>拟派项目经理姓名</w:t>
            </w:r>
          </w:p>
        </w:tc>
        <w:tc>
          <w:tcPr>
            <w:tcW w:w="2125" w:type="dxa"/>
            <w:gridSpan w:val="2"/>
            <w:vAlign w:val="center"/>
          </w:tcPr>
          <w:p w14:paraId="3CD98C3F">
            <w:pPr>
              <w:jc w:val="center"/>
              <w:rPr>
                <w:szCs w:val="21"/>
              </w:rPr>
            </w:pPr>
          </w:p>
        </w:tc>
      </w:tr>
      <w:tr w14:paraId="43CC6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2576" w:type="dxa"/>
            <w:vAlign w:val="center"/>
          </w:tcPr>
          <w:p w14:paraId="27169E26">
            <w:pPr>
              <w:jc w:val="center"/>
              <w:rPr>
                <w:szCs w:val="21"/>
              </w:rPr>
            </w:pPr>
            <w:r>
              <w:rPr>
                <w:rFonts w:hint="eastAsia"/>
                <w:szCs w:val="21"/>
              </w:rPr>
              <w:t>经营范围</w:t>
            </w:r>
          </w:p>
        </w:tc>
        <w:tc>
          <w:tcPr>
            <w:tcW w:w="7020" w:type="dxa"/>
            <w:gridSpan w:val="9"/>
            <w:vAlign w:val="center"/>
          </w:tcPr>
          <w:p w14:paraId="69FAD1D9">
            <w:pPr>
              <w:jc w:val="center"/>
              <w:rPr>
                <w:szCs w:val="21"/>
              </w:rPr>
            </w:pPr>
          </w:p>
        </w:tc>
      </w:tr>
      <w:tr w14:paraId="4A2D4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576" w:type="dxa"/>
            <w:vAlign w:val="center"/>
          </w:tcPr>
          <w:p w14:paraId="037608EE">
            <w:pPr>
              <w:jc w:val="center"/>
              <w:rPr>
                <w:szCs w:val="21"/>
              </w:rPr>
            </w:pPr>
            <w:r>
              <w:rPr>
                <w:rFonts w:hint="eastAsia"/>
                <w:szCs w:val="21"/>
              </w:rPr>
              <w:t>备注</w:t>
            </w:r>
          </w:p>
        </w:tc>
        <w:tc>
          <w:tcPr>
            <w:tcW w:w="7020" w:type="dxa"/>
            <w:gridSpan w:val="9"/>
            <w:vAlign w:val="center"/>
          </w:tcPr>
          <w:p w14:paraId="543D6EF7">
            <w:pPr>
              <w:jc w:val="center"/>
              <w:rPr>
                <w:szCs w:val="21"/>
              </w:rPr>
            </w:pPr>
          </w:p>
        </w:tc>
      </w:tr>
    </w:tbl>
    <w:p w14:paraId="67E94709">
      <w:pPr>
        <w:pStyle w:val="12"/>
        <w:spacing w:before="7"/>
        <w:rPr>
          <w:rFonts w:ascii="黑体"/>
          <w:sz w:val="20"/>
        </w:rPr>
      </w:pPr>
    </w:p>
    <w:p w14:paraId="541B76B5">
      <w:pPr>
        <w:pStyle w:val="38"/>
        <w:spacing w:before="119"/>
        <w:ind w:right="166" w:firstLine="210" w:firstLineChars="100"/>
        <w:jc w:val="both"/>
        <w:rPr>
          <w:sz w:val="21"/>
          <w:szCs w:val="21"/>
          <w:lang w:val="en-US"/>
        </w:rPr>
        <w:sectPr>
          <w:pgSz w:w="12240" w:h="15840"/>
          <w:pgMar w:top="1440" w:right="1080" w:bottom="1440" w:left="1080" w:header="0" w:footer="844" w:gutter="0"/>
          <w:pgNumType w:fmt="decimal"/>
          <w:cols w:space="720" w:num="1"/>
        </w:sectPr>
      </w:pPr>
      <w:r>
        <w:rPr>
          <w:rFonts w:hint="eastAsia"/>
          <w:sz w:val="21"/>
          <w:szCs w:val="21"/>
          <w:lang w:val="en-US"/>
        </w:rPr>
        <w:t>备注：本表后应附企业法人营业执照、企业资质证书副本、安全生产许可证等材料扫描件。</w:t>
      </w:r>
    </w:p>
    <w:p w14:paraId="23F59F5A">
      <w:pPr>
        <w:pStyle w:val="4"/>
        <w:spacing w:before="61"/>
        <w:ind w:left="376" w:firstLine="0"/>
        <w:rPr>
          <w:rFonts w:ascii="宋体" w:hAnsi="宋体" w:eastAsia="宋体" w:cs="宋体"/>
          <w:b/>
          <w:bCs/>
        </w:rPr>
      </w:pPr>
      <w:bookmarkStart w:id="834" w:name="_TOC_250007"/>
      <w:bookmarkEnd w:id="834"/>
      <w:r>
        <w:rPr>
          <w:rFonts w:hint="eastAsia" w:ascii="宋体" w:hAnsi="宋体" w:eastAsia="宋体" w:cs="宋体"/>
          <w:b/>
          <w:bCs/>
          <w:lang w:val="en-US"/>
        </w:rPr>
        <w:t>（二）近年承担的类似项目情况表</w:t>
      </w:r>
    </w:p>
    <w:tbl>
      <w:tblPr>
        <w:tblStyle w:val="27"/>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7"/>
        <w:gridCol w:w="7186"/>
      </w:tblGrid>
      <w:tr w14:paraId="01BEE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20E937FF">
            <w:pPr>
              <w:jc w:val="center"/>
              <w:rPr>
                <w:szCs w:val="21"/>
              </w:rPr>
            </w:pPr>
            <w:r>
              <w:rPr>
                <w:rFonts w:hint="eastAsia"/>
                <w:szCs w:val="21"/>
              </w:rPr>
              <w:t>项目名称</w:t>
            </w:r>
          </w:p>
        </w:tc>
        <w:tc>
          <w:tcPr>
            <w:tcW w:w="7186" w:type="dxa"/>
            <w:vAlign w:val="center"/>
          </w:tcPr>
          <w:p w14:paraId="55AFBA27">
            <w:pPr>
              <w:jc w:val="center"/>
              <w:rPr>
                <w:szCs w:val="21"/>
              </w:rPr>
            </w:pPr>
          </w:p>
        </w:tc>
      </w:tr>
      <w:tr w14:paraId="40964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3564C38A">
            <w:pPr>
              <w:jc w:val="center"/>
              <w:rPr>
                <w:szCs w:val="21"/>
              </w:rPr>
            </w:pPr>
            <w:r>
              <w:rPr>
                <w:rFonts w:hint="eastAsia"/>
                <w:szCs w:val="21"/>
              </w:rPr>
              <w:t>项目所在地</w:t>
            </w:r>
          </w:p>
        </w:tc>
        <w:tc>
          <w:tcPr>
            <w:tcW w:w="7186" w:type="dxa"/>
            <w:vAlign w:val="center"/>
          </w:tcPr>
          <w:p w14:paraId="2484F29A">
            <w:pPr>
              <w:jc w:val="center"/>
              <w:rPr>
                <w:szCs w:val="21"/>
              </w:rPr>
            </w:pPr>
          </w:p>
        </w:tc>
      </w:tr>
      <w:tr w14:paraId="30F2D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0364C503">
            <w:pPr>
              <w:jc w:val="center"/>
              <w:rPr>
                <w:szCs w:val="21"/>
              </w:rPr>
            </w:pPr>
            <w:r>
              <w:rPr>
                <w:rFonts w:hint="eastAsia"/>
                <w:szCs w:val="21"/>
              </w:rPr>
              <w:t>发包人名称</w:t>
            </w:r>
          </w:p>
        </w:tc>
        <w:tc>
          <w:tcPr>
            <w:tcW w:w="7186" w:type="dxa"/>
            <w:vAlign w:val="center"/>
          </w:tcPr>
          <w:p w14:paraId="42F624C2">
            <w:pPr>
              <w:jc w:val="center"/>
              <w:rPr>
                <w:szCs w:val="21"/>
              </w:rPr>
            </w:pPr>
          </w:p>
        </w:tc>
      </w:tr>
      <w:tr w14:paraId="68025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379B7399">
            <w:pPr>
              <w:jc w:val="center"/>
              <w:rPr>
                <w:szCs w:val="21"/>
              </w:rPr>
            </w:pPr>
            <w:r>
              <w:rPr>
                <w:rFonts w:hint="eastAsia"/>
                <w:szCs w:val="21"/>
              </w:rPr>
              <w:t>发包人地址</w:t>
            </w:r>
          </w:p>
        </w:tc>
        <w:tc>
          <w:tcPr>
            <w:tcW w:w="7186" w:type="dxa"/>
            <w:vAlign w:val="center"/>
          </w:tcPr>
          <w:p w14:paraId="161E5B70">
            <w:pPr>
              <w:jc w:val="center"/>
              <w:rPr>
                <w:szCs w:val="21"/>
              </w:rPr>
            </w:pPr>
          </w:p>
        </w:tc>
      </w:tr>
      <w:tr w14:paraId="52F0A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385C2984">
            <w:pPr>
              <w:jc w:val="center"/>
              <w:rPr>
                <w:szCs w:val="21"/>
              </w:rPr>
            </w:pPr>
            <w:r>
              <w:rPr>
                <w:rFonts w:hint="eastAsia"/>
                <w:szCs w:val="21"/>
              </w:rPr>
              <w:t>发包人电话</w:t>
            </w:r>
          </w:p>
        </w:tc>
        <w:tc>
          <w:tcPr>
            <w:tcW w:w="7186" w:type="dxa"/>
            <w:vAlign w:val="center"/>
          </w:tcPr>
          <w:p w14:paraId="7DFCC526">
            <w:pPr>
              <w:jc w:val="center"/>
              <w:rPr>
                <w:szCs w:val="21"/>
              </w:rPr>
            </w:pPr>
          </w:p>
        </w:tc>
      </w:tr>
      <w:tr w14:paraId="1EBE3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47EC6584">
            <w:pPr>
              <w:jc w:val="center"/>
              <w:rPr>
                <w:szCs w:val="21"/>
              </w:rPr>
            </w:pPr>
            <w:r>
              <w:rPr>
                <w:rFonts w:hint="eastAsia"/>
                <w:szCs w:val="21"/>
              </w:rPr>
              <w:t>签约合同价</w:t>
            </w:r>
          </w:p>
        </w:tc>
        <w:tc>
          <w:tcPr>
            <w:tcW w:w="7186" w:type="dxa"/>
            <w:vAlign w:val="center"/>
          </w:tcPr>
          <w:p w14:paraId="2A1CE003">
            <w:pPr>
              <w:jc w:val="center"/>
              <w:rPr>
                <w:szCs w:val="21"/>
              </w:rPr>
            </w:pPr>
          </w:p>
        </w:tc>
      </w:tr>
      <w:tr w14:paraId="4345E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7962ED8C">
            <w:pPr>
              <w:jc w:val="center"/>
              <w:rPr>
                <w:szCs w:val="21"/>
              </w:rPr>
            </w:pPr>
            <w:r>
              <w:rPr>
                <w:rFonts w:hint="eastAsia"/>
                <w:szCs w:val="21"/>
              </w:rPr>
              <w:t>计划开工日期</w:t>
            </w:r>
          </w:p>
        </w:tc>
        <w:tc>
          <w:tcPr>
            <w:tcW w:w="7186" w:type="dxa"/>
            <w:vAlign w:val="center"/>
          </w:tcPr>
          <w:p w14:paraId="21A52056">
            <w:pPr>
              <w:jc w:val="center"/>
              <w:rPr>
                <w:szCs w:val="21"/>
              </w:rPr>
            </w:pPr>
          </w:p>
        </w:tc>
      </w:tr>
      <w:tr w14:paraId="3B5A3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0ABD363A">
            <w:pPr>
              <w:jc w:val="center"/>
              <w:rPr>
                <w:szCs w:val="21"/>
              </w:rPr>
            </w:pPr>
            <w:r>
              <w:rPr>
                <w:rFonts w:hint="eastAsia"/>
                <w:szCs w:val="21"/>
              </w:rPr>
              <w:t>计划竣工日期</w:t>
            </w:r>
          </w:p>
        </w:tc>
        <w:tc>
          <w:tcPr>
            <w:tcW w:w="7186" w:type="dxa"/>
            <w:vAlign w:val="center"/>
          </w:tcPr>
          <w:p w14:paraId="0796C297">
            <w:pPr>
              <w:jc w:val="center"/>
              <w:rPr>
                <w:szCs w:val="21"/>
              </w:rPr>
            </w:pPr>
          </w:p>
        </w:tc>
      </w:tr>
      <w:tr w14:paraId="1F612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04AD2854">
            <w:pPr>
              <w:jc w:val="center"/>
              <w:rPr>
                <w:szCs w:val="21"/>
              </w:rPr>
            </w:pPr>
            <w:r>
              <w:rPr>
                <w:rFonts w:hint="eastAsia"/>
                <w:szCs w:val="21"/>
              </w:rPr>
              <w:t>承担的工作</w:t>
            </w:r>
          </w:p>
        </w:tc>
        <w:tc>
          <w:tcPr>
            <w:tcW w:w="7186" w:type="dxa"/>
            <w:vAlign w:val="center"/>
          </w:tcPr>
          <w:p w14:paraId="5A84F566">
            <w:pPr>
              <w:jc w:val="center"/>
              <w:rPr>
                <w:szCs w:val="21"/>
              </w:rPr>
            </w:pPr>
          </w:p>
        </w:tc>
      </w:tr>
      <w:tr w14:paraId="0D4E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1A0B4AA7">
            <w:pPr>
              <w:jc w:val="center"/>
              <w:rPr>
                <w:szCs w:val="21"/>
              </w:rPr>
            </w:pPr>
            <w:r>
              <w:rPr>
                <w:rFonts w:hint="eastAsia"/>
                <w:szCs w:val="21"/>
              </w:rPr>
              <w:t>工程质量</w:t>
            </w:r>
          </w:p>
        </w:tc>
        <w:tc>
          <w:tcPr>
            <w:tcW w:w="7186" w:type="dxa"/>
            <w:vAlign w:val="center"/>
          </w:tcPr>
          <w:p w14:paraId="62DF734D">
            <w:pPr>
              <w:jc w:val="center"/>
              <w:rPr>
                <w:szCs w:val="21"/>
              </w:rPr>
            </w:pPr>
          </w:p>
        </w:tc>
      </w:tr>
      <w:tr w14:paraId="04CB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559AB8E4">
            <w:pPr>
              <w:jc w:val="center"/>
              <w:rPr>
                <w:szCs w:val="21"/>
              </w:rPr>
            </w:pPr>
            <w:r>
              <w:rPr>
                <w:rFonts w:hint="eastAsia"/>
                <w:szCs w:val="21"/>
              </w:rPr>
              <w:t>项目经理</w:t>
            </w:r>
          </w:p>
        </w:tc>
        <w:tc>
          <w:tcPr>
            <w:tcW w:w="7186" w:type="dxa"/>
            <w:vAlign w:val="center"/>
          </w:tcPr>
          <w:p w14:paraId="7EA26D22">
            <w:pPr>
              <w:jc w:val="center"/>
              <w:rPr>
                <w:szCs w:val="21"/>
              </w:rPr>
            </w:pPr>
          </w:p>
        </w:tc>
      </w:tr>
      <w:tr w14:paraId="55D78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65539DCE">
            <w:pPr>
              <w:jc w:val="center"/>
              <w:rPr>
                <w:szCs w:val="21"/>
              </w:rPr>
            </w:pPr>
            <w:r>
              <w:rPr>
                <w:rFonts w:hint="eastAsia"/>
                <w:szCs w:val="21"/>
              </w:rPr>
              <w:t>技术负责人</w:t>
            </w:r>
          </w:p>
        </w:tc>
        <w:tc>
          <w:tcPr>
            <w:tcW w:w="7186" w:type="dxa"/>
            <w:vAlign w:val="center"/>
          </w:tcPr>
          <w:p w14:paraId="6FA18383">
            <w:pPr>
              <w:jc w:val="center"/>
              <w:rPr>
                <w:szCs w:val="21"/>
              </w:rPr>
            </w:pPr>
          </w:p>
        </w:tc>
      </w:tr>
      <w:tr w14:paraId="49151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2487" w:type="dxa"/>
            <w:vAlign w:val="center"/>
          </w:tcPr>
          <w:p w14:paraId="07AD5AAB">
            <w:pPr>
              <w:jc w:val="center"/>
              <w:rPr>
                <w:szCs w:val="21"/>
              </w:rPr>
            </w:pPr>
            <w:r>
              <w:rPr>
                <w:rFonts w:hint="eastAsia"/>
                <w:szCs w:val="21"/>
              </w:rPr>
              <w:t>项目描述</w:t>
            </w:r>
          </w:p>
        </w:tc>
        <w:tc>
          <w:tcPr>
            <w:tcW w:w="7186" w:type="dxa"/>
            <w:vAlign w:val="center"/>
          </w:tcPr>
          <w:p w14:paraId="30FC0A3C">
            <w:pPr>
              <w:jc w:val="center"/>
              <w:rPr>
                <w:szCs w:val="21"/>
              </w:rPr>
            </w:pPr>
          </w:p>
        </w:tc>
      </w:tr>
      <w:tr w14:paraId="4EE27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87" w:type="dxa"/>
            <w:vAlign w:val="center"/>
          </w:tcPr>
          <w:p w14:paraId="1B39823B">
            <w:pPr>
              <w:jc w:val="center"/>
              <w:rPr>
                <w:szCs w:val="21"/>
              </w:rPr>
            </w:pPr>
            <w:r>
              <w:rPr>
                <w:rFonts w:hint="eastAsia"/>
                <w:szCs w:val="21"/>
              </w:rPr>
              <w:t>备注</w:t>
            </w:r>
          </w:p>
        </w:tc>
        <w:tc>
          <w:tcPr>
            <w:tcW w:w="7186" w:type="dxa"/>
            <w:vAlign w:val="center"/>
          </w:tcPr>
          <w:p w14:paraId="4C345A8B">
            <w:pPr>
              <w:jc w:val="center"/>
              <w:rPr>
                <w:szCs w:val="21"/>
              </w:rPr>
            </w:pPr>
          </w:p>
        </w:tc>
      </w:tr>
    </w:tbl>
    <w:p w14:paraId="30B1D88D"/>
    <w:p w14:paraId="22F6FBE5">
      <w:pPr>
        <w:spacing w:before="42"/>
        <w:rPr>
          <w:sz w:val="21"/>
          <w:szCs w:val="21"/>
          <w:lang w:val="en-US"/>
        </w:rPr>
      </w:pPr>
      <w:r>
        <w:rPr>
          <w:rFonts w:hint="eastAsia"/>
          <w:sz w:val="21"/>
          <w:szCs w:val="21"/>
          <w:lang w:val="en-US"/>
        </w:rPr>
        <w:t>注：本表后附</w:t>
      </w:r>
      <w:r>
        <w:rPr>
          <w:rFonts w:hint="eastAsia"/>
          <w:sz w:val="21"/>
          <w:lang w:val="en-US" w:eastAsia="zh-CN"/>
        </w:rPr>
        <w:t>提供业绩项目中标通知书或直接发包通知书（直接发包备案书）及合同协议书</w:t>
      </w:r>
      <w:r>
        <w:rPr>
          <w:rFonts w:hint="eastAsia"/>
          <w:sz w:val="21"/>
          <w:szCs w:val="21"/>
          <w:lang w:val="en-US"/>
        </w:rPr>
        <w:t>等材料的扫描件。</w:t>
      </w:r>
    </w:p>
    <w:p w14:paraId="5E83D3B0">
      <w:pPr>
        <w:rPr>
          <w:sz w:val="21"/>
          <w:szCs w:val="21"/>
          <w:lang w:val="en-US"/>
        </w:rPr>
      </w:pPr>
    </w:p>
    <w:p w14:paraId="2E1AC19A">
      <w:pPr>
        <w:pStyle w:val="25"/>
        <w:ind w:firstLine="210"/>
        <w:rPr>
          <w:lang w:val="en-US"/>
        </w:rPr>
      </w:pPr>
    </w:p>
    <w:p w14:paraId="0BCAADA1">
      <w:pPr>
        <w:pStyle w:val="26"/>
        <w:ind w:left="440"/>
        <w:rPr>
          <w:rFonts w:ascii="宋体" w:hAnsi="宋体"/>
          <w:sz w:val="21"/>
          <w:szCs w:val="21"/>
          <w:lang w:val="en-US"/>
        </w:rPr>
      </w:pPr>
    </w:p>
    <w:p w14:paraId="0C44CB6A">
      <w:pPr>
        <w:pStyle w:val="26"/>
        <w:ind w:left="440" w:firstLine="600"/>
      </w:pPr>
    </w:p>
    <w:p w14:paraId="1C4805E0">
      <w:pPr>
        <w:pStyle w:val="43"/>
        <w:jc w:val="center"/>
        <w:outlineLvl w:val="1"/>
        <w:rPr>
          <w:rFonts w:ascii="宋体" w:hAnsi="宋体" w:eastAsia="宋体"/>
          <w:b/>
          <w:bCs/>
          <w:sz w:val="36"/>
          <w:szCs w:val="36"/>
        </w:rPr>
      </w:pPr>
      <w:bookmarkStart w:id="835" w:name="_Toc9510"/>
      <w:r>
        <w:rPr>
          <w:rFonts w:hint="eastAsia" w:ascii="宋体" w:hAnsi="宋体" w:eastAsia="宋体"/>
          <w:b/>
          <w:bCs/>
          <w:sz w:val="36"/>
          <w:szCs w:val="36"/>
          <w:lang w:val="en-US"/>
        </w:rPr>
        <w:t>四</w:t>
      </w:r>
      <w:r>
        <w:rPr>
          <w:rFonts w:hint="eastAsia" w:ascii="宋体" w:hAnsi="宋体" w:eastAsia="宋体"/>
          <w:b/>
          <w:bCs/>
          <w:sz w:val="36"/>
          <w:szCs w:val="36"/>
        </w:rPr>
        <w:t>、近年财务及税收、社保状况</w:t>
      </w:r>
      <w:bookmarkEnd w:id="835"/>
    </w:p>
    <w:p w14:paraId="545F0BB1">
      <w:pPr>
        <w:pStyle w:val="43"/>
        <w:outlineLvl w:val="9"/>
        <w:rPr>
          <w:rFonts w:ascii="宋体" w:hAnsi="宋体" w:eastAsia="宋体"/>
          <w:b/>
          <w:bCs/>
          <w:sz w:val="36"/>
          <w:szCs w:val="36"/>
        </w:rPr>
      </w:pPr>
    </w:p>
    <w:p w14:paraId="6BD8EC59">
      <w:pPr>
        <w:pStyle w:val="43"/>
        <w:outlineLvl w:val="9"/>
        <w:rPr>
          <w:rFonts w:ascii="宋体" w:hAnsi="宋体" w:eastAsia="宋体"/>
          <w:b/>
          <w:bCs/>
          <w:sz w:val="36"/>
          <w:szCs w:val="36"/>
        </w:rPr>
      </w:pPr>
    </w:p>
    <w:p w14:paraId="0F3A3806">
      <w:pPr>
        <w:pStyle w:val="43"/>
        <w:numPr>
          <w:ilvl w:val="0"/>
          <w:numId w:val="11"/>
        </w:numPr>
        <w:jc w:val="center"/>
        <w:rPr>
          <w:rFonts w:ascii="宋体" w:hAnsi="宋体" w:eastAsia="宋体"/>
          <w:b/>
          <w:bCs/>
          <w:sz w:val="28"/>
          <w:szCs w:val="28"/>
        </w:rPr>
      </w:pPr>
      <w:r>
        <w:rPr>
          <w:rFonts w:hint="eastAsia" w:ascii="宋体" w:hAnsi="宋体" w:eastAsia="宋体"/>
          <w:b/>
          <w:bCs/>
          <w:sz w:val="28"/>
          <w:szCs w:val="28"/>
        </w:rPr>
        <w:t>承诺书</w:t>
      </w:r>
    </w:p>
    <w:p w14:paraId="6DF08A7C">
      <w:pPr>
        <w:rPr>
          <w:sz w:val="24"/>
          <w:u w:val="single"/>
        </w:rPr>
      </w:pPr>
    </w:p>
    <w:p w14:paraId="2E8EDEE2">
      <w:pPr>
        <w:rPr>
          <w:sz w:val="24"/>
        </w:rPr>
      </w:pPr>
      <w:r>
        <w:rPr>
          <w:rFonts w:hint="eastAsia"/>
          <w:sz w:val="24"/>
          <w:u w:val="single"/>
        </w:rPr>
        <w:t xml:space="preserve">                      </w:t>
      </w:r>
      <w:r>
        <w:rPr>
          <w:rFonts w:hint="eastAsia"/>
          <w:szCs w:val="21"/>
        </w:rPr>
        <w:t>（</w:t>
      </w:r>
      <w:r>
        <w:rPr>
          <w:rFonts w:hint="eastAsia"/>
          <w:szCs w:val="21"/>
          <w:lang w:val="en-US"/>
        </w:rPr>
        <w:t>采购</w:t>
      </w:r>
      <w:r>
        <w:rPr>
          <w:rFonts w:hint="eastAsia"/>
          <w:szCs w:val="21"/>
        </w:rPr>
        <w:t>人名称）：</w:t>
      </w:r>
    </w:p>
    <w:p w14:paraId="7DB2A7A6">
      <w:pPr>
        <w:rPr>
          <w:sz w:val="24"/>
        </w:rPr>
      </w:pPr>
    </w:p>
    <w:p w14:paraId="20E9310C">
      <w:pPr>
        <w:ind w:firstLine="440" w:firstLineChars="200"/>
        <w:rPr>
          <w:szCs w:val="21"/>
        </w:rPr>
      </w:pPr>
      <w:r>
        <w:rPr>
          <w:rFonts w:hint="eastAsia"/>
          <w:szCs w:val="21"/>
        </w:rPr>
        <w:t>我方在此承诺，本公司近三年财务状况良好，企业没有被接管、冻结、破产状态。</w:t>
      </w:r>
    </w:p>
    <w:p w14:paraId="26A202A2">
      <w:pPr>
        <w:ind w:firstLine="440" w:firstLineChars="200"/>
        <w:rPr>
          <w:szCs w:val="21"/>
        </w:rPr>
      </w:pPr>
      <w:r>
        <w:rPr>
          <w:rFonts w:hint="eastAsia"/>
          <w:szCs w:val="21"/>
        </w:rPr>
        <w:t>我方保证上述信息的真实和准确，并愿意承担因我方就此弄虚作假所引起的一切法律后果。</w:t>
      </w:r>
    </w:p>
    <w:p w14:paraId="3F580DAD">
      <w:pPr>
        <w:rPr>
          <w:szCs w:val="21"/>
        </w:rPr>
      </w:pPr>
    </w:p>
    <w:p w14:paraId="42108F80">
      <w:pPr>
        <w:ind w:firstLine="440" w:firstLineChars="200"/>
        <w:rPr>
          <w:szCs w:val="21"/>
        </w:rPr>
      </w:pPr>
      <w:r>
        <w:rPr>
          <w:rFonts w:hint="eastAsia"/>
          <w:szCs w:val="21"/>
        </w:rPr>
        <w:t>特此承诺</w:t>
      </w:r>
    </w:p>
    <w:p w14:paraId="515761B5">
      <w:pPr>
        <w:pStyle w:val="43"/>
        <w:outlineLvl w:val="9"/>
        <w:rPr>
          <w:rFonts w:ascii="宋体" w:hAnsi="宋体" w:eastAsia="宋体"/>
          <w:sz w:val="32"/>
          <w:szCs w:val="32"/>
        </w:rPr>
      </w:pPr>
    </w:p>
    <w:p w14:paraId="63C3D75C">
      <w:pPr>
        <w:spacing w:line="360" w:lineRule="auto"/>
        <w:ind w:firstLine="480" w:firstLineChars="200"/>
        <w:rPr>
          <w:sz w:val="24"/>
        </w:rPr>
      </w:pPr>
    </w:p>
    <w:p w14:paraId="4035F76E">
      <w:pPr>
        <w:spacing w:line="360" w:lineRule="auto"/>
        <w:ind w:firstLine="480" w:firstLineChars="200"/>
        <w:rPr>
          <w:sz w:val="24"/>
        </w:rPr>
      </w:pPr>
    </w:p>
    <w:p w14:paraId="2676FEB0">
      <w:pPr>
        <w:spacing w:line="360" w:lineRule="auto"/>
        <w:ind w:firstLine="440" w:firstLineChars="200"/>
        <w:jc w:val="right"/>
        <w:rPr>
          <w:sz w:val="24"/>
        </w:rPr>
      </w:pPr>
      <w:r>
        <w:rPr>
          <w:rFonts w:hint="eastAsia"/>
          <w:szCs w:val="21"/>
          <w:lang w:val="en-US"/>
        </w:rPr>
        <w:t>供应商</w:t>
      </w:r>
      <w:r>
        <w:rPr>
          <w:rFonts w:hint="eastAsia"/>
          <w:szCs w:val="21"/>
        </w:rPr>
        <w:t>：</w:t>
      </w:r>
      <w:r>
        <w:rPr>
          <w:rFonts w:hint="eastAsia"/>
          <w:sz w:val="24"/>
          <w:u w:val="single"/>
        </w:rPr>
        <w:t xml:space="preserve">                      </w:t>
      </w:r>
      <w:r>
        <w:rPr>
          <w:rFonts w:hint="eastAsia"/>
          <w:sz w:val="24"/>
        </w:rPr>
        <w:t>（</w:t>
      </w:r>
      <w:r>
        <w:rPr>
          <w:rFonts w:hint="eastAsia" w:ascii="宋体" w:hAnsi="宋体" w:cs="宋体"/>
          <w:szCs w:val="21"/>
        </w:rPr>
        <w:t>单位电子CA印章</w:t>
      </w:r>
      <w:r>
        <w:rPr>
          <w:rFonts w:hint="eastAsia"/>
          <w:szCs w:val="21"/>
        </w:rPr>
        <w:t>）</w:t>
      </w:r>
    </w:p>
    <w:p w14:paraId="4A1BA0B9">
      <w:pPr>
        <w:spacing w:line="360" w:lineRule="auto"/>
        <w:ind w:firstLine="480" w:firstLineChars="200"/>
        <w:jc w:val="center"/>
        <w:rPr>
          <w:szCs w:val="21"/>
        </w:rPr>
      </w:pPr>
      <w:r>
        <w:rPr>
          <w:rFonts w:hint="eastAsia"/>
          <w:sz w:val="24"/>
        </w:rPr>
        <w:t xml:space="preserve">                           </w:t>
      </w:r>
      <w:r>
        <w:rPr>
          <w:rFonts w:hint="eastAsia"/>
          <w:szCs w:val="21"/>
        </w:rPr>
        <w:t xml:space="preserve"> 法定代表人或其委托代理人</w:t>
      </w:r>
      <w:r>
        <w:rPr>
          <w:rFonts w:hint="eastAsia"/>
          <w:sz w:val="24"/>
        </w:rPr>
        <w:t>：</w:t>
      </w:r>
      <w:r>
        <w:rPr>
          <w:rFonts w:hint="eastAsia"/>
          <w:sz w:val="24"/>
          <w:u w:val="single"/>
        </w:rPr>
        <w:t xml:space="preserve">     </w:t>
      </w:r>
      <w:r>
        <w:rPr>
          <w:rFonts w:hint="eastAsia"/>
          <w:szCs w:val="21"/>
        </w:rPr>
        <w:t>（</w:t>
      </w:r>
      <w:r>
        <w:rPr>
          <w:rFonts w:hint="eastAsia" w:ascii="宋体" w:hAnsi="宋体" w:cs="宋体"/>
          <w:szCs w:val="21"/>
        </w:rPr>
        <w:t>按照要求正确签署</w:t>
      </w:r>
      <w:r>
        <w:rPr>
          <w:rFonts w:hint="eastAsia"/>
          <w:szCs w:val="21"/>
        </w:rPr>
        <w:t>）</w:t>
      </w:r>
    </w:p>
    <w:p w14:paraId="21D844C2">
      <w:pPr>
        <w:spacing w:after="240" w:afterLines="100" w:line="400" w:lineRule="exact"/>
        <w:ind w:firstLine="6000" w:firstLineChars="2500"/>
        <w:rPr>
          <w:sz w:val="24"/>
        </w:rPr>
      </w:pPr>
      <w:r>
        <w:rPr>
          <w:rFonts w:hint="eastAsia"/>
          <w:sz w:val="24"/>
          <w:u w:val="single"/>
        </w:rPr>
        <w:t xml:space="preserve">       </w:t>
      </w:r>
      <w:r>
        <w:rPr>
          <w:rFonts w:hint="eastAsia"/>
          <w:szCs w:val="21"/>
        </w:rPr>
        <w:t>年</w:t>
      </w:r>
      <w:r>
        <w:rPr>
          <w:rFonts w:hint="eastAsia"/>
          <w:sz w:val="24"/>
          <w:u w:val="single"/>
        </w:rPr>
        <w:t xml:space="preserve">       </w:t>
      </w:r>
      <w:r>
        <w:rPr>
          <w:rFonts w:hint="eastAsia"/>
          <w:szCs w:val="21"/>
        </w:rPr>
        <w:t>月</w:t>
      </w:r>
      <w:r>
        <w:rPr>
          <w:rFonts w:hint="eastAsia"/>
          <w:sz w:val="24"/>
          <w:u w:val="single"/>
        </w:rPr>
        <w:t xml:space="preserve">       </w:t>
      </w:r>
      <w:r>
        <w:rPr>
          <w:rFonts w:hint="eastAsia"/>
          <w:szCs w:val="21"/>
        </w:rPr>
        <w:t>日</w:t>
      </w:r>
    </w:p>
    <w:p w14:paraId="1CA7CC17">
      <w:pPr>
        <w:pStyle w:val="25"/>
        <w:ind w:firstLine="240"/>
        <w:rPr>
          <w:sz w:val="24"/>
        </w:rPr>
      </w:pPr>
    </w:p>
    <w:p w14:paraId="7DC8491C">
      <w:pPr>
        <w:pStyle w:val="25"/>
        <w:ind w:firstLine="240"/>
        <w:rPr>
          <w:sz w:val="24"/>
        </w:rPr>
      </w:pPr>
    </w:p>
    <w:p w14:paraId="4F1A0D57">
      <w:pPr>
        <w:pStyle w:val="25"/>
        <w:ind w:firstLine="240"/>
        <w:rPr>
          <w:sz w:val="24"/>
        </w:rPr>
      </w:pPr>
    </w:p>
    <w:p w14:paraId="3EE401B3">
      <w:pPr>
        <w:pStyle w:val="25"/>
        <w:ind w:firstLine="240"/>
        <w:rPr>
          <w:sz w:val="24"/>
        </w:rPr>
      </w:pPr>
    </w:p>
    <w:p w14:paraId="3061B4DE">
      <w:pPr>
        <w:pStyle w:val="25"/>
        <w:ind w:firstLine="240"/>
        <w:rPr>
          <w:sz w:val="24"/>
        </w:rPr>
      </w:pPr>
    </w:p>
    <w:p w14:paraId="5FC79EA4">
      <w:pPr>
        <w:pStyle w:val="43"/>
        <w:jc w:val="center"/>
        <w:outlineLvl w:val="9"/>
        <w:rPr>
          <w:rFonts w:ascii="宋体" w:hAnsi="宋体" w:eastAsia="宋体"/>
          <w:sz w:val="32"/>
          <w:szCs w:val="32"/>
        </w:rPr>
      </w:pPr>
    </w:p>
    <w:p w14:paraId="5E29F282">
      <w:pPr>
        <w:pStyle w:val="43"/>
        <w:ind w:left="376" w:firstLine="2530" w:firstLineChars="900"/>
        <w:jc w:val="both"/>
        <w:rPr>
          <w:rFonts w:ascii="宋体" w:hAnsi="宋体" w:eastAsia="宋体"/>
          <w:b/>
          <w:bCs/>
          <w:sz w:val="28"/>
          <w:szCs w:val="28"/>
        </w:rPr>
      </w:pPr>
    </w:p>
    <w:p w14:paraId="0E01C430">
      <w:pPr>
        <w:pStyle w:val="43"/>
        <w:ind w:left="1027" w:leftChars="467" w:firstLine="1616" w:firstLineChars="575"/>
        <w:jc w:val="both"/>
        <w:rPr>
          <w:rFonts w:ascii="宋体" w:hAnsi="宋体" w:eastAsia="宋体"/>
          <w:b/>
          <w:bCs/>
          <w:color w:val="0000FF"/>
          <w:sz w:val="28"/>
          <w:szCs w:val="28"/>
          <w:lang w:val="en-US"/>
        </w:rPr>
      </w:pPr>
      <w:r>
        <w:rPr>
          <w:rFonts w:hint="eastAsia" w:ascii="宋体" w:hAnsi="宋体" w:eastAsia="宋体"/>
          <w:b/>
          <w:bCs/>
          <w:sz w:val="28"/>
          <w:szCs w:val="28"/>
        </w:rPr>
        <w:t>（二）要求提供的近年财务状况</w:t>
      </w:r>
    </w:p>
    <w:p w14:paraId="0045CE1E">
      <w:pPr>
        <w:pStyle w:val="43"/>
        <w:ind w:left="376" w:firstLine="2530" w:firstLineChars="900"/>
        <w:jc w:val="both"/>
        <w:rPr>
          <w:rFonts w:ascii="宋体" w:hAnsi="宋体" w:eastAsia="宋体"/>
          <w:b/>
          <w:bCs/>
          <w:sz w:val="28"/>
          <w:szCs w:val="28"/>
        </w:rPr>
      </w:pPr>
    </w:p>
    <w:p w14:paraId="0C0748BF">
      <w:pPr>
        <w:pStyle w:val="43"/>
        <w:ind w:left="1027" w:leftChars="467" w:firstLine="773" w:firstLineChars="275"/>
        <w:jc w:val="both"/>
        <w:rPr>
          <w:rFonts w:ascii="宋体" w:hAnsi="宋体" w:eastAsia="宋体"/>
          <w:b/>
          <w:bCs/>
          <w:sz w:val="28"/>
          <w:szCs w:val="28"/>
        </w:rPr>
      </w:pPr>
    </w:p>
    <w:p w14:paraId="5E61FEC5">
      <w:pPr>
        <w:pStyle w:val="43"/>
        <w:ind w:left="1027" w:leftChars="467" w:firstLine="1616" w:firstLineChars="575"/>
        <w:jc w:val="both"/>
        <w:rPr>
          <w:rFonts w:ascii="宋体" w:hAnsi="宋体" w:eastAsia="宋体"/>
          <w:b/>
          <w:bCs/>
          <w:sz w:val="28"/>
          <w:szCs w:val="28"/>
        </w:rPr>
      </w:pPr>
      <w:r>
        <w:rPr>
          <w:rFonts w:hint="eastAsia" w:ascii="宋体" w:hAnsi="宋体" w:eastAsia="宋体"/>
          <w:b/>
          <w:bCs/>
          <w:sz w:val="28"/>
          <w:szCs w:val="28"/>
        </w:rPr>
        <w:t>（三）要求提供的税收、社保情况</w:t>
      </w:r>
    </w:p>
    <w:p w14:paraId="73B170B0">
      <w:pPr>
        <w:pStyle w:val="25"/>
        <w:ind w:firstLine="321"/>
        <w:jc w:val="center"/>
        <w:rPr>
          <w:b/>
          <w:bCs/>
          <w:kern w:val="2"/>
          <w:sz w:val="32"/>
          <w:szCs w:val="32"/>
        </w:rPr>
      </w:pPr>
    </w:p>
    <w:p w14:paraId="498D967B">
      <w:pPr>
        <w:pStyle w:val="25"/>
        <w:ind w:firstLine="321"/>
        <w:jc w:val="center"/>
        <w:rPr>
          <w:b/>
          <w:bCs/>
          <w:kern w:val="2"/>
          <w:sz w:val="32"/>
          <w:szCs w:val="32"/>
        </w:rPr>
      </w:pPr>
    </w:p>
    <w:p w14:paraId="4FF30DB8">
      <w:pPr>
        <w:pStyle w:val="25"/>
        <w:ind w:firstLine="321"/>
        <w:jc w:val="center"/>
        <w:rPr>
          <w:b/>
          <w:bCs/>
          <w:kern w:val="2"/>
          <w:sz w:val="32"/>
          <w:szCs w:val="32"/>
        </w:rPr>
      </w:pPr>
    </w:p>
    <w:p w14:paraId="698DF1AA">
      <w:pPr>
        <w:outlineLvl w:val="1"/>
        <w:rPr>
          <w:b/>
          <w:bCs/>
          <w:sz w:val="36"/>
          <w:szCs w:val="36"/>
          <w:lang w:val="en-US"/>
        </w:rPr>
      </w:pPr>
    </w:p>
    <w:p w14:paraId="178A7170">
      <w:pPr>
        <w:ind w:firstLine="3975" w:firstLineChars="1100"/>
        <w:outlineLvl w:val="1"/>
        <w:rPr>
          <w:b/>
          <w:bCs/>
          <w:sz w:val="36"/>
          <w:szCs w:val="36"/>
        </w:rPr>
      </w:pPr>
      <w:r>
        <w:rPr>
          <w:rFonts w:hint="eastAsia"/>
          <w:b/>
          <w:bCs/>
          <w:sz w:val="36"/>
          <w:szCs w:val="36"/>
          <w:lang w:val="en-US"/>
        </w:rPr>
        <w:t>五</w:t>
      </w:r>
      <w:r>
        <w:rPr>
          <w:rFonts w:hint="eastAsia"/>
          <w:b/>
          <w:bCs/>
          <w:sz w:val="36"/>
          <w:szCs w:val="36"/>
        </w:rPr>
        <w:t>、信誉情况</w:t>
      </w:r>
    </w:p>
    <w:p w14:paraId="06EFFCC4">
      <w:pPr>
        <w:spacing w:before="240" w:beforeLines="100"/>
        <w:jc w:val="center"/>
        <w:outlineLvl w:val="2"/>
        <w:rPr>
          <w:b/>
          <w:bCs/>
          <w:sz w:val="28"/>
          <w:szCs w:val="28"/>
        </w:rPr>
      </w:pPr>
      <w:r>
        <w:rPr>
          <w:rFonts w:hint="eastAsia"/>
          <w:b/>
          <w:bCs/>
          <w:sz w:val="28"/>
          <w:szCs w:val="28"/>
        </w:rPr>
        <w:t>（一）承诺书</w:t>
      </w:r>
    </w:p>
    <w:p w14:paraId="65AD7BC2">
      <w:pPr>
        <w:spacing w:before="240" w:beforeLines="100"/>
        <w:jc w:val="center"/>
        <w:rPr>
          <w:sz w:val="32"/>
          <w:szCs w:val="32"/>
        </w:rPr>
      </w:pPr>
    </w:p>
    <w:p w14:paraId="2A9F92E8">
      <w:pPr>
        <w:rPr>
          <w:sz w:val="24"/>
        </w:rPr>
      </w:pPr>
      <w:r>
        <w:rPr>
          <w:rFonts w:hint="eastAsia"/>
          <w:sz w:val="24"/>
          <w:u w:val="single"/>
        </w:rPr>
        <w:t xml:space="preserve">                            </w:t>
      </w:r>
      <w:r>
        <w:rPr>
          <w:rFonts w:hint="eastAsia"/>
          <w:szCs w:val="21"/>
        </w:rPr>
        <w:t>（</w:t>
      </w:r>
      <w:r>
        <w:rPr>
          <w:rFonts w:hint="eastAsia"/>
          <w:szCs w:val="21"/>
          <w:lang w:val="en-US"/>
        </w:rPr>
        <w:t>采购人</w:t>
      </w:r>
      <w:r>
        <w:rPr>
          <w:rFonts w:hint="eastAsia"/>
          <w:szCs w:val="21"/>
        </w:rPr>
        <w:t>名称）：</w:t>
      </w:r>
    </w:p>
    <w:p w14:paraId="4FB80CF5">
      <w:pPr>
        <w:rPr>
          <w:sz w:val="24"/>
        </w:rPr>
      </w:pPr>
    </w:p>
    <w:p w14:paraId="2348F079">
      <w:pPr>
        <w:ind w:firstLine="440" w:firstLineChars="200"/>
        <w:rPr>
          <w:szCs w:val="21"/>
        </w:rPr>
      </w:pPr>
      <w:r>
        <w:rPr>
          <w:rFonts w:hint="eastAsia"/>
          <w:szCs w:val="21"/>
        </w:rPr>
        <w:t>我方在此承诺：</w:t>
      </w:r>
    </w:p>
    <w:p w14:paraId="0D07BF55">
      <w:pPr>
        <w:ind w:firstLine="440" w:firstLineChars="200"/>
        <w:rPr>
          <w:szCs w:val="21"/>
        </w:rPr>
      </w:pPr>
      <w:r>
        <w:rPr>
          <w:rFonts w:hint="eastAsia"/>
          <w:szCs w:val="21"/>
          <w:lang w:val="en-US"/>
        </w:rPr>
        <w:t>1、</w:t>
      </w:r>
      <w:r>
        <w:rPr>
          <w:rFonts w:hint="eastAsia"/>
          <w:szCs w:val="21"/>
        </w:rPr>
        <w:t>本公司包括企业本身、企业法定代表人及拟派本项目的项目经理在近三年内没有《河南省工程建设与建筑业不良行为记录和公示管理办法(试行)》（豫建建〔2006〕21号）中所列示的任何不良行为；</w:t>
      </w:r>
    </w:p>
    <w:p w14:paraId="0945DC59">
      <w:pPr>
        <w:ind w:firstLine="440" w:firstLineChars="200"/>
        <w:rPr>
          <w:szCs w:val="21"/>
        </w:rPr>
      </w:pPr>
      <w:r>
        <w:rPr>
          <w:rFonts w:hint="eastAsia"/>
          <w:szCs w:val="21"/>
          <w:lang w:val="en-US"/>
        </w:rPr>
        <w:t>2、</w:t>
      </w:r>
      <w:r>
        <w:rPr>
          <w:rFonts w:hint="eastAsia"/>
          <w:szCs w:val="21"/>
        </w:rPr>
        <w:t>我方信誉良好，没有处于被责令停业，投标资格被取消，近三年没有骗取中标或者其他违规行为；</w:t>
      </w:r>
    </w:p>
    <w:p w14:paraId="1442E814">
      <w:pPr>
        <w:pStyle w:val="12"/>
        <w:ind w:firstLine="420"/>
        <w:rPr>
          <w:rFonts w:hint="eastAsia" w:ascii="宋体" w:hAnsi="宋体" w:eastAsia="宋体" w:cs="宋体"/>
          <w:sz w:val="22"/>
          <w:szCs w:val="21"/>
          <w:lang w:val="zh-CN" w:eastAsia="zh-CN" w:bidi="zh-CN"/>
        </w:rPr>
      </w:pPr>
      <w:r>
        <w:rPr>
          <w:rFonts w:hint="eastAsia" w:ascii="宋体" w:hAnsi="宋体" w:eastAsia="宋体" w:cs="宋体"/>
          <w:sz w:val="22"/>
          <w:szCs w:val="21"/>
          <w:lang w:val="en-US" w:eastAsia="zh-CN" w:bidi="zh-CN"/>
        </w:rPr>
        <w:t>3、</w:t>
      </w:r>
      <w:r>
        <w:rPr>
          <w:rFonts w:hint="eastAsia" w:ascii="宋体" w:hAnsi="宋体" w:eastAsia="宋体" w:cs="宋体"/>
          <w:sz w:val="22"/>
          <w:szCs w:val="21"/>
          <w:lang w:val="zh-CN" w:eastAsia="zh-CN" w:bidi="zh-CN"/>
        </w:rPr>
        <w:t>我方具有履行合同所必需的设备和专业技术能力；</w:t>
      </w:r>
    </w:p>
    <w:p w14:paraId="679492AF">
      <w:pPr>
        <w:pStyle w:val="12"/>
        <w:ind w:firstLine="420"/>
        <w:rPr>
          <w:rFonts w:hint="eastAsia" w:ascii="宋体" w:hAnsi="宋体" w:eastAsia="宋体" w:cs="宋体"/>
          <w:sz w:val="22"/>
          <w:szCs w:val="21"/>
          <w:lang w:val="zh-CN" w:eastAsia="zh-CN" w:bidi="zh-CN"/>
        </w:rPr>
      </w:pPr>
      <w:r>
        <w:rPr>
          <w:rFonts w:hint="eastAsia" w:ascii="宋体" w:hAnsi="宋体" w:eastAsia="宋体" w:cs="宋体"/>
          <w:sz w:val="22"/>
          <w:szCs w:val="21"/>
          <w:lang w:val="en-US" w:eastAsia="zh-CN" w:bidi="zh-CN"/>
        </w:rPr>
        <w:t>4、</w:t>
      </w:r>
      <w:r>
        <w:rPr>
          <w:rFonts w:hint="eastAsia" w:ascii="宋体" w:hAnsi="宋体" w:eastAsia="宋体" w:cs="宋体"/>
          <w:sz w:val="22"/>
          <w:szCs w:val="21"/>
          <w:lang w:val="zh-CN" w:eastAsia="zh-CN" w:bidi="zh-CN"/>
        </w:rPr>
        <w:t>我方参加此次政府采购活动前三年内，在经营活动中没有重大违法记录；</w:t>
      </w:r>
    </w:p>
    <w:p w14:paraId="66EC878B">
      <w:pPr>
        <w:ind w:firstLine="220" w:firstLineChars="100"/>
        <w:rPr>
          <w:rFonts w:hint="eastAsia" w:ascii="宋体" w:hAnsi="宋体" w:eastAsia="宋体" w:cs="宋体"/>
          <w:sz w:val="22"/>
          <w:szCs w:val="21"/>
          <w:lang w:val="zh-CN" w:eastAsia="zh-CN" w:bidi="zh-CN"/>
        </w:rPr>
      </w:pPr>
      <w:r>
        <w:rPr>
          <w:rFonts w:hint="eastAsia" w:ascii="宋体" w:hAnsi="宋体" w:eastAsia="宋体" w:cs="宋体"/>
          <w:sz w:val="22"/>
          <w:szCs w:val="21"/>
          <w:lang w:val="en-US" w:eastAsia="zh-CN" w:bidi="zh-CN"/>
        </w:rPr>
        <w:t xml:space="preserve">  5、我方完全理解和接受本项目招标文件的一切规定和要求； 我方完全理解接受贵方不一定接受最低价的投标。</w:t>
      </w:r>
    </w:p>
    <w:p w14:paraId="78B80A97">
      <w:pPr>
        <w:ind w:firstLine="440" w:firstLineChars="200"/>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6、我方递交的投标文件中所有的资料均为真实的、准确的，无任何虚假内容。若存在有虚假内容，我方愿意承担相应法律责任。</w:t>
      </w:r>
    </w:p>
    <w:p w14:paraId="40071A67">
      <w:pPr>
        <w:ind w:firstLine="440" w:firstLineChars="200"/>
        <w:rPr>
          <w:rFonts w:hint="eastAsia" w:ascii="宋体" w:hAnsi="宋体" w:eastAsia="宋体" w:cs="宋体"/>
          <w:sz w:val="22"/>
          <w:szCs w:val="21"/>
          <w:lang w:val="en-US" w:eastAsia="zh-CN" w:bidi="zh-CN"/>
        </w:rPr>
      </w:pPr>
      <w:r>
        <w:rPr>
          <w:rFonts w:hint="eastAsia" w:ascii="宋体" w:hAnsi="宋体" w:eastAsia="宋体" w:cs="宋体"/>
          <w:sz w:val="22"/>
          <w:szCs w:val="21"/>
          <w:lang w:val="en-US" w:eastAsia="zh-CN" w:bidi="zh-CN"/>
        </w:rPr>
        <w:t xml:space="preserve">7、若成交，本承诺将成为合同不可分割的一部分，与合同具有同等的法律效力。 </w:t>
      </w:r>
    </w:p>
    <w:p w14:paraId="3E2ADAE1">
      <w:pPr>
        <w:pStyle w:val="25"/>
        <w:ind w:firstLineChars="200"/>
        <w:rPr>
          <w:rFonts w:hint="eastAsia" w:ascii="宋体" w:hAnsi="宋体" w:eastAsia="宋体" w:cs="宋体"/>
          <w:sz w:val="22"/>
          <w:szCs w:val="21"/>
          <w:lang w:val="zh-CN" w:eastAsia="zh-CN" w:bidi="zh-CN"/>
        </w:rPr>
      </w:pPr>
      <w:r>
        <w:rPr>
          <w:rFonts w:hint="eastAsia" w:ascii="宋体" w:hAnsi="宋体" w:eastAsia="宋体" w:cs="宋体"/>
          <w:sz w:val="22"/>
          <w:szCs w:val="21"/>
          <w:lang w:val="zh-CN" w:eastAsia="zh-CN" w:bidi="zh-CN"/>
        </w:rPr>
        <w:t>我单位承诺，在本项目投标活动中，自觉遵守《中华人民共和国政府采购法》、《政府采购法实施条例》及《政府采购货物和服务招标投标管理办法》（财政部令第87号）及《政府采购竞争性磋商采购方式管理暂行办法》（财库【2014】214号）等相关法律、法规和制度规定，如有违反，愿承担相关法律责任。</w:t>
      </w:r>
    </w:p>
    <w:p w14:paraId="70EDECC7">
      <w:pPr>
        <w:ind w:firstLine="440" w:firstLineChars="200"/>
        <w:rPr>
          <w:rFonts w:hint="eastAsia" w:ascii="宋体" w:hAnsi="宋体" w:eastAsia="宋体" w:cs="宋体"/>
          <w:sz w:val="22"/>
          <w:szCs w:val="21"/>
          <w:lang w:val="zh-CN" w:eastAsia="zh-CN" w:bidi="zh-CN"/>
        </w:rPr>
      </w:pPr>
    </w:p>
    <w:p w14:paraId="67BC39B1">
      <w:pPr>
        <w:ind w:firstLine="440" w:firstLineChars="200"/>
        <w:rPr>
          <w:rFonts w:hint="eastAsia" w:ascii="宋体" w:hAnsi="宋体" w:eastAsia="宋体" w:cs="宋体"/>
          <w:sz w:val="22"/>
          <w:szCs w:val="21"/>
          <w:lang w:val="zh-CN" w:eastAsia="zh-CN" w:bidi="zh-CN"/>
        </w:rPr>
      </w:pPr>
      <w:r>
        <w:rPr>
          <w:rFonts w:hint="eastAsia" w:ascii="宋体" w:hAnsi="宋体" w:eastAsia="宋体" w:cs="宋体"/>
          <w:sz w:val="22"/>
          <w:szCs w:val="21"/>
          <w:lang w:val="zh-CN" w:eastAsia="zh-CN" w:bidi="zh-CN"/>
        </w:rPr>
        <w:t>特此承诺</w:t>
      </w:r>
    </w:p>
    <w:p w14:paraId="37F7A013">
      <w:pPr>
        <w:spacing w:line="360" w:lineRule="auto"/>
        <w:ind w:firstLine="480" w:firstLineChars="200"/>
        <w:jc w:val="right"/>
        <w:rPr>
          <w:sz w:val="24"/>
        </w:rPr>
      </w:pPr>
      <w:r>
        <w:rPr>
          <w:rFonts w:hint="eastAsia"/>
          <w:sz w:val="24"/>
        </w:rPr>
        <w:t xml:space="preserve">         </w:t>
      </w:r>
    </w:p>
    <w:p w14:paraId="0E6C036B">
      <w:pPr>
        <w:spacing w:line="360" w:lineRule="auto"/>
        <w:ind w:firstLine="480" w:firstLineChars="200"/>
        <w:jc w:val="right"/>
        <w:rPr>
          <w:sz w:val="24"/>
        </w:rPr>
      </w:pPr>
    </w:p>
    <w:p w14:paraId="57F1F60D">
      <w:pPr>
        <w:pStyle w:val="25"/>
        <w:ind w:firstLine="0" w:firstLineChars="0"/>
        <w:rPr>
          <w:sz w:val="24"/>
        </w:rPr>
      </w:pPr>
    </w:p>
    <w:p w14:paraId="6ABA3B42">
      <w:pPr>
        <w:pStyle w:val="25"/>
        <w:ind w:firstLine="240"/>
        <w:rPr>
          <w:sz w:val="24"/>
        </w:rPr>
      </w:pPr>
    </w:p>
    <w:p w14:paraId="69EFC501">
      <w:pPr>
        <w:pStyle w:val="25"/>
        <w:ind w:firstLine="240"/>
        <w:rPr>
          <w:sz w:val="24"/>
        </w:rPr>
      </w:pPr>
    </w:p>
    <w:p w14:paraId="5F0E2DC6">
      <w:pPr>
        <w:pStyle w:val="25"/>
        <w:ind w:firstLine="240"/>
        <w:rPr>
          <w:sz w:val="24"/>
        </w:rPr>
      </w:pPr>
    </w:p>
    <w:p w14:paraId="77409960">
      <w:pPr>
        <w:pStyle w:val="25"/>
        <w:ind w:firstLine="240"/>
        <w:rPr>
          <w:sz w:val="24"/>
        </w:rPr>
      </w:pPr>
    </w:p>
    <w:p w14:paraId="591467C8">
      <w:pPr>
        <w:spacing w:line="360" w:lineRule="auto"/>
        <w:ind w:firstLine="440" w:firstLineChars="200"/>
        <w:jc w:val="right"/>
        <w:rPr>
          <w:sz w:val="24"/>
        </w:rPr>
      </w:pPr>
      <w:r>
        <w:rPr>
          <w:rFonts w:hint="eastAsia"/>
          <w:szCs w:val="21"/>
          <w:lang w:val="en-US"/>
        </w:rPr>
        <w:t>供应商</w:t>
      </w:r>
      <w:r>
        <w:rPr>
          <w:rFonts w:hint="eastAsia"/>
          <w:szCs w:val="21"/>
        </w:rPr>
        <w:t>：</w:t>
      </w:r>
      <w:r>
        <w:rPr>
          <w:rFonts w:hint="eastAsia"/>
          <w:sz w:val="24"/>
          <w:u w:val="single"/>
        </w:rPr>
        <w:t xml:space="preserve">                      </w:t>
      </w:r>
      <w:r>
        <w:rPr>
          <w:rFonts w:hint="eastAsia"/>
          <w:szCs w:val="21"/>
        </w:rPr>
        <w:t>（</w:t>
      </w:r>
      <w:r>
        <w:rPr>
          <w:rFonts w:hint="eastAsia" w:ascii="宋体" w:hAnsi="宋体" w:cs="宋体"/>
          <w:szCs w:val="21"/>
        </w:rPr>
        <w:t>单位电子CA印章</w:t>
      </w:r>
      <w:r>
        <w:rPr>
          <w:rFonts w:hint="eastAsia"/>
          <w:szCs w:val="21"/>
        </w:rPr>
        <w:t>）</w:t>
      </w:r>
    </w:p>
    <w:p w14:paraId="32E0442B">
      <w:pPr>
        <w:pStyle w:val="25"/>
        <w:ind w:firstLine="210"/>
      </w:pPr>
    </w:p>
    <w:p w14:paraId="41A14ED3">
      <w:pPr>
        <w:spacing w:line="360" w:lineRule="auto"/>
        <w:ind w:firstLine="480" w:firstLineChars="200"/>
        <w:jc w:val="center"/>
        <w:rPr>
          <w:szCs w:val="21"/>
        </w:rPr>
      </w:pPr>
      <w:r>
        <w:rPr>
          <w:rFonts w:hint="eastAsia"/>
          <w:sz w:val="24"/>
        </w:rPr>
        <w:t xml:space="preserve">                       </w:t>
      </w:r>
      <w:r>
        <w:rPr>
          <w:rFonts w:hint="eastAsia"/>
          <w:sz w:val="24"/>
          <w:lang w:val="en-US" w:eastAsia="zh-CN"/>
        </w:rPr>
        <w:t xml:space="preserve">   </w:t>
      </w:r>
      <w:r>
        <w:rPr>
          <w:rFonts w:hint="eastAsia"/>
          <w:sz w:val="24"/>
        </w:rPr>
        <w:t xml:space="preserve">       </w:t>
      </w:r>
      <w:r>
        <w:rPr>
          <w:rFonts w:hint="eastAsia"/>
          <w:szCs w:val="21"/>
        </w:rPr>
        <w:t>法定代表人或其委托代理人</w:t>
      </w:r>
      <w:r>
        <w:rPr>
          <w:rFonts w:hint="eastAsia"/>
          <w:sz w:val="24"/>
        </w:rPr>
        <w:t>：</w:t>
      </w:r>
      <w:r>
        <w:rPr>
          <w:rFonts w:hint="eastAsia"/>
          <w:sz w:val="24"/>
          <w:u w:val="single"/>
        </w:rPr>
        <w:t xml:space="preserve">   </w:t>
      </w:r>
      <w:r>
        <w:rPr>
          <w:rFonts w:hint="eastAsia"/>
          <w:szCs w:val="21"/>
        </w:rPr>
        <w:t>（</w:t>
      </w:r>
      <w:r>
        <w:rPr>
          <w:rFonts w:hint="eastAsia" w:ascii="宋体" w:hAnsi="宋体" w:cs="宋体"/>
          <w:szCs w:val="21"/>
        </w:rPr>
        <w:t>按照要求正确签署</w:t>
      </w:r>
      <w:r>
        <w:rPr>
          <w:rFonts w:hint="eastAsia"/>
          <w:szCs w:val="21"/>
        </w:rPr>
        <w:t>）</w:t>
      </w:r>
    </w:p>
    <w:p w14:paraId="76434EEC">
      <w:pPr>
        <w:spacing w:line="360" w:lineRule="auto"/>
        <w:ind w:left="-220" w:leftChars="-100" w:firstLine="480" w:firstLineChars="200"/>
        <w:jc w:val="right"/>
        <w:rPr>
          <w:sz w:val="36"/>
          <w:szCs w:val="36"/>
        </w:rPr>
      </w:pPr>
      <w:r>
        <w:rPr>
          <w:rFonts w:hint="eastAsia"/>
          <w:sz w:val="24"/>
          <w:u w:val="single"/>
        </w:rPr>
        <w:t xml:space="preserve">       </w:t>
      </w:r>
      <w:r>
        <w:rPr>
          <w:rFonts w:hint="eastAsia"/>
          <w:szCs w:val="21"/>
        </w:rPr>
        <w:t>年</w:t>
      </w:r>
      <w:r>
        <w:rPr>
          <w:rFonts w:hint="eastAsia"/>
          <w:sz w:val="24"/>
          <w:u w:val="single"/>
        </w:rPr>
        <w:t xml:space="preserve">       </w:t>
      </w:r>
      <w:r>
        <w:rPr>
          <w:rFonts w:hint="eastAsia"/>
          <w:szCs w:val="21"/>
        </w:rPr>
        <w:t>月</w:t>
      </w:r>
      <w:r>
        <w:rPr>
          <w:rFonts w:hint="eastAsia"/>
          <w:sz w:val="24"/>
          <w:u w:val="single"/>
        </w:rPr>
        <w:t xml:space="preserve">       </w:t>
      </w:r>
      <w:r>
        <w:rPr>
          <w:rFonts w:hint="eastAsia"/>
          <w:szCs w:val="21"/>
        </w:rPr>
        <w:t>日</w:t>
      </w:r>
    </w:p>
    <w:p w14:paraId="1F2AFF24">
      <w:pPr>
        <w:spacing w:before="240" w:beforeLines="100"/>
        <w:rPr>
          <w:sz w:val="32"/>
          <w:szCs w:val="32"/>
        </w:rPr>
      </w:pPr>
    </w:p>
    <w:p w14:paraId="777E3850">
      <w:pPr>
        <w:pStyle w:val="23"/>
      </w:pPr>
    </w:p>
    <w:p w14:paraId="2620D54F">
      <w:pPr>
        <w:spacing w:before="240" w:beforeLines="100"/>
        <w:ind w:firstLine="3373" w:firstLineChars="1200"/>
        <w:jc w:val="both"/>
        <w:outlineLvl w:val="2"/>
        <w:rPr>
          <w:b/>
          <w:bCs/>
          <w:sz w:val="28"/>
          <w:szCs w:val="28"/>
        </w:rPr>
      </w:pPr>
      <w:r>
        <w:rPr>
          <w:rFonts w:hint="eastAsia"/>
          <w:b/>
          <w:bCs/>
          <w:sz w:val="28"/>
          <w:szCs w:val="28"/>
        </w:rPr>
        <w:t>（二）信誉查询资料</w:t>
      </w:r>
    </w:p>
    <w:p w14:paraId="48377BD7">
      <w:pPr>
        <w:pStyle w:val="25"/>
        <w:ind w:firstLine="0" w:firstLineChars="0"/>
      </w:pPr>
    </w:p>
    <w:p w14:paraId="69066D0D">
      <w:pPr>
        <w:pStyle w:val="25"/>
        <w:ind w:firstLine="0" w:firstLineChars="0"/>
        <w:jc w:val="both"/>
        <w:rPr>
          <w:kern w:val="2"/>
        </w:rPr>
      </w:pPr>
    </w:p>
    <w:p w14:paraId="2EB81FB4">
      <w:pPr>
        <w:pStyle w:val="25"/>
        <w:ind w:firstLine="210"/>
        <w:jc w:val="both"/>
        <w:rPr>
          <w:rFonts w:hint="eastAsia" w:ascii="宋体" w:hAnsi="宋体" w:eastAsia="宋体" w:cs="宋体"/>
          <w:sz w:val="22"/>
          <w:szCs w:val="21"/>
          <w:lang w:val="zh-CN" w:eastAsia="zh-CN" w:bidi="zh-CN"/>
        </w:rPr>
      </w:pPr>
      <w:r>
        <w:rPr>
          <w:rFonts w:hint="eastAsia" w:ascii="宋体" w:hAnsi="宋体" w:eastAsia="宋体" w:cs="宋体"/>
          <w:sz w:val="22"/>
          <w:szCs w:val="21"/>
          <w:lang w:val="zh-CN" w:eastAsia="zh-CN" w:bidi="zh-CN"/>
        </w:rPr>
        <w:t>按照</w:t>
      </w:r>
      <w:r>
        <w:rPr>
          <w:rFonts w:hint="eastAsia" w:ascii="宋体" w:hAnsi="宋体" w:eastAsia="宋体" w:cs="宋体"/>
          <w:sz w:val="22"/>
          <w:szCs w:val="21"/>
          <w:lang w:val="en-US" w:eastAsia="zh-CN" w:bidi="zh-CN"/>
        </w:rPr>
        <w:t>磋商</w:t>
      </w:r>
      <w:r>
        <w:rPr>
          <w:rFonts w:hint="eastAsia" w:ascii="宋体" w:hAnsi="宋体" w:eastAsia="宋体" w:cs="宋体"/>
          <w:sz w:val="22"/>
          <w:szCs w:val="21"/>
          <w:lang w:val="zh-CN" w:eastAsia="zh-CN" w:bidi="zh-CN"/>
        </w:rPr>
        <w:t>文件中关于</w:t>
      </w:r>
      <w:r>
        <w:rPr>
          <w:rFonts w:hint="eastAsia" w:ascii="宋体" w:hAnsi="宋体" w:eastAsia="宋体" w:cs="宋体"/>
          <w:sz w:val="22"/>
          <w:szCs w:val="21"/>
          <w:lang w:val="en-US" w:eastAsia="zh-CN" w:bidi="zh-CN"/>
        </w:rPr>
        <w:t>供应商</w:t>
      </w:r>
      <w:r>
        <w:rPr>
          <w:rFonts w:hint="eastAsia" w:ascii="宋体" w:hAnsi="宋体" w:eastAsia="宋体" w:cs="宋体"/>
          <w:sz w:val="22"/>
          <w:szCs w:val="21"/>
          <w:lang w:val="zh-CN" w:eastAsia="zh-CN" w:bidi="zh-CN"/>
        </w:rPr>
        <w:t>信誉网上查询要求，提供相关查询资料。</w:t>
      </w:r>
    </w:p>
    <w:p w14:paraId="63DD419B">
      <w:pPr>
        <w:pStyle w:val="25"/>
        <w:ind w:firstLine="321"/>
        <w:jc w:val="center"/>
        <w:rPr>
          <w:b/>
          <w:bCs/>
          <w:kern w:val="2"/>
          <w:sz w:val="32"/>
          <w:szCs w:val="32"/>
        </w:rPr>
      </w:pPr>
    </w:p>
    <w:p w14:paraId="6D75B041">
      <w:pPr>
        <w:pStyle w:val="25"/>
        <w:ind w:firstLine="321"/>
        <w:jc w:val="center"/>
        <w:rPr>
          <w:b/>
          <w:bCs/>
          <w:kern w:val="2"/>
          <w:sz w:val="32"/>
          <w:szCs w:val="32"/>
        </w:rPr>
      </w:pPr>
    </w:p>
    <w:p w14:paraId="64151E6C">
      <w:pPr>
        <w:pStyle w:val="25"/>
        <w:ind w:firstLine="321"/>
        <w:jc w:val="center"/>
        <w:rPr>
          <w:b/>
          <w:bCs/>
          <w:kern w:val="2"/>
          <w:sz w:val="32"/>
          <w:szCs w:val="32"/>
        </w:rPr>
      </w:pPr>
    </w:p>
    <w:p w14:paraId="2D85A25A">
      <w:pPr>
        <w:pStyle w:val="25"/>
        <w:ind w:firstLine="321"/>
        <w:jc w:val="center"/>
        <w:rPr>
          <w:b/>
          <w:bCs/>
          <w:kern w:val="2"/>
          <w:sz w:val="32"/>
          <w:szCs w:val="32"/>
        </w:rPr>
      </w:pPr>
    </w:p>
    <w:p w14:paraId="55085F2B">
      <w:pPr>
        <w:pStyle w:val="25"/>
        <w:ind w:firstLine="321"/>
        <w:jc w:val="center"/>
        <w:rPr>
          <w:b/>
          <w:bCs/>
          <w:kern w:val="2"/>
          <w:sz w:val="32"/>
          <w:szCs w:val="32"/>
        </w:rPr>
      </w:pPr>
    </w:p>
    <w:p w14:paraId="083FF2C8">
      <w:pPr>
        <w:pStyle w:val="25"/>
        <w:ind w:firstLine="321"/>
        <w:jc w:val="center"/>
        <w:rPr>
          <w:b/>
          <w:bCs/>
          <w:kern w:val="2"/>
          <w:sz w:val="32"/>
          <w:szCs w:val="32"/>
        </w:rPr>
      </w:pPr>
    </w:p>
    <w:p w14:paraId="48639B16">
      <w:pPr>
        <w:pStyle w:val="25"/>
        <w:ind w:firstLine="321"/>
        <w:jc w:val="center"/>
        <w:rPr>
          <w:b/>
          <w:bCs/>
          <w:kern w:val="2"/>
          <w:sz w:val="32"/>
          <w:szCs w:val="32"/>
        </w:rPr>
      </w:pPr>
    </w:p>
    <w:p w14:paraId="10E3B02C">
      <w:pPr>
        <w:pStyle w:val="25"/>
        <w:ind w:firstLine="321"/>
        <w:jc w:val="center"/>
        <w:rPr>
          <w:b/>
          <w:bCs/>
          <w:kern w:val="2"/>
          <w:sz w:val="32"/>
          <w:szCs w:val="32"/>
        </w:rPr>
      </w:pPr>
    </w:p>
    <w:p w14:paraId="02F54E37">
      <w:pPr>
        <w:pStyle w:val="25"/>
        <w:ind w:firstLine="321"/>
        <w:jc w:val="center"/>
        <w:rPr>
          <w:b/>
          <w:bCs/>
          <w:kern w:val="2"/>
          <w:sz w:val="32"/>
          <w:szCs w:val="32"/>
        </w:rPr>
      </w:pPr>
    </w:p>
    <w:p w14:paraId="6E9E3ABF">
      <w:pPr>
        <w:pStyle w:val="25"/>
        <w:ind w:firstLine="321"/>
        <w:jc w:val="center"/>
        <w:rPr>
          <w:b/>
          <w:bCs/>
          <w:kern w:val="2"/>
          <w:sz w:val="32"/>
          <w:szCs w:val="32"/>
        </w:rPr>
      </w:pPr>
    </w:p>
    <w:p w14:paraId="2EF32B11">
      <w:pPr>
        <w:pStyle w:val="25"/>
        <w:ind w:firstLine="321"/>
        <w:jc w:val="center"/>
        <w:rPr>
          <w:b/>
          <w:bCs/>
          <w:kern w:val="2"/>
          <w:sz w:val="32"/>
          <w:szCs w:val="32"/>
        </w:rPr>
      </w:pPr>
    </w:p>
    <w:p w14:paraId="27650FCC">
      <w:pPr>
        <w:pStyle w:val="25"/>
        <w:ind w:firstLine="0" w:firstLineChars="0"/>
        <w:jc w:val="both"/>
        <w:rPr>
          <w:b/>
          <w:bCs/>
          <w:kern w:val="2"/>
          <w:sz w:val="32"/>
          <w:szCs w:val="32"/>
        </w:rPr>
      </w:pPr>
    </w:p>
    <w:p w14:paraId="6AF83706">
      <w:pPr>
        <w:pStyle w:val="25"/>
        <w:ind w:firstLine="321"/>
        <w:jc w:val="center"/>
        <w:rPr>
          <w:b/>
          <w:bCs/>
          <w:kern w:val="2"/>
          <w:sz w:val="32"/>
          <w:szCs w:val="32"/>
        </w:rPr>
      </w:pPr>
    </w:p>
    <w:p w14:paraId="6CEF552B">
      <w:pPr>
        <w:pStyle w:val="25"/>
        <w:ind w:firstLine="321"/>
        <w:jc w:val="center"/>
        <w:rPr>
          <w:b/>
          <w:bCs/>
          <w:kern w:val="2"/>
          <w:sz w:val="32"/>
          <w:szCs w:val="32"/>
        </w:rPr>
      </w:pPr>
    </w:p>
    <w:p w14:paraId="2B195F45">
      <w:pPr>
        <w:pStyle w:val="25"/>
        <w:ind w:firstLine="321"/>
        <w:jc w:val="center"/>
        <w:rPr>
          <w:b/>
          <w:bCs/>
          <w:kern w:val="2"/>
          <w:sz w:val="32"/>
          <w:szCs w:val="32"/>
        </w:rPr>
      </w:pPr>
    </w:p>
    <w:p w14:paraId="3F7FDDD3">
      <w:pPr>
        <w:pStyle w:val="25"/>
        <w:ind w:firstLine="321"/>
        <w:jc w:val="center"/>
        <w:rPr>
          <w:b/>
          <w:bCs/>
          <w:kern w:val="2"/>
          <w:sz w:val="32"/>
          <w:szCs w:val="32"/>
        </w:rPr>
      </w:pPr>
    </w:p>
    <w:p w14:paraId="73472447">
      <w:pPr>
        <w:pStyle w:val="25"/>
        <w:ind w:firstLine="321"/>
        <w:jc w:val="center"/>
        <w:rPr>
          <w:b/>
          <w:bCs/>
          <w:kern w:val="2"/>
          <w:sz w:val="32"/>
          <w:szCs w:val="32"/>
        </w:rPr>
      </w:pPr>
    </w:p>
    <w:p w14:paraId="677E852C">
      <w:pPr>
        <w:pStyle w:val="25"/>
        <w:ind w:firstLine="321"/>
        <w:jc w:val="center"/>
        <w:rPr>
          <w:b/>
          <w:bCs/>
          <w:kern w:val="2"/>
          <w:sz w:val="32"/>
          <w:szCs w:val="32"/>
        </w:rPr>
      </w:pPr>
    </w:p>
    <w:p w14:paraId="7E2BD0E5">
      <w:pPr>
        <w:pStyle w:val="25"/>
        <w:ind w:firstLine="321"/>
        <w:jc w:val="center"/>
        <w:rPr>
          <w:b/>
          <w:bCs/>
          <w:kern w:val="2"/>
          <w:sz w:val="32"/>
          <w:szCs w:val="32"/>
        </w:rPr>
      </w:pPr>
    </w:p>
    <w:p w14:paraId="59A44D9F">
      <w:pPr>
        <w:spacing w:before="480" w:beforeLines="200"/>
        <w:ind w:firstLine="2429" w:firstLineChars="1100"/>
        <w:rPr>
          <w:b/>
          <w:bCs/>
          <w:szCs w:val="21"/>
        </w:rPr>
      </w:pPr>
    </w:p>
    <w:p w14:paraId="3BEC0F18">
      <w:pPr>
        <w:spacing w:before="480" w:beforeLines="200"/>
        <w:ind w:firstLine="2429" w:firstLineChars="1100"/>
        <w:rPr>
          <w:b/>
          <w:bCs/>
          <w:szCs w:val="21"/>
        </w:rPr>
      </w:pPr>
    </w:p>
    <w:p w14:paraId="36C588C4">
      <w:pPr>
        <w:spacing w:before="480" w:beforeLines="200"/>
        <w:ind w:firstLine="2429" w:firstLineChars="1100"/>
        <w:rPr>
          <w:b/>
          <w:bCs/>
          <w:szCs w:val="21"/>
        </w:rPr>
      </w:pPr>
    </w:p>
    <w:p w14:paraId="3D3B6E4F">
      <w:pPr>
        <w:spacing w:before="240" w:beforeLines="100"/>
        <w:outlineLvl w:val="2"/>
        <w:rPr>
          <w:b/>
          <w:bCs/>
          <w:sz w:val="28"/>
          <w:szCs w:val="28"/>
        </w:rPr>
      </w:pPr>
    </w:p>
    <w:p w14:paraId="10B1C4CB">
      <w:pPr>
        <w:pStyle w:val="23"/>
      </w:pPr>
    </w:p>
    <w:p w14:paraId="6476EB21">
      <w:pPr>
        <w:pStyle w:val="23"/>
      </w:pPr>
    </w:p>
    <w:p w14:paraId="2D01F02B">
      <w:pPr>
        <w:pStyle w:val="23"/>
      </w:pPr>
    </w:p>
    <w:p w14:paraId="6F97C0A0">
      <w:pPr>
        <w:spacing w:before="240" w:beforeLines="100"/>
        <w:jc w:val="center"/>
        <w:outlineLvl w:val="2"/>
        <w:rPr>
          <w:b/>
          <w:bCs/>
          <w:sz w:val="28"/>
          <w:szCs w:val="28"/>
        </w:rPr>
      </w:pPr>
      <w:r>
        <w:rPr>
          <w:rFonts w:hint="eastAsia"/>
          <w:b/>
          <w:bCs/>
          <w:sz w:val="28"/>
          <w:szCs w:val="28"/>
        </w:rPr>
        <w:t>（三）近年发生的诉讼和仲裁情况</w:t>
      </w:r>
    </w:p>
    <w:p w14:paraId="79C5001F">
      <w:pPr>
        <w:pStyle w:val="25"/>
        <w:ind w:firstLine="0" w:firstLineChars="0"/>
      </w:pPr>
    </w:p>
    <w:p w14:paraId="47C74037">
      <w:pPr>
        <w:pStyle w:val="25"/>
        <w:ind w:firstLine="0" w:firstLineChars="0"/>
      </w:pPr>
    </w:p>
    <w:tbl>
      <w:tblPr>
        <w:tblStyle w:val="27"/>
        <w:tblW w:w="953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44"/>
        <w:gridCol w:w="1044"/>
        <w:gridCol w:w="1378"/>
        <w:gridCol w:w="3937"/>
        <w:gridCol w:w="2135"/>
      </w:tblGrid>
      <w:tr w14:paraId="7F57BD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44" w:type="dxa"/>
            <w:vAlign w:val="center"/>
          </w:tcPr>
          <w:p w14:paraId="35586BF6">
            <w:pPr>
              <w:jc w:val="center"/>
              <w:rPr>
                <w:szCs w:val="21"/>
              </w:rPr>
            </w:pPr>
            <w:r>
              <w:rPr>
                <w:rFonts w:hint="eastAsia"/>
                <w:szCs w:val="21"/>
              </w:rPr>
              <w:t>类别</w:t>
            </w:r>
          </w:p>
        </w:tc>
        <w:tc>
          <w:tcPr>
            <w:tcW w:w="1044" w:type="dxa"/>
            <w:vAlign w:val="center"/>
          </w:tcPr>
          <w:p w14:paraId="49BB87E6">
            <w:pPr>
              <w:jc w:val="center"/>
              <w:rPr>
                <w:szCs w:val="21"/>
              </w:rPr>
            </w:pPr>
            <w:r>
              <w:rPr>
                <w:rFonts w:hint="eastAsia"/>
                <w:szCs w:val="21"/>
              </w:rPr>
              <w:t>序号</w:t>
            </w:r>
          </w:p>
        </w:tc>
        <w:tc>
          <w:tcPr>
            <w:tcW w:w="1378" w:type="dxa"/>
            <w:vAlign w:val="center"/>
          </w:tcPr>
          <w:p w14:paraId="15DE49ED">
            <w:pPr>
              <w:jc w:val="center"/>
              <w:rPr>
                <w:szCs w:val="21"/>
              </w:rPr>
            </w:pPr>
            <w:r>
              <w:rPr>
                <w:rFonts w:hint="eastAsia"/>
                <w:szCs w:val="21"/>
              </w:rPr>
              <w:t>发生时间</w:t>
            </w:r>
          </w:p>
        </w:tc>
        <w:tc>
          <w:tcPr>
            <w:tcW w:w="3937" w:type="dxa"/>
            <w:vAlign w:val="center"/>
          </w:tcPr>
          <w:p w14:paraId="1DBEEAA3">
            <w:pPr>
              <w:jc w:val="center"/>
              <w:rPr>
                <w:szCs w:val="21"/>
              </w:rPr>
            </w:pPr>
            <w:r>
              <w:rPr>
                <w:rFonts w:hint="eastAsia"/>
                <w:szCs w:val="21"/>
              </w:rPr>
              <w:t>情况简介</w:t>
            </w:r>
          </w:p>
        </w:tc>
        <w:tc>
          <w:tcPr>
            <w:tcW w:w="2135" w:type="dxa"/>
            <w:vAlign w:val="center"/>
          </w:tcPr>
          <w:p w14:paraId="3BED8B93">
            <w:pPr>
              <w:jc w:val="center"/>
              <w:rPr>
                <w:szCs w:val="21"/>
              </w:rPr>
            </w:pPr>
            <w:r>
              <w:rPr>
                <w:rFonts w:hint="eastAsia"/>
                <w:szCs w:val="21"/>
              </w:rPr>
              <w:t>证明材料索引</w:t>
            </w:r>
          </w:p>
        </w:tc>
      </w:tr>
      <w:tr w14:paraId="733AD7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44" w:type="dxa"/>
            <w:vMerge w:val="restart"/>
            <w:vAlign w:val="center"/>
          </w:tcPr>
          <w:p w14:paraId="6E993CCF">
            <w:pPr>
              <w:jc w:val="center"/>
              <w:rPr>
                <w:szCs w:val="21"/>
              </w:rPr>
            </w:pPr>
            <w:r>
              <w:rPr>
                <w:rFonts w:hint="eastAsia"/>
                <w:szCs w:val="21"/>
              </w:rPr>
              <w:t>诉</w:t>
            </w:r>
          </w:p>
          <w:p w14:paraId="1BC378E1">
            <w:pPr>
              <w:jc w:val="center"/>
              <w:rPr>
                <w:szCs w:val="21"/>
              </w:rPr>
            </w:pPr>
            <w:r>
              <w:rPr>
                <w:rFonts w:hint="eastAsia"/>
                <w:szCs w:val="21"/>
              </w:rPr>
              <w:t>讼</w:t>
            </w:r>
          </w:p>
          <w:p w14:paraId="53FCABC8">
            <w:pPr>
              <w:jc w:val="center"/>
              <w:rPr>
                <w:szCs w:val="21"/>
              </w:rPr>
            </w:pPr>
            <w:r>
              <w:rPr>
                <w:rFonts w:hint="eastAsia"/>
                <w:szCs w:val="21"/>
              </w:rPr>
              <w:t>情</w:t>
            </w:r>
          </w:p>
          <w:p w14:paraId="15A67FB8">
            <w:pPr>
              <w:jc w:val="center"/>
              <w:rPr>
                <w:szCs w:val="21"/>
              </w:rPr>
            </w:pPr>
            <w:r>
              <w:rPr>
                <w:rFonts w:hint="eastAsia"/>
                <w:szCs w:val="21"/>
              </w:rPr>
              <w:t>况</w:t>
            </w:r>
          </w:p>
        </w:tc>
        <w:tc>
          <w:tcPr>
            <w:tcW w:w="1044" w:type="dxa"/>
            <w:vAlign w:val="center"/>
          </w:tcPr>
          <w:p w14:paraId="11E59FA7">
            <w:pPr>
              <w:jc w:val="center"/>
              <w:rPr>
                <w:szCs w:val="21"/>
              </w:rPr>
            </w:pPr>
          </w:p>
        </w:tc>
        <w:tc>
          <w:tcPr>
            <w:tcW w:w="1378" w:type="dxa"/>
            <w:vAlign w:val="center"/>
          </w:tcPr>
          <w:p w14:paraId="4C819553">
            <w:pPr>
              <w:jc w:val="center"/>
              <w:rPr>
                <w:szCs w:val="21"/>
              </w:rPr>
            </w:pPr>
          </w:p>
        </w:tc>
        <w:tc>
          <w:tcPr>
            <w:tcW w:w="3937" w:type="dxa"/>
            <w:vAlign w:val="center"/>
          </w:tcPr>
          <w:p w14:paraId="03678AF6">
            <w:pPr>
              <w:jc w:val="center"/>
              <w:rPr>
                <w:szCs w:val="21"/>
              </w:rPr>
            </w:pPr>
          </w:p>
        </w:tc>
        <w:tc>
          <w:tcPr>
            <w:tcW w:w="2135" w:type="dxa"/>
            <w:vAlign w:val="center"/>
          </w:tcPr>
          <w:p w14:paraId="5E9002EC">
            <w:pPr>
              <w:jc w:val="center"/>
              <w:rPr>
                <w:szCs w:val="21"/>
              </w:rPr>
            </w:pPr>
          </w:p>
        </w:tc>
      </w:tr>
      <w:tr w14:paraId="6BE707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44" w:type="dxa"/>
            <w:vMerge w:val="continue"/>
            <w:vAlign w:val="center"/>
          </w:tcPr>
          <w:p w14:paraId="340F450C">
            <w:pPr>
              <w:jc w:val="center"/>
              <w:rPr>
                <w:szCs w:val="21"/>
              </w:rPr>
            </w:pPr>
          </w:p>
        </w:tc>
        <w:tc>
          <w:tcPr>
            <w:tcW w:w="1044" w:type="dxa"/>
            <w:vAlign w:val="center"/>
          </w:tcPr>
          <w:p w14:paraId="12DC0F3C">
            <w:pPr>
              <w:jc w:val="center"/>
              <w:rPr>
                <w:szCs w:val="21"/>
              </w:rPr>
            </w:pPr>
          </w:p>
        </w:tc>
        <w:tc>
          <w:tcPr>
            <w:tcW w:w="1378" w:type="dxa"/>
            <w:vAlign w:val="center"/>
          </w:tcPr>
          <w:p w14:paraId="0D40BF79">
            <w:pPr>
              <w:jc w:val="center"/>
              <w:rPr>
                <w:szCs w:val="21"/>
              </w:rPr>
            </w:pPr>
          </w:p>
        </w:tc>
        <w:tc>
          <w:tcPr>
            <w:tcW w:w="3937" w:type="dxa"/>
            <w:vAlign w:val="center"/>
          </w:tcPr>
          <w:p w14:paraId="5D69396A">
            <w:pPr>
              <w:jc w:val="center"/>
              <w:rPr>
                <w:szCs w:val="21"/>
              </w:rPr>
            </w:pPr>
          </w:p>
        </w:tc>
        <w:tc>
          <w:tcPr>
            <w:tcW w:w="2135" w:type="dxa"/>
            <w:vAlign w:val="center"/>
          </w:tcPr>
          <w:p w14:paraId="6304B6ED">
            <w:pPr>
              <w:jc w:val="center"/>
              <w:rPr>
                <w:szCs w:val="21"/>
              </w:rPr>
            </w:pPr>
          </w:p>
        </w:tc>
      </w:tr>
      <w:tr w14:paraId="55E9E3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44" w:type="dxa"/>
            <w:vMerge w:val="continue"/>
            <w:vAlign w:val="center"/>
          </w:tcPr>
          <w:p w14:paraId="049A16B9">
            <w:pPr>
              <w:jc w:val="center"/>
              <w:rPr>
                <w:szCs w:val="21"/>
              </w:rPr>
            </w:pPr>
          </w:p>
        </w:tc>
        <w:tc>
          <w:tcPr>
            <w:tcW w:w="1044" w:type="dxa"/>
            <w:vAlign w:val="center"/>
          </w:tcPr>
          <w:p w14:paraId="1A7BC837">
            <w:pPr>
              <w:jc w:val="center"/>
              <w:rPr>
                <w:szCs w:val="21"/>
              </w:rPr>
            </w:pPr>
          </w:p>
        </w:tc>
        <w:tc>
          <w:tcPr>
            <w:tcW w:w="1378" w:type="dxa"/>
            <w:vAlign w:val="center"/>
          </w:tcPr>
          <w:p w14:paraId="450D941E">
            <w:pPr>
              <w:jc w:val="center"/>
              <w:rPr>
                <w:szCs w:val="21"/>
              </w:rPr>
            </w:pPr>
          </w:p>
        </w:tc>
        <w:tc>
          <w:tcPr>
            <w:tcW w:w="3937" w:type="dxa"/>
            <w:vAlign w:val="center"/>
          </w:tcPr>
          <w:p w14:paraId="125B19D6">
            <w:pPr>
              <w:jc w:val="center"/>
              <w:rPr>
                <w:szCs w:val="21"/>
              </w:rPr>
            </w:pPr>
          </w:p>
        </w:tc>
        <w:tc>
          <w:tcPr>
            <w:tcW w:w="2135" w:type="dxa"/>
            <w:vAlign w:val="center"/>
          </w:tcPr>
          <w:p w14:paraId="0582B187">
            <w:pPr>
              <w:jc w:val="center"/>
              <w:rPr>
                <w:szCs w:val="21"/>
              </w:rPr>
            </w:pPr>
          </w:p>
        </w:tc>
      </w:tr>
      <w:tr w14:paraId="4EB351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44" w:type="dxa"/>
            <w:vMerge w:val="continue"/>
            <w:vAlign w:val="center"/>
          </w:tcPr>
          <w:p w14:paraId="6685E661">
            <w:pPr>
              <w:jc w:val="center"/>
              <w:rPr>
                <w:szCs w:val="21"/>
              </w:rPr>
            </w:pPr>
          </w:p>
        </w:tc>
        <w:tc>
          <w:tcPr>
            <w:tcW w:w="1044" w:type="dxa"/>
            <w:vAlign w:val="center"/>
          </w:tcPr>
          <w:p w14:paraId="1ECD24FD">
            <w:pPr>
              <w:jc w:val="center"/>
              <w:rPr>
                <w:szCs w:val="21"/>
              </w:rPr>
            </w:pPr>
          </w:p>
        </w:tc>
        <w:tc>
          <w:tcPr>
            <w:tcW w:w="1378" w:type="dxa"/>
            <w:vAlign w:val="center"/>
          </w:tcPr>
          <w:p w14:paraId="1D7C7624">
            <w:pPr>
              <w:jc w:val="center"/>
              <w:rPr>
                <w:szCs w:val="21"/>
              </w:rPr>
            </w:pPr>
          </w:p>
        </w:tc>
        <w:tc>
          <w:tcPr>
            <w:tcW w:w="3937" w:type="dxa"/>
            <w:vAlign w:val="center"/>
          </w:tcPr>
          <w:p w14:paraId="7AA72C5E">
            <w:pPr>
              <w:jc w:val="center"/>
              <w:rPr>
                <w:szCs w:val="21"/>
              </w:rPr>
            </w:pPr>
          </w:p>
        </w:tc>
        <w:tc>
          <w:tcPr>
            <w:tcW w:w="2135" w:type="dxa"/>
            <w:vAlign w:val="center"/>
          </w:tcPr>
          <w:p w14:paraId="76802867">
            <w:pPr>
              <w:jc w:val="center"/>
              <w:rPr>
                <w:szCs w:val="21"/>
              </w:rPr>
            </w:pPr>
          </w:p>
        </w:tc>
      </w:tr>
      <w:tr w14:paraId="38CF0A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44" w:type="dxa"/>
            <w:vMerge w:val="restart"/>
            <w:vAlign w:val="center"/>
          </w:tcPr>
          <w:p w14:paraId="5F1A9CEF">
            <w:pPr>
              <w:jc w:val="center"/>
              <w:rPr>
                <w:szCs w:val="21"/>
              </w:rPr>
            </w:pPr>
            <w:r>
              <w:rPr>
                <w:rFonts w:hint="eastAsia"/>
                <w:szCs w:val="21"/>
              </w:rPr>
              <w:t>仲</w:t>
            </w:r>
          </w:p>
          <w:p w14:paraId="47CEDE8F">
            <w:pPr>
              <w:jc w:val="center"/>
              <w:rPr>
                <w:szCs w:val="21"/>
              </w:rPr>
            </w:pPr>
            <w:r>
              <w:rPr>
                <w:rFonts w:hint="eastAsia"/>
                <w:szCs w:val="21"/>
              </w:rPr>
              <w:t>裁</w:t>
            </w:r>
          </w:p>
          <w:p w14:paraId="4C65BA07">
            <w:pPr>
              <w:jc w:val="center"/>
              <w:rPr>
                <w:szCs w:val="21"/>
              </w:rPr>
            </w:pPr>
            <w:r>
              <w:rPr>
                <w:rFonts w:hint="eastAsia"/>
                <w:szCs w:val="21"/>
              </w:rPr>
              <w:t>情</w:t>
            </w:r>
          </w:p>
          <w:p w14:paraId="0D2AFAD6">
            <w:pPr>
              <w:jc w:val="center"/>
              <w:rPr>
                <w:szCs w:val="21"/>
              </w:rPr>
            </w:pPr>
            <w:r>
              <w:rPr>
                <w:rFonts w:hint="eastAsia"/>
                <w:szCs w:val="21"/>
              </w:rPr>
              <w:t>况</w:t>
            </w:r>
          </w:p>
        </w:tc>
        <w:tc>
          <w:tcPr>
            <w:tcW w:w="1044" w:type="dxa"/>
            <w:vAlign w:val="center"/>
          </w:tcPr>
          <w:p w14:paraId="59A25899">
            <w:pPr>
              <w:jc w:val="center"/>
              <w:rPr>
                <w:szCs w:val="21"/>
              </w:rPr>
            </w:pPr>
          </w:p>
        </w:tc>
        <w:tc>
          <w:tcPr>
            <w:tcW w:w="1378" w:type="dxa"/>
            <w:vAlign w:val="center"/>
          </w:tcPr>
          <w:p w14:paraId="2BFB7D86">
            <w:pPr>
              <w:jc w:val="center"/>
              <w:rPr>
                <w:szCs w:val="21"/>
              </w:rPr>
            </w:pPr>
          </w:p>
        </w:tc>
        <w:tc>
          <w:tcPr>
            <w:tcW w:w="3937" w:type="dxa"/>
            <w:vAlign w:val="center"/>
          </w:tcPr>
          <w:p w14:paraId="6C6EC394">
            <w:pPr>
              <w:jc w:val="center"/>
              <w:rPr>
                <w:szCs w:val="21"/>
              </w:rPr>
            </w:pPr>
          </w:p>
        </w:tc>
        <w:tc>
          <w:tcPr>
            <w:tcW w:w="2135" w:type="dxa"/>
            <w:vAlign w:val="center"/>
          </w:tcPr>
          <w:p w14:paraId="776469FF">
            <w:pPr>
              <w:jc w:val="center"/>
              <w:rPr>
                <w:szCs w:val="21"/>
              </w:rPr>
            </w:pPr>
          </w:p>
        </w:tc>
      </w:tr>
      <w:tr w14:paraId="7085F8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44" w:type="dxa"/>
            <w:vMerge w:val="continue"/>
            <w:vAlign w:val="center"/>
          </w:tcPr>
          <w:p w14:paraId="40D22E8D">
            <w:pPr>
              <w:jc w:val="center"/>
              <w:rPr>
                <w:szCs w:val="21"/>
              </w:rPr>
            </w:pPr>
          </w:p>
        </w:tc>
        <w:tc>
          <w:tcPr>
            <w:tcW w:w="1044" w:type="dxa"/>
            <w:vAlign w:val="center"/>
          </w:tcPr>
          <w:p w14:paraId="5ACFC7B1">
            <w:pPr>
              <w:jc w:val="center"/>
              <w:rPr>
                <w:szCs w:val="21"/>
              </w:rPr>
            </w:pPr>
          </w:p>
        </w:tc>
        <w:tc>
          <w:tcPr>
            <w:tcW w:w="1378" w:type="dxa"/>
            <w:vAlign w:val="center"/>
          </w:tcPr>
          <w:p w14:paraId="4E100B88">
            <w:pPr>
              <w:jc w:val="center"/>
              <w:rPr>
                <w:szCs w:val="21"/>
              </w:rPr>
            </w:pPr>
          </w:p>
        </w:tc>
        <w:tc>
          <w:tcPr>
            <w:tcW w:w="3937" w:type="dxa"/>
            <w:vAlign w:val="center"/>
          </w:tcPr>
          <w:p w14:paraId="42A55139">
            <w:pPr>
              <w:jc w:val="center"/>
              <w:rPr>
                <w:szCs w:val="21"/>
              </w:rPr>
            </w:pPr>
          </w:p>
        </w:tc>
        <w:tc>
          <w:tcPr>
            <w:tcW w:w="2135" w:type="dxa"/>
            <w:vAlign w:val="center"/>
          </w:tcPr>
          <w:p w14:paraId="6BC8EA5A">
            <w:pPr>
              <w:jc w:val="center"/>
              <w:rPr>
                <w:szCs w:val="21"/>
              </w:rPr>
            </w:pPr>
          </w:p>
        </w:tc>
      </w:tr>
      <w:tr w14:paraId="1F0157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44" w:type="dxa"/>
            <w:vMerge w:val="continue"/>
            <w:vAlign w:val="center"/>
          </w:tcPr>
          <w:p w14:paraId="48E64E08">
            <w:pPr>
              <w:jc w:val="center"/>
              <w:rPr>
                <w:szCs w:val="21"/>
              </w:rPr>
            </w:pPr>
          </w:p>
        </w:tc>
        <w:tc>
          <w:tcPr>
            <w:tcW w:w="1044" w:type="dxa"/>
            <w:vAlign w:val="center"/>
          </w:tcPr>
          <w:p w14:paraId="65F11DC4">
            <w:pPr>
              <w:jc w:val="center"/>
              <w:rPr>
                <w:szCs w:val="21"/>
              </w:rPr>
            </w:pPr>
          </w:p>
        </w:tc>
        <w:tc>
          <w:tcPr>
            <w:tcW w:w="1378" w:type="dxa"/>
            <w:vAlign w:val="center"/>
          </w:tcPr>
          <w:p w14:paraId="61E75466">
            <w:pPr>
              <w:jc w:val="center"/>
              <w:rPr>
                <w:szCs w:val="21"/>
              </w:rPr>
            </w:pPr>
          </w:p>
        </w:tc>
        <w:tc>
          <w:tcPr>
            <w:tcW w:w="3937" w:type="dxa"/>
            <w:vAlign w:val="center"/>
          </w:tcPr>
          <w:p w14:paraId="7F18AA5A">
            <w:pPr>
              <w:jc w:val="center"/>
              <w:rPr>
                <w:szCs w:val="21"/>
              </w:rPr>
            </w:pPr>
          </w:p>
        </w:tc>
        <w:tc>
          <w:tcPr>
            <w:tcW w:w="2135" w:type="dxa"/>
            <w:vAlign w:val="center"/>
          </w:tcPr>
          <w:p w14:paraId="5A70D3AD">
            <w:pPr>
              <w:jc w:val="center"/>
              <w:rPr>
                <w:szCs w:val="21"/>
              </w:rPr>
            </w:pPr>
          </w:p>
        </w:tc>
      </w:tr>
      <w:tr w14:paraId="0222E1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44" w:type="dxa"/>
            <w:vMerge w:val="continue"/>
            <w:vAlign w:val="center"/>
          </w:tcPr>
          <w:p w14:paraId="755B089B">
            <w:pPr>
              <w:jc w:val="center"/>
              <w:rPr>
                <w:szCs w:val="21"/>
              </w:rPr>
            </w:pPr>
          </w:p>
        </w:tc>
        <w:tc>
          <w:tcPr>
            <w:tcW w:w="1044" w:type="dxa"/>
            <w:vAlign w:val="center"/>
          </w:tcPr>
          <w:p w14:paraId="641ECB13">
            <w:pPr>
              <w:jc w:val="center"/>
              <w:rPr>
                <w:szCs w:val="21"/>
              </w:rPr>
            </w:pPr>
          </w:p>
        </w:tc>
        <w:tc>
          <w:tcPr>
            <w:tcW w:w="1378" w:type="dxa"/>
            <w:vAlign w:val="center"/>
          </w:tcPr>
          <w:p w14:paraId="5A183878">
            <w:pPr>
              <w:jc w:val="center"/>
              <w:rPr>
                <w:szCs w:val="21"/>
              </w:rPr>
            </w:pPr>
          </w:p>
        </w:tc>
        <w:tc>
          <w:tcPr>
            <w:tcW w:w="3937" w:type="dxa"/>
            <w:vAlign w:val="center"/>
          </w:tcPr>
          <w:p w14:paraId="5292898E">
            <w:pPr>
              <w:jc w:val="center"/>
              <w:rPr>
                <w:szCs w:val="21"/>
              </w:rPr>
            </w:pPr>
          </w:p>
        </w:tc>
        <w:tc>
          <w:tcPr>
            <w:tcW w:w="2135" w:type="dxa"/>
            <w:vAlign w:val="center"/>
          </w:tcPr>
          <w:p w14:paraId="199469D0">
            <w:pPr>
              <w:jc w:val="center"/>
              <w:rPr>
                <w:szCs w:val="21"/>
              </w:rPr>
            </w:pPr>
          </w:p>
        </w:tc>
      </w:tr>
      <w:tr w14:paraId="304851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44" w:type="dxa"/>
            <w:vMerge w:val="continue"/>
            <w:vAlign w:val="center"/>
          </w:tcPr>
          <w:p w14:paraId="3C8A5B4E">
            <w:pPr>
              <w:jc w:val="center"/>
              <w:rPr>
                <w:szCs w:val="21"/>
              </w:rPr>
            </w:pPr>
          </w:p>
        </w:tc>
        <w:tc>
          <w:tcPr>
            <w:tcW w:w="1044" w:type="dxa"/>
            <w:vAlign w:val="center"/>
          </w:tcPr>
          <w:p w14:paraId="30F9F0B6">
            <w:pPr>
              <w:jc w:val="center"/>
              <w:rPr>
                <w:szCs w:val="21"/>
              </w:rPr>
            </w:pPr>
          </w:p>
        </w:tc>
        <w:tc>
          <w:tcPr>
            <w:tcW w:w="1378" w:type="dxa"/>
            <w:vAlign w:val="center"/>
          </w:tcPr>
          <w:p w14:paraId="06F93398">
            <w:pPr>
              <w:jc w:val="center"/>
              <w:rPr>
                <w:szCs w:val="21"/>
              </w:rPr>
            </w:pPr>
          </w:p>
        </w:tc>
        <w:tc>
          <w:tcPr>
            <w:tcW w:w="3937" w:type="dxa"/>
            <w:vAlign w:val="center"/>
          </w:tcPr>
          <w:p w14:paraId="13527B2F">
            <w:pPr>
              <w:jc w:val="center"/>
              <w:rPr>
                <w:szCs w:val="21"/>
              </w:rPr>
            </w:pPr>
          </w:p>
        </w:tc>
        <w:tc>
          <w:tcPr>
            <w:tcW w:w="2135" w:type="dxa"/>
            <w:vAlign w:val="center"/>
          </w:tcPr>
          <w:p w14:paraId="7818A109">
            <w:pPr>
              <w:jc w:val="center"/>
              <w:rPr>
                <w:szCs w:val="21"/>
              </w:rPr>
            </w:pPr>
          </w:p>
        </w:tc>
      </w:tr>
      <w:tr w14:paraId="2E7ED7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44" w:type="dxa"/>
            <w:vMerge w:val="continue"/>
            <w:vAlign w:val="center"/>
          </w:tcPr>
          <w:p w14:paraId="11C892BB">
            <w:pPr>
              <w:jc w:val="center"/>
              <w:rPr>
                <w:szCs w:val="21"/>
              </w:rPr>
            </w:pPr>
          </w:p>
        </w:tc>
        <w:tc>
          <w:tcPr>
            <w:tcW w:w="1044" w:type="dxa"/>
            <w:vAlign w:val="center"/>
          </w:tcPr>
          <w:p w14:paraId="7B8F0186">
            <w:pPr>
              <w:jc w:val="center"/>
              <w:rPr>
                <w:szCs w:val="21"/>
              </w:rPr>
            </w:pPr>
          </w:p>
        </w:tc>
        <w:tc>
          <w:tcPr>
            <w:tcW w:w="1378" w:type="dxa"/>
            <w:vAlign w:val="center"/>
          </w:tcPr>
          <w:p w14:paraId="0697F3FB">
            <w:pPr>
              <w:jc w:val="center"/>
              <w:rPr>
                <w:szCs w:val="21"/>
              </w:rPr>
            </w:pPr>
          </w:p>
        </w:tc>
        <w:tc>
          <w:tcPr>
            <w:tcW w:w="3937" w:type="dxa"/>
            <w:vAlign w:val="center"/>
          </w:tcPr>
          <w:p w14:paraId="6993C64C">
            <w:pPr>
              <w:jc w:val="center"/>
              <w:rPr>
                <w:szCs w:val="21"/>
              </w:rPr>
            </w:pPr>
          </w:p>
        </w:tc>
        <w:tc>
          <w:tcPr>
            <w:tcW w:w="2135" w:type="dxa"/>
            <w:vAlign w:val="center"/>
          </w:tcPr>
          <w:p w14:paraId="545F802F">
            <w:pPr>
              <w:jc w:val="center"/>
              <w:rPr>
                <w:szCs w:val="21"/>
              </w:rPr>
            </w:pPr>
          </w:p>
        </w:tc>
      </w:tr>
      <w:tr w14:paraId="2DE277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44" w:type="dxa"/>
            <w:vMerge w:val="continue"/>
            <w:vAlign w:val="center"/>
          </w:tcPr>
          <w:p w14:paraId="271228C6">
            <w:pPr>
              <w:jc w:val="center"/>
              <w:rPr>
                <w:szCs w:val="21"/>
              </w:rPr>
            </w:pPr>
          </w:p>
        </w:tc>
        <w:tc>
          <w:tcPr>
            <w:tcW w:w="1044" w:type="dxa"/>
            <w:vAlign w:val="center"/>
          </w:tcPr>
          <w:p w14:paraId="6D79A16C">
            <w:pPr>
              <w:jc w:val="center"/>
              <w:rPr>
                <w:szCs w:val="21"/>
              </w:rPr>
            </w:pPr>
          </w:p>
        </w:tc>
        <w:tc>
          <w:tcPr>
            <w:tcW w:w="1378" w:type="dxa"/>
            <w:vAlign w:val="center"/>
          </w:tcPr>
          <w:p w14:paraId="59822BD7">
            <w:pPr>
              <w:jc w:val="center"/>
              <w:rPr>
                <w:szCs w:val="21"/>
              </w:rPr>
            </w:pPr>
          </w:p>
        </w:tc>
        <w:tc>
          <w:tcPr>
            <w:tcW w:w="3937" w:type="dxa"/>
            <w:vAlign w:val="center"/>
          </w:tcPr>
          <w:p w14:paraId="41F6ED82">
            <w:pPr>
              <w:jc w:val="center"/>
              <w:rPr>
                <w:szCs w:val="21"/>
              </w:rPr>
            </w:pPr>
          </w:p>
        </w:tc>
        <w:tc>
          <w:tcPr>
            <w:tcW w:w="2135" w:type="dxa"/>
            <w:vAlign w:val="center"/>
          </w:tcPr>
          <w:p w14:paraId="69AC9D95">
            <w:pPr>
              <w:jc w:val="center"/>
              <w:rPr>
                <w:szCs w:val="21"/>
              </w:rPr>
            </w:pPr>
          </w:p>
        </w:tc>
      </w:tr>
    </w:tbl>
    <w:p w14:paraId="00D2D78F">
      <w:pPr>
        <w:spacing w:line="360" w:lineRule="auto"/>
        <w:rPr>
          <w:b/>
          <w:sz w:val="24"/>
        </w:rPr>
      </w:pPr>
    </w:p>
    <w:p w14:paraId="012EF35D">
      <w:pPr>
        <w:spacing w:line="360" w:lineRule="auto"/>
        <w:ind w:firstLine="440" w:firstLineChars="200"/>
        <w:rPr>
          <w:sz w:val="24"/>
        </w:rPr>
      </w:pPr>
      <w:r>
        <w:rPr>
          <w:rFonts w:hint="eastAsia"/>
          <w:szCs w:val="21"/>
        </w:rPr>
        <w:t>备注：近年发生的诉讼和仲裁情况仅限于</w:t>
      </w:r>
      <w:r>
        <w:rPr>
          <w:rFonts w:hint="eastAsia"/>
          <w:szCs w:val="21"/>
          <w:lang w:val="en-US"/>
        </w:rPr>
        <w:t>供应商</w:t>
      </w:r>
      <w:r>
        <w:rPr>
          <w:rFonts w:hint="eastAsia"/>
          <w:szCs w:val="21"/>
        </w:rPr>
        <w:t>败诉的，且与履行合同有关的案件，不包括调解结案以及未裁决的仲裁或未终审判决的诉讼。（如果无以上相关诉述及仲裁情况，可填“无”）</w:t>
      </w:r>
    </w:p>
    <w:p w14:paraId="7EED4DA0">
      <w:pPr>
        <w:pStyle w:val="25"/>
        <w:ind w:firstLine="321"/>
        <w:jc w:val="center"/>
        <w:rPr>
          <w:b/>
          <w:bCs/>
          <w:kern w:val="2"/>
          <w:sz w:val="32"/>
          <w:szCs w:val="32"/>
        </w:rPr>
      </w:pPr>
    </w:p>
    <w:p w14:paraId="735BCF90">
      <w:pPr>
        <w:pStyle w:val="25"/>
        <w:ind w:firstLine="321"/>
        <w:jc w:val="center"/>
        <w:rPr>
          <w:b/>
          <w:bCs/>
          <w:kern w:val="2"/>
          <w:sz w:val="32"/>
          <w:szCs w:val="32"/>
        </w:rPr>
      </w:pPr>
    </w:p>
    <w:p w14:paraId="03F50C1D">
      <w:pPr>
        <w:pStyle w:val="25"/>
        <w:ind w:firstLine="321"/>
        <w:jc w:val="center"/>
        <w:rPr>
          <w:b/>
          <w:bCs/>
          <w:kern w:val="2"/>
          <w:sz w:val="32"/>
          <w:szCs w:val="32"/>
        </w:rPr>
      </w:pPr>
    </w:p>
    <w:p w14:paraId="7CE19911">
      <w:pPr>
        <w:pStyle w:val="25"/>
        <w:ind w:firstLine="321"/>
        <w:jc w:val="center"/>
        <w:rPr>
          <w:b/>
          <w:bCs/>
          <w:kern w:val="2"/>
          <w:sz w:val="32"/>
          <w:szCs w:val="32"/>
        </w:rPr>
      </w:pPr>
    </w:p>
    <w:p w14:paraId="13DE184B">
      <w:pPr>
        <w:pStyle w:val="25"/>
        <w:ind w:firstLine="321"/>
        <w:jc w:val="center"/>
        <w:rPr>
          <w:b/>
          <w:bCs/>
          <w:kern w:val="2"/>
          <w:sz w:val="32"/>
          <w:szCs w:val="32"/>
        </w:rPr>
      </w:pPr>
    </w:p>
    <w:p w14:paraId="5AB4E3CA">
      <w:pPr>
        <w:pStyle w:val="25"/>
        <w:ind w:firstLine="0" w:firstLineChars="0"/>
        <w:jc w:val="both"/>
        <w:rPr>
          <w:b/>
          <w:bCs/>
          <w:kern w:val="2"/>
          <w:sz w:val="32"/>
          <w:szCs w:val="32"/>
        </w:rPr>
      </w:pPr>
    </w:p>
    <w:p w14:paraId="1B49C496">
      <w:pPr>
        <w:pStyle w:val="25"/>
        <w:ind w:firstLine="321"/>
        <w:jc w:val="center"/>
        <w:rPr>
          <w:b/>
          <w:bCs/>
          <w:kern w:val="2"/>
          <w:sz w:val="32"/>
          <w:szCs w:val="32"/>
        </w:rPr>
      </w:pPr>
    </w:p>
    <w:p w14:paraId="6D7B4B2B">
      <w:pPr>
        <w:pStyle w:val="25"/>
        <w:ind w:firstLine="0" w:firstLineChars="0"/>
        <w:jc w:val="center"/>
        <w:rPr>
          <w:b/>
          <w:bCs/>
          <w:kern w:val="2"/>
          <w:sz w:val="32"/>
          <w:szCs w:val="32"/>
        </w:rPr>
      </w:pPr>
    </w:p>
    <w:p w14:paraId="0DC34E09">
      <w:pPr>
        <w:pStyle w:val="25"/>
        <w:ind w:firstLine="0" w:firstLineChars="0"/>
        <w:jc w:val="center"/>
        <w:rPr>
          <w:b/>
          <w:bCs/>
          <w:kern w:val="2"/>
          <w:sz w:val="32"/>
          <w:szCs w:val="32"/>
        </w:rPr>
      </w:pPr>
    </w:p>
    <w:p w14:paraId="6001DF2D">
      <w:pPr>
        <w:pStyle w:val="25"/>
        <w:ind w:firstLine="2891" w:firstLineChars="800"/>
        <w:jc w:val="both"/>
        <w:outlineLvl w:val="1"/>
        <w:rPr>
          <w:b/>
          <w:bCs/>
          <w:sz w:val="36"/>
          <w:szCs w:val="36"/>
        </w:rPr>
      </w:pPr>
      <w:r>
        <w:rPr>
          <w:rFonts w:hint="eastAsia"/>
          <w:b/>
          <w:bCs/>
          <w:sz w:val="36"/>
          <w:szCs w:val="36"/>
          <w:lang w:val="en-US"/>
        </w:rPr>
        <w:t>六</w:t>
      </w:r>
      <w:r>
        <w:rPr>
          <w:rFonts w:hint="eastAsia"/>
          <w:b/>
          <w:bCs/>
          <w:sz w:val="36"/>
          <w:szCs w:val="36"/>
        </w:rPr>
        <w:t>、已标价工程量清单</w:t>
      </w:r>
    </w:p>
    <w:p w14:paraId="37074A37">
      <w:pPr>
        <w:spacing w:before="240" w:beforeLines="100" w:after="120" w:afterLines="50" w:line="510" w:lineRule="exact"/>
        <w:ind w:firstLine="482" w:firstLineChars="200"/>
        <w:rPr>
          <w:b/>
          <w:bCs/>
          <w:sz w:val="24"/>
          <w:szCs w:val="24"/>
        </w:rPr>
      </w:pPr>
      <w:r>
        <w:rPr>
          <w:rFonts w:hint="eastAsia"/>
          <w:b/>
          <w:bCs/>
          <w:sz w:val="24"/>
          <w:szCs w:val="24"/>
        </w:rPr>
        <w:t>供应商根据自身实际情况及对项目的综合把握，提出投标总报价，所投报投标价格不能超出磋商文件已标明的采购预算价，并且符合第五章“工程量清单”给出的子目编码、子目名称、子目特征（技术参数）、计量单位和工程量。</w:t>
      </w:r>
    </w:p>
    <w:p w14:paraId="22FB06D0">
      <w:pPr>
        <w:spacing w:before="240" w:beforeLines="100" w:after="120" w:afterLines="50" w:line="510" w:lineRule="exact"/>
        <w:ind w:firstLine="420" w:firstLineChars="200"/>
        <w:rPr>
          <w:sz w:val="21"/>
          <w:lang w:val="en-US"/>
        </w:rPr>
      </w:pPr>
      <w:r>
        <w:rPr>
          <w:rFonts w:hint="eastAsia"/>
          <w:sz w:val="21"/>
          <w:lang w:val="en-US"/>
        </w:rPr>
        <w:t>注：本次递交的工程量清单报价为供应商符合第五章“工程量清单”要求的竞争性磋商第一轮总报价；评审完成后，本项目成交供应商在领取成交通知书时，需要将与最后报价总金额相符的“二次（最终）报价函” （格式及内容见</w:t>
      </w:r>
      <w:r>
        <w:rPr>
          <w:rFonts w:hint="eastAsia"/>
          <w:b/>
          <w:bCs/>
          <w:sz w:val="21"/>
          <w:lang w:val="en-US"/>
        </w:rPr>
        <w:t>附件1</w:t>
      </w:r>
      <w:r>
        <w:rPr>
          <w:rFonts w:hint="eastAsia"/>
          <w:sz w:val="21"/>
          <w:lang w:val="en-US"/>
        </w:rPr>
        <w:t>）及工程量清单报价（按照第五章“工程量清单”的要求填写相应表格）递交2份纸质原件及1份电子版至采购代理处；纸质已标价工程量清单需加盖骑缝章，封面需加盖供应商公章、加盖法定代表人印章或其委托代理人签字且有本单位注册造价工程师或造价员签字和盖执业章或者委托具有相关造价执业能力的中介机构编制（加盖编制单位的公章且有造价人员签字和盖执业章）。</w:t>
      </w:r>
    </w:p>
    <w:p w14:paraId="0364F4CF">
      <w:pPr>
        <w:spacing w:before="240" w:beforeLines="100" w:after="120" w:afterLines="50" w:line="510" w:lineRule="exact"/>
        <w:ind w:firstLine="420" w:firstLineChars="200"/>
        <w:rPr>
          <w:sz w:val="28"/>
          <w:szCs w:val="28"/>
        </w:rPr>
      </w:pPr>
      <w:r>
        <w:rPr>
          <w:rFonts w:hint="eastAsia"/>
          <w:sz w:val="21"/>
          <w:lang w:val="en-US"/>
        </w:rPr>
        <w:t>现实行电子评标，为减轻供应商投标成本，不再单独给供应商办理造价员及造价工程师的CA锁，故造价员及造价工程师无法进行电子签章，所以造价员及造价工程师签字和签章请单独扫描上传至响应文件。</w:t>
      </w:r>
    </w:p>
    <w:p w14:paraId="39D4060C">
      <w:pPr>
        <w:spacing w:before="240" w:beforeLines="100" w:after="120" w:afterLines="50" w:line="510" w:lineRule="exact"/>
        <w:rPr>
          <w:sz w:val="28"/>
          <w:szCs w:val="28"/>
        </w:rPr>
      </w:pPr>
    </w:p>
    <w:p w14:paraId="3B2AF4E6">
      <w:pPr>
        <w:spacing w:before="240" w:beforeLines="100" w:after="120" w:afterLines="50" w:line="510" w:lineRule="exact"/>
        <w:rPr>
          <w:sz w:val="28"/>
          <w:szCs w:val="28"/>
        </w:rPr>
      </w:pPr>
    </w:p>
    <w:p w14:paraId="78F78CD3">
      <w:pPr>
        <w:pStyle w:val="12"/>
        <w:rPr>
          <w:sz w:val="28"/>
          <w:szCs w:val="28"/>
        </w:rPr>
      </w:pPr>
    </w:p>
    <w:p w14:paraId="3E8FA47E">
      <w:pPr>
        <w:rPr>
          <w:sz w:val="28"/>
          <w:szCs w:val="28"/>
        </w:rPr>
      </w:pPr>
    </w:p>
    <w:p w14:paraId="2AFC2FAC">
      <w:pPr>
        <w:pStyle w:val="25"/>
        <w:ind w:firstLine="280"/>
        <w:rPr>
          <w:sz w:val="28"/>
          <w:szCs w:val="28"/>
        </w:rPr>
      </w:pPr>
    </w:p>
    <w:p w14:paraId="74B29E31">
      <w:pPr>
        <w:rPr>
          <w:sz w:val="28"/>
          <w:szCs w:val="28"/>
        </w:rPr>
      </w:pPr>
    </w:p>
    <w:p w14:paraId="1860FF14">
      <w:pPr>
        <w:pStyle w:val="25"/>
        <w:ind w:firstLine="280"/>
        <w:rPr>
          <w:sz w:val="28"/>
          <w:szCs w:val="28"/>
        </w:rPr>
      </w:pPr>
    </w:p>
    <w:p w14:paraId="22FE13E1">
      <w:pPr>
        <w:rPr>
          <w:sz w:val="28"/>
          <w:szCs w:val="28"/>
        </w:rPr>
      </w:pPr>
    </w:p>
    <w:p w14:paraId="5DB0BB98">
      <w:pPr>
        <w:pStyle w:val="25"/>
        <w:ind w:firstLine="280"/>
        <w:rPr>
          <w:sz w:val="28"/>
          <w:szCs w:val="28"/>
        </w:rPr>
      </w:pPr>
    </w:p>
    <w:p w14:paraId="6B874258"/>
    <w:p w14:paraId="431E1D94"/>
    <w:p w14:paraId="3483C9BF"/>
    <w:p w14:paraId="3AFD2C1F"/>
    <w:p w14:paraId="1B2C2D2D">
      <w:pPr>
        <w:rPr>
          <w:sz w:val="28"/>
          <w:szCs w:val="28"/>
        </w:rPr>
      </w:pPr>
    </w:p>
    <w:p w14:paraId="46B7808E">
      <w:pPr>
        <w:spacing w:before="240" w:beforeLines="100"/>
        <w:ind w:firstLine="3614" w:firstLineChars="1000"/>
        <w:jc w:val="both"/>
        <w:outlineLvl w:val="2"/>
        <w:rPr>
          <w:b/>
          <w:bCs/>
          <w:sz w:val="36"/>
          <w:szCs w:val="36"/>
        </w:rPr>
      </w:pPr>
      <w:r>
        <w:rPr>
          <w:rFonts w:hint="eastAsia"/>
          <w:b/>
          <w:bCs/>
          <w:sz w:val="36"/>
          <w:szCs w:val="36"/>
        </w:rPr>
        <w:t>七、</w:t>
      </w:r>
      <w:r>
        <w:rPr>
          <w:rFonts w:hint="eastAsia"/>
          <w:b/>
          <w:bCs/>
          <w:sz w:val="36"/>
          <w:szCs w:val="36"/>
          <w:lang w:val="en-US" w:eastAsia="zh-CN"/>
        </w:rPr>
        <w:t>综合</w:t>
      </w:r>
      <w:r>
        <w:rPr>
          <w:rFonts w:hint="eastAsia"/>
          <w:b/>
          <w:bCs/>
          <w:sz w:val="36"/>
          <w:szCs w:val="36"/>
        </w:rPr>
        <w:t>部分</w:t>
      </w:r>
    </w:p>
    <w:p w14:paraId="3FF0A097">
      <w:pPr>
        <w:pStyle w:val="25"/>
        <w:spacing w:line="360" w:lineRule="auto"/>
        <w:ind w:firstLineChars="200"/>
        <w:rPr>
          <w:kern w:val="2"/>
        </w:rPr>
      </w:pPr>
    </w:p>
    <w:p w14:paraId="668725CE">
      <w:pPr>
        <w:pStyle w:val="25"/>
        <w:spacing w:line="360" w:lineRule="auto"/>
        <w:ind w:firstLineChars="200"/>
        <w:rPr>
          <w:kern w:val="2"/>
        </w:rPr>
      </w:pPr>
    </w:p>
    <w:p w14:paraId="679164C8">
      <w:pPr>
        <w:pStyle w:val="25"/>
        <w:spacing w:line="360" w:lineRule="auto"/>
        <w:ind w:firstLineChars="200"/>
        <w:rPr>
          <w:rFonts w:hint="eastAsia"/>
          <w:kern w:val="2"/>
        </w:rPr>
      </w:pPr>
      <w:r>
        <w:rPr>
          <w:rFonts w:hint="eastAsia"/>
          <w:kern w:val="2"/>
        </w:rPr>
        <w:t>此项针对评审办法中综合部分进行说明，</w:t>
      </w:r>
      <w:r>
        <w:rPr>
          <w:rFonts w:hint="eastAsia"/>
          <w:kern w:val="2"/>
          <w:lang w:val="en-US"/>
        </w:rPr>
        <w:t>供应商</w:t>
      </w:r>
      <w:r>
        <w:rPr>
          <w:rFonts w:hint="eastAsia"/>
          <w:kern w:val="2"/>
        </w:rPr>
        <w:t>根据自身实际情况编制，格式自拟。（此项涉及的相关内容如果</w:t>
      </w:r>
      <w:r>
        <w:rPr>
          <w:rFonts w:hint="eastAsia"/>
          <w:kern w:val="2"/>
          <w:lang w:val="en-US"/>
        </w:rPr>
        <w:t>响应</w:t>
      </w:r>
      <w:r>
        <w:rPr>
          <w:rFonts w:hint="eastAsia"/>
          <w:kern w:val="2"/>
        </w:rPr>
        <w:t>文件别处已有描述，可无需再提供，但</w:t>
      </w:r>
      <w:r>
        <w:rPr>
          <w:rFonts w:hint="eastAsia"/>
          <w:kern w:val="2"/>
          <w:lang w:val="en-US"/>
        </w:rPr>
        <w:t>供应商</w:t>
      </w:r>
      <w:r>
        <w:rPr>
          <w:rFonts w:hint="eastAsia"/>
          <w:kern w:val="2"/>
        </w:rPr>
        <w:t>自身要保证已经提供的内容完整、清</w:t>
      </w:r>
    </w:p>
    <w:p w14:paraId="4133D3BB">
      <w:pPr>
        <w:pStyle w:val="25"/>
        <w:spacing w:line="360" w:lineRule="auto"/>
        <w:ind w:left="0" w:leftChars="0" w:firstLine="0" w:firstLineChars="0"/>
        <w:rPr>
          <w:rFonts w:hint="eastAsia" w:eastAsia="宋体"/>
          <w:kern w:val="2"/>
          <w:lang w:eastAsia="zh-CN"/>
        </w:rPr>
        <w:sectPr>
          <w:pgSz w:w="12240" w:h="15840"/>
          <w:pgMar w:top="1440" w:right="1080" w:bottom="1440" w:left="1080" w:header="850" w:footer="907" w:gutter="0"/>
          <w:pgNumType w:fmt="decimal"/>
          <w:cols w:space="720" w:num="1"/>
          <w:docGrid w:linePitch="286" w:charSpace="0"/>
        </w:sectPr>
      </w:pPr>
      <w:r>
        <w:rPr>
          <w:rFonts w:hint="eastAsia"/>
          <w:kern w:val="2"/>
        </w:rPr>
        <w:t>晰）</w:t>
      </w:r>
      <w:r>
        <w:rPr>
          <w:rFonts w:hint="eastAsia"/>
          <w:kern w:val="2"/>
          <w:lang w:eastAsia="zh-CN"/>
        </w:rPr>
        <w:t>。</w:t>
      </w:r>
    </w:p>
    <w:p w14:paraId="2747C4AA">
      <w:pPr>
        <w:pStyle w:val="3"/>
        <w:jc w:val="center"/>
        <w:rPr>
          <w:rFonts w:ascii="宋体" w:hAnsi="宋体" w:eastAsia="宋体" w:cs="宋体"/>
          <w:sz w:val="36"/>
          <w:szCs w:val="36"/>
        </w:rPr>
      </w:pPr>
      <w:bookmarkStart w:id="836" w:name="_Toc516822673"/>
      <w:r>
        <w:rPr>
          <w:rFonts w:hint="eastAsia" w:ascii="宋体" w:hAnsi="宋体" w:eastAsia="宋体" w:cs="宋体"/>
          <w:sz w:val="36"/>
          <w:szCs w:val="36"/>
          <w:lang w:val="en-US"/>
        </w:rPr>
        <w:t>八</w:t>
      </w:r>
      <w:r>
        <w:rPr>
          <w:rFonts w:hint="eastAsia" w:ascii="宋体" w:hAnsi="宋体" w:eastAsia="宋体" w:cs="宋体"/>
          <w:sz w:val="36"/>
          <w:szCs w:val="36"/>
        </w:rPr>
        <w:t>、项目管理机构</w:t>
      </w:r>
      <w:bookmarkEnd w:id="836"/>
    </w:p>
    <w:p w14:paraId="0FD261AD">
      <w:pPr>
        <w:jc w:val="center"/>
        <w:rPr>
          <w:sz w:val="24"/>
          <w:szCs w:val="24"/>
        </w:rPr>
      </w:pPr>
      <w:bookmarkStart w:id="837" w:name="_Toc516822674"/>
    </w:p>
    <w:p w14:paraId="19D072F9">
      <w:pPr>
        <w:pStyle w:val="4"/>
        <w:numPr>
          <w:ilvl w:val="0"/>
          <w:numId w:val="12"/>
        </w:numPr>
        <w:jc w:val="center"/>
        <w:rPr>
          <w:rFonts w:ascii="宋体" w:hAnsi="宋体" w:eastAsia="宋体" w:cs="宋体"/>
          <w:b/>
          <w:bCs/>
        </w:rPr>
      </w:pPr>
      <w:r>
        <w:rPr>
          <w:rFonts w:hint="eastAsia" w:ascii="宋体" w:hAnsi="宋体" w:eastAsia="宋体" w:cs="宋体"/>
          <w:b/>
          <w:bCs/>
        </w:rPr>
        <w:t>项目管理机构组成表</w:t>
      </w:r>
      <w:bookmarkEnd w:id="837"/>
    </w:p>
    <w:p w14:paraId="2F16EEF6"/>
    <w:tbl>
      <w:tblPr>
        <w:tblStyle w:val="27"/>
        <w:tblW w:w="97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087"/>
        <w:gridCol w:w="1087"/>
        <w:gridCol w:w="1349"/>
        <w:gridCol w:w="1077"/>
        <w:gridCol w:w="1297"/>
        <w:gridCol w:w="1304"/>
        <w:gridCol w:w="1449"/>
      </w:tblGrid>
      <w:tr w14:paraId="6498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Merge w:val="restart"/>
            <w:vAlign w:val="center"/>
          </w:tcPr>
          <w:p w14:paraId="1972D437">
            <w:pPr>
              <w:jc w:val="center"/>
              <w:rPr>
                <w:szCs w:val="21"/>
              </w:rPr>
            </w:pPr>
            <w:r>
              <w:rPr>
                <w:rFonts w:hint="eastAsia"/>
                <w:szCs w:val="21"/>
              </w:rPr>
              <w:t>职务</w:t>
            </w:r>
          </w:p>
        </w:tc>
        <w:tc>
          <w:tcPr>
            <w:tcW w:w="1087" w:type="dxa"/>
            <w:vMerge w:val="restart"/>
            <w:vAlign w:val="center"/>
          </w:tcPr>
          <w:p w14:paraId="4A7D5F0B">
            <w:pPr>
              <w:jc w:val="center"/>
              <w:rPr>
                <w:szCs w:val="21"/>
              </w:rPr>
            </w:pPr>
            <w:r>
              <w:rPr>
                <w:rFonts w:hint="eastAsia"/>
                <w:szCs w:val="21"/>
              </w:rPr>
              <w:t>姓名</w:t>
            </w:r>
          </w:p>
        </w:tc>
        <w:tc>
          <w:tcPr>
            <w:tcW w:w="1087" w:type="dxa"/>
            <w:vMerge w:val="restart"/>
            <w:vAlign w:val="center"/>
          </w:tcPr>
          <w:p w14:paraId="5F46375A">
            <w:pPr>
              <w:jc w:val="center"/>
              <w:rPr>
                <w:szCs w:val="21"/>
              </w:rPr>
            </w:pPr>
            <w:r>
              <w:rPr>
                <w:rFonts w:hint="eastAsia"/>
                <w:szCs w:val="21"/>
              </w:rPr>
              <w:t>职称（岗位名称）</w:t>
            </w:r>
          </w:p>
        </w:tc>
        <w:tc>
          <w:tcPr>
            <w:tcW w:w="5027" w:type="dxa"/>
            <w:gridSpan w:val="4"/>
            <w:vAlign w:val="center"/>
          </w:tcPr>
          <w:p w14:paraId="3C88387E">
            <w:pPr>
              <w:jc w:val="center"/>
              <w:rPr>
                <w:szCs w:val="21"/>
              </w:rPr>
            </w:pPr>
            <w:r>
              <w:rPr>
                <w:rFonts w:hint="eastAsia"/>
                <w:szCs w:val="21"/>
              </w:rPr>
              <w:t>执业或职业资格证明</w:t>
            </w:r>
          </w:p>
        </w:tc>
        <w:tc>
          <w:tcPr>
            <w:tcW w:w="1449" w:type="dxa"/>
            <w:vMerge w:val="restart"/>
            <w:vAlign w:val="center"/>
          </w:tcPr>
          <w:p w14:paraId="5E92DF61">
            <w:pPr>
              <w:jc w:val="center"/>
              <w:rPr>
                <w:szCs w:val="21"/>
              </w:rPr>
            </w:pPr>
            <w:r>
              <w:rPr>
                <w:rFonts w:hint="eastAsia"/>
                <w:szCs w:val="21"/>
              </w:rPr>
              <w:t>备注</w:t>
            </w:r>
          </w:p>
        </w:tc>
      </w:tr>
      <w:tr w14:paraId="6664C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Merge w:val="continue"/>
            <w:vAlign w:val="center"/>
          </w:tcPr>
          <w:p w14:paraId="25FE3A03">
            <w:pPr>
              <w:jc w:val="center"/>
              <w:rPr>
                <w:szCs w:val="21"/>
              </w:rPr>
            </w:pPr>
          </w:p>
        </w:tc>
        <w:tc>
          <w:tcPr>
            <w:tcW w:w="1087" w:type="dxa"/>
            <w:vMerge w:val="continue"/>
            <w:vAlign w:val="center"/>
          </w:tcPr>
          <w:p w14:paraId="58E54E78">
            <w:pPr>
              <w:jc w:val="center"/>
              <w:rPr>
                <w:szCs w:val="21"/>
              </w:rPr>
            </w:pPr>
          </w:p>
        </w:tc>
        <w:tc>
          <w:tcPr>
            <w:tcW w:w="1087" w:type="dxa"/>
            <w:vMerge w:val="continue"/>
            <w:vAlign w:val="center"/>
          </w:tcPr>
          <w:p w14:paraId="3A131D41">
            <w:pPr>
              <w:jc w:val="center"/>
              <w:rPr>
                <w:szCs w:val="21"/>
              </w:rPr>
            </w:pPr>
          </w:p>
        </w:tc>
        <w:tc>
          <w:tcPr>
            <w:tcW w:w="1349" w:type="dxa"/>
            <w:vAlign w:val="center"/>
          </w:tcPr>
          <w:p w14:paraId="19B6249B">
            <w:pPr>
              <w:jc w:val="center"/>
              <w:rPr>
                <w:szCs w:val="21"/>
              </w:rPr>
            </w:pPr>
            <w:r>
              <w:rPr>
                <w:rFonts w:hint="eastAsia"/>
                <w:szCs w:val="21"/>
              </w:rPr>
              <w:t>证书名称</w:t>
            </w:r>
          </w:p>
        </w:tc>
        <w:tc>
          <w:tcPr>
            <w:tcW w:w="1077" w:type="dxa"/>
            <w:vAlign w:val="center"/>
          </w:tcPr>
          <w:p w14:paraId="186B0B49">
            <w:pPr>
              <w:jc w:val="center"/>
              <w:rPr>
                <w:szCs w:val="21"/>
              </w:rPr>
            </w:pPr>
            <w:r>
              <w:rPr>
                <w:rFonts w:hint="eastAsia"/>
                <w:szCs w:val="21"/>
              </w:rPr>
              <w:t>级别</w:t>
            </w:r>
          </w:p>
        </w:tc>
        <w:tc>
          <w:tcPr>
            <w:tcW w:w="1297" w:type="dxa"/>
            <w:vAlign w:val="center"/>
          </w:tcPr>
          <w:p w14:paraId="23CAABA8">
            <w:pPr>
              <w:jc w:val="center"/>
              <w:rPr>
                <w:szCs w:val="21"/>
              </w:rPr>
            </w:pPr>
            <w:r>
              <w:rPr>
                <w:rFonts w:hint="eastAsia"/>
                <w:szCs w:val="21"/>
              </w:rPr>
              <w:t>证号</w:t>
            </w:r>
          </w:p>
        </w:tc>
        <w:tc>
          <w:tcPr>
            <w:tcW w:w="1304" w:type="dxa"/>
            <w:vAlign w:val="center"/>
          </w:tcPr>
          <w:p w14:paraId="74FB7F20">
            <w:pPr>
              <w:jc w:val="center"/>
              <w:rPr>
                <w:szCs w:val="21"/>
              </w:rPr>
            </w:pPr>
            <w:r>
              <w:rPr>
                <w:rFonts w:hint="eastAsia"/>
                <w:szCs w:val="21"/>
              </w:rPr>
              <w:t>专业</w:t>
            </w:r>
          </w:p>
        </w:tc>
        <w:tc>
          <w:tcPr>
            <w:tcW w:w="1449" w:type="dxa"/>
            <w:vMerge w:val="continue"/>
            <w:vAlign w:val="center"/>
          </w:tcPr>
          <w:p w14:paraId="74D394CB">
            <w:pPr>
              <w:jc w:val="center"/>
              <w:rPr>
                <w:szCs w:val="21"/>
              </w:rPr>
            </w:pPr>
          </w:p>
        </w:tc>
      </w:tr>
      <w:tr w14:paraId="3E0FC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37B4C970">
            <w:pPr>
              <w:jc w:val="center"/>
              <w:rPr>
                <w:szCs w:val="21"/>
              </w:rPr>
            </w:pPr>
          </w:p>
        </w:tc>
        <w:tc>
          <w:tcPr>
            <w:tcW w:w="1087" w:type="dxa"/>
            <w:vAlign w:val="center"/>
          </w:tcPr>
          <w:p w14:paraId="2E27F6A7">
            <w:pPr>
              <w:jc w:val="center"/>
              <w:rPr>
                <w:szCs w:val="21"/>
              </w:rPr>
            </w:pPr>
          </w:p>
        </w:tc>
        <w:tc>
          <w:tcPr>
            <w:tcW w:w="1087" w:type="dxa"/>
            <w:vAlign w:val="center"/>
          </w:tcPr>
          <w:p w14:paraId="7BBB568D">
            <w:pPr>
              <w:jc w:val="center"/>
              <w:rPr>
                <w:szCs w:val="21"/>
              </w:rPr>
            </w:pPr>
          </w:p>
        </w:tc>
        <w:tc>
          <w:tcPr>
            <w:tcW w:w="1349" w:type="dxa"/>
            <w:vAlign w:val="center"/>
          </w:tcPr>
          <w:p w14:paraId="4BCD7FFE">
            <w:pPr>
              <w:jc w:val="center"/>
              <w:rPr>
                <w:szCs w:val="21"/>
              </w:rPr>
            </w:pPr>
          </w:p>
        </w:tc>
        <w:tc>
          <w:tcPr>
            <w:tcW w:w="1077" w:type="dxa"/>
            <w:vAlign w:val="center"/>
          </w:tcPr>
          <w:p w14:paraId="2E4E4408">
            <w:pPr>
              <w:jc w:val="center"/>
              <w:rPr>
                <w:szCs w:val="21"/>
              </w:rPr>
            </w:pPr>
          </w:p>
        </w:tc>
        <w:tc>
          <w:tcPr>
            <w:tcW w:w="1297" w:type="dxa"/>
            <w:vAlign w:val="center"/>
          </w:tcPr>
          <w:p w14:paraId="17715929">
            <w:pPr>
              <w:jc w:val="center"/>
              <w:rPr>
                <w:szCs w:val="21"/>
              </w:rPr>
            </w:pPr>
          </w:p>
        </w:tc>
        <w:tc>
          <w:tcPr>
            <w:tcW w:w="1304" w:type="dxa"/>
            <w:vAlign w:val="center"/>
          </w:tcPr>
          <w:p w14:paraId="1ED9A0C0">
            <w:pPr>
              <w:jc w:val="center"/>
              <w:rPr>
                <w:szCs w:val="21"/>
              </w:rPr>
            </w:pPr>
          </w:p>
        </w:tc>
        <w:tc>
          <w:tcPr>
            <w:tcW w:w="1449" w:type="dxa"/>
            <w:vAlign w:val="center"/>
          </w:tcPr>
          <w:p w14:paraId="5FA1DAF7">
            <w:pPr>
              <w:jc w:val="center"/>
              <w:rPr>
                <w:szCs w:val="21"/>
              </w:rPr>
            </w:pPr>
          </w:p>
        </w:tc>
      </w:tr>
      <w:tr w14:paraId="71AE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7DF7C1BD">
            <w:pPr>
              <w:jc w:val="center"/>
              <w:rPr>
                <w:szCs w:val="21"/>
              </w:rPr>
            </w:pPr>
          </w:p>
        </w:tc>
        <w:tc>
          <w:tcPr>
            <w:tcW w:w="1087" w:type="dxa"/>
            <w:vAlign w:val="center"/>
          </w:tcPr>
          <w:p w14:paraId="32F8E4DE">
            <w:pPr>
              <w:jc w:val="center"/>
              <w:rPr>
                <w:szCs w:val="21"/>
              </w:rPr>
            </w:pPr>
          </w:p>
        </w:tc>
        <w:tc>
          <w:tcPr>
            <w:tcW w:w="1087" w:type="dxa"/>
            <w:vAlign w:val="center"/>
          </w:tcPr>
          <w:p w14:paraId="14915468">
            <w:pPr>
              <w:jc w:val="center"/>
              <w:rPr>
                <w:szCs w:val="21"/>
              </w:rPr>
            </w:pPr>
          </w:p>
        </w:tc>
        <w:tc>
          <w:tcPr>
            <w:tcW w:w="1349" w:type="dxa"/>
            <w:vAlign w:val="center"/>
          </w:tcPr>
          <w:p w14:paraId="779FD814">
            <w:pPr>
              <w:jc w:val="center"/>
              <w:rPr>
                <w:szCs w:val="21"/>
              </w:rPr>
            </w:pPr>
          </w:p>
        </w:tc>
        <w:tc>
          <w:tcPr>
            <w:tcW w:w="1077" w:type="dxa"/>
            <w:vAlign w:val="center"/>
          </w:tcPr>
          <w:p w14:paraId="3E20CEBA">
            <w:pPr>
              <w:jc w:val="center"/>
              <w:rPr>
                <w:szCs w:val="21"/>
              </w:rPr>
            </w:pPr>
          </w:p>
        </w:tc>
        <w:tc>
          <w:tcPr>
            <w:tcW w:w="1297" w:type="dxa"/>
            <w:vAlign w:val="center"/>
          </w:tcPr>
          <w:p w14:paraId="0CAC69ED">
            <w:pPr>
              <w:jc w:val="center"/>
              <w:rPr>
                <w:szCs w:val="21"/>
              </w:rPr>
            </w:pPr>
          </w:p>
        </w:tc>
        <w:tc>
          <w:tcPr>
            <w:tcW w:w="1304" w:type="dxa"/>
            <w:vAlign w:val="center"/>
          </w:tcPr>
          <w:p w14:paraId="654CCA10">
            <w:pPr>
              <w:jc w:val="center"/>
              <w:rPr>
                <w:szCs w:val="21"/>
              </w:rPr>
            </w:pPr>
          </w:p>
        </w:tc>
        <w:tc>
          <w:tcPr>
            <w:tcW w:w="1449" w:type="dxa"/>
            <w:vAlign w:val="center"/>
          </w:tcPr>
          <w:p w14:paraId="55748729">
            <w:pPr>
              <w:jc w:val="center"/>
              <w:rPr>
                <w:szCs w:val="21"/>
              </w:rPr>
            </w:pPr>
          </w:p>
        </w:tc>
      </w:tr>
      <w:tr w14:paraId="58592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14731D6B">
            <w:pPr>
              <w:jc w:val="center"/>
              <w:rPr>
                <w:szCs w:val="21"/>
              </w:rPr>
            </w:pPr>
          </w:p>
        </w:tc>
        <w:tc>
          <w:tcPr>
            <w:tcW w:w="1087" w:type="dxa"/>
            <w:vAlign w:val="center"/>
          </w:tcPr>
          <w:p w14:paraId="2873CFCE">
            <w:pPr>
              <w:jc w:val="center"/>
              <w:rPr>
                <w:szCs w:val="21"/>
              </w:rPr>
            </w:pPr>
          </w:p>
        </w:tc>
        <w:tc>
          <w:tcPr>
            <w:tcW w:w="1087" w:type="dxa"/>
            <w:vAlign w:val="center"/>
          </w:tcPr>
          <w:p w14:paraId="79065A45">
            <w:pPr>
              <w:jc w:val="center"/>
              <w:rPr>
                <w:szCs w:val="21"/>
              </w:rPr>
            </w:pPr>
          </w:p>
        </w:tc>
        <w:tc>
          <w:tcPr>
            <w:tcW w:w="1349" w:type="dxa"/>
            <w:vAlign w:val="center"/>
          </w:tcPr>
          <w:p w14:paraId="4C1DC3F9">
            <w:pPr>
              <w:jc w:val="center"/>
              <w:rPr>
                <w:szCs w:val="21"/>
              </w:rPr>
            </w:pPr>
          </w:p>
        </w:tc>
        <w:tc>
          <w:tcPr>
            <w:tcW w:w="1077" w:type="dxa"/>
            <w:vAlign w:val="center"/>
          </w:tcPr>
          <w:p w14:paraId="30BE860F">
            <w:pPr>
              <w:jc w:val="center"/>
              <w:rPr>
                <w:szCs w:val="21"/>
              </w:rPr>
            </w:pPr>
          </w:p>
        </w:tc>
        <w:tc>
          <w:tcPr>
            <w:tcW w:w="1297" w:type="dxa"/>
            <w:vAlign w:val="center"/>
          </w:tcPr>
          <w:p w14:paraId="7EA7E0E4">
            <w:pPr>
              <w:jc w:val="center"/>
              <w:rPr>
                <w:szCs w:val="21"/>
              </w:rPr>
            </w:pPr>
          </w:p>
        </w:tc>
        <w:tc>
          <w:tcPr>
            <w:tcW w:w="1304" w:type="dxa"/>
            <w:vAlign w:val="center"/>
          </w:tcPr>
          <w:p w14:paraId="02C6F0DA">
            <w:pPr>
              <w:jc w:val="center"/>
              <w:rPr>
                <w:szCs w:val="21"/>
              </w:rPr>
            </w:pPr>
          </w:p>
        </w:tc>
        <w:tc>
          <w:tcPr>
            <w:tcW w:w="1449" w:type="dxa"/>
            <w:vAlign w:val="center"/>
          </w:tcPr>
          <w:p w14:paraId="0CF224F7">
            <w:pPr>
              <w:jc w:val="center"/>
              <w:rPr>
                <w:szCs w:val="21"/>
              </w:rPr>
            </w:pPr>
          </w:p>
        </w:tc>
      </w:tr>
      <w:tr w14:paraId="02FBC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52847889">
            <w:pPr>
              <w:jc w:val="center"/>
              <w:rPr>
                <w:szCs w:val="21"/>
              </w:rPr>
            </w:pPr>
          </w:p>
        </w:tc>
        <w:tc>
          <w:tcPr>
            <w:tcW w:w="1087" w:type="dxa"/>
            <w:vAlign w:val="center"/>
          </w:tcPr>
          <w:p w14:paraId="18363A9D">
            <w:pPr>
              <w:jc w:val="center"/>
              <w:rPr>
                <w:szCs w:val="21"/>
              </w:rPr>
            </w:pPr>
          </w:p>
        </w:tc>
        <w:tc>
          <w:tcPr>
            <w:tcW w:w="1087" w:type="dxa"/>
            <w:vAlign w:val="center"/>
          </w:tcPr>
          <w:p w14:paraId="633D830B">
            <w:pPr>
              <w:jc w:val="center"/>
              <w:rPr>
                <w:szCs w:val="21"/>
              </w:rPr>
            </w:pPr>
          </w:p>
        </w:tc>
        <w:tc>
          <w:tcPr>
            <w:tcW w:w="1349" w:type="dxa"/>
            <w:vAlign w:val="center"/>
          </w:tcPr>
          <w:p w14:paraId="44029905">
            <w:pPr>
              <w:jc w:val="center"/>
              <w:rPr>
                <w:szCs w:val="21"/>
              </w:rPr>
            </w:pPr>
          </w:p>
        </w:tc>
        <w:tc>
          <w:tcPr>
            <w:tcW w:w="1077" w:type="dxa"/>
            <w:vAlign w:val="center"/>
          </w:tcPr>
          <w:p w14:paraId="25E29FED">
            <w:pPr>
              <w:jc w:val="center"/>
              <w:rPr>
                <w:szCs w:val="21"/>
              </w:rPr>
            </w:pPr>
          </w:p>
        </w:tc>
        <w:tc>
          <w:tcPr>
            <w:tcW w:w="1297" w:type="dxa"/>
            <w:vAlign w:val="center"/>
          </w:tcPr>
          <w:p w14:paraId="08E8EBB2">
            <w:pPr>
              <w:jc w:val="center"/>
              <w:rPr>
                <w:szCs w:val="21"/>
              </w:rPr>
            </w:pPr>
          </w:p>
        </w:tc>
        <w:tc>
          <w:tcPr>
            <w:tcW w:w="1304" w:type="dxa"/>
            <w:vAlign w:val="center"/>
          </w:tcPr>
          <w:p w14:paraId="200EA43A">
            <w:pPr>
              <w:jc w:val="center"/>
              <w:rPr>
                <w:szCs w:val="21"/>
              </w:rPr>
            </w:pPr>
          </w:p>
        </w:tc>
        <w:tc>
          <w:tcPr>
            <w:tcW w:w="1449" w:type="dxa"/>
            <w:vAlign w:val="center"/>
          </w:tcPr>
          <w:p w14:paraId="2F7A532E">
            <w:pPr>
              <w:jc w:val="center"/>
              <w:rPr>
                <w:szCs w:val="21"/>
              </w:rPr>
            </w:pPr>
          </w:p>
        </w:tc>
      </w:tr>
      <w:tr w14:paraId="0D8F8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75484DFC">
            <w:pPr>
              <w:jc w:val="center"/>
              <w:rPr>
                <w:szCs w:val="21"/>
              </w:rPr>
            </w:pPr>
          </w:p>
        </w:tc>
        <w:tc>
          <w:tcPr>
            <w:tcW w:w="1087" w:type="dxa"/>
            <w:vAlign w:val="center"/>
          </w:tcPr>
          <w:p w14:paraId="56AD1295">
            <w:pPr>
              <w:jc w:val="center"/>
              <w:rPr>
                <w:szCs w:val="21"/>
              </w:rPr>
            </w:pPr>
          </w:p>
        </w:tc>
        <w:tc>
          <w:tcPr>
            <w:tcW w:w="1087" w:type="dxa"/>
            <w:vAlign w:val="center"/>
          </w:tcPr>
          <w:p w14:paraId="600447F0">
            <w:pPr>
              <w:jc w:val="center"/>
              <w:rPr>
                <w:szCs w:val="21"/>
              </w:rPr>
            </w:pPr>
          </w:p>
        </w:tc>
        <w:tc>
          <w:tcPr>
            <w:tcW w:w="1349" w:type="dxa"/>
            <w:vAlign w:val="center"/>
          </w:tcPr>
          <w:p w14:paraId="567FE30D">
            <w:pPr>
              <w:jc w:val="center"/>
              <w:rPr>
                <w:szCs w:val="21"/>
              </w:rPr>
            </w:pPr>
          </w:p>
        </w:tc>
        <w:tc>
          <w:tcPr>
            <w:tcW w:w="1077" w:type="dxa"/>
            <w:vAlign w:val="center"/>
          </w:tcPr>
          <w:p w14:paraId="5A40AE1A">
            <w:pPr>
              <w:jc w:val="center"/>
              <w:rPr>
                <w:szCs w:val="21"/>
              </w:rPr>
            </w:pPr>
          </w:p>
        </w:tc>
        <w:tc>
          <w:tcPr>
            <w:tcW w:w="1297" w:type="dxa"/>
            <w:vAlign w:val="center"/>
          </w:tcPr>
          <w:p w14:paraId="15AFD9C6">
            <w:pPr>
              <w:jc w:val="center"/>
              <w:rPr>
                <w:szCs w:val="21"/>
              </w:rPr>
            </w:pPr>
          </w:p>
        </w:tc>
        <w:tc>
          <w:tcPr>
            <w:tcW w:w="1304" w:type="dxa"/>
            <w:vAlign w:val="center"/>
          </w:tcPr>
          <w:p w14:paraId="5E5404B9">
            <w:pPr>
              <w:jc w:val="center"/>
              <w:rPr>
                <w:szCs w:val="21"/>
              </w:rPr>
            </w:pPr>
          </w:p>
        </w:tc>
        <w:tc>
          <w:tcPr>
            <w:tcW w:w="1449" w:type="dxa"/>
            <w:vAlign w:val="center"/>
          </w:tcPr>
          <w:p w14:paraId="6F9DEB0E">
            <w:pPr>
              <w:jc w:val="center"/>
              <w:rPr>
                <w:szCs w:val="21"/>
              </w:rPr>
            </w:pPr>
          </w:p>
        </w:tc>
      </w:tr>
      <w:tr w14:paraId="64931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7AAE2520">
            <w:pPr>
              <w:jc w:val="center"/>
              <w:rPr>
                <w:szCs w:val="21"/>
              </w:rPr>
            </w:pPr>
          </w:p>
        </w:tc>
        <w:tc>
          <w:tcPr>
            <w:tcW w:w="1087" w:type="dxa"/>
            <w:vAlign w:val="center"/>
          </w:tcPr>
          <w:p w14:paraId="43A04F6F">
            <w:pPr>
              <w:jc w:val="center"/>
              <w:rPr>
                <w:szCs w:val="21"/>
              </w:rPr>
            </w:pPr>
          </w:p>
        </w:tc>
        <w:tc>
          <w:tcPr>
            <w:tcW w:w="1087" w:type="dxa"/>
            <w:vAlign w:val="center"/>
          </w:tcPr>
          <w:p w14:paraId="04242744">
            <w:pPr>
              <w:jc w:val="center"/>
              <w:rPr>
                <w:szCs w:val="21"/>
              </w:rPr>
            </w:pPr>
          </w:p>
        </w:tc>
        <w:tc>
          <w:tcPr>
            <w:tcW w:w="1349" w:type="dxa"/>
            <w:vAlign w:val="center"/>
          </w:tcPr>
          <w:p w14:paraId="04A75894">
            <w:pPr>
              <w:jc w:val="center"/>
              <w:rPr>
                <w:szCs w:val="21"/>
              </w:rPr>
            </w:pPr>
          </w:p>
        </w:tc>
        <w:tc>
          <w:tcPr>
            <w:tcW w:w="1077" w:type="dxa"/>
            <w:vAlign w:val="center"/>
          </w:tcPr>
          <w:p w14:paraId="4AD896C2">
            <w:pPr>
              <w:jc w:val="center"/>
              <w:rPr>
                <w:szCs w:val="21"/>
              </w:rPr>
            </w:pPr>
          </w:p>
        </w:tc>
        <w:tc>
          <w:tcPr>
            <w:tcW w:w="1297" w:type="dxa"/>
            <w:vAlign w:val="center"/>
          </w:tcPr>
          <w:p w14:paraId="68158124">
            <w:pPr>
              <w:jc w:val="center"/>
              <w:rPr>
                <w:szCs w:val="21"/>
              </w:rPr>
            </w:pPr>
          </w:p>
        </w:tc>
        <w:tc>
          <w:tcPr>
            <w:tcW w:w="1304" w:type="dxa"/>
            <w:vAlign w:val="center"/>
          </w:tcPr>
          <w:p w14:paraId="095A216B">
            <w:pPr>
              <w:jc w:val="center"/>
              <w:rPr>
                <w:szCs w:val="21"/>
              </w:rPr>
            </w:pPr>
          </w:p>
        </w:tc>
        <w:tc>
          <w:tcPr>
            <w:tcW w:w="1449" w:type="dxa"/>
            <w:vAlign w:val="center"/>
          </w:tcPr>
          <w:p w14:paraId="1F1DD083">
            <w:pPr>
              <w:jc w:val="center"/>
              <w:rPr>
                <w:szCs w:val="21"/>
              </w:rPr>
            </w:pPr>
          </w:p>
        </w:tc>
      </w:tr>
      <w:tr w14:paraId="54894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3ACEE934">
            <w:pPr>
              <w:jc w:val="center"/>
              <w:rPr>
                <w:szCs w:val="21"/>
              </w:rPr>
            </w:pPr>
          </w:p>
        </w:tc>
        <w:tc>
          <w:tcPr>
            <w:tcW w:w="1087" w:type="dxa"/>
            <w:vAlign w:val="center"/>
          </w:tcPr>
          <w:p w14:paraId="233E6DA8">
            <w:pPr>
              <w:jc w:val="center"/>
              <w:rPr>
                <w:szCs w:val="21"/>
              </w:rPr>
            </w:pPr>
          </w:p>
        </w:tc>
        <w:tc>
          <w:tcPr>
            <w:tcW w:w="1087" w:type="dxa"/>
            <w:vAlign w:val="center"/>
          </w:tcPr>
          <w:p w14:paraId="2879E140">
            <w:pPr>
              <w:jc w:val="center"/>
              <w:rPr>
                <w:szCs w:val="21"/>
              </w:rPr>
            </w:pPr>
          </w:p>
        </w:tc>
        <w:tc>
          <w:tcPr>
            <w:tcW w:w="1349" w:type="dxa"/>
            <w:vAlign w:val="center"/>
          </w:tcPr>
          <w:p w14:paraId="567AEB88">
            <w:pPr>
              <w:jc w:val="center"/>
              <w:rPr>
                <w:szCs w:val="21"/>
              </w:rPr>
            </w:pPr>
          </w:p>
        </w:tc>
        <w:tc>
          <w:tcPr>
            <w:tcW w:w="1077" w:type="dxa"/>
            <w:vAlign w:val="center"/>
          </w:tcPr>
          <w:p w14:paraId="47FE40C2">
            <w:pPr>
              <w:jc w:val="center"/>
              <w:rPr>
                <w:szCs w:val="21"/>
              </w:rPr>
            </w:pPr>
          </w:p>
        </w:tc>
        <w:tc>
          <w:tcPr>
            <w:tcW w:w="1297" w:type="dxa"/>
            <w:vAlign w:val="center"/>
          </w:tcPr>
          <w:p w14:paraId="75EA2428">
            <w:pPr>
              <w:jc w:val="center"/>
              <w:rPr>
                <w:szCs w:val="21"/>
              </w:rPr>
            </w:pPr>
          </w:p>
        </w:tc>
        <w:tc>
          <w:tcPr>
            <w:tcW w:w="1304" w:type="dxa"/>
            <w:vAlign w:val="center"/>
          </w:tcPr>
          <w:p w14:paraId="2F69701C">
            <w:pPr>
              <w:jc w:val="center"/>
              <w:rPr>
                <w:szCs w:val="21"/>
              </w:rPr>
            </w:pPr>
          </w:p>
        </w:tc>
        <w:tc>
          <w:tcPr>
            <w:tcW w:w="1449" w:type="dxa"/>
            <w:vAlign w:val="center"/>
          </w:tcPr>
          <w:p w14:paraId="39B1C8E0">
            <w:pPr>
              <w:jc w:val="center"/>
              <w:rPr>
                <w:szCs w:val="21"/>
              </w:rPr>
            </w:pPr>
          </w:p>
        </w:tc>
      </w:tr>
      <w:tr w14:paraId="4E4F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2A821533">
            <w:pPr>
              <w:jc w:val="center"/>
              <w:rPr>
                <w:szCs w:val="21"/>
              </w:rPr>
            </w:pPr>
          </w:p>
        </w:tc>
        <w:tc>
          <w:tcPr>
            <w:tcW w:w="1087" w:type="dxa"/>
            <w:vAlign w:val="center"/>
          </w:tcPr>
          <w:p w14:paraId="770757C0">
            <w:pPr>
              <w:jc w:val="center"/>
              <w:rPr>
                <w:szCs w:val="21"/>
              </w:rPr>
            </w:pPr>
          </w:p>
        </w:tc>
        <w:tc>
          <w:tcPr>
            <w:tcW w:w="1087" w:type="dxa"/>
            <w:vAlign w:val="center"/>
          </w:tcPr>
          <w:p w14:paraId="6077FEF8">
            <w:pPr>
              <w:jc w:val="center"/>
              <w:rPr>
                <w:szCs w:val="21"/>
              </w:rPr>
            </w:pPr>
          </w:p>
        </w:tc>
        <w:tc>
          <w:tcPr>
            <w:tcW w:w="1349" w:type="dxa"/>
            <w:vAlign w:val="center"/>
          </w:tcPr>
          <w:p w14:paraId="6B3CEC4F">
            <w:pPr>
              <w:jc w:val="center"/>
              <w:rPr>
                <w:szCs w:val="21"/>
              </w:rPr>
            </w:pPr>
          </w:p>
        </w:tc>
        <w:tc>
          <w:tcPr>
            <w:tcW w:w="1077" w:type="dxa"/>
            <w:vAlign w:val="center"/>
          </w:tcPr>
          <w:p w14:paraId="063AF731">
            <w:pPr>
              <w:jc w:val="center"/>
              <w:rPr>
                <w:szCs w:val="21"/>
              </w:rPr>
            </w:pPr>
          </w:p>
        </w:tc>
        <w:tc>
          <w:tcPr>
            <w:tcW w:w="1297" w:type="dxa"/>
            <w:vAlign w:val="center"/>
          </w:tcPr>
          <w:p w14:paraId="3BD9AF50">
            <w:pPr>
              <w:jc w:val="center"/>
              <w:rPr>
                <w:szCs w:val="21"/>
              </w:rPr>
            </w:pPr>
          </w:p>
        </w:tc>
        <w:tc>
          <w:tcPr>
            <w:tcW w:w="1304" w:type="dxa"/>
            <w:vAlign w:val="center"/>
          </w:tcPr>
          <w:p w14:paraId="252B1B89">
            <w:pPr>
              <w:jc w:val="center"/>
              <w:rPr>
                <w:szCs w:val="21"/>
              </w:rPr>
            </w:pPr>
          </w:p>
        </w:tc>
        <w:tc>
          <w:tcPr>
            <w:tcW w:w="1449" w:type="dxa"/>
            <w:vAlign w:val="center"/>
          </w:tcPr>
          <w:p w14:paraId="12911A57">
            <w:pPr>
              <w:jc w:val="center"/>
              <w:rPr>
                <w:szCs w:val="21"/>
              </w:rPr>
            </w:pPr>
          </w:p>
        </w:tc>
      </w:tr>
      <w:tr w14:paraId="3BB44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1E539095">
            <w:pPr>
              <w:jc w:val="center"/>
              <w:rPr>
                <w:szCs w:val="21"/>
              </w:rPr>
            </w:pPr>
          </w:p>
        </w:tc>
        <w:tc>
          <w:tcPr>
            <w:tcW w:w="1087" w:type="dxa"/>
            <w:vAlign w:val="center"/>
          </w:tcPr>
          <w:p w14:paraId="24EFEA90">
            <w:pPr>
              <w:jc w:val="center"/>
              <w:rPr>
                <w:szCs w:val="21"/>
              </w:rPr>
            </w:pPr>
          </w:p>
        </w:tc>
        <w:tc>
          <w:tcPr>
            <w:tcW w:w="1087" w:type="dxa"/>
            <w:vAlign w:val="center"/>
          </w:tcPr>
          <w:p w14:paraId="3CA02A5B">
            <w:pPr>
              <w:jc w:val="center"/>
              <w:rPr>
                <w:szCs w:val="21"/>
              </w:rPr>
            </w:pPr>
          </w:p>
        </w:tc>
        <w:tc>
          <w:tcPr>
            <w:tcW w:w="1349" w:type="dxa"/>
            <w:vAlign w:val="center"/>
          </w:tcPr>
          <w:p w14:paraId="1E005420">
            <w:pPr>
              <w:jc w:val="center"/>
              <w:rPr>
                <w:szCs w:val="21"/>
              </w:rPr>
            </w:pPr>
          </w:p>
        </w:tc>
        <w:tc>
          <w:tcPr>
            <w:tcW w:w="1077" w:type="dxa"/>
            <w:vAlign w:val="center"/>
          </w:tcPr>
          <w:p w14:paraId="4E0252CC">
            <w:pPr>
              <w:jc w:val="center"/>
              <w:rPr>
                <w:szCs w:val="21"/>
              </w:rPr>
            </w:pPr>
          </w:p>
        </w:tc>
        <w:tc>
          <w:tcPr>
            <w:tcW w:w="1297" w:type="dxa"/>
            <w:vAlign w:val="center"/>
          </w:tcPr>
          <w:p w14:paraId="5270F903">
            <w:pPr>
              <w:jc w:val="center"/>
              <w:rPr>
                <w:szCs w:val="21"/>
              </w:rPr>
            </w:pPr>
          </w:p>
        </w:tc>
        <w:tc>
          <w:tcPr>
            <w:tcW w:w="1304" w:type="dxa"/>
            <w:vAlign w:val="center"/>
          </w:tcPr>
          <w:p w14:paraId="0E4685C6">
            <w:pPr>
              <w:jc w:val="center"/>
              <w:rPr>
                <w:szCs w:val="21"/>
              </w:rPr>
            </w:pPr>
          </w:p>
        </w:tc>
        <w:tc>
          <w:tcPr>
            <w:tcW w:w="1449" w:type="dxa"/>
            <w:vAlign w:val="center"/>
          </w:tcPr>
          <w:p w14:paraId="53ED72F8">
            <w:pPr>
              <w:jc w:val="center"/>
              <w:rPr>
                <w:szCs w:val="21"/>
              </w:rPr>
            </w:pPr>
          </w:p>
        </w:tc>
      </w:tr>
      <w:tr w14:paraId="30CFC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7D20A6A1">
            <w:pPr>
              <w:jc w:val="center"/>
              <w:rPr>
                <w:szCs w:val="21"/>
              </w:rPr>
            </w:pPr>
          </w:p>
        </w:tc>
        <w:tc>
          <w:tcPr>
            <w:tcW w:w="1087" w:type="dxa"/>
            <w:vAlign w:val="center"/>
          </w:tcPr>
          <w:p w14:paraId="0DFCE981">
            <w:pPr>
              <w:jc w:val="center"/>
              <w:rPr>
                <w:szCs w:val="21"/>
              </w:rPr>
            </w:pPr>
          </w:p>
        </w:tc>
        <w:tc>
          <w:tcPr>
            <w:tcW w:w="1087" w:type="dxa"/>
            <w:vAlign w:val="center"/>
          </w:tcPr>
          <w:p w14:paraId="01D85983">
            <w:pPr>
              <w:jc w:val="center"/>
              <w:rPr>
                <w:szCs w:val="21"/>
              </w:rPr>
            </w:pPr>
          </w:p>
        </w:tc>
        <w:tc>
          <w:tcPr>
            <w:tcW w:w="1349" w:type="dxa"/>
            <w:vAlign w:val="center"/>
          </w:tcPr>
          <w:p w14:paraId="21EA4E99">
            <w:pPr>
              <w:jc w:val="center"/>
              <w:rPr>
                <w:szCs w:val="21"/>
              </w:rPr>
            </w:pPr>
          </w:p>
        </w:tc>
        <w:tc>
          <w:tcPr>
            <w:tcW w:w="1077" w:type="dxa"/>
            <w:vAlign w:val="center"/>
          </w:tcPr>
          <w:p w14:paraId="5E0A0505">
            <w:pPr>
              <w:jc w:val="center"/>
              <w:rPr>
                <w:szCs w:val="21"/>
              </w:rPr>
            </w:pPr>
          </w:p>
        </w:tc>
        <w:tc>
          <w:tcPr>
            <w:tcW w:w="1297" w:type="dxa"/>
            <w:vAlign w:val="center"/>
          </w:tcPr>
          <w:p w14:paraId="01F231F0">
            <w:pPr>
              <w:jc w:val="center"/>
              <w:rPr>
                <w:szCs w:val="21"/>
              </w:rPr>
            </w:pPr>
          </w:p>
        </w:tc>
        <w:tc>
          <w:tcPr>
            <w:tcW w:w="1304" w:type="dxa"/>
            <w:vAlign w:val="center"/>
          </w:tcPr>
          <w:p w14:paraId="5FFAEB04">
            <w:pPr>
              <w:jc w:val="center"/>
              <w:rPr>
                <w:szCs w:val="21"/>
              </w:rPr>
            </w:pPr>
          </w:p>
        </w:tc>
        <w:tc>
          <w:tcPr>
            <w:tcW w:w="1449" w:type="dxa"/>
            <w:vAlign w:val="center"/>
          </w:tcPr>
          <w:p w14:paraId="721D0834">
            <w:pPr>
              <w:jc w:val="center"/>
              <w:rPr>
                <w:szCs w:val="21"/>
              </w:rPr>
            </w:pPr>
          </w:p>
        </w:tc>
      </w:tr>
      <w:tr w14:paraId="03ACA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7A630187">
            <w:pPr>
              <w:jc w:val="center"/>
              <w:rPr>
                <w:szCs w:val="21"/>
              </w:rPr>
            </w:pPr>
          </w:p>
        </w:tc>
        <w:tc>
          <w:tcPr>
            <w:tcW w:w="1087" w:type="dxa"/>
            <w:vAlign w:val="center"/>
          </w:tcPr>
          <w:p w14:paraId="7DFCFBE8">
            <w:pPr>
              <w:jc w:val="center"/>
              <w:rPr>
                <w:szCs w:val="21"/>
              </w:rPr>
            </w:pPr>
          </w:p>
        </w:tc>
        <w:tc>
          <w:tcPr>
            <w:tcW w:w="1087" w:type="dxa"/>
            <w:vAlign w:val="center"/>
          </w:tcPr>
          <w:p w14:paraId="16DDD19F">
            <w:pPr>
              <w:jc w:val="center"/>
              <w:rPr>
                <w:szCs w:val="21"/>
              </w:rPr>
            </w:pPr>
          </w:p>
        </w:tc>
        <w:tc>
          <w:tcPr>
            <w:tcW w:w="1349" w:type="dxa"/>
            <w:vAlign w:val="center"/>
          </w:tcPr>
          <w:p w14:paraId="5960CC81">
            <w:pPr>
              <w:jc w:val="center"/>
              <w:rPr>
                <w:szCs w:val="21"/>
              </w:rPr>
            </w:pPr>
          </w:p>
        </w:tc>
        <w:tc>
          <w:tcPr>
            <w:tcW w:w="1077" w:type="dxa"/>
            <w:vAlign w:val="center"/>
          </w:tcPr>
          <w:p w14:paraId="6EB8D5D5">
            <w:pPr>
              <w:jc w:val="center"/>
              <w:rPr>
                <w:szCs w:val="21"/>
              </w:rPr>
            </w:pPr>
          </w:p>
        </w:tc>
        <w:tc>
          <w:tcPr>
            <w:tcW w:w="1297" w:type="dxa"/>
            <w:vAlign w:val="center"/>
          </w:tcPr>
          <w:p w14:paraId="20539448">
            <w:pPr>
              <w:jc w:val="center"/>
              <w:rPr>
                <w:szCs w:val="21"/>
              </w:rPr>
            </w:pPr>
          </w:p>
        </w:tc>
        <w:tc>
          <w:tcPr>
            <w:tcW w:w="1304" w:type="dxa"/>
            <w:vAlign w:val="center"/>
          </w:tcPr>
          <w:p w14:paraId="4A9036C7">
            <w:pPr>
              <w:jc w:val="center"/>
              <w:rPr>
                <w:szCs w:val="21"/>
              </w:rPr>
            </w:pPr>
          </w:p>
        </w:tc>
        <w:tc>
          <w:tcPr>
            <w:tcW w:w="1449" w:type="dxa"/>
            <w:vAlign w:val="center"/>
          </w:tcPr>
          <w:p w14:paraId="4881309E">
            <w:pPr>
              <w:jc w:val="center"/>
              <w:rPr>
                <w:szCs w:val="21"/>
              </w:rPr>
            </w:pPr>
          </w:p>
        </w:tc>
      </w:tr>
      <w:tr w14:paraId="5DB7B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1FBB98C5">
            <w:pPr>
              <w:jc w:val="center"/>
              <w:rPr>
                <w:szCs w:val="21"/>
              </w:rPr>
            </w:pPr>
          </w:p>
        </w:tc>
        <w:tc>
          <w:tcPr>
            <w:tcW w:w="1087" w:type="dxa"/>
            <w:vAlign w:val="center"/>
          </w:tcPr>
          <w:p w14:paraId="50C3ED0E">
            <w:pPr>
              <w:jc w:val="center"/>
              <w:rPr>
                <w:szCs w:val="21"/>
              </w:rPr>
            </w:pPr>
          </w:p>
        </w:tc>
        <w:tc>
          <w:tcPr>
            <w:tcW w:w="1087" w:type="dxa"/>
            <w:vAlign w:val="center"/>
          </w:tcPr>
          <w:p w14:paraId="6BBDB013">
            <w:pPr>
              <w:jc w:val="center"/>
              <w:rPr>
                <w:szCs w:val="21"/>
              </w:rPr>
            </w:pPr>
          </w:p>
        </w:tc>
        <w:tc>
          <w:tcPr>
            <w:tcW w:w="1349" w:type="dxa"/>
            <w:vAlign w:val="center"/>
          </w:tcPr>
          <w:p w14:paraId="0D94A6E0">
            <w:pPr>
              <w:jc w:val="center"/>
              <w:rPr>
                <w:szCs w:val="21"/>
              </w:rPr>
            </w:pPr>
          </w:p>
        </w:tc>
        <w:tc>
          <w:tcPr>
            <w:tcW w:w="1077" w:type="dxa"/>
            <w:vAlign w:val="center"/>
          </w:tcPr>
          <w:p w14:paraId="1C650DB7">
            <w:pPr>
              <w:jc w:val="center"/>
              <w:rPr>
                <w:szCs w:val="21"/>
              </w:rPr>
            </w:pPr>
          </w:p>
        </w:tc>
        <w:tc>
          <w:tcPr>
            <w:tcW w:w="1297" w:type="dxa"/>
            <w:vAlign w:val="center"/>
          </w:tcPr>
          <w:p w14:paraId="24DFC4EA">
            <w:pPr>
              <w:jc w:val="center"/>
              <w:rPr>
                <w:szCs w:val="21"/>
              </w:rPr>
            </w:pPr>
          </w:p>
        </w:tc>
        <w:tc>
          <w:tcPr>
            <w:tcW w:w="1304" w:type="dxa"/>
            <w:vAlign w:val="center"/>
          </w:tcPr>
          <w:p w14:paraId="0A6C007A">
            <w:pPr>
              <w:jc w:val="center"/>
              <w:rPr>
                <w:szCs w:val="21"/>
              </w:rPr>
            </w:pPr>
          </w:p>
        </w:tc>
        <w:tc>
          <w:tcPr>
            <w:tcW w:w="1449" w:type="dxa"/>
            <w:vAlign w:val="center"/>
          </w:tcPr>
          <w:p w14:paraId="2F6DA7A1">
            <w:pPr>
              <w:jc w:val="center"/>
              <w:rPr>
                <w:szCs w:val="21"/>
              </w:rPr>
            </w:pPr>
          </w:p>
        </w:tc>
      </w:tr>
      <w:tr w14:paraId="3B408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526B46EB">
            <w:pPr>
              <w:jc w:val="center"/>
              <w:rPr>
                <w:szCs w:val="21"/>
              </w:rPr>
            </w:pPr>
          </w:p>
        </w:tc>
        <w:tc>
          <w:tcPr>
            <w:tcW w:w="1087" w:type="dxa"/>
            <w:vAlign w:val="center"/>
          </w:tcPr>
          <w:p w14:paraId="6EBC9921">
            <w:pPr>
              <w:jc w:val="center"/>
              <w:rPr>
                <w:szCs w:val="21"/>
              </w:rPr>
            </w:pPr>
          </w:p>
        </w:tc>
        <w:tc>
          <w:tcPr>
            <w:tcW w:w="1087" w:type="dxa"/>
            <w:vAlign w:val="center"/>
          </w:tcPr>
          <w:p w14:paraId="7AC05A95">
            <w:pPr>
              <w:jc w:val="center"/>
              <w:rPr>
                <w:szCs w:val="21"/>
              </w:rPr>
            </w:pPr>
          </w:p>
        </w:tc>
        <w:tc>
          <w:tcPr>
            <w:tcW w:w="1349" w:type="dxa"/>
            <w:vAlign w:val="center"/>
          </w:tcPr>
          <w:p w14:paraId="02170AC5">
            <w:pPr>
              <w:jc w:val="center"/>
              <w:rPr>
                <w:szCs w:val="21"/>
              </w:rPr>
            </w:pPr>
          </w:p>
        </w:tc>
        <w:tc>
          <w:tcPr>
            <w:tcW w:w="1077" w:type="dxa"/>
            <w:vAlign w:val="center"/>
          </w:tcPr>
          <w:p w14:paraId="4505BAC0">
            <w:pPr>
              <w:jc w:val="center"/>
              <w:rPr>
                <w:szCs w:val="21"/>
              </w:rPr>
            </w:pPr>
          </w:p>
        </w:tc>
        <w:tc>
          <w:tcPr>
            <w:tcW w:w="1297" w:type="dxa"/>
            <w:vAlign w:val="center"/>
          </w:tcPr>
          <w:p w14:paraId="205D4EB4">
            <w:pPr>
              <w:jc w:val="center"/>
              <w:rPr>
                <w:szCs w:val="21"/>
              </w:rPr>
            </w:pPr>
          </w:p>
        </w:tc>
        <w:tc>
          <w:tcPr>
            <w:tcW w:w="1304" w:type="dxa"/>
            <w:vAlign w:val="center"/>
          </w:tcPr>
          <w:p w14:paraId="068EBBC7">
            <w:pPr>
              <w:jc w:val="center"/>
              <w:rPr>
                <w:szCs w:val="21"/>
              </w:rPr>
            </w:pPr>
          </w:p>
        </w:tc>
        <w:tc>
          <w:tcPr>
            <w:tcW w:w="1449" w:type="dxa"/>
            <w:vAlign w:val="center"/>
          </w:tcPr>
          <w:p w14:paraId="263C6259">
            <w:pPr>
              <w:jc w:val="center"/>
              <w:rPr>
                <w:szCs w:val="21"/>
              </w:rPr>
            </w:pPr>
          </w:p>
        </w:tc>
      </w:tr>
      <w:tr w14:paraId="0931E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7BD4C74A">
            <w:pPr>
              <w:jc w:val="center"/>
              <w:rPr>
                <w:szCs w:val="21"/>
              </w:rPr>
            </w:pPr>
          </w:p>
        </w:tc>
        <w:tc>
          <w:tcPr>
            <w:tcW w:w="1087" w:type="dxa"/>
            <w:vAlign w:val="center"/>
          </w:tcPr>
          <w:p w14:paraId="3D56ED32">
            <w:pPr>
              <w:jc w:val="center"/>
              <w:rPr>
                <w:szCs w:val="21"/>
              </w:rPr>
            </w:pPr>
          </w:p>
        </w:tc>
        <w:tc>
          <w:tcPr>
            <w:tcW w:w="1087" w:type="dxa"/>
            <w:vAlign w:val="center"/>
          </w:tcPr>
          <w:p w14:paraId="234F39F5">
            <w:pPr>
              <w:jc w:val="center"/>
              <w:rPr>
                <w:szCs w:val="21"/>
              </w:rPr>
            </w:pPr>
          </w:p>
        </w:tc>
        <w:tc>
          <w:tcPr>
            <w:tcW w:w="1349" w:type="dxa"/>
            <w:vAlign w:val="center"/>
          </w:tcPr>
          <w:p w14:paraId="13B4F98D">
            <w:pPr>
              <w:jc w:val="center"/>
              <w:rPr>
                <w:szCs w:val="21"/>
              </w:rPr>
            </w:pPr>
          </w:p>
        </w:tc>
        <w:tc>
          <w:tcPr>
            <w:tcW w:w="1077" w:type="dxa"/>
            <w:vAlign w:val="center"/>
          </w:tcPr>
          <w:p w14:paraId="4373E33F">
            <w:pPr>
              <w:jc w:val="center"/>
              <w:rPr>
                <w:szCs w:val="21"/>
              </w:rPr>
            </w:pPr>
          </w:p>
        </w:tc>
        <w:tc>
          <w:tcPr>
            <w:tcW w:w="1297" w:type="dxa"/>
            <w:vAlign w:val="center"/>
          </w:tcPr>
          <w:p w14:paraId="13F086BA">
            <w:pPr>
              <w:jc w:val="center"/>
              <w:rPr>
                <w:szCs w:val="21"/>
              </w:rPr>
            </w:pPr>
          </w:p>
        </w:tc>
        <w:tc>
          <w:tcPr>
            <w:tcW w:w="1304" w:type="dxa"/>
            <w:vAlign w:val="center"/>
          </w:tcPr>
          <w:p w14:paraId="395BBFAF">
            <w:pPr>
              <w:jc w:val="center"/>
              <w:rPr>
                <w:szCs w:val="21"/>
              </w:rPr>
            </w:pPr>
          </w:p>
        </w:tc>
        <w:tc>
          <w:tcPr>
            <w:tcW w:w="1449" w:type="dxa"/>
            <w:vAlign w:val="center"/>
          </w:tcPr>
          <w:p w14:paraId="51CC92EE">
            <w:pPr>
              <w:jc w:val="center"/>
              <w:rPr>
                <w:szCs w:val="21"/>
              </w:rPr>
            </w:pPr>
          </w:p>
        </w:tc>
      </w:tr>
      <w:tr w14:paraId="43304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55A908C0">
            <w:pPr>
              <w:jc w:val="center"/>
              <w:rPr>
                <w:szCs w:val="21"/>
              </w:rPr>
            </w:pPr>
          </w:p>
        </w:tc>
        <w:tc>
          <w:tcPr>
            <w:tcW w:w="1087" w:type="dxa"/>
            <w:vAlign w:val="center"/>
          </w:tcPr>
          <w:p w14:paraId="7394196B">
            <w:pPr>
              <w:jc w:val="center"/>
              <w:rPr>
                <w:szCs w:val="21"/>
              </w:rPr>
            </w:pPr>
          </w:p>
        </w:tc>
        <w:tc>
          <w:tcPr>
            <w:tcW w:w="1087" w:type="dxa"/>
            <w:vAlign w:val="center"/>
          </w:tcPr>
          <w:p w14:paraId="0CB830BF">
            <w:pPr>
              <w:jc w:val="center"/>
              <w:rPr>
                <w:szCs w:val="21"/>
              </w:rPr>
            </w:pPr>
          </w:p>
        </w:tc>
        <w:tc>
          <w:tcPr>
            <w:tcW w:w="1349" w:type="dxa"/>
            <w:vAlign w:val="center"/>
          </w:tcPr>
          <w:p w14:paraId="40774451">
            <w:pPr>
              <w:jc w:val="center"/>
              <w:rPr>
                <w:szCs w:val="21"/>
              </w:rPr>
            </w:pPr>
          </w:p>
        </w:tc>
        <w:tc>
          <w:tcPr>
            <w:tcW w:w="1077" w:type="dxa"/>
            <w:vAlign w:val="center"/>
          </w:tcPr>
          <w:p w14:paraId="0CC0E413">
            <w:pPr>
              <w:jc w:val="center"/>
              <w:rPr>
                <w:szCs w:val="21"/>
              </w:rPr>
            </w:pPr>
          </w:p>
        </w:tc>
        <w:tc>
          <w:tcPr>
            <w:tcW w:w="1297" w:type="dxa"/>
            <w:vAlign w:val="center"/>
          </w:tcPr>
          <w:p w14:paraId="7FC294B4">
            <w:pPr>
              <w:jc w:val="center"/>
              <w:rPr>
                <w:szCs w:val="21"/>
              </w:rPr>
            </w:pPr>
          </w:p>
        </w:tc>
        <w:tc>
          <w:tcPr>
            <w:tcW w:w="1304" w:type="dxa"/>
            <w:vAlign w:val="center"/>
          </w:tcPr>
          <w:p w14:paraId="6A68F592">
            <w:pPr>
              <w:jc w:val="center"/>
              <w:rPr>
                <w:szCs w:val="21"/>
              </w:rPr>
            </w:pPr>
          </w:p>
        </w:tc>
        <w:tc>
          <w:tcPr>
            <w:tcW w:w="1449" w:type="dxa"/>
            <w:vAlign w:val="center"/>
          </w:tcPr>
          <w:p w14:paraId="4B021F32">
            <w:pPr>
              <w:jc w:val="center"/>
              <w:rPr>
                <w:szCs w:val="21"/>
              </w:rPr>
            </w:pPr>
          </w:p>
        </w:tc>
      </w:tr>
      <w:tr w14:paraId="7A852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180CE2E6">
            <w:pPr>
              <w:jc w:val="center"/>
              <w:rPr>
                <w:szCs w:val="21"/>
              </w:rPr>
            </w:pPr>
          </w:p>
        </w:tc>
        <w:tc>
          <w:tcPr>
            <w:tcW w:w="1087" w:type="dxa"/>
            <w:vAlign w:val="center"/>
          </w:tcPr>
          <w:p w14:paraId="6B410B60">
            <w:pPr>
              <w:jc w:val="center"/>
              <w:rPr>
                <w:szCs w:val="21"/>
              </w:rPr>
            </w:pPr>
          </w:p>
        </w:tc>
        <w:tc>
          <w:tcPr>
            <w:tcW w:w="1087" w:type="dxa"/>
            <w:vAlign w:val="center"/>
          </w:tcPr>
          <w:p w14:paraId="634C5F9B">
            <w:pPr>
              <w:jc w:val="center"/>
              <w:rPr>
                <w:szCs w:val="21"/>
              </w:rPr>
            </w:pPr>
          </w:p>
        </w:tc>
        <w:tc>
          <w:tcPr>
            <w:tcW w:w="1349" w:type="dxa"/>
            <w:vAlign w:val="center"/>
          </w:tcPr>
          <w:p w14:paraId="7791A747">
            <w:pPr>
              <w:jc w:val="center"/>
              <w:rPr>
                <w:szCs w:val="21"/>
              </w:rPr>
            </w:pPr>
          </w:p>
        </w:tc>
        <w:tc>
          <w:tcPr>
            <w:tcW w:w="1077" w:type="dxa"/>
            <w:vAlign w:val="center"/>
          </w:tcPr>
          <w:p w14:paraId="5C97EB0A">
            <w:pPr>
              <w:jc w:val="center"/>
              <w:rPr>
                <w:szCs w:val="21"/>
              </w:rPr>
            </w:pPr>
          </w:p>
        </w:tc>
        <w:tc>
          <w:tcPr>
            <w:tcW w:w="1297" w:type="dxa"/>
            <w:vAlign w:val="center"/>
          </w:tcPr>
          <w:p w14:paraId="2EB98C3B">
            <w:pPr>
              <w:jc w:val="center"/>
              <w:rPr>
                <w:szCs w:val="21"/>
              </w:rPr>
            </w:pPr>
          </w:p>
        </w:tc>
        <w:tc>
          <w:tcPr>
            <w:tcW w:w="1304" w:type="dxa"/>
            <w:vAlign w:val="center"/>
          </w:tcPr>
          <w:p w14:paraId="17AB6AC7">
            <w:pPr>
              <w:jc w:val="center"/>
              <w:rPr>
                <w:szCs w:val="21"/>
              </w:rPr>
            </w:pPr>
          </w:p>
        </w:tc>
        <w:tc>
          <w:tcPr>
            <w:tcW w:w="1449" w:type="dxa"/>
            <w:vAlign w:val="center"/>
          </w:tcPr>
          <w:p w14:paraId="4FBC8CA8">
            <w:pPr>
              <w:jc w:val="center"/>
              <w:rPr>
                <w:szCs w:val="21"/>
              </w:rPr>
            </w:pPr>
          </w:p>
        </w:tc>
      </w:tr>
      <w:tr w14:paraId="4B692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476D7190">
            <w:pPr>
              <w:jc w:val="center"/>
              <w:rPr>
                <w:szCs w:val="21"/>
              </w:rPr>
            </w:pPr>
          </w:p>
        </w:tc>
        <w:tc>
          <w:tcPr>
            <w:tcW w:w="1087" w:type="dxa"/>
            <w:vAlign w:val="center"/>
          </w:tcPr>
          <w:p w14:paraId="19FE5C8B">
            <w:pPr>
              <w:jc w:val="center"/>
              <w:rPr>
                <w:szCs w:val="21"/>
              </w:rPr>
            </w:pPr>
          </w:p>
        </w:tc>
        <w:tc>
          <w:tcPr>
            <w:tcW w:w="1087" w:type="dxa"/>
            <w:vAlign w:val="center"/>
          </w:tcPr>
          <w:p w14:paraId="4C9BE768">
            <w:pPr>
              <w:jc w:val="center"/>
              <w:rPr>
                <w:szCs w:val="21"/>
              </w:rPr>
            </w:pPr>
          </w:p>
        </w:tc>
        <w:tc>
          <w:tcPr>
            <w:tcW w:w="1349" w:type="dxa"/>
            <w:vAlign w:val="center"/>
          </w:tcPr>
          <w:p w14:paraId="7911AEC4">
            <w:pPr>
              <w:jc w:val="center"/>
              <w:rPr>
                <w:szCs w:val="21"/>
              </w:rPr>
            </w:pPr>
          </w:p>
        </w:tc>
        <w:tc>
          <w:tcPr>
            <w:tcW w:w="1077" w:type="dxa"/>
            <w:vAlign w:val="center"/>
          </w:tcPr>
          <w:p w14:paraId="0451EBDE">
            <w:pPr>
              <w:jc w:val="center"/>
              <w:rPr>
                <w:szCs w:val="21"/>
              </w:rPr>
            </w:pPr>
          </w:p>
        </w:tc>
        <w:tc>
          <w:tcPr>
            <w:tcW w:w="1297" w:type="dxa"/>
            <w:vAlign w:val="center"/>
          </w:tcPr>
          <w:p w14:paraId="5569658A">
            <w:pPr>
              <w:jc w:val="center"/>
              <w:rPr>
                <w:szCs w:val="21"/>
              </w:rPr>
            </w:pPr>
          </w:p>
        </w:tc>
        <w:tc>
          <w:tcPr>
            <w:tcW w:w="1304" w:type="dxa"/>
            <w:vAlign w:val="center"/>
          </w:tcPr>
          <w:p w14:paraId="615360F0">
            <w:pPr>
              <w:jc w:val="center"/>
              <w:rPr>
                <w:szCs w:val="21"/>
              </w:rPr>
            </w:pPr>
          </w:p>
        </w:tc>
        <w:tc>
          <w:tcPr>
            <w:tcW w:w="1449" w:type="dxa"/>
            <w:vAlign w:val="center"/>
          </w:tcPr>
          <w:p w14:paraId="2430F925">
            <w:pPr>
              <w:jc w:val="center"/>
              <w:rPr>
                <w:szCs w:val="21"/>
              </w:rPr>
            </w:pPr>
          </w:p>
        </w:tc>
      </w:tr>
      <w:tr w14:paraId="7B4EE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26534C1C">
            <w:pPr>
              <w:jc w:val="center"/>
              <w:rPr>
                <w:szCs w:val="21"/>
              </w:rPr>
            </w:pPr>
          </w:p>
        </w:tc>
        <w:tc>
          <w:tcPr>
            <w:tcW w:w="1087" w:type="dxa"/>
            <w:vAlign w:val="center"/>
          </w:tcPr>
          <w:p w14:paraId="7485DCFF">
            <w:pPr>
              <w:jc w:val="center"/>
              <w:rPr>
                <w:szCs w:val="21"/>
              </w:rPr>
            </w:pPr>
          </w:p>
        </w:tc>
        <w:tc>
          <w:tcPr>
            <w:tcW w:w="1087" w:type="dxa"/>
            <w:vAlign w:val="center"/>
          </w:tcPr>
          <w:p w14:paraId="7E513FAA">
            <w:pPr>
              <w:jc w:val="center"/>
              <w:rPr>
                <w:szCs w:val="21"/>
              </w:rPr>
            </w:pPr>
          </w:p>
        </w:tc>
        <w:tc>
          <w:tcPr>
            <w:tcW w:w="1349" w:type="dxa"/>
            <w:vAlign w:val="center"/>
          </w:tcPr>
          <w:p w14:paraId="51C608F7">
            <w:pPr>
              <w:jc w:val="center"/>
              <w:rPr>
                <w:szCs w:val="21"/>
              </w:rPr>
            </w:pPr>
          </w:p>
        </w:tc>
        <w:tc>
          <w:tcPr>
            <w:tcW w:w="1077" w:type="dxa"/>
            <w:vAlign w:val="center"/>
          </w:tcPr>
          <w:p w14:paraId="722EBA4B">
            <w:pPr>
              <w:jc w:val="center"/>
              <w:rPr>
                <w:szCs w:val="21"/>
              </w:rPr>
            </w:pPr>
          </w:p>
        </w:tc>
        <w:tc>
          <w:tcPr>
            <w:tcW w:w="1297" w:type="dxa"/>
            <w:vAlign w:val="center"/>
          </w:tcPr>
          <w:p w14:paraId="3AE026AF">
            <w:pPr>
              <w:jc w:val="center"/>
              <w:rPr>
                <w:szCs w:val="21"/>
              </w:rPr>
            </w:pPr>
          </w:p>
        </w:tc>
        <w:tc>
          <w:tcPr>
            <w:tcW w:w="1304" w:type="dxa"/>
            <w:vAlign w:val="center"/>
          </w:tcPr>
          <w:p w14:paraId="2FC09F08">
            <w:pPr>
              <w:jc w:val="center"/>
              <w:rPr>
                <w:szCs w:val="21"/>
              </w:rPr>
            </w:pPr>
          </w:p>
        </w:tc>
        <w:tc>
          <w:tcPr>
            <w:tcW w:w="1449" w:type="dxa"/>
            <w:vAlign w:val="center"/>
          </w:tcPr>
          <w:p w14:paraId="0D6583F0">
            <w:pPr>
              <w:jc w:val="center"/>
              <w:rPr>
                <w:szCs w:val="21"/>
              </w:rPr>
            </w:pPr>
          </w:p>
        </w:tc>
      </w:tr>
      <w:tr w14:paraId="57951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36BEECE0">
            <w:pPr>
              <w:jc w:val="center"/>
              <w:rPr>
                <w:szCs w:val="21"/>
              </w:rPr>
            </w:pPr>
          </w:p>
        </w:tc>
        <w:tc>
          <w:tcPr>
            <w:tcW w:w="1087" w:type="dxa"/>
            <w:vAlign w:val="center"/>
          </w:tcPr>
          <w:p w14:paraId="50E9FE69">
            <w:pPr>
              <w:jc w:val="center"/>
              <w:rPr>
                <w:szCs w:val="21"/>
              </w:rPr>
            </w:pPr>
          </w:p>
        </w:tc>
        <w:tc>
          <w:tcPr>
            <w:tcW w:w="1087" w:type="dxa"/>
            <w:vAlign w:val="center"/>
          </w:tcPr>
          <w:p w14:paraId="631F4C60">
            <w:pPr>
              <w:jc w:val="center"/>
              <w:rPr>
                <w:szCs w:val="21"/>
              </w:rPr>
            </w:pPr>
          </w:p>
        </w:tc>
        <w:tc>
          <w:tcPr>
            <w:tcW w:w="1349" w:type="dxa"/>
            <w:vAlign w:val="center"/>
          </w:tcPr>
          <w:p w14:paraId="4EE439BD">
            <w:pPr>
              <w:jc w:val="center"/>
              <w:rPr>
                <w:szCs w:val="21"/>
              </w:rPr>
            </w:pPr>
          </w:p>
        </w:tc>
        <w:tc>
          <w:tcPr>
            <w:tcW w:w="1077" w:type="dxa"/>
            <w:vAlign w:val="center"/>
          </w:tcPr>
          <w:p w14:paraId="59040D25">
            <w:pPr>
              <w:jc w:val="center"/>
              <w:rPr>
                <w:szCs w:val="21"/>
              </w:rPr>
            </w:pPr>
          </w:p>
        </w:tc>
        <w:tc>
          <w:tcPr>
            <w:tcW w:w="1297" w:type="dxa"/>
            <w:vAlign w:val="center"/>
          </w:tcPr>
          <w:p w14:paraId="5ADC0E5D">
            <w:pPr>
              <w:jc w:val="center"/>
              <w:rPr>
                <w:szCs w:val="21"/>
              </w:rPr>
            </w:pPr>
          </w:p>
        </w:tc>
        <w:tc>
          <w:tcPr>
            <w:tcW w:w="1304" w:type="dxa"/>
            <w:vAlign w:val="center"/>
          </w:tcPr>
          <w:p w14:paraId="19445549">
            <w:pPr>
              <w:jc w:val="center"/>
              <w:rPr>
                <w:szCs w:val="21"/>
              </w:rPr>
            </w:pPr>
          </w:p>
        </w:tc>
        <w:tc>
          <w:tcPr>
            <w:tcW w:w="1449" w:type="dxa"/>
            <w:vAlign w:val="center"/>
          </w:tcPr>
          <w:p w14:paraId="2DC93793">
            <w:pPr>
              <w:jc w:val="center"/>
              <w:rPr>
                <w:szCs w:val="21"/>
              </w:rPr>
            </w:pPr>
          </w:p>
        </w:tc>
      </w:tr>
      <w:tr w14:paraId="73B09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087" w:type="dxa"/>
            <w:vAlign w:val="center"/>
          </w:tcPr>
          <w:p w14:paraId="2F9F1ED3">
            <w:pPr>
              <w:jc w:val="center"/>
              <w:rPr>
                <w:szCs w:val="21"/>
              </w:rPr>
            </w:pPr>
          </w:p>
        </w:tc>
        <w:tc>
          <w:tcPr>
            <w:tcW w:w="1087" w:type="dxa"/>
            <w:vAlign w:val="center"/>
          </w:tcPr>
          <w:p w14:paraId="5C7FE38E">
            <w:pPr>
              <w:jc w:val="center"/>
              <w:rPr>
                <w:szCs w:val="21"/>
              </w:rPr>
            </w:pPr>
          </w:p>
        </w:tc>
        <w:tc>
          <w:tcPr>
            <w:tcW w:w="1087" w:type="dxa"/>
            <w:vAlign w:val="center"/>
          </w:tcPr>
          <w:p w14:paraId="608CE8A2">
            <w:pPr>
              <w:jc w:val="center"/>
              <w:rPr>
                <w:szCs w:val="21"/>
              </w:rPr>
            </w:pPr>
          </w:p>
        </w:tc>
        <w:tc>
          <w:tcPr>
            <w:tcW w:w="1349" w:type="dxa"/>
            <w:vAlign w:val="center"/>
          </w:tcPr>
          <w:p w14:paraId="601BE08B">
            <w:pPr>
              <w:jc w:val="center"/>
              <w:rPr>
                <w:szCs w:val="21"/>
              </w:rPr>
            </w:pPr>
          </w:p>
        </w:tc>
        <w:tc>
          <w:tcPr>
            <w:tcW w:w="1077" w:type="dxa"/>
            <w:vAlign w:val="center"/>
          </w:tcPr>
          <w:p w14:paraId="448E13B6">
            <w:pPr>
              <w:jc w:val="center"/>
              <w:rPr>
                <w:szCs w:val="21"/>
              </w:rPr>
            </w:pPr>
          </w:p>
        </w:tc>
        <w:tc>
          <w:tcPr>
            <w:tcW w:w="1297" w:type="dxa"/>
            <w:vAlign w:val="center"/>
          </w:tcPr>
          <w:p w14:paraId="7113A5AF">
            <w:pPr>
              <w:jc w:val="center"/>
              <w:rPr>
                <w:szCs w:val="21"/>
              </w:rPr>
            </w:pPr>
          </w:p>
        </w:tc>
        <w:tc>
          <w:tcPr>
            <w:tcW w:w="1304" w:type="dxa"/>
            <w:vAlign w:val="center"/>
          </w:tcPr>
          <w:p w14:paraId="3A26969C">
            <w:pPr>
              <w:jc w:val="center"/>
              <w:rPr>
                <w:szCs w:val="21"/>
              </w:rPr>
            </w:pPr>
          </w:p>
        </w:tc>
        <w:tc>
          <w:tcPr>
            <w:tcW w:w="1449" w:type="dxa"/>
            <w:vAlign w:val="center"/>
          </w:tcPr>
          <w:p w14:paraId="461077B8">
            <w:pPr>
              <w:jc w:val="center"/>
              <w:rPr>
                <w:szCs w:val="21"/>
              </w:rPr>
            </w:pPr>
          </w:p>
        </w:tc>
      </w:tr>
      <w:tr w14:paraId="69563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87" w:type="dxa"/>
            <w:vAlign w:val="center"/>
          </w:tcPr>
          <w:p w14:paraId="7EA44D83">
            <w:pPr>
              <w:jc w:val="center"/>
              <w:rPr>
                <w:szCs w:val="21"/>
              </w:rPr>
            </w:pPr>
          </w:p>
        </w:tc>
        <w:tc>
          <w:tcPr>
            <w:tcW w:w="1087" w:type="dxa"/>
            <w:vAlign w:val="center"/>
          </w:tcPr>
          <w:p w14:paraId="40D541F0">
            <w:pPr>
              <w:jc w:val="center"/>
              <w:rPr>
                <w:szCs w:val="21"/>
              </w:rPr>
            </w:pPr>
          </w:p>
        </w:tc>
        <w:tc>
          <w:tcPr>
            <w:tcW w:w="1087" w:type="dxa"/>
            <w:vAlign w:val="center"/>
          </w:tcPr>
          <w:p w14:paraId="2D9667BA">
            <w:pPr>
              <w:jc w:val="center"/>
              <w:rPr>
                <w:szCs w:val="21"/>
              </w:rPr>
            </w:pPr>
          </w:p>
        </w:tc>
        <w:tc>
          <w:tcPr>
            <w:tcW w:w="1349" w:type="dxa"/>
            <w:vAlign w:val="center"/>
          </w:tcPr>
          <w:p w14:paraId="73D56A9E">
            <w:pPr>
              <w:jc w:val="center"/>
              <w:rPr>
                <w:szCs w:val="21"/>
              </w:rPr>
            </w:pPr>
          </w:p>
        </w:tc>
        <w:tc>
          <w:tcPr>
            <w:tcW w:w="1077" w:type="dxa"/>
            <w:vAlign w:val="center"/>
          </w:tcPr>
          <w:p w14:paraId="33E83675">
            <w:pPr>
              <w:jc w:val="center"/>
              <w:rPr>
                <w:szCs w:val="21"/>
              </w:rPr>
            </w:pPr>
          </w:p>
        </w:tc>
        <w:tc>
          <w:tcPr>
            <w:tcW w:w="1297" w:type="dxa"/>
            <w:vAlign w:val="center"/>
          </w:tcPr>
          <w:p w14:paraId="5DFE69A8">
            <w:pPr>
              <w:jc w:val="center"/>
              <w:rPr>
                <w:szCs w:val="21"/>
              </w:rPr>
            </w:pPr>
          </w:p>
        </w:tc>
        <w:tc>
          <w:tcPr>
            <w:tcW w:w="1304" w:type="dxa"/>
            <w:vAlign w:val="center"/>
          </w:tcPr>
          <w:p w14:paraId="6145B091">
            <w:pPr>
              <w:jc w:val="center"/>
              <w:rPr>
                <w:szCs w:val="21"/>
              </w:rPr>
            </w:pPr>
          </w:p>
        </w:tc>
        <w:tc>
          <w:tcPr>
            <w:tcW w:w="1449" w:type="dxa"/>
            <w:vAlign w:val="center"/>
          </w:tcPr>
          <w:p w14:paraId="6D2B2CCB">
            <w:pPr>
              <w:jc w:val="center"/>
              <w:rPr>
                <w:szCs w:val="21"/>
              </w:rPr>
            </w:pPr>
          </w:p>
        </w:tc>
      </w:tr>
    </w:tbl>
    <w:p w14:paraId="0E8B733C">
      <w:pPr>
        <w:spacing w:line="420" w:lineRule="exact"/>
      </w:pPr>
    </w:p>
    <w:p w14:paraId="042E8A9C">
      <w:pPr>
        <w:jc w:val="center"/>
        <w:rPr>
          <w:sz w:val="24"/>
          <w:szCs w:val="24"/>
        </w:rPr>
      </w:pPr>
      <w:bookmarkStart w:id="838" w:name="_Toc516822675"/>
    </w:p>
    <w:p w14:paraId="22A3E04E">
      <w:pPr>
        <w:jc w:val="center"/>
        <w:rPr>
          <w:sz w:val="24"/>
          <w:szCs w:val="24"/>
        </w:rPr>
      </w:pPr>
    </w:p>
    <w:p w14:paraId="1EDF6F87">
      <w:pPr>
        <w:pStyle w:val="4"/>
        <w:ind w:left="0" w:firstLine="3373" w:firstLineChars="1200"/>
        <w:jc w:val="both"/>
        <w:rPr>
          <w:rFonts w:ascii="宋体" w:hAnsi="宋体" w:eastAsia="宋体" w:cs="宋体"/>
          <w:b/>
          <w:bCs/>
        </w:rPr>
      </w:pPr>
      <w:r>
        <w:rPr>
          <w:rFonts w:hint="eastAsia" w:ascii="宋体" w:hAnsi="宋体" w:eastAsia="宋体" w:cs="宋体"/>
          <w:b/>
          <w:bCs/>
        </w:rPr>
        <w:t>（二）主要项目管理人员简历表</w:t>
      </w:r>
      <w:bookmarkEnd w:id="838"/>
    </w:p>
    <w:p w14:paraId="51ACDA02">
      <w:pPr>
        <w:rPr>
          <w:szCs w:val="21"/>
        </w:rPr>
      </w:pPr>
    </w:p>
    <w:p w14:paraId="7D19E4BF">
      <w:pPr>
        <w:spacing w:line="360" w:lineRule="auto"/>
        <w:ind w:firstLine="220" w:firstLineChars="100"/>
        <w:rPr>
          <w:szCs w:val="21"/>
        </w:rPr>
      </w:pPr>
      <w:r>
        <w:rPr>
          <w:rFonts w:hint="eastAsia"/>
          <w:szCs w:val="21"/>
        </w:rPr>
        <w:t>“主要人员简历表”中的建造师应附建造师证、身份证、职称证（如有）、安全生产考核合格证等；技术负责人应附身份证、职称证、学历证等；其他主要人员应附身份证、职称证（职业证或上岗证书）等。</w:t>
      </w:r>
    </w:p>
    <w:p w14:paraId="2C469F6C">
      <w:pPr>
        <w:pStyle w:val="12"/>
      </w:pPr>
    </w:p>
    <w:tbl>
      <w:tblPr>
        <w:tblStyle w:val="27"/>
        <w:tblW w:w="9597"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0"/>
        <w:gridCol w:w="1678"/>
        <w:gridCol w:w="1342"/>
        <w:gridCol w:w="224"/>
        <w:gridCol w:w="1006"/>
        <w:gridCol w:w="560"/>
        <w:gridCol w:w="1341"/>
        <w:gridCol w:w="1356"/>
      </w:tblGrid>
      <w:tr w14:paraId="0F5EF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090" w:type="dxa"/>
            <w:tcBorders>
              <w:top w:val="single" w:color="auto" w:sz="4" w:space="0"/>
              <w:left w:val="single" w:color="auto" w:sz="4" w:space="0"/>
              <w:bottom w:val="single" w:color="auto" w:sz="4" w:space="0"/>
              <w:right w:val="single" w:color="auto" w:sz="4" w:space="0"/>
            </w:tcBorders>
            <w:vAlign w:val="center"/>
          </w:tcPr>
          <w:p w14:paraId="6B3247A4">
            <w:pPr>
              <w:jc w:val="center"/>
              <w:rPr>
                <w:szCs w:val="21"/>
              </w:rPr>
            </w:pPr>
            <w:r>
              <w:rPr>
                <w:rFonts w:hint="eastAsia"/>
                <w:szCs w:val="21"/>
              </w:rPr>
              <w:t>姓名</w:t>
            </w:r>
          </w:p>
        </w:tc>
        <w:tc>
          <w:tcPr>
            <w:tcW w:w="1678" w:type="dxa"/>
            <w:tcBorders>
              <w:top w:val="single" w:color="auto" w:sz="4" w:space="0"/>
              <w:left w:val="single" w:color="auto" w:sz="4" w:space="0"/>
              <w:bottom w:val="single" w:color="auto" w:sz="4" w:space="0"/>
              <w:right w:val="single" w:color="auto" w:sz="4" w:space="0"/>
            </w:tcBorders>
            <w:vAlign w:val="center"/>
          </w:tcPr>
          <w:p w14:paraId="6731D7BF">
            <w:pPr>
              <w:jc w:val="center"/>
              <w:rPr>
                <w:szCs w:val="21"/>
              </w:rPr>
            </w:pPr>
          </w:p>
        </w:tc>
        <w:tc>
          <w:tcPr>
            <w:tcW w:w="1342" w:type="dxa"/>
            <w:tcBorders>
              <w:top w:val="single" w:color="auto" w:sz="4" w:space="0"/>
              <w:left w:val="single" w:color="auto" w:sz="4" w:space="0"/>
              <w:bottom w:val="single" w:color="auto" w:sz="4" w:space="0"/>
              <w:right w:val="single" w:color="auto" w:sz="4" w:space="0"/>
            </w:tcBorders>
            <w:vAlign w:val="center"/>
          </w:tcPr>
          <w:p w14:paraId="55A46406">
            <w:pPr>
              <w:jc w:val="center"/>
              <w:rPr>
                <w:szCs w:val="21"/>
              </w:rPr>
            </w:pPr>
            <w:r>
              <w:rPr>
                <w:rFonts w:hint="eastAsia"/>
                <w:szCs w:val="21"/>
              </w:rPr>
              <w:t>年龄</w:t>
            </w:r>
          </w:p>
        </w:tc>
        <w:tc>
          <w:tcPr>
            <w:tcW w:w="1230" w:type="dxa"/>
            <w:gridSpan w:val="2"/>
            <w:tcBorders>
              <w:top w:val="single" w:color="auto" w:sz="4" w:space="0"/>
              <w:left w:val="single" w:color="auto" w:sz="4" w:space="0"/>
              <w:bottom w:val="single" w:color="auto" w:sz="4" w:space="0"/>
              <w:right w:val="single" w:color="auto" w:sz="4" w:space="0"/>
            </w:tcBorders>
            <w:vAlign w:val="center"/>
          </w:tcPr>
          <w:p w14:paraId="422F8550">
            <w:pPr>
              <w:jc w:val="center"/>
              <w:rPr>
                <w:szCs w:val="21"/>
              </w:rPr>
            </w:pPr>
          </w:p>
        </w:tc>
        <w:tc>
          <w:tcPr>
            <w:tcW w:w="1901" w:type="dxa"/>
            <w:gridSpan w:val="2"/>
            <w:tcBorders>
              <w:top w:val="single" w:color="auto" w:sz="4" w:space="0"/>
              <w:left w:val="single" w:color="auto" w:sz="4" w:space="0"/>
              <w:bottom w:val="single" w:color="auto" w:sz="4" w:space="0"/>
              <w:right w:val="single" w:color="auto" w:sz="4" w:space="0"/>
            </w:tcBorders>
            <w:vAlign w:val="center"/>
          </w:tcPr>
          <w:p w14:paraId="218BD175">
            <w:pPr>
              <w:jc w:val="center"/>
              <w:rPr>
                <w:szCs w:val="21"/>
              </w:rPr>
            </w:pPr>
            <w:r>
              <w:rPr>
                <w:rFonts w:hint="eastAsia"/>
                <w:szCs w:val="21"/>
              </w:rPr>
              <w:t>学历</w:t>
            </w:r>
          </w:p>
        </w:tc>
        <w:tc>
          <w:tcPr>
            <w:tcW w:w="1356" w:type="dxa"/>
            <w:tcBorders>
              <w:top w:val="single" w:color="auto" w:sz="4" w:space="0"/>
              <w:left w:val="single" w:color="auto" w:sz="4" w:space="0"/>
              <w:bottom w:val="single" w:color="auto" w:sz="4" w:space="0"/>
              <w:right w:val="single" w:color="auto" w:sz="4" w:space="0"/>
            </w:tcBorders>
            <w:vAlign w:val="center"/>
          </w:tcPr>
          <w:p w14:paraId="61869764">
            <w:pPr>
              <w:jc w:val="center"/>
              <w:rPr>
                <w:sz w:val="24"/>
              </w:rPr>
            </w:pPr>
          </w:p>
        </w:tc>
      </w:tr>
      <w:tr w14:paraId="29C1D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2090" w:type="dxa"/>
            <w:tcBorders>
              <w:top w:val="single" w:color="auto" w:sz="4" w:space="0"/>
              <w:left w:val="single" w:color="auto" w:sz="4" w:space="0"/>
              <w:bottom w:val="single" w:color="auto" w:sz="4" w:space="0"/>
              <w:right w:val="single" w:color="auto" w:sz="4" w:space="0"/>
            </w:tcBorders>
            <w:vAlign w:val="center"/>
          </w:tcPr>
          <w:p w14:paraId="3294EDF4">
            <w:pPr>
              <w:jc w:val="center"/>
              <w:rPr>
                <w:szCs w:val="21"/>
              </w:rPr>
            </w:pPr>
            <w:r>
              <w:rPr>
                <w:rFonts w:hint="eastAsia"/>
                <w:szCs w:val="21"/>
              </w:rPr>
              <w:t>职称</w:t>
            </w:r>
          </w:p>
        </w:tc>
        <w:tc>
          <w:tcPr>
            <w:tcW w:w="1678" w:type="dxa"/>
            <w:tcBorders>
              <w:top w:val="single" w:color="auto" w:sz="4" w:space="0"/>
              <w:left w:val="single" w:color="auto" w:sz="4" w:space="0"/>
              <w:bottom w:val="single" w:color="auto" w:sz="4" w:space="0"/>
              <w:right w:val="single" w:color="auto" w:sz="4" w:space="0"/>
            </w:tcBorders>
            <w:vAlign w:val="center"/>
          </w:tcPr>
          <w:p w14:paraId="41BE02C6">
            <w:pPr>
              <w:jc w:val="center"/>
              <w:rPr>
                <w:szCs w:val="21"/>
              </w:rPr>
            </w:pPr>
          </w:p>
        </w:tc>
        <w:tc>
          <w:tcPr>
            <w:tcW w:w="1342" w:type="dxa"/>
            <w:tcBorders>
              <w:top w:val="single" w:color="auto" w:sz="4" w:space="0"/>
              <w:left w:val="single" w:color="auto" w:sz="4" w:space="0"/>
              <w:bottom w:val="single" w:color="auto" w:sz="4" w:space="0"/>
              <w:right w:val="single" w:color="auto" w:sz="4" w:space="0"/>
            </w:tcBorders>
            <w:vAlign w:val="center"/>
          </w:tcPr>
          <w:p w14:paraId="3A08807A">
            <w:pPr>
              <w:jc w:val="center"/>
              <w:rPr>
                <w:szCs w:val="21"/>
              </w:rPr>
            </w:pPr>
            <w:r>
              <w:rPr>
                <w:rFonts w:hint="eastAsia"/>
                <w:szCs w:val="21"/>
              </w:rPr>
              <w:t>职务</w:t>
            </w:r>
          </w:p>
        </w:tc>
        <w:tc>
          <w:tcPr>
            <w:tcW w:w="1230" w:type="dxa"/>
            <w:gridSpan w:val="2"/>
            <w:tcBorders>
              <w:top w:val="single" w:color="auto" w:sz="4" w:space="0"/>
              <w:left w:val="single" w:color="auto" w:sz="4" w:space="0"/>
              <w:bottom w:val="single" w:color="auto" w:sz="4" w:space="0"/>
              <w:right w:val="single" w:color="auto" w:sz="4" w:space="0"/>
            </w:tcBorders>
            <w:vAlign w:val="center"/>
          </w:tcPr>
          <w:p w14:paraId="21C59263">
            <w:pPr>
              <w:jc w:val="center"/>
              <w:rPr>
                <w:szCs w:val="21"/>
              </w:rPr>
            </w:pPr>
          </w:p>
        </w:tc>
        <w:tc>
          <w:tcPr>
            <w:tcW w:w="1901" w:type="dxa"/>
            <w:gridSpan w:val="2"/>
            <w:tcBorders>
              <w:top w:val="single" w:color="auto" w:sz="4" w:space="0"/>
              <w:left w:val="single" w:color="auto" w:sz="4" w:space="0"/>
              <w:bottom w:val="single" w:color="auto" w:sz="4" w:space="0"/>
              <w:right w:val="single" w:color="auto" w:sz="4" w:space="0"/>
            </w:tcBorders>
            <w:vAlign w:val="center"/>
          </w:tcPr>
          <w:p w14:paraId="7EC18202">
            <w:pPr>
              <w:jc w:val="center"/>
              <w:rPr>
                <w:szCs w:val="21"/>
              </w:rPr>
            </w:pPr>
            <w:r>
              <w:rPr>
                <w:rFonts w:hint="eastAsia"/>
                <w:szCs w:val="21"/>
              </w:rPr>
              <w:t>拟在本</w:t>
            </w:r>
          </w:p>
          <w:p w14:paraId="69EA3570">
            <w:pPr>
              <w:jc w:val="center"/>
              <w:rPr>
                <w:szCs w:val="21"/>
              </w:rPr>
            </w:pPr>
            <w:r>
              <w:rPr>
                <w:rFonts w:hint="eastAsia"/>
                <w:szCs w:val="21"/>
              </w:rPr>
              <w:t>合同任职</w:t>
            </w:r>
          </w:p>
        </w:tc>
        <w:tc>
          <w:tcPr>
            <w:tcW w:w="1356" w:type="dxa"/>
            <w:tcBorders>
              <w:top w:val="single" w:color="auto" w:sz="4" w:space="0"/>
              <w:left w:val="single" w:color="auto" w:sz="4" w:space="0"/>
              <w:bottom w:val="single" w:color="auto" w:sz="4" w:space="0"/>
              <w:right w:val="single" w:color="auto" w:sz="4" w:space="0"/>
            </w:tcBorders>
            <w:vAlign w:val="center"/>
          </w:tcPr>
          <w:p w14:paraId="6752277D">
            <w:pPr>
              <w:jc w:val="center"/>
              <w:rPr>
                <w:sz w:val="24"/>
              </w:rPr>
            </w:pPr>
          </w:p>
        </w:tc>
      </w:tr>
      <w:tr w14:paraId="23DC0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2090" w:type="dxa"/>
            <w:tcBorders>
              <w:top w:val="single" w:color="auto" w:sz="4" w:space="0"/>
              <w:left w:val="single" w:color="auto" w:sz="4" w:space="0"/>
              <w:bottom w:val="single" w:color="auto" w:sz="4" w:space="0"/>
              <w:right w:val="single" w:color="auto" w:sz="4" w:space="0"/>
            </w:tcBorders>
            <w:vAlign w:val="center"/>
          </w:tcPr>
          <w:p w14:paraId="14CB0A09">
            <w:pPr>
              <w:jc w:val="center"/>
              <w:rPr>
                <w:sz w:val="24"/>
              </w:rPr>
            </w:pPr>
            <w:r>
              <w:rPr>
                <w:rFonts w:hint="eastAsia"/>
                <w:szCs w:val="21"/>
              </w:rPr>
              <w:t>毕业学校</w:t>
            </w:r>
          </w:p>
        </w:tc>
        <w:tc>
          <w:tcPr>
            <w:tcW w:w="7507" w:type="dxa"/>
            <w:gridSpan w:val="7"/>
            <w:tcBorders>
              <w:top w:val="single" w:color="auto" w:sz="4" w:space="0"/>
              <w:left w:val="single" w:color="auto" w:sz="4" w:space="0"/>
              <w:bottom w:val="single" w:color="auto" w:sz="4" w:space="0"/>
              <w:right w:val="single" w:color="auto" w:sz="4" w:space="0"/>
            </w:tcBorders>
            <w:vAlign w:val="center"/>
          </w:tcPr>
          <w:p w14:paraId="5DCC9A08">
            <w:pPr>
              <w:ind w:firstLine="960" w:firstLineChars="400"/>
              <w:rPr>
                <w:sz w:val="24"/>
                <w:u w:val="single"/>
              </w:rPr>
            </w:pPr>
          </w:p>
          <w:p w14:paraId="76645DD8">
            <w:pPr>
              <w:rPr>
                <w:sz w:val="24"/>
                <w:u w:val="single"/>
              </w:rPr>
            </w:pPr>
            <w:r>
              <w:rPr>
                <w:rFonts w:hint="eastAsia"/>
                <w:sz w:val="24"/>
                <w:u w:val="single"/>
              </w:rPr>
              <w:t xml:space="preserve">            </w:t>
            </w:r>
            <w:r>
              <w:rPr>
                <w:rFonts w:hint="eastAsia"/>
                <w:szCs w:val="21"/>
              </w:rPr>
              <w:t>年毕业于</w:t>
            </w:r>
            <w:r>
              <w:rPr>
                <w:rFonts w:hint="eastAsia"/>
                <w:sz w:val="24"/>
                <w:u w:val="single"/>
              </w:rPr>
              <w:t xml:space="preserve">              </w:t>
            </w:r>
            <w:r>
              <w:rPr>
                <w:rFonts w:hint="eastAsia"/>
                <w:szCs w:val="21"/>
              </w:rPr>
              <w:t>学校</w:t>
            </w:r>
            <w:r>
              <w:rPr>
                <w:rFonts w:hint="eastAsia"/>
                <w:sz w:val="24"/>
                <w:u w:val="single"/>
              </w:rPr>
              <w:t xml:space="preserve">             </w:t>
            </w:r>
            <w:r>
              <w:rPr>
                <w:rFonts w:hint="eastAsia"/>
                <w:szCs w:val="21"/>
              </w:rPr>
              <w:t>专业</w:t>
            </w:r>
          </w:p>
        </w:tc>
      </w:tr>
      <w:tr w14:paraId="26FA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2090" w:type="dxa"/>
            <w:tcBorders>
              <w:top w:val="single" w:color="auto" w:sz="4" w:space="0"/>
              <w:left w:val="single" w:color="auto" w:sz="4" w:space="0"/>
              <w:bottom w:val="single" w:color="auto" w:sz="4" w:space="0"/>
              <w:right w:val="single" w:color="auto" w:sz="4" w:space="0"/>
            </w:tcBorders>
            <w:vAlign w:val="center"/>
          </w:tcPr>
          <w:p w14:paraId="32B1DD48">
            <w:pPr>
              <w:rPr>
                <w:szCs w:val="21"/>
              </w:rPr>
            </w:pPr>
            <w:r>
              <w:rPr>
                <w:rFonts w:hint="eastAsia"/>
                <w:szCs w:val="21"/>
              </w:rPr>
              <w:t>主要工作经历</w:t>
            </w:r>
          </w:p>
        </w:tc>
        <w:tc>
          <w:tcPr>
            <w:tcW w:w="7507" w:type="dxa"/>
            <w:gridSpan w:val="7"/>
            <w:tcBorders>
              <w:top w:val="single" w:color="auto" w:sz="4" w:space="0"/>
              <w:left w:val="single" w:color="auto" w:sz="4" w:space="0"/>
              <w:bottom w:val="single" w:color="auto" w:sz="4" w:space="0"/>
              <w:right w:val="single" w:color="auto" w:sz="4" w:space="0"/>
            </w:tcBorders>
            <w:vAlign w:val="center"/>
          </w:tcPr>
          <w:p w14:paraId="099A0C62">
            <w:pPr>
              <w:rPr>
                <w:szCs w:val="21"/>
              </w:rPr>
            </w:pPr>
          </w:p>
        </w:tc>
      </w:tr>
      <w:tr w14:paraId="25C25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2090" w:type="dxa"/>
            <w:tcBorders>
              <w:top w:val="single" w:color="auto" w:sz="4" w:space="0"/>
              <w:left w:val="single" w:color="auto" w:sz="4" w:space="0"/>
              <w:bottom w:val="single" w:color="auto" w:sz="4" w:space="0"/>
              <w:right w:val="single" w:color="auto" w:sz="4" w:space="0"/>
            </w:tcBorders>
            <w:vAlign w:val="center"/>
          </w:tcPr>
          <w:p w14:paraId="28B44193">
            <w:pPr>
              <w:ind w:firstLine="440" w:firstLineChars="200"/>
              <w:jc w:val="center"/>
              <w:rPr>
                <w:szCs w:val="21"/>
              </w:rPr>
            </w:pPr>
            <w:r>
              <w:rPr>
                <w:rFonts w:hint="eastAsia"/>
                <w:szCs w:val="21"/>
              </w:rPr>
              <w:t>时间</w:t>
            </w:r>
          </w:p>
        </w:tc>
        <w:tc>
          <w:tcPr>
            <w:tcW w:w="3244" w:type="dxa"/>
            <w:gridSpan w:val="3"/>
            <w:tcBorders>
              <w:top w:val="single" w:color="auto" w:sz="4" w:space="0"/>
              <w:left w:val="single" w:color="auto" w:sz="4" w:space="0"/>
              <w:bottom w:val="single" w:color="auto" w:sz="4" w:space="0"/>
              <w:right w:val="single" w:color="auto" w:sz="4" w:space="0"/>
            </w:tcBorders>
            <w:vAlign w:val="center"/>
          </w:tcPr>
          <w:p w14:paraId="245C9285">
            <w:pPr>
              <w:jc w:val="center"/>
              <w:rPr>
                <w:szCs w:val="21"/>
              </w:rPr>
            </w:pPr>
            <w:r>
              <w:rPr>
                <w:rFonts w:hint="eastAsia"/>
                <w:szCs w:val="21"/>
              </w:rPr>
              <w:t>参加（承担）过的类似项目</w:t>
            </w:r>
          </w:p>
        </w:tc>
        <w:tc>
          <w:tcPr>
            <w:tcW w:w="1566" w:type="dxa"/>
            <w:gridSpan w:val="2"/>
            <w:tcBorders>
              <w:top w:val="single" w:color="auto" w:sz="4" w:space="0"/>
              <w:left w:val="single" w:color="auto" w:sz="4" w:space="0"/>
              <w:bottom w:val="single" w:color="auto" w:sz="4" w:space="0"/>
              <w:right w:val="single" w:color="auto" w:sz="4" w:space="0"/>
            </w:tcBorders>
            <w:vAlign w:val="center"/>
          </w:tcPr>
          <w:p w14:paraId="6672827F">
            <w:pPr>
              <w:jc w:val="center"/>
              <w:rPr>
                <w:szCs w:val="21"/>
              </w:rPr>
            </w:pPr>
            <w:r>
              <w:rPr>
                <w:rFonts w:hint="eastAsia"/>
                <w:szCs w:val="21"/>
              </w:rPr>
              <w:t>担任职务</w:t>
            </w:r>
          </w:p>
        </w:tc>
        <w:tc>
          <w:tcPr>
            <w:tcW w:w="2697" w:type="dxa"/>
            <w:gridSpan w:val="2"/>
            <w:tcBorders>
              <w:top w:val="single" w:color="auto" w:sz="4" w:space="0"/>
              <w:left w:val="single" w:color="auto" w:sz="4" w:space="0"/>
              <w:bottom w:val="single" w:color="auto" w:sz="4" w:space="0"/>
              <w:right w:val="single" w:color="auto" w:sz="4" w:space="0"/>
            </w:tcBorders>
            <w:vAlign w:val="center"/>
          </w:tcPr>
          <w:p w14:paraId="415B9858">
            <w:pPr>
              <w:jc w:val="center"/>
              <w:rPr>
                <w:szCs w:val="21"/>
              </w:rPr>
            </w:pPr>
            <w:r>
              <w:rPr>
                <w:rFonts w:hint="eastAsia"/>
                <w:szCs w:val="21"/>
              </w:rPr>
              <w:t>发包人及联系电话</w:t>
            </w:r>
          </w:p>
        </w:tc>
      </w:tr>
      <w:tr w14:paraId="78CF7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2090" w:type="dxa"/>
            <w:tcBorders>
              <w:top w:val="single" w:color="auto" w:sz="4" w:space="0"/>
              <w:left w:val="single" w:color="auto" w:sz="4" w:space="0"/>
              <w:bottom w:val="single" w:color="auto" w:sz="4" w:space="0"/>
              <w:right w:val="single" w:color="auto" w:sz="4" w:space="0"/>
            </w:tcBorders>
          </w:tcPr>
          <w:p w14:paraId="4993AFED">
            <w:pPr>
              <w:rPr>
                <w:szCs w:val="21"/>
              </w:rPr>
            </w:pPr>
          </w:p>
        </w:tc>
        <w:tc>
          <w:tcPr>
            <w:tcW w:w="3244" w:type="dxa"/>
            <w:gridSpan w:val="3"/>
            <w:tcBorders>
              <w:top w:val="single" w:color="auto" w:sz="4" w:space="0"/>
              <w:left w:val="single" w:color="auto" w:sz="4" w:space="0"/>
              <w:bottom w:val="single" w:color="auto" w:sz="4" w:space="0"/>
              <w:right w:val="single" w:color="auto" w:sz="4" w:space="0"/>
            </w:tcBorders>
          </w:tcPr>
          <w:p w14:paraId="131708A0">
            <w:pPr>
              <w:rPr>
                <w:szCs w:val="21"/>
              </w:rPr>
            </w:pPr>
          </w:p>
        </w:tc>
        <w:tc>
          <w:tcPr>
            <w:tcW w:w="1566" w:type="dxa"/>
            <w:gridSpan w:val="2"/>
            <w:tcBorders>
              <w:top w:val="single" w:color="auto" w:sz="4" w:space="0"/>
              <w:left w:val="single" w:color="auto" w:sz="4" w:space="0"/>
              <w:bottom w:val="single" w:color="auto" w:sz="4" w:space="0"/>
              <w:right w:val="single" w:color="auto" w:sz="4" w:space="0"/>
            </w:tcBorders>
          </w:tcPr>
          <w:p w14:paraId="0EDEDA3A">
            <w:pPr>
              <w:rPr>
                <w:szCs w:val="21"/>
              </w:rPr>
            </w:pPr>
          </w:p>
        </w:tc>
        <w:tc>
          <w:tcPr>
            <w:tcW w:w="2697" w:type="dxa"/>
            <w:gridSpan w:val="2"/>
            <w:tcBorders>
              <w:top w:val="single" w:color="auto" w:sz="4" w:space="0"/>
              <w:left w:val="single" w:color="auto" w:sz="4" w:space="0"/>
              <w:bottom w:val="single" w:color="auto" w:sz="4" w:space="0"/>
              <w:right w:val="single" w:color="auto" w:sz="4" w:space="0"/>
            </w:tcBorders>
          </w:tcPr>
          <w:p w14:paraId="662C2D16">
            <w:pPr>
              <w:rPr>
                <w:szCs w:val="21"/>
              </w:rPr>
            </w:pPr>
          </w:p>
        </w:tc>
      </w:tr>
      <w:tr w14:paraId="2372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2090" w:type="dxa"/>
            <w:tcBorders>
              <w:top w:val="single" w:color="auto" w:sz="4" w:space="0"/>
              <w:left w:val="single" w:color="auto" w:sz="4" w:space="0"/>
              <w:bottom w:val="single" w:color="auto" w:sz="4" w:space="0"/>
              <w:right w:val="single" w:color="auto" w:sz="4" w:space="0"/>
            </w:tcBorders>
          </w:tcPr>
          <w:p w14:paraId="2DE49AD3">
            <w:pPr>
              <w:rPr>
                <w:szCs w:val="21"/>
              </w:rPr>
            </w:pPr>
          </w:p>
        </w:tc>
        <w:tc>
          <w:tcPr>
            <w:tcW w:w="3244" w:type="dxa"/>
            <w:gridSpan w:val="3"/>
            <w:tcBorders>
              <w:top w:val="single" w:color="auto" w:sz="4" w:space="0"/>
              <w:left w:val="single" w:color="auto" w:sz="4" w:space="0"/>
              <w:bottom w:val="single" w:color="auto" w:sz="4" w:space="0"/>
              <w:right w:val="single" w:color="auto" w:sz="4" w:space="0"/>
            </w:tcBorders>
          </w:tcPr>
          <w:p w14:paraId="36E78C4A">
            <w:pPr>
              <w:rPr>
                <w:szCs w:val="21"/>
              </w:rPr>
            </w:pPr>
          </w:p>
        </w:tc>
        <w:tc>
          <w:tcPr>
            <w:tcW w:w="1566" w:type="dxa"/>
            <w:gridSpan w:val="2"/>
            <w:tcBorders>
              <w:top w:val="single" w:color="auto" w:sz="4" w:space="0"/>
              <w:left w:val="single" w:color="auto" w:sz="4" w:space="0"/>
              <w:bottom w:val="single" w:color="auto" w:sz="4" w:space="0"/>
              <w:right w:val="single" w:color="auto" w:sz="4" w:space="0"/>
            </w:tcBorders>
          </w:tcPr>
          <w:p w14:paraId="2E36DD10">
            <w:pPr>
              <w:rPr>
                <w:szCs w:val="21"/>
              </w:rPr>
            </w:pPr>
          </w:p>
        </w:tc>
        <w:tc>
          <w:tcPr>
            <w:tcW w:w="2697" w:type="dxa"/>
            <w:gridSpan w:val="2"/>
            <w:tcBorders>
              <w:top w:val="single" w:color="auto" w:sz="4" w:space="0"/>
              <w:left w:val="single" w:color="auto" w:sz="4" w:space="0"/>
              <w:bottom w:val="single" w:color="auto" w:sz="4" w:space="0"/>
              <w:right w:val="single" w:color="auto" w:sz="4" w:space="0"/>
            </w:tcBorders>
          </w:tcPr>
          <w:p w14:paraId="7F00629C">
            <w:pPr>
              <w:rPr>
                <w:szCs w:val="21"/>
              </w:rPr>
            </w:pPr>
          </w:p>
        </w:tc>
      </w:tr>
      <w:tr w14:paraId="43E69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2090" w:type="dxa"/>
            <w:tcBorders>
              <w:top w:val="single" w:color="auto" w:sz="4" w:space="0"/>
              <w:left w:val="single" w:color="auto" w:sz="4" w:space="0"/>
              <w:bottom w:val="single" w:color="auto" w:sz="4" w:space="0"/>
              <w:right w:val="single" w:color="auto" w:sz="4" w:space="0"/>
            </w:tcBorders>
          </w:tcPr>
          <w:p w14:paraId="7740B8E6">
            <w:pPr>
              <w:rPr>
                <w:szCs w:val="21"/>
              </w:rPr>
            </w:pPr>
          </w:p>
        </w:tc>
        <w:tc>
          <w:tcPr>
            <w:tcW w:w="3244" w:type="dxa"/>
            <w:gridSpan w:val="3"/>
            <w:tcBorders>
              <w:top w:val="single" w:color="auto" w:sz="4" w:space="0"/>
              <w:left w:val="single" w:color="auto" w:sz="4" w:space="0"/>
              <w:bottom w:val="single" w:color="auto" w:sz="4" w:space="0"/>
              <w:right w:val="single" w:color="auto" w:sz="4" w:space="0"/>
            </w:tcBorders>
          </w:tcPr>
          <w:p w14:paraId="1AF6C92A">
            <w:pPr>
              <w:rPr>
                <w:szCs w:val="21"/>
              </w:rPr>
            </w:pPr>
          </w:p>
        </w:tc>
        <w:tc>
          <w:tcPr>
            <w:tcW w:w="1566" w:type="dxa"/>
            <w:gridSpan w:val="2"/>
            <w:tcBorders>
              <w:top w:val="single" w:color="auto" w:sz="4" w:space="0"/>
              <w:left w:val="single" w:color="auto" w:sz="4" w:space="0"/>
              <w:bottom w:val="single" w:color="auto" w:sz="4" w:space="0"/>
              <w:right w:val="single" w:color="auto" w:sz="4" w:space="0"/>
            </w:tcBorders>
          </w:tcPr>
          <w:p w14:paraId="2C9A3488">
            <w:pPr>
              <w:rPr>
                <w:szCs w:val="21"/>
              </w:rPr>
            </w:pPr>
          </w:p>
        </w:tc>
        <w:tc>
          <w:tcPr>
            <w:tcW w:w="2697" w:type="dxa"/>
            <w:gridSpan w:val="2"/>
            <w:tcBorders>
              <w:top w:val="single" w:color="auto" w:sz="4" w:space="0"/>
              <w:left w:val="single" w:color="auto" w:sz="4" w:space="0"/>
              <w:bottom w:val="single" w:color="auto" w:sz="4" w:space="0"/>
              <w:right w:val="single" w:color="auto" w:sz="4" w:space="0"/>
            </w:tcBorders>
          </w:tcPr>
          <w:p w14:paraId="4852CE39">
            <w:pPr>
              <w:rPr>
                <w:szCs w:val="21"/>
              </w:rPr>
            </w:pPr>
          </w:p>
        </w:tc>
      </w:tr>
      <w:tr w14:paraId="4A61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2090" w:type="dxa"/>
            <w:tcBorders>
              <w:top w:val="single" w:color="auto" w:sz="4" w:space="0"/>
              <w:left w:val="single" w:color="auto" w:sz="4" w:space="0"/>
              <w:bottom w:val="single" w:color="auto" w:sz="4" w:space="0"/>
              <w:right w:val="single" w:color="auto" w:sz="4" w:space="0"/>
            </w:tcBorders>
          </w:tcPr>
          <w:p w14:paraId="1C945DAF">
            <w:pPr>
              <w:rPr>
                <w:szCs w:val="21"/>
              </w:rPr>
            </w:pPr>
          </w:p>
        </w:tc>
        <w:tc>
          <w:tcPr>
            <w:tcW w:w="3244" w:type="dxa"/>
            <w:gridSpan w:val="3"/>
            <w:tcBorders>
              <w:top w:val="single" w:color="auto" w:sz="4" w:space="0"/>
              <w:left w:val="single" w:color="auto" w:sz="4" w:space="0"/>
              <w:bottom w:val="single" w:color="auto" w:sz="4" w:space="0"/>
              <w:right w:val="single" w:color="auto" w:sz="4" w:space="0"/>
            </w:tcBorders>
          </w:tcPr>
          <w:p w14:paraId="64BCABD8">
            <w:pPr>
              <w:rPr>
                <w:szCs w:val="21"/>
              </w:rPr>
            </w:pPr>
          </w:p>
        </w:tc>
        <w:tc>
          <w:tcPr>
            <w:tcW w:w="1566" w:type="dxa"/>
            <w:gridSpan w:val="2"/>
            <w:tcBorders>
              <w:top w:val="single" w:color="auto" w:sz="4" w:space="0"/>
              <w:left w:val="single" w:color="auto" w:sz="4" w:space="0"/>
              <w:bottom w:val="single" w:color="auto" w:sz="4" w:space="0"/>
              <w:right w:val="single" w:color="auto" w:sz="4" w:space="0"/>
            </w:tcBorders>
          </w:tcPr>
          <w:p w14:paraId="73394ED7">
            <w:pPr>
              <w:rPr>
                <w:szCs w:val="21"/>
              </w:rPr>
            </w:pPr>
          </w:p>
        </w:tc>
        <w:tc>
          <w:tcPr>
            <w:tcW w:w="2697" w:type="dxa"/>
            <w:gridSpan w:val="2"/>
            <w:tcBorders>
              <w:top w:val="single" w:color="auto" w:sz="4" w:space="0"/>
              <w:left w:val="single" w:color="auto" w:sz="4" w:space="0"/>
              <w:bottom w:val="single" w:color="auto" w:sz="4" w:space="0"/>
              <w:right w:val="single" w:color="auto" w:sz="4" w:space="0"/>
            </w:tcBorders>
          </w:tcPr>
          <w:p w14:paraId="60AE3D47">
            <w:pPr>
              <w:rPr>
                <w:szCs w:val="21"/>
              </w:rPr>
            </w:pPr>
          </w:p>
        </w:tc>
      </w:tr>
      <w:tr w14:paraId="7DF7C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2090" w:type="dxa"/>
            <w:tcBorders>
              <w:top w:val="single" w:color="auto" w:sz="4" w:space="0"/>
              <w:left w:val="single" w:color="auto" w:sz="4" w:space="0"/>
              <w:bottom w:val="single" w:color="auto" w:sz="4" w:space="0"/>
              <w:right w:val="single" w:color="auto" w:sz="4" w:space="0"/>
            </w:tcBorders>
          </w:tcPr>
          <w:p w14:paraId="02DEA9FF">
            <w:pPr>
              <w:rPr>
                <w:szCs w:val="21"/>
              </w:rPr>
            </w:pPr>
          </w:p>
        </w:tc>
        <w:tc>
          <w:tcPr>
            <w:tcW w:w="3244" w:type="dxa"/>
            <w:gridSpan w:val="3"/>
            <w:tcBorders>
              <w:top w:val="single" w:color="auto" w:sz="4" w:space="0"/>
              <w:left w:val="single" w:color="auto" w:sz="4" w:space="0"/>
              <w:bottom w:val="single" w:color="auto" w:sz="4" w:space="0"/>
              <w:right w:val="single" w:color="auto" w:sz="4" w:space="0"/>
            </w:tcBorders>
          </w:tcPr>
          <w:p w14:paraId="38D167EA">
            <w:pPr>
              <w:rPr>
                <w:szCs w:val="21"/>
              </w:rPr>
            </w:pPr>
          </w:p>
        </w:tc>
        <w:tc>
          <w:tcPr>
            <w:tcW w:w="1566" w:type="dxa"/>
            <w:gridSpan w:val="2"/>
            <w:tcBorders>
              <w:top w:val="single" w:color="auto" w:sz="4" w:space="0"/>
              <w:left w:val="single" w:color="auto" w:sz="4" w:space="0"/>
              <w:bottom w:val="single" w:color="auto" w:sz="4" w:space="0"/>
              <w:right w:val="single" w:color="auto" w:sz="4" w:space="0"/>
            </w:tcBorders>
          </w:tcPr>
          <w:p w14:paraId="22E86D55">
            <w:pPr>
              <w:rPr>
                <w:szCs w:val="21"/>
              </w:rPr>
            </w:pPr>
          </w:p>
        </w:tc>
        <w:tc>
          <w:tcPr>
            <w:tcW w:w="2697" w:type="dxa"/>
            <w:gridSpan w:val="2"/>
            <w:tcBorders>
              <w:top w:val="single" w:color="auto" w:sz="4" w:space="0"/>
              <w:left w:val="single" w:color="auto" w:sz="4" w:space="0"/>
              <w:bottom w:val="single" w:color="auto" w:sz="4" w:space="0"/>
              <w:right w:val="single" w:color="auto" w:sz="4" w:space="0"/>
            </w:tcBorders>
          </w:tcPr>
          <w:p w14:paraId="01A66522">
            <w:pPr>
              <w:rPr>
                <w:szCs w:val="21"/>
              </w:rPr>
            </w:pPr>
          </w:p>
        </w:tc>
      </w:tr>
      <w:tr w14:paraId="6399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2090" w:type="dxa"/>
            <w:tcBorders>
              <w:top w:val="single" w:color="auto" w:sz="4" w:space="0"/>
              <w:left w:val="single" w:color="auto" w:sz="4" w:space="0"/>
              <w:bottom w:val="single" w:color="auto" w:sz="4" w:space="0"/>
              <w:right w:val="single" w:color="auto" w:sz="4" w:space="0"/>
            </w:tcBorders>
          </w:tcPr>
          <w:p w14:paraId="7D634235">
            <w:pPr>
              <w:rPr>
                <w:szCs w:val="21"/>
              </w:rPr>
            </w:pPr>
          </w:p>
        </w:tc>
        <w:tc>
          <w:tcPr>
            <w:tcW w:w="3244" w:type="dxa"/>
            <w:gridSpan w:val="3"/>
            <w:tcBorders>
              <w:top w:val="single" w:color="auto" w:sz="4" w:space="0"/>
              <w:left w:val="single" w:color="auto" w:sz="4" w:space="0"/>
              <w:bottom w:val="single" w:color="auto" w:sz="4" w:space="0"/>
              <w:right w:val="single" w:color="auto" w:sz="4" w:space="0"/>
            </w:tcBorders>
          </w:tcPr>
          <w:p w14:paraId="2607DD5A">
            <w:pPr>
              <w:rPr>
                <w:szCs w:val="21"/>
              </w:rPr>
            </w:pPr>
          </w:p>
        </w:tc>
        <w:tc>
          <w:tcPr>
            <w:tcW w:w="1566" w:type="dxa"/>
            <w:gridSpan w:val="2"/>
            <w:tcBorders>
              <w:top w:val="single" w:color="auto" w:sz="4" w:space="0"/>
              <w:left w:val="single" w:color="auto" w:sz="4" w:space="0"/>
              <w:bottom w:val="single" w:color="auto" w:sz="4" w:space="0"/>
              <w:right w:val="single" w:color="auto" w:sz="4" w:space="0"/>
            </w:tcBorders>
          </w:tcPr>
          <w:p w14:paraId="5D1D48F9">
            <w:pPr>
              <w:rPr>
                <w:szCs w:val="21"/>
              </w:rPr>
            </w:pPr>
          </w:p>
        </w:tc>
        <w:tc>
          <w:tcPr>
            <w:tcW w:w="2697" w:type="dxa"/>
            <w:gridSpan w:val="2"/>
            <w:tcBorders>
              <w:top w:val="single" w:color="auto" w:sz="4" w:space="0"/>
              <w:left w:val="single" w:color="auto" w:sz="4" w:space="0"/>
              <w:bottom w:val="single" w:color="auto" w:sz="4" w:space="0"/>
              <w:right w:val="single" w:color="auto" w:sz="4" w:space="0"/>
            </w:tcBorders>
          </w:tcPr>
          <w:p w14:paraId="22554BDC">
            <w:pPr>
              <w:rPr>
                <w:szCs w:val="21"/>
              </w:rPr>
            </w:pPr>
          </w:p>
        </w:tc>
      </w:tr>
      <w:tr w14:paraId="22351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090" w:type="dxa"/>
            <w:tcBorders>
              <w:top w:val="single" w:color="auto" w:sz="4" w:space="0"/>
              <w:left w:val="single" w:color="auto" w:sz="4" w:space="0"/>
              <w:bottom w:val="single" w:color="auto" w:sz="4" w:space="0"/>
              <w:right w:val="single" w:color="auto" w:sz="4" w:space="0"/>
            </w:tcBorders>
          </w:tcPr>
          <w:p w14:paraId="6DA8FF71">
            <w:pPr>
              <w:rPr>
                <w:szCs w:val="21"/>
              </w:rPr>
            </w:pPr>
          </w:p>
        </w:tc>
        <w:tc>
          <w:tcPr>
            <w:tcW w:w="3244" w:type="dxa"/>
            <w:gridSpan w:val="3"/>
            <w:tcBorders>
              <w:top w:val="single" w:color="auto" w:sz="4" w:space="0"/>
              <w:left w:val="single" w:color="auto" w:sz="4" w:space="0"/>
              <w:bottom w:val="single" w:color="auto" w:sz="4" w:space="0"/>
              <w:right w:val="single" w:color="auto" w:sz="4" w:space="0"/>
            </w:tcBorders>
          </w:tcPr>
          <w:p w14:paraId="2EEF670C">
            <w:pPr>
              <w:rPr>
                <w:szCs w:val="21"/>
              </w:rPr>
            </w:pPr>
          </w:p>
        </w:tc>
        <w:tc>
          <w:tcPr>
            <w:tcW w:w="1566" w:type="dxa"/>
            <w:gridSpan w:val="2"/>
            <w:tcBorders>
              <w:top w:val="single" w:color="auto" w:sz="4" w:space="0"/>
              <w:left w:val="single" w:color="auto" w:sz="4" w:space="0"/>
              <w:bottom w:val="single" w:color="auto" w:sz="4" w:space="0"/>
              <w:right w:val="single" w:color="auto" w:sz="4" w:space="0"/>
            </w:tcBorders>
          </w:tcPr>
          <w:p w14:paraId="0DD92E5E">
            <w:pPr>
              <w:rPr>
                <w:szCs w:val="21"/>
              </w:rPr>
            </w:pPr>
          </w:p>
        </w:tc>
        <w:tc>
          <w:tcPr>
            <w:tcW w:w="2697" w:type="dxa"/>
            <w:gridSpan w:val="2"/>
            <w:tcBorders>
              <w:top w:val="single" w:color="auto" w:sz="4" w:space="0"/>
              <w:left w:val="single" w:color="auto" w:sz="4" w:space="0"/>
              <w:bottom w:val="single" w:color="auto" w:sz="4" w:space="0"/>
              <w:right w:val="single" w:color="auto" w:sz="4" w:space="0"/>
            </w:tcBorders>
          </w:tcPr>
          <w:p w14:paraId="6ED04E4E">
            <w:pPr>
              <w:rPr>
                <w:szCs w:val="21"/>
              </w:rPr>
            </w:pPr>
          </w:p>
        </w:tc>
      </w:tr>
    </w:tbl>
    <w:p w14:paraId="20369035">
      <w:pPr>
        <w:rPr>
          <w:szCs w:val="21"/>
        </w:rPr>
      </w:pPr>
    </w:p>
    <w:p w14:paraId="6F767DF5">
      <w:pPr>
        <w:pStyle w:val="12"/>
      </w:pPr>
    </w:p>
    <w:p w14:paraId="29D4FF51">
      <w:pPr>
        <w:pStyle w:val="12"/>
      </w:pPr>
    </w:p>
    <w:p w14:paraId="447A828F">
      <w:pPr>
        <w:ind w:left="440" w:leftChars="200"/>
        <w:jc w:val="center"/>
      </w:pPr>
    </w:p>
    <w:p w14:paraId="088A779D">
      <w:pPr>
        <w:pStyle w:val="4"/>
        <w:jc w:val="center"/>
        <w:rPr>
          <w:rFonts w:ascii="宋体" w:hAnsi="宋体" w:cs="宋体"/>
          <w:sz w:val="24"/>
          <w:szCs w:val="24"/>
        </w:rPr>
      </w:pPr>
      <w:r>
        <w:br w:type="page"/>
      </w:r>
      <w:r>
        <w:rPr>
          <w:rFonts w:hint="eastAsia" w:ascii="宋体" w:hAnsi="宋体" w:eastAsia="宋体" w:cs="宋体"/>
          <w:b/>
          <w:bCs/>
        </w:rPr>
        <w:t>（三）</w:t>
      </w:r>
      <w:r>
        <w:rPr>
          <w:rFonts w:hint="eastAsia" w:ascii="宋体" w:hAnsi="宋体" w:eastAsia="宋体" w:cs="宋体"/>
          <w:b/>
          <w:bCs/>
          <w:lang w:val="en-US" w:eastAsia="zh-CN"/>
        </w:rPr>
        <w:t>项目经理无在建</w:t>
      </w:r>
      <w:r>
        <w:rPr>
          <w:rFonts w:hint="eastAsia" w:ascii="宋体" w:hAnsi="宋体" w:eastAsia="宋体" w:cs="宋体"/>
          <w:b/>
          <w:bCs/>
        </w:rPr>
        <w:t>承诺书</w:t>
      </w:r>
    </w:p>
    <w:p w14:paraId="27941167">
      <w:pPr>
        <w:rPr>
          <w:szCs w:val="21"/>
          <w:u w:val="single"/>
        </w:rPr>
      </w:pPr>
    </w:p>
    <w:p w14:paraId="228242B5">
      <w:pPr>
        <w:rPr>
          <w:szCs w:val="21"/>
          <w:u w:val="single"/>
        </w:rPr>
      </w:pPr>
    </w:p>
    <w:p w14:paraId="474D6BC6">
      <w:pPr>
        <w:rPr>
          <w:szCs w:val="21"/>
        </w:rPr>
      </w:pPr>
      <w:r>
        <w:rPr>
          <w:rFonts w:hint="eastAsia"/>
          <w:szCs w:val="21"/>
          <w:u w:val="single"/>
        </w:rPr>
        <w:t xml:space="preserve">致                     </w:t>
      </w:r>
      <w:r>
        <w:rPr>
          <w:rFonts w:hint="eastAsia"/>
          <w:szCs w:val="21"/>
        </w:rPr>
        <w:t>（</w:t>
      </w:r>
      <w:r>
        <w:rPr>
          <w:rFonts w:hint="eastAsia"/>
          <w:szCs w:val="21"/>
          <w:lang w:val="en-US"/>
        </w:rPr>
        <w:t>采购人</w:t>
      </w:r>
      <w:r>
        <w:rPr>
          <w:rFonts w:hint="eastAsia"/>
          <w:szCs w:val="21"/>
        </w:rPr>
        <w:t>名称）：</w:t>
      </w:r>
    </w:p>
    <w:p w14:paraId="61B7B7A7">
      <w:pPr>
        <w:rPr>
          <w:szCs w:val="21"/>
        </w:rPr>
      </w:pPr>
    </w:p>
    <w:p w14:paraId="774E0BED">
      <w:pPr>
        <w:spacing w:line="360" w:lineRule="auto"/>
        <w:ind w:firstLine="440" w:firstLineChars="200"/>
        <w:rPr>
          <w:szCs w:val="21"/>
        </w:rPr>
      </w:pPr>
      <w:r>
        <w:rPr>
          <w:rFonts w:hint="eastAsia"/>
          <w:szCs w:val="21"/>
        </w:rPr>
        <w:t>我方在此声明，我方拟派往</w:t>
      </w:r>
      <w:r>
        <w:rPr>
          <w:rFonts w:hint="eastAsia"/>
          <w:szCs w:val="21"/>
          <w:u w:val="single"/>
        </w:rPr>
        <w:t xml:space="preserve">                   </w:t>
      </w:r>
      <w:r>
        <w:rPr>
          <w:rFonts w:hint="eastAsia"/>
          <w:szCs w:val="21"/>
        </w:rPr>
        <w:t>（项目名称）的项目经理</w:t>
      </w:r>
      <w:r>
        <w:rPr>
          <w:rFonts w:hint="eastAsia"/>
          <w:szCs w:val="21"/>
          <w:u w:val="single"/>
        </w:rPr>
        <w:t xml:space="preserve">          </w:t>
      </w:r>
      <w:r>
        <w:rPr>
          <w:rFonts w:hint="eastAsia"/>
          <w:szCs w:val="21"/>
        </w:rPr>
        <w:t>（项目经理姓名）（项目经理证书编号：</w:t>
      </w:r>
      <w:r>
        <w:rPr>
          <w:rFonts w:hint="eastAsia"/>
          <w:szCs w:val="21"/>
          <w:u w:val="single"/>
        </w:rPr>
        <w:t xml:space="preserve">        </w:t>
      </w:r>
      <w:r>
        <w:rPr>
          <w:rFonts w:hint="eastAsia"/>
          <w:szCs w:val="21"/>
        </w:rPr>
        <w:t>，身份证号：</w:t>
      </w:r>
      <w:r>
        <w:rPr>
          <w:rFonts w:hint="eastAsia"/>
          <w:szCs w:val="21"/>
          <w:u w:val="single"/>
        </w:rPr>
        <w:t xml:space="preserve">         </w:t>
      </w:r>
      <w:r>
        <w:rPr>
          <w:rFonts w:hint="eastAsia"/>
          <w:szCs w:val="21"/>
        </w:rPr>
        <w:t>），现阶段没有担任任何在施建设工程项目的项目经理。</w:t>
      </w:r>
    </w:p>
    <w:p w14:paraId="50D331A1">
      <w:pPr>
        <w:spacing w:line="360" w:lineRule="auto"/>
        <w:ind w:firstLine="440" w:firstLineChars="200"/>
        <w:rPr>
          <w:szCs w:val="21"/>
        </w:rPr>
      </w:pPr>
      <w:r>
        <w:rPr>
          <w:rFonts w:hint="eastAsia"/>
          <w:szCs w:val="21"/>
        </w:rPr>
        <w:t>我方保证上述信息的真实性和准确性，并愿意承担因我方就此弄虚作假所引起的一切法律后果。</w:t>
      </w:r>
    </w:p>
    <w:p w14:paraId="4DB45228">
      <w:pPr>
        <w:spacing w:line="360" w:lineRule="auto"/>
        <w:ind w:firstLine="440" w:firstLineChars="200"/>
        <w:rPr>
          <w:szCs w:val="21"/>
        </w:rPr>
      </w:pPr>
      <w:r>
        <w:rPr>
          <w:rFonts w:hint="eastAsia"/>
          <w:szCs w:val="21"/>
        </w:rPr>
        <w:t>特此承诺</w:t>
      </w:r>
    </w:p>
    <w:p w14:paraId="28911FE2">
      <w:pPr>
        <w:pStyle w:val="25"/>
        <w:ind w:firstLine="210"/>
      </w:pPr>
    </w:p>
    <w:p w14:paraId="4440B196">
      <w:pPr>
        <w:pStyle w:val="25"/>
        <w:ind w:firstLine="210"/>
      </w:pPr>
    </w:p>
    <w:p w14:paraId="1CE1AC50">
      <w:pPr>
        <w:pStyle w:val="25"/>
        <w:ind w:firstLine="210"/>
      </w:pPr>
    </w:p>
    <w:p w14:paraId="27AE680F">
      <w:pPr>
        <w:pStyle w:val="25"/>
        <w:ind w:firstLine="210"/>
      </w:pPr>
    </w:p>
    <w:p w14:paraId="45046DDE">
      <w:pPr>
        <w:pStyle w:val="25"/>
        <w:ind w:firstLine="210"/>
      </w:pPr>
    </w:p>
    <w:p w14:paraId="33B72BBB">
      <w:r>
        <w:rPr>
          <w:rFonts w:hint="eastAsia"/>
          <w:sz w:val="21"/>
          <w:szCs w:val="21"/>
        </w:rPr>
        <w:t xml:space="preserve">                                    </w:t>
      </w:r>
      <w:r>
        <w:rPr>
          <w:rFonts w:hint="eastAsia"/>
          <w:szCs w:val="21"/>
        </w:rPr>
        <w:t xml:space="preserve">        </w:t>
      </w:r>
      <w:r>
        <w:rPr>
          <w:rFonts w:hint="eastAsia"/>
          <w:szCs w:val="21"/>
          <w:lang w:val="en-US"/>
        </w:rPr>
        <w:t>供应商</w:t>
      </w:r>
      <w:r>
        <w:rPr>
          <w:rFonts w:hint="eastAsia"/>
          <w:szCs w:val="21"/>
        </w:rPr>
        <w:t>：</w:t>
      </w:r>
      <w:r>
        <w:rPr>
          <w:rFonts w:hint="eastAsia"/>
          <w:szCs w:val="21"/>
          <w:u w:val="single"/>
        </w:rPr>
        <w:t xml:space="preserve">  </w:t>
      </w:r>
      <w:r>
        <w:rPr>
          <w:rFonts w:hint="eastAsia"/>
          <w:szCs w:val="21"/>
          <w:u w:val="single"/>
          <w:lang w:val="en-US"/>
        </w:rPr>
        <w:t xml:space="preserve"> </w:t>
      </w:r>
      <w:r>
        <w:rPr>
          <w:rFonts w:hint="eastAsia"/>
          <w:szCs w:val="21"/>
          <w:u w:val="single"/>
        </w:rPr>
        <w:t xml:space="preserve">     </w:t>
      </w:r>
      <w:r>
        <w:rPr>
          <w:rFonts w:hint="eastAsia"/>
          <w:szCs w:val="21"/>
          <w:u w:val="single"/>
          <w:lang w:val="en-US"/>
        </w:rPr>
        <w:t xml:space="preserve"> </w:t>
      </w:r>
      <w:r>
        <w:rPr>
          <w:rFonts w:hint="eastAsia"/>
          <w:szCs w:val="21"/>
          <w:u w:val="single"/>
        </w:rPr>
        <w:t xml:space="preserve">    </w:t>
      </w:r>
      <w:r>
        <w:rPr>
          <w:rFonts w:hint="eastAsia"/>
          <w:szCs w:val="21"/>
        </w:rPr>
        <w:t>（单位电子CA印章）</w:t>
      </w:r>
    </w:p>
    <w:p w14:paraId="04AB324A">
      <w:r>
        <w:rPr>
          <w:rFonts w:hint="eastAsia"/>
        </w:rPr>
        <w:t xml:space="preserve">                                             </w:t>
      </w:r>
    </w:p>
    <w:p w14:paraId="20C02CB7">
      <w:pPr>
        <w:wordWrap w:val="0"/>
        <w:jc w:val="right"/>
        <w:rPr>
          <w:lang w:val="en-US"/>
        </w:rPr>
      </w:pPr>
      <w:r>
        <w:rPr>
          <w:rFonts w:hint="eastAsia"/>
        </w:rPr>
        <w:t xml:space="preserve">             法定代表人：</w:t>
      </w:r>
      <w:r>
        <w:rPr>
          <w:rFonts w:hint="eastAsia"/>
          <w:u w:val="single"/>
        </w:rPr>
        <w:t xml:space="preserve">      </w:t>
      </w:r>
      <w:r>
        <w:rPr>
          <w:rFonts w:hint="eastAsia"/>
          <w:u w:val="single"/>
          <w:lang w:val="en-US"/>
        </w:rPr>
        <w:t xml:space="preserve">  </w:t>
      </w:r>
      <w:r>
        <w:rPr>
          <w:rFonts w:hint="eastAsia"/>
          <w:u w:val="single"/>
        </w:rPr>
        <w:t xml:space="preserve"> </w:t>
      </w:r>
      <w:r>
        <w:rPr>
          <w:rFonts w:hint="eastAsia"/>
        </w:rPr>
        <w:t>(按照要求正确签署）</w:t>
      </w:r>
      <w:r>
        <w:rPr>
          <w:rFonts w:hint="eastAsia"/>
          <w:lang w:val="en-US"/>
        </w:rPr>
        <w:t xml:space="preserve">     </w:t>
      </w:r>
    </w:p>
    <w:p w14:paraId="6CEB4CDA">
      <w:pPr>
        <w:pStyle w:val="12"/>
      </w:pPr>
    </w:p>
    <w:p w14:paraId="38CAD066">
      <w:pPr>
        <w:wordWrap w:val="0"/>
        <w:jc w:val="right"/>
        <w:rPr>
          <w:lang w:val="en-US"/>
        </w:rPr>
      </w:pPr>
      <w:r>
        <w:rPr>
          <w:rFonts w:hint="eastAsia"/>
        </w:rPr>
        <w:t xml:space="preserve">                 项目经理：</w:t>
      </w:r>
      <w:r>
        <w:rPr>
          <w:rFonts w:hint="eastAsia"/>
          <w:u w:val="single"/>
        </w:rPr>
        <w:t xml:space="preserve">          </w:t>
      </w:r>
      <w:r>
        <w:rPr>
          <w:rFonts w:hint="eastAsia"/>
          <w:u w:val="single"/>
          <w:lang w:val="en-US"/>
        </w:rPr>
        <w:t xml:space="preserve"> </w:t>
      </w:r>
      <w:r>
        <w:rPr>
          <w:rFonts w:hint="eastAsia"/>
        </w:rPr>
        <w:t>(按照要求正确签署）</w:t>
      </w:r>
      <w:r>
        <w:rPr>
          <w:rFonts w:hint="eastAsia"/>
          <w:lang w:val="en-US"/>
        </w:rPr>
        <w:t xml:space="preserve">     </w:t>
      </w:r>
    </w:p>
    <w:p w14:paraId="12267539"/>
    <w:p w14:paraId="55DE96F8">
      <w:pPr>
        <w:pStyle w:val="12"/>
      </w:pPr>
    </w:p>
    <w:p w14:paraId="311C9343">
      <w:pPr>
        <w:wordWrap w:val="0"/>
        <w:jc w:val="right"/>
        <w:rPr>
          <w:lang w:val="en-US"/>
        </w:rPr>
      </w:pPr>
      <w:r>
        <w:rPr>
          <w:rFonts w:hint="eastAsia"/>
          <w:u w:val="single"/>
          <w:lang w:val="en-US" w:eastAsia="zh-CN"/>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日</w:t>
      </w:r>
      <w:r>
        <w:rPr>
          <w:rFonts w:hint="eastAsia"/>
          <w:lang w:val="en-US"/>
        </w:rPr>
        <w:t xml:space="preserve">              </w:t>
      </w:r>
    </w:p>
    <w:p w14:paraId="0A04D49F">
      <w:pPr>
        <w:spacing w:line="440" w:lineRule="exact"/>
        <w:ind w:left="660" w:hanging="660" w:hangingChars="300"/>
        <w:rPr>
          <w:rFonts w:hint="default" w:eastAsia="宋体"/>
          <w:szCs w:val="21"/>
          <w:lang w:val="en-US" w:eastAsia="zh-CN"/>
        </w:rPr>
      </w:pPr>
      <w:r>
        <w:rPr>
          <w:rFonts w:hint="eastAsia"/>
          <w:szCs w:val="21"/>
          <w:lang w:val="en-US" w:eastAsia="zh-CN"/>
        </w:rPr>
        <w:t xml:space="preserve">     </w:t>
      </w:r>
    </w:p>
    <w:p w14:paraId="4BBCDDE5">
      <w:bookmarkStart w:id="839" w:name="_Toc516822684"/>
    </w:p>
    <w:p w14:paraId="14FEDA95">
      <w:pPr>
        <w:keepNext/>
        <w:keepLines/>
        <w:spacing w:line="416" w:lineRule="auto"/>
      </w:pPr>
    </w:p>
    <w:p w14:paraId="0293673C">
      <w:pPr>
        <w:pStyle w:val="25"/>
        <w:ind w:firstLine="210"/>
      </w:pPr>
    </w:p>
    <w:p w14:paraId="57C47667">
      <w:pPr>
        <w:pStyle w:val="25"/>
        <w:ind w:firstLine="210"/>
      </w:pPr>
    </w:p>
    <w:p w14:paraId="70CBBC73">
      <w:pPr>
        <w:pStyle w:val="25"/>
        <w:ind w:firstLine="210"/>
      </w:pPr>
    </w:p>
    <w:p w14:paraId="04A11F91">
      <w:pPr>
        <w:pStyle w:val="25"/>
        <w:ind w:firstLine="210"/>
      </w:pPr>
    </w:p>
    <w:p w14:paraId="759406F7"/>
    <w:p w14:paraId="15E6238F"/>
    <w:p w14:paraId="2FCE57C8"/>
    <w:p w14:paraId="369296D3"/>
    <w:p w14:paraId="209EC5C9"/>
    <w:p w14:paraId="35A18A10"/>
    <w:p w14:paraId="6915FA5A">
      <w:pPr>
        <w:pStyle w:val="23"/>
      </w:pPr>
    </w:p>
    <w:p w14:paraId="5EA9F0F3">
      <w:pPr>
        <w:pStyle w:val="23"/>
      </w:pPr>
    </w:p>
    <w:p w14:paraId="3D8BA024">
      <w:pPr>
        <w:pStyle w:val="23"/>
      </w:pPr>
    </w:p>
    <w:p w14:paraId="037AB744">
      <w:pPr>
        <w:pStyle w:val="23"/>
      </w:pPr>
    </w:p>
    <w:p w14:paraId="2E0F4B86">
      <w:pPr>
        <w:pStyle w:val="23"/>
      </w:pPr>
    </w:p>
    <w:p w14:paraId="288ECA42"/>
    <w:p w14:paraId="06F2F559">
      <w:pPr>
        <w:spacing w:line="420" w:lineRule="exact"/>
        <w:ind w:firstLine="2249" w:firstLineChars="700"/>
        <w:jc w:val="both"/>
        <w:outlineLvl w:val="1"/>
        <w:rPr>
          <w:b/>
          <w:bCs/>
          <w:sz w:val="32"/>
          <w:szCs w:val="32"/>
        </w:rPr>
      </w:pPr>
      <w:r>
        <w:rPr>
          <w:rFonts w:hint="eastAsia"/>
          <w:b/>
          <w:bCs/>
          <w:sz w:val="32"/>
          <w:szCs w:val="32"/>
          <w:lang w:val="en-US"/>
        </w:rPr>
        <w:t>九</w:t>
      </w:r>
      <w:r>
        <w:rPr>
          <w:rFonts w:hint="eastAsia"/>
          <w:b/>
          <w:bCs/>
          <w:sz w:val="32"/>
          <w:szCs w:val="32"/>
        </w:rPr>
        <w:t>、施工组织设计方案（技术部分）</w:t>
      </w:r>
    </w:p>
    <w:p w14:paraId="6ED82BCA">
      <w:pPr>
        <w:pStyle w:val="25"/>
        <w:ind w:firstLine="0" w:firstLineChars="0"/>
      </w:pPr>
    </w:p>
    <w:p w14:paraId="71E71B94">
      <w:pPr>
        <w:pStyle w:val="25"/>
        <w:ind w:firstLine="0" w:firstLineChars="0"/>
      </w:pPr>
    </w:p>
    <w:p w14:paraId="527067E2">
      <w:pPr>
        <w:spacing w:line="420" w:lineRule="exact"/>
        <w:ind w:firstLine="220" w:firstLineChars="100"/>
        <w:rPr>
          <w:color w:val="auto"/>
          <w:szCs w:val="21"/>
        </w:rPr>
      </w:pPr>
      <w:r>
        <w:rPr>
          <w:rFonts w:hint="eastAsia"/>
          <w:color w:val="auto"/>
          <w:szCs w:val="21"/>
        </w:rPr>
        <w:t>1．</w:t>
      </w:r>
      <w:r>
        <w:rPr>
          <w:rFonts w:hint="eastAsia"/>
          <w:color w:val="auto"/>
          <w:szCs w:val="21"/>
          <w:lang w:val="en-US"/>
        </w:rPr>
        <w:t>供应商</w:t>
      </w:r>
      <w:r>
        <w:rPr>
          <w:rFonts w:hint="eastAsia"/>
          <w:color w:val="auto"/>
          <w:szCs w:val="21"/>
        </w:rPr>
        <w:t>应根据项目自身情况及对</w:t>
      </w:r>
      <w:r>
        <w:rPr>
          <w:rFonts w:hint="eastAsia"/>
          <w:color w:val="auto"/>
          <w:szCs w:val="21"/>
          <w:lang w:val="en-US"/>
        </w:rPr>
        <w:t>磋商</w:t>
      </w:r>
      <w:r>
        <w:rPr>
          <w:rFonts w:hint="eastAsia"/>
          <w:color w:val="auto"/>
          <w:szCs w:val="21"/>
        </w:rPr>
        <w:t>文件的分析，采用文字并结合图表形式，参考以下要点</w:t>
      </w:r>
      <w:r>
        <w:rPr>
          <w:rFonts w:hint="eastAsia"/>
          <w:color w:val="auto"/>
          <w:szCs w:val="21"/>
          <w:lang w:eastAsia="zh-CN"/>
        </w:rPr>
        <w:t>（包含但不限于）</w:t>
      </w:r>
      <w:r>
        <w:rPr>
          <w:rFonts w:hint="eastAsia"/>
          <w:color w:val="auto"/>
          <w:szCs w:val="21"/>
        </w:rPr>
        <w:t>编制本工程的施工组织设计方案：</w:t>
      </w:r>
    </w:p>
    <w:p w14:paraId="7EA6CD51">
      <w:pPr>
        <w:spacing w:line="420" w:lineRule="exact"/>
        <w:ind w:firstLine="440" w:firstLineChars="200"/>
        <w:rPr>
          <w:rFonts w:hint="eastAsia"/>
          <w:color w:val="auto"/>
          <w:szCs w:val="21"/>
        </w:rPr>
      </w:pPr>
      <w:r>
        <w:rPr>
          <w:rFonts w:hint="eastAsia"/>
          <w:color w:val="auto"/>
          <w:szCs w:val="21"/>
        </w:rPr>
        <w:t>（1）</w:t>
      </w:r>
      <w:r>
        <w:rPr>
          <w:rFonts w:hint="eastAsia"/>
          <w:color w:val="auto"/>
          <w:szCs w:val="21"/>
          <w:lang w:val="en-US" w:eastAsia="zh-CN"/>
        </w:rPr>
        <w:t>主要施工办法</w:t>
      </w:r>
      <w:r>
        <w:rPr>
          <w:rFonts w:hint="eastAsia"/>
          <w:color w:val="auto"/>
          <w:szCs w:val="21"/>
        </w:rPr>
        <w:t>；</w:t>
      </w:r>
    </w:p>
    <w:p w14:paraId="523B2879">
      <w:pPr>
        <w:spacing w:line="420" w:lineRule="exact"/>
        <w:ind w:firstLine="440" w:firstLineChars="200"/>
        <w:rPr>
          <w:rFonts w:hint="default"/>
          <w:color w:val="auto"/>
          <w:szCs w:val="21"/>
          <w:lang w:val="en-US" w:eastAsia="zh-CN"/>
        </w:rPr>
      </w:pPr>
      <w:r>
        <w:rPr>
          <w:rFonts w:hint="eastAsia"/>
          <w:color w:val="auto"/>
          <w:szCs w:val="21"/>
          <w:lang w:val="en-US" w:eastAsia="zh-CN"/>
        </w:rPr>
        <w:t>（2）劳动力和材料投入计划及其保证措施；</w:t>
      </w:r>
    </w:p>
    <w:p w14:paraId="609C938A">
      <w:pPr>
        <w:spacing w:line="420" w:lineRule="exact"/>
        <w:ind w:firstLine="440" w:firstLineChars="200"/>
        <w:rPr>
          <w:rFonts w:hint="eastAsia"/>
          <w:color w:val="auto"/>
          <w:szCs w:val="21"/>
        </w:rPr>
      </w:pPr>
      <w:r>
        <w:rPr>
          <w:rFonts w:hint="eastAsia"/>
          <w:color w:val="auto"/>
          <w:szCs w:val="21"/>
        </w:rPr>
        <w:t>（</w:t>
      </w:r>
      <w:r>
        <w:rPr>
          <w:rFonts w:hint="eastAsia"/>
          <w:color w:val="auto"/>
          <w:szCs w:val="21"/>
          <w:lang w:val="en-US" w:eastAsia="zh-CN"/>
        </w:rPr>
        <w:t>3</w:t>
      </w:r>
      <w:r>
        <w:rPr>
          <w:rFonts w:hint="eastAsia"/>
          <w:color w:val="auto"/>
          <w:szCs w:val="21"/>
        </w:rPr>
        <w:t>）</w:t>
      </w:r>
      <w:r>
        <w:rPr>
          <w:rFonts w:hint="eastAsia"/>
          <w:color w:val="auto"/>
          <w:szCs w:val="21"/>
          <w:lang w:val="en-US" w:eastAsia="zh-CN"/>
        </w:rPr>
        <w:t>工程投入的施工机械设备情况、主要施工机械进场计划</w:t>
      </w:r>
      <w:r>
        <w:rPr>
          <w:rFonts w:hint="eastAsia"/>
          <w:color w:val="auto"/>
          <w:szCs w:val="21"/>
        </w:rPr>
        <w:t>；</w:t>
      </w:r>
    </w:p>
    <w:p w14:paraId="47561233">
      <w:pPr>
        <w:spacing w:line="420" w:lineRule="exact"/>
        <w:ind w:firstLine="440" w:firstLineChars="200"/>
        <w:rPr>
          <w:rFonts w:hint="eastAsia"/>
          <w:color w:val="auto"/>
          <w:szCs w:val="21"/>
        </w:rPr>
      </w:pPr>
      <w:r>
        <w:rPr>
          <w:rFonts w:hint="eastAsia"/>
          <w:color w:val="auto"/>
          <w:szCs w:val="21"/>
        </w:rPr>
        <w:t>（</w:t>
      </w:r>
      <w:r>
        <w:rPr>
          <w:rFonts w:hint="eastAsia"/>
          <w:color w:val="auto"/>
          <w:szCs w:val="21"/>
          <w:lang w:val="en-US" w:eastAsia="zh-CN"/>
        </w:rPr>
        <w:t>4</w:t>
      </w:r>
      <w:r>
        <w:rPr>
          <w:rFonts w:hint="eastAsia"/>
          <w:color w:val="auto"/>
          <w:szCs w:val="21"/>
        </w:rPr>
        <w:t>）</w:t>
      </w:r>
      <w:r>
        <w:rPr>
          <w:rFonts w:hint="eastAsia"/>
          <w:color w:val="auto"/>
          <w:szCs w:val="21"/>
          <w:lang w:eastAsia="zh-CN"/>
        </w:rPr>
        <w:t>质量保证</w:t>
      </w:r>
      <w:r>
        <w:rPr>
          <w:rFonts w:hint="eastAsia"/>
          <w:color w:val="auto"/>
          <w:szCs w:val="21"/>
          <w:lang w:val="en-US" w:eastAsia="zh-CN"/>
        </w:rPr>
        <w:t>措施</w:t>
      </w:r>
      <w:r>
        <w:rPr>
          <w:rFonts w:hint="eastAsia"/>
          <w:color w:val="auto"/>
          <w:szCs w:val="21"/>
        </w:rPr>
        <w:t>；</w:t>
      </w:r>
    </w:p>
    <w:p w14:paraId="6D95C9A6">
      <w:pPr>
        <w:spacing w:line="420" w:lineRule="exact"/>
        <w:ind w:firstLine="440" w:firstLineChars="200"/>
        <w:rPr>
          <w:rFonts w:hint="eastAsia"/>
          <w:color w:val="auto"/>
          <w:szCs w:val="21"/>
        </w:rPr>
      </w:pPr>
      <w:r>
        <w:rPr>
          <w:rFonts w:hint="eastAsia"/>
          <w:color w:val="auto"/>
          <w:szCs w:val="21"/>
        </w:rPr>
        <w:t>（</w:t>
      </w:r>
      <w:r>
        <w:rPr>
          <w:rFonts w:hint="eastAsia"/>
          <w:color w:val="auto"/>
          <w:szCs w:val="21"/>
          <w:lang w:val="en-US" w:eastAsia="zh-CN"/>
        </w:rPr>
        <w:t>5</w:t>
      </w:r>
      <w:r>
        <w:rPr>
          <w:rFonts w:hint="eastAsia"/>
          <w:color w:val="auto"/>
          <w:szCs w:val="21"/>
        </w:rPr>
        <w:t>）</w:t>
      </w:r>
      <w:r>
        <w:rPr>
          <w:rFonts w:hint="eastAsia"/>
          <w:color w:val="auto"/>
          <w:szCs w:val="21"/>
          <w:lang w:eastAsia="zh-CN"/>
        </w:rPr>
        <w:t>安全文明施工技术组织</w:t>
      </w:r>
      <w:r>
        <w:rPr>
          <w:rFonts w:hint="eastAsia"/>
          <w:color w:val="auto"/>
          <w:szCs w:val="21"/>
        </w:rPr>
        <w:t>措施；</w:t>
      </w:r>
    </w:p>
    <w:p w14:paraId="1989671A">
      <w:pPr>
        <w:spacing w:line="420" w:lineRule="exact"/>
        <w:ind w:firstLine="440" w:firstLineChars="200"/>
        <w:rPr>
          <w:rFonts w:hint="eastAsia"/>
          <w:color w:val="auto"/>
          <w:szCs w:val="21"/>
        </w:rPr>
      </w:pPr>
      <w:r>
        <w:rPr>
          <w:rFonts w:hint="eastAsia"/>
          <w:color w:val="auto"/>
          <w:szCs w:val="21"/>
        </w:rPr>
        <w:t>（</w:t>
      </w:r>
      <w:r>
        <w:rPr>
          <w:rFonts w:hint="eastAsia"/>
          <w:color w:val="auto"/>
          <w:szCs w:val="21"/>
          <w:lang w:val="en-US" w:eastAsia="zh-CN"/>
        </w:rPr>
        <w:t>6</w:t>
      </w:r>
      <w:r>
        <w:rPr>
          <w:rFonts w:hint="eastAsia"/>
          <w:color w:val="auto"/>
          <w:szCs w:val="21"/>
        </w:rPr>
        <w:t>）</w:t>
      </w:r>
      <w:r>
        <w:rPr>
          <w:rFonts w:hint="eastAsia"/>
          <w:color w:val="auto"/>
          <w:szCs w:val="21"/>
          <w:lang w:val="en-US" w:eastAsia="zh-CN"/>
        </w:rPr>
        <w:t>工期保证措施</w:t>
      </w:r>
      <w:r>
        <w:rPr>
          <w:rFonts w:hint="eastAsia"/>
          <w:color w:val="auto"/>
          <w:szCs w:val="21"/>
        </w:rPr>
        <w:t>；</w:t>
      </w:r>
    </w:p>
    <w:p w14:paraId="6959B5F3">
      <w:pPr>
        <w:spacing w:line="420" w:lineRule="exact"/>
        <w:ind w:firstLine="440" w:firstLineChars="200"/>
        <w:rPr>
          <w:rFonts w:hint="default"/>
          <w:color w:val="auto"/>
          <w:szCs w:val="21"/>
          <w:lang w:val="en-US" w:eastAsia="zh-CN"/>
        </w:rPr>
      </w:pPr>
      <w:r>
        <w:rPr>
          <w:rFonts w:hint="eastAsia"/>
          <w:color w:val="auto"/>
          <w:szCs w:val="21"/>
          <w:lang w:val="en-US" w:eastAsia="zh-CN"/>
        </w:rPr>
        <w:t>（7）关键施工技术、工艺、重点、难点分析和解决方案；</w:t>
      </w:r>
    </w:p>
    <w:p w14:paraId="6C9E1174">
      <w:pPr>
        <w:spacing w:line="420" w:lineRule="exact"/>
        <w:ind w:firstLine="440" w:firstLineChars="200"/>
        <w:rPr>
          <w:rFonts w:hint="eastAsia"/>
          <w:color w:val="auto"/>
          <w:szCs w:val="21"/>
        </w:rPr>
      </w:pPr>
      <w:r>
        <w:rPr>
          <w:rFonts w:hint="eastAsia"/>
          <w:color w:val="auto"/>
          <w:szCs w:val="21"/>
        </w:rPr>
        <w:t>（</w:t>
      </w:r>
      <w:r>
        <w:rPr>
          <w:rFonts w:hint="eastAsia"/>
          <w:color w:val="auto"/>
          <w:szCs w:val="21"/>
          <w:lang w:val="en-US" w:eastAsia="zh-CN"/>
        </w:rPr>
        <w:t>8</w:t>
      </w:r>
      <w:r>
        <w:rPr>
          <w:rFonts w:hint="eastAsia"/>
          <w:color w:val="auto"/>
          <w:szCs w:val="21"/>
        </w:rPr>
        <w:t>）</w:t>
      </w:r>
      <w:r>
        <w:rPr>
          <w:rFonts w:hint="eastAsia"/>
          <w:color w:val="auto"/>
          <w:szCs w:val="21"/>
          <w:lang w:val="en-US" w:eastAsia="zh-CN"/>
        </w:rPr>
        <w:t>施工总进度表或工期网络图</w:t>
      </w:r>
      <w:r>
        <w:rPr>
          <w:rFonts w:hint="eastAsia"/>
          <w:color w:val="auto"/>
          <w:szCs w:val="21"/>
        </w:rPr>
        <w:t>；</w:t>
      </w:r>
    </w:p>
    <w:p w14:paraId="0A903264">
      <w:pPr>
        <w:spacing w:line="420" w:lineRule="exact"/>
        <w:ind w:firstLine="440" w:firstLineChars="200"/>
        <w:rPr>
          <w:rFonts w:hint="eastAsia" w:eastAsia="宋体"/>
          <w:color w:val="auto"/>
          <w:szCs w:val="21"/>
          <w:lang w:val="en-US" w:eastAsia="zh-CN"/>
        </w:rPr>
      </w:pPr>
      <w:r>
        <w:rPr>
          <w:rFonts w:hint="eastAsia"/>
          <w:color w:val="auto"/>
          <w:szCs w:val="21"/>
          <w:lang w:eastAsia="zh-CN"/>
        </w:rPr>
        <w:t>（</w:t>
      </w:r>
      <w:r>
        <w:rPr>
          <w:rFonts w:hint="eastAsia"/>
          <w:color w:val="auto"/>
          <w:szCs w:val="21"/>
          <w:lang w:val="en-US" w:eastAsia="zh-CN"/>
        </w:rPr>
        <w:t>9</w:t>
      </w:r>
      <w:r>
        <w:rPr>
          <w:rFonts w:hint="eastAsia"/>
          <w:color w:val="auto"/>
          <w:szCs w:val="21"/>
          <w:lang w:eastAsia="zh-CN"/>
        </w:rPr>
        <w:t>）紧急情况的处理措施、应急预案及风险控制。</w:t>
      </w:r>
    </w:p>
    <w:p w14:paraId="5A287A0C">
      <w:pPr>
        <w:spacing w:line="420" w:lineRule="exact"/>
        <w:ind w:firstLine="440" w:firstLineChars="200"/>
        <w:rPr>
          <w:color w:val="auto"/>
          <w:szCs w:val="21"/>
        </w:rPr>
      </w:pPr>
      <w:r>
        <w:rPr>
          <w:rFonts w:hint="eastAsia"/>
          <w:color w:val="auto"/>
          <w:szCs w:val="21"/>
        </w:rPr>
        <w:t>2．施工组织设计除采用文字表述外可附下列图表</w:t>
      </w:r>
      <w:r>
        <w:rPr>
          <w:rFonts w:hint="eastAsia"/>
          <w:color w:val="auto"/>
          <w:szCs w:val="21"/>
          <w:lang w:eastAsia="zh-CN"/>
        </w:rPr>
        <w:t>（包含但不限于）</w:t>
      </w:r>
      <w:r>
        <w:rPr>
          <w:rFonts w:hint="eastAsia"/>
          <w:color w:val="auto"/>
          <w:szCs w:val="21"/>
        </w:rPr>
        <w:t>，图表及格式要求附后。</w:t>
      </w:r>
    </w:p>
    <w:p w14:paraId="1F40FED4">
      <w:pPr>
        <w:spacing w:line="420" w:lineRule="exact"/>
        <w:ind w:firstLine="440" w:firstLineChars="200"/>
        <w:rPr>
          <w:color w:val="auto"/>
          <w:szCs w:val="21"/>
        </w:rPr>
      </w:pPr>
      <w:r>
        <w:rPr>
          <w:rFonts w:hint="eastAsia"/>
          <w:color w:val="auto"/>
          <w:szCs w:val="21"/>
        </w:rPr>
        <w:t>附表一  拟投入本工程的主要施工设备表</w:t>
      </w:r>
    </w:p>
    <w:p w14:paraId="6D7AD58B">
      <w:pPr>
        <w:spacing w:line="420" w:lineRule="exact"/>
        <w:ind w:firstLine="440" w:firstLineChars="200"/>
        <w:rPr>
          <w:color w:val="auto"/>
          <w:szCs w:val="21"/>
        </w:rPr>
      </w:pPr>
      <w:r>
        <w:rPr>
          <w:rFonts w:hint="eastAsia"/>
          <w:color w:val="auto"/>
          <w:szCs w:val="21"/>
        </w:rPr>
        <w:t>附表二  拟配备本工程的试验和检测仪器设备表</w:t>
      </w:r>
    </w:p>
    <w:p w14:paraId="37DB7F69">
      <w:pPr>
        <w:spacing w:line="420" w:lineRule="exact"/>
        <w:ind w:firstLine="440" w:firstLineChars="200"/>
        <w:rPr>
          <w:color w:val="auto"/>
          <w:szCs w:val="21"/>
        </w:rPr>
      </w:pPr>
      <w:r>
        <w:rPr>
          <w:rFonts w:hint="eastAsia"/>
          <w:color w:val="auto"/>
          <w:szCs w:val="21"/>
        </w:rPr>
        <w:t>附表三  劳动力计划表</w:t>
      </w:r>
    </w:p>
    <w:p w14:paraId="7CD60D6E">
      <w:pPr>
        <w:spacing w:line="420" w:lineRule="exact"/>
        <w:ind w:firstLine="440" w:firstLineChars="200"/>
        <w:rPr>
          <w:color w:val="auto"/>
          <w:szCs w:val="21"/>
        </w:rPr>
      </w:pPr>
      <w:r>
        <w:rPr>
          <w:rFonts w:hint="eastAsia"/>
          <w:color w:val="auto"/>
          <w:szCs w:val="21"/>
        </w:rPr>
        <w:t>附表四  计划开、竣工日期和施工进度网络图</w:t>
      </w:r>
    </w:p>
    <w:p w14:paraId="195C6E7F">
      <w:pPr>
        <w:spacing w:line="420" w:lineRule="exact"/>
        <w:ind w:firstLine="440" w:firstLineChars="200"/>
        <w:rPr>
          <w:color w:val="auto"/>
          <w:szCs w:val="21"/>
        </w:rPr>
      </w:pPr>
      <w:r>
        <w:rPr>
          <w:rFonts w:hint="eastAsia"/>
          <w:color w:val="auto"/>
          <w:szCs w:val="21"/>
        </w:rPr>
        <w:t>附表五  临时用地表</w:t>
      </w:r>
    </w:p>
    <w:p w14:paraId="20B1A57C">
      <w:pPr>
        <w:pStyle w:val="12"/>
        <w:ind w:firstLine="420" w:firstLineChars="200"/>
        <w:rPr>
          <w:color w:val="auto"/>
          <w:kern w:val="2"/>
        </w:rPr>
      </w:pPr>
    </w:p>
    <w:p w14:paraId="5F386337">
      <w:pPr>
        <w:pStyle w:val="12"/>
        <w:ind w:firstLine="440" w:firstLineChars="200"/>
        <w:rPr>
          <w:rFonts w:hint="eastAsia" w:ascii="宋体" w:hAnsi="宋体" w:eastAsia="宋体" w:cs="宋体"/>
          <w:color w:val="auto"/>
          <w:sz w:val="22"/>
          <w:szCs w:val="21"/>
          <w:lang w:val="zh-CN" w:eastAsia="zh-CN" w:bidi="zh-CN"/>
        </w:rPr>
      </w:pPr>
      <w:r>
        <w:rPr>
          <w:rFonts w:hint="eastAsia" w:ascii="宋体" w:hAnsi="宋体" w:eastAsia="宋体" w:cs="宋体"/>
          <w:color w:val="auto"/>
          <w:sz w:val="22"/>
          <w:szCs w:val="21"/>
          <w:lang w:val="zh-CN" w:eastAsia="zh-CN" w:bidi="zh-CN"/>
        </w:rPr>
        <w:t>3、</w:t>
      </w:r>
      <w:r>
        <w:rPr>
          <w:rFonts w:hint="eastAsia" w:ascii="宋体" w:hAnsi="宋体" w:eastAsia="宋体" w:cs="宋体"/>
          <w:color w:val="auto"/>
          <w:sz w:val="22"/>
          <w:szCs w:val="21"/>
          <w:lang w:val="en-US" w:eastAsia="zh-CN" w:bidi="zh-CN"/>
        </w:rPr>
        <w:t>供应商</w:t>
      </w:r>
      <w:r>
        <w:rPr>
          <w:rFonts w:hint="eastAsia" w:ascii="宋体" w:hAnsi="宋体" w:eastAsia="宋体" w:cs="宋体"/>
          <w:color w:val="auto"/>
          <w:sz w:val="22"/>
          <w:szCs w:val="21"/>
          <w:lang w:val="zh-CN" w:eastAsia="zh-CN" w:bidi="zh-CN"/>
        </w:rPr>
        <w:t>根据项目自身情况及对</w:t>
      </w:r>
      <w:r>
        <w:rPr>
          <w:rFonts w:hint="eastAsia" w:ascii="宋体" w:hAnsi="宋体" w:eastAsia="宋体" w:cs="宋体"/>
          <w:color w:val="auto"/>
          <w:sz w:val="22"/>
          <w:szCs w:val="21"/>
          <w:lang w:val="en-US" w:eastAsia="zh-CN" w:bidi="zh-CN"/>
        </w:rPr>
        <w:t>磋商</w:t>
      </w:r>
      <w:r>
        <w:rPr>
          <w:rFonts w:hint="eastAsia" w:ascii="宋体" w:hAnsi="宋体" w:eastAsia="宋体" w:cs="宋体"/>
          <w:color w:val="auto"/>
          <w:sz w:val="22"/>
          <w:szCs w:val="21"/>
          <w:lang w:val="zh-CN" w:eastAsia="zh-CN" w:bidi="zh-CN"/>
        </w:rPr>
        <w:t>文件的分析提供其他利于自身的材料。</w:t>
      </w:r>
    </w:p>
    <w:p w14:paraId="2EC7EC58">
      <w:pPr>
        <w:spacing w:line="420" w:lineRule="exact"/>
        <w:ind w:firstLine="440" w:firstLineChars="200"/>
        <w:rPr>
          <w:color w:val="auto"/>
          <w:szCs w:val="21"/>
        </w:rPr>
      </w:pPr>
    </w:p>
    <w:p w14:paraId="1B6F84A8">
      <w:pPr>
        <w:spacing w:line="420" w:lineRule="exact"/>
        <w:outlineLvl w:val="2"/>
        <w:rPr>
          <w:szCs w:val="21"/>
        </w:rPr>
      </w:pPr>
      <w:r>
        <w:rPr>
          <w:rFonts w:hint="eastAsia"/>
          <w:color w:val="auto"/>
          <w:szCs w:val="21"/>
        </w:rPr>
        <w:br w:type="page"/>
      </w:r>
      <w:r>
        <w:rPr>
          <w:rFonts w:hint="eastAsia"/>
          <w:szCs w:val="21"/>
        </w:rPr>
        <w:t>附表一：拟投入本工程的主要施工设备表</w:t>
      </w:r>
    </w:p>
    <w:p w14:paraId="6044195D">
      <w:pPr>
        <w:pStyle w:val="12"/>
      </w:pPr>
    </w:p>
    <w:tbl>
      <w:tblPr>
        <w:tblStyle w:val="27"/>
        <w:tblW w:w="9894"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238"/>
        <w:gridCol w:w="782"/>
        <w:gridCol w:w="1189"/>
        <w:gridCol w:w="825"/>
        <w:gridCol w:w="825"/>
        <w:gridCol w:w="1368"/>
        <w:gridCol w:w="1014"/>
        <w:gridCol w:w="1014"/>
        <w:gridCol w:w="890"/>
      </w:tblGrid>
      <w:tr w14:paraId="11427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749" w:type="dxa"/>
            <w:vAlign w:val="center"/>
          </w:tcPr>
          <w:p w14:paraId="4D8B4A13">
            <w:pPr>
              <w:jc w:val="center"/>
              <w:rPr>
                <w:szCs w:val="21"/>
              </w:rPr>
            </w:pPr>
            <w:r>
              <w:rPr>
                <w:rFonts w:hint="eastAsia"/>
                <w:szCs w:val="21"/>
              </w:rPr>
              <w:t>序号</w:t>
            </w:r>
          </w:p>
        </w:tc>
        <w:tc>
          <w:tcPr>
            <w:tcW w:w="1238" w:type="dxa"/>
            <w:vAlign w:val="center"/>
          </w:tcPr>
          <w:p w14:paraId="0B1C36D8">
            <w:pPr>
              <w:jc w:val="center"/>
              <w:rPr>
                <w:szCs w:val="21"/>
              </w:rPr>
            </w:pPr>
            <w:r>
              <w:rPr>
                <w:rFonts w:hint="eastAsia"/>
                <w:szCs w:val="21"/>
              </w:rPr>
              <w:t>设备名称</w:t>
            </w:r>
          </w:p>
        </w:tc>
        <w:tc>
          <w:tcPr>
            <w:tcW w:w="782" w:type="dxa"/>
            <w:vAlign w:val="center"/>
          </w:tcPr>
          <w:p w14:paraId="29F01B18">
            <w:pPr>
              <w:jc w:val="center"/>
              <w:rPr>
                <w:szCs w:val="21"/>
              </w:rPr>
            </w:pPr>
            <w:r>
              <w:rPr>
                <w:rFonts w:hint="eastAsia"/>
                <w:szCs w:val="21"/>
              </w:rPr>
              <w:t>型号</w:t>
            </w:r>
          </w:p>
          <w:p w14:paraId="5D621127">
            <w:pPr>
              <w:jc w:val="center"/>
              <w:rPr>
                <w:szCs w:val="21"/>
              </w:rPr>
            </w:pPr>
            <w:r>
              <w:rPr>
                <w:rFonts w:hint="eastAsia"/>
                <w:szCs w:val="21"/>
              </w:rPr>
              <w:t>规格</w:t>
            </w:r>
          </w:p>
        </w:tc>
        <w:tc>
          <w:tcPr>
            <w:tcW w:w="1189" w:type="dxa"/>
            <w:vAlign w:val="center"/>
          </w:tcPr>
          <w:p w14:paraId="5B2CA8EC">
            <w:pPr>
              <w:jc w:val="center"/>
              <w:rPr>
                <w:szCs w:val="21"/>
              </w:rPr>
            </w:pPr>
            <w:r>
              <w:rPr>
                <w:rFonts w:hint="eastAsia"/>
                <w:szCs w:val="21"/>
              </w:rPr>
              <w:t>数  量</w:t>
            </w:r>
          </w:p>
        </w:tc>
        <w:tc>
          <w:tcPr>
            <w:tcW w:w="825" w:type="dxa"/>
            <w:vAlign w:val="center"/>
          </w:tcPr>
          <w:p w14:paraId="5DAABB32">
            <w:pPr>
              <w:jc w:val="center"/>
              <w:rPr>
                <w:szCs w:val="21"/>
              </w:rPr>
            </w:pPr>
            <w:r>
              <w:rPr>
                <w:rFonts w:hint="eastAsia"/>
                <w:szCs w:val="21"/>
              </w:rPr>
              <w:t>国别</w:t>
            </w:r>
          </w:p>
          <w:p w14:paraId="1F7EEE48">
            <w:pPr>
              <w:jc w:val="center"/>
              <w:rPr>
                <w:szCs w:val="21"/>
              </w:rPr>
            </w:pPr>
            <w:r>
              <w:rPr>
                <w:rFonts w:hint="eastAsia"/>
                <w:szCs w:val="21"/>
              </w:rPr>
              <w:t>产地</w:t>
            </w:r>
          </w:p>
        </w:tc>
        <w:tc>
          <w:tcPr>
            <w:tcW w:w="825" w:type="dxa"/>
            <w:vAlign w:val="center"/>
          </w:tcPr>
          <w:p w14:paraId="2DE383E4">
            <w:pPr>
              <w:jc w:val="center"/>
              <w:rPr>
                <w:szCs w:val="21"/>
              </w:rPr>
            </w:pPr>
            <w:r>
              <w:rPr>
                <w:rFonts w:hint="eastAsia"/>
                <w:szCs w:val="21"/>
              </w:rPr>
              <w:t>制造</w:t>
            </w:r>
          </w:p>
          <w:p w14:paraId="31328D34">
            <w:pPr>
              <w:jc w:val="center"/>
              <w:rPr>
                <w:szCs w:val="21"/>
              </w:rPr>
            </w:pPr>
            <w:r>
              <w:rPr>
                <w:rFonts w:hint="eastAsia"/>
                <w:szCs w:val="21"/>
              </w:rPr>
              <w:t>年份</w:t>
            </w:r>
          </w:p>
        </w:tc>
        <w:tc>
          <w:tcPr>
            <w:tcW w:w="1368" w:type="dxa"/>
            <w:vAlign w:val="center"/>
          </w:tcPr>
          <w:p w14:paraId="1A1FDE0A">
            <w:pPr>
              <w:jc w:val="center"/>
              <w:rPr>
                <w:szCs w:val="21"/>
              </w:rPr>
            </w:pPr>
            <w:r>
              <w:rPr>
                <w:rFonts w:hint="eastAsia"/>
                <w:szCs w:val="21"/>
              </w:rPr>
              <w:t>额定功率</w:t>
            </w:r>
          </w:p>
          <w:p w14:paraId="4A33C2F6">
            <w:pPr>
              <w:jc w:val="center"/>
              <w:rPr>
                <w:szCs w:val="21"/>
              </w:rPr>
            </w:pPr>
            <w:r>
              <w:rPr>
                <w:rFonts w:hint="eastAsia"/>
                <w:szCs w:val="21"/>
              </w:rPr>
              <w:t>（KW）</w:t>
            </w:r>
          </w:p>
        </w:tc>
        <w:tc>
          <w:tcPr>
            <w:tcW w:w="1014" w:type="dxa"/>
            <w:vAlign w:val="center"/>
          </w:tcPr>
          <w:p w14:paraId="163C5ECE">
            <w:pPr>
              <w:jc w:val="center"/>
              <w:rPr>
                <w:szCs w:val="21"/>
              </w:rPr>
            </w:pPr>
            <w:r>
              <w:rPr>
                <w:rFonts w:hint="eastAsia"/>
                <w:szCs w:val="21"/>
              </w:rPr>
              <w:t>生产</w:t>
            </w:r>
          </w:p>
          <w:p w14:paraId="156DEC61">
            <w:pPr>
              <w:jc w:val="center"/>
              <w:rPr>
                <w:szCs w:val="21"/>
              </w:rPr>
            </w:pPr>
            <w:r>
              <w:rPr>
                <w:rFonts w:hint="eastAsia"/>
                <w:szCs w:val="21"/>
              </w:rPr>
              <w:t>能力</w:t>
            </w:r>
          </w:p>
        </w:tc>
        <w:tc>
          <w:tcPr>
            <w:tcW w:w="1014" w:type="dxa"/>
            <w:vAlign w:val="center"/>
          </w:tcPr>
          <w:p w14:paraId="02AA8F44">
            <w:pPr>
              <w:jc w:val="center"/>
              <w:rPr>
                <w:szCs w:val="21"/>
              </w:rPr>
            </w:pPr>
            <w:r>
              <w:rPr>
                <w:rFonts w:hint="eastAsia"/>
                <w:szCs w:val="21"/>
              </w:rPr>
              <w:t>用于施</w:t>
            </w:r>
          </w:p>
          <w:p w14:paraId="17DD7611">
            <w:pPr>
              <w:jc w:val="center"/>
              <w:rPr>
                <w:szCs w:val="21"/>
              </w:rPr>
            </w:pPr>
            <w:r>
              <w:rPr>
                <w:rFonts w:hint="eastAsia"/>
                <w:szCs w:val="21"/>
              </w:rPr>
              <w:t>工部位</w:t>
            </w:r>
          </w:p>
        </w:tc>
        <w:tc>
          <w:tcPr>
            <w:tcW w:w="890" w:type="dxa"/>
            <w:vAlign w:val="center"/>
          </w:tcPr>
          <w:p w14:paraId="7DAEEEEF">
            <w:pPr>
              <w:jc w:val="center"/>
              <w:rPr>
                <w:szCs w:val="21"/>
              </w:rPr>
            </w:pPr>
            <w:r>
              <w:rPr>
                <w:rFonts w:hint="eastAsia"/>
                <w:szCs w:val="21"/>
              </w:rPr>
              <w:t>备注</w:t>
            </w:r>
          </w:p>
        </w:tc>
      </w:tr>
      <w:tr w14:paraId="09C31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6BCE8C40">
            <w:pPr>
              <w:jc w:val="center"/>
              <w:rPr>
                <w:szCs w:val="21"/>
              </w:rPr>
            </w:pPr>
          </w:p>
        </w:tc>
        <w:tc>
          <w:tcPr>
            <w:tcW w:w="1238" w:type="dxa"/>
            <w:vAlign w:val="center"/>
          </w:tcPr>
          <w:p w14:paraId="79113ECE">
            <w:pPr>
              <w:jc w:val="center"/>
              <w:rPr>
                <w:szCs w:val="21"/>
              </w:rPr>
            </w:pPr>
          </w:p>
        </w:tc>
        <w:tc>
          <w:tcPr>
            <w:tcW w:w="782" w:type="dxa"/>
            <w:vAlign w:val="center"/>
          </w:tcPr>
          <w:p w14:paraId="67DB395A">
            <w:pPr>
              <w:jc w:val="center"/>
              <w:rPr>
                <w:szCs w:val="21"/>
              </w:rPr>
            </w:pPr>
          </w:p>
        </w:tc>
        <w:tc>
          <w:tcPr>
            <w:tcW w:w="1189" w:type="dxa"/>
            <w:vAlign w:val="center"/>
          </w:tcPr>
          <w:p w14:paraId="3B25D45C">
            <w:pPr>
              <w:jc w:val="center"/>
              <w:rPr>
                <w:szCs w:val="21"/>
              </w:rPr>
            </w:pPr>
          </w:p>
        </w:tc>
        <w:tc>
          <w:tcPr>
            <w:tcW w:w="825" w:type="dxa"/>
            <w:vAlign w:val="center"/>
          </w:tcPr>
          <w:p w14:paraId="2C01A4A1">
            <w:pPr>
              <w:jc w:val="center"/>
              <w:rPr>
                <w:szCs w:val="21"/>
              </w:rPr>
            </w:pPr>
          </w:p>
        </w:tc>
        <w:tc>
          <w:tcPr>
            <w:tcW w:w="825" w:type="dxa"/>
            <w:vAlign w:val="center"/>
          </w:tcPr>
          <w:p w14:paraId="11746885">
            <w:pPr>
              <w:jc w:val="center"/>
              <w:rPr>
                <w:szCs w:val="21"/>
              </w:rPr>
            </w:pPr>
          </w:p>
        </w:tc>
        <w:tc>
          <w:tcPr>
            <w:tcW w:w="1368" w:type="dxa"/>
            <w:vAlign w:val="center"/>
          </w:tcPr>
          <w:p w14:paraId="6AB575DA">
            <w:pPr>
              <w:jc w:val="center"/>
              <w:rPr>
                <w:szCs w:val="21"/>
              </w:rPr>
            </w:pPr>
          </w:p>
        </w:tc>
        <w:tc>
          <w:tcPr>
            <w:tcW w:w="1014" w:type="dxa"/>
            <w:vAlign w:val="center"/>
          </w:tcPr>
          <w:p w14:paraId="444D25B9">
            <w:pPr>
              <w:jc w:val="center"/>
              <w:rPr>
                <w:szCs w:val="21"/>
              </w:rPr>
            </w:pPr>
          </w:p>
        </w:tc>
        <w:tc>
          <w:tcPr>
            <w:tcW w:w="1014" w:type="dxa"/>
            <w:vAlign w:val="center"/>
          </w:tcPr>
          <w:p w14:paraId="5F90BFF5">
            <w:pPr>
              <w:jc w:val="center"/>
              <w:rPr>
                <w:szCs w:val="21"/>
              </w:rPr>
            </w:pPr>
          </w:p>
        </w:tc>
        <w:tc>
          <w:tcPr>
            <w:tcW w:w="890" w:type="dxa"/>
            <w:vAlign w:val="center"/>
          </w:tcPr>
          <w:p w14:paraId="218D683F">
            <w:pPr>
              <w:jc w:val="center"/>
              <w:rPr>
                <w:szCs w:val="21"/>
              </w:rPr>
            </w:pPr>
          </w:p>
        </w:tc>
      </w:tr>
      <w:tr w14:paraId="602A8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13726C8D">
            <w:pPr>
              <w:jc w:val="center"/>
              <w:rPr>
                <w:szCs w:val="21"/>
              </w:rPr>
            </w:pPr>
          </w:p>
        </w:tc>
        <w:tc>
          <w:tcPr>
            <w:tcW w:w="1238" w:type="dxa"/>
            <w:vAlign w:val="center"/>
          </w:tcPr>
          <w:p w14:paraId="580DD4E8">
            <w:pPr>
              <w:jc w:val="center"/>
              <w:rPr>
                <w:szCs w:val="21"/>
              </w:rPr>
            </w:pPr>
          </w:p>
        </w:tc>
        <w:tc>
          <w:tcPr>
            <w:tcW w:w="782" w:type="dxa"/>
            <w:vAlign w:val="center"/>
          </w:tcPr>
          <w:p w14:paraId="484F179B">
            <w:pPr>
              <w:jc w:val="center"/>
              <w:rPr>
                <w:szCs w:val="21"/>
              </w:rPr>
            </w:pPr>
          </w:p>
        </w:tc>
        <w:tc>
          <w:tcPr>
            <w:tcW w:w="1189" w:type="dxa"/>
            <w:vAlign w:val="center"/>
          </w:tcPr>
          <w:p w14:paraId="10054F43">
            <w:pPr>
              <w:jc w:val="center"/>
              <w:rPr>
                <w:szCs w:val="21"/>
              </w:rPr>
            </w:pPr>
          </w:p>
        </w:tc>
        <w:tc>
          <w:tcPr>
            <w:tcW w:w="825" w:type="dxa"/>
            <w:vAlign w:val="center"/>
          </w:tcPr>
          <w:p w14:paraId="34E24085">
            <w:pPr>
              <w:jc w:val="center"/>
              <w:rPr>
                <w:szCs w:val="21"/>
              </w:rPr>
            </w:pPr>
          </w:p>
        </w:tc>
        <w:tc>
          <w:tcPr>
            <w:tcW w:w="825" w:type="dxa"/>
            <w:vAlign w:val="center"/>
          </w:tcPr>
          <w:p w14:paraId="747E2893">
            <w:pPr>
              <w:jc w:val="center"/>
              <w:rPr>
                <w:szCs w:val="21"/>
              </w:rPr>
            </w:pPr>
          </w:p>
        </w:tc>
        <w:tc>
          <w:tcPr>
            <w:tcW w:w="1368" w:type="dxa"/>
            <w:vAlign w:val="center"/>
          </w:tcPr>
          <w:p w14:paraId="0CA1F48F">
            <w:pPr>
              <w:jc w:val="center"/>
              <w:rPr>
                <w:szCs w:val="21"/>
              </w:rPr>
            </w:pPr>
          </w:p>
        </w:tc>
        <w:tc>
          <w:tcPr>
            <w:tcW w:w="1014" w:type="dxa"/>
            <w:vAlign w:val="center"/>
          </w:tcPr>
          <w:p w14:paraId="0B25AFE6">
            <w:pPr>
              <w:jc w:val="center"/>
              <w:rPr>
                <w:szCs w:val="21"/>
              </w:rPr>
            </w:pPr>
          </w:p>
        </w:tc>
        <w:tc>
          <w:tcPr>
            <w:tcW w:w="1014" w:type="dxa"/>
            <w:vAlign w:val="center"/>
          </w:tcPr>
          <w:p w14:paraId="10733F97">
            <w:pPr>
              <w:jc w:val="center"/>
              <w:rPr>
                <w:szCs w:val="21"/>
              </w:rPr>
            </w:pPr>
          </w:p>
        </w:tc>
        <w:tc>
          <w:tcPr>
            <w:tcW w:w="890" w:type="dxa"/>
            <w:vAlign w:val="center"/>
          </w:tcPr>
          <w:p w14:paraId="4F008907">
            <w:pPr>
              <w:jc w:val="center"/>
              <w:rPr>
                <w:szCs w:val="21"/>
              </w:rPr>
            </w:pPr>
          </w:p>
        </w:tc>
      </w:tr>
      <w:tr w14:paraId="3B130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6DDBC044">
            <w:pPr>
              <w:jc w:val="center"/>
              <w:rPr>
                <w:szCs w:val="21"/>
              </w:rPr>
            </w:pPr>
          </w:p>
        </w:tc>
        <w:tc>
          <w:tcPr>
            <w:tcW w:w="1238" w:type="dxa"/>
            <w:vAlign w:val="center"/>
          </w:tcPr>
          <w:p w14:paraId="06DD6014">
            <w:pPr>
              <w:jc w:val="center"/>
              <w:rPr>
                <w:szCs w:val="21"/>
              </w:rPr>
            </w:pPr>
          </w:p>
        </w:tc>
        <w:tc>
          <w:tcPr>
            <w:tcW w:w="782" w:type="dxa"/>
            <w:vAlign w:val="center"/>
          </w:tcPr>
          <w:p w14:paraId="1AD16CD2">
            <w:pPr>
              <w:jc w:val="center"/>
              <w:rPr>
                <w:szCs w:val="21"/>
              </w:rPr>
            </w:pPr>
          </w:p>
        </w:tc>
        <w:tc>
          <w:tcPr>
            <w:tcW w:w="1189" w:type="dxa"/>
            <w:vAlign w:val="center"/>
          </w:tcPr>
          <w:p w14:paraId="668125B6">
            <w:pPr>
              <w:jc w:val="center"/>
              <w:rPr>
                <w:szCs w:val="21"/>
              </w:rPr>
            </w:pPr>
          </w:p>
        </w:tc>
        <w:tc>
          <w:tcPr>
            <w:tcW w:w="825" w:type="dxa"/>
            <w:vAlign w:val="center"/>
          </w:tcPr>
          <w:p w14:paraId="51E9F678">
            <w:pPr>
              <w:jc w:val="center"/>
              <w:rPr>
                <w:szCs w:val="21"/>
              </w:rPr>
            </w:pPr>
          </w:p>
        </w:tc>
        <w:tc>
          <w:tcPr>
            <w:tcW w:w="825" w:type="dxa"/>
            <w:vAlign w:val="center"/>
          </w:tcPr>
          <w:p w14:paraId="31191A9A">
            <w:pPr>
              <w:jc w:val="center"/>
              <w:rPr>
                <w:szCs w:val="21"/>
              </w:rPr>
            </w:pPr>
          </w:p>
        </w:tc>
        <w:tc>
          <w:tcPr>
            <w:tcW w:w="1368" w:type="dxa"/>
            <w:vAlign w:val="center"/>
          </w:tcPr>
          <w:p w14:paraId="1A3D4B0B">
            <w:pPr>
              <w:jc w:val="center"/>
              <w:rPr>
                <w:szCs w:val="21"/>
              </w:rPr>
            </w:pPr>
          </w:p>
        </w:tc>
        <w:tc>
          <w:tcPr>
            <w:tcW w:w="1014" w:type="dxa"/>
            <w:vAlign w:val="center"/>
          </w:tcPr>
          <w:p w14:paraId="215104BF">
            <w:pPr>
              <w:jc w:val="center"/>
              <w:rPr>
                <w:szCs w:val="21"/>
              </w:rPr>
            </w:pPr>
          </w:p>
        </w:tc>
        <w:tc>
          <w:tcPr>
            <w:tcW w:w="1014" w:type="dxa"/>
            <w:vAlign w:val="center"/>
          </w:tcPr>
          <w:p w14:paraId="78840077">
            <w:pPr>
              <w:jc w:val="center"/>
              <w:rPr>
                <w:szCs w:val="21"/>
              </w:rPr>
            </w:pPr>
          </w:p>
        </w:tc>
        <w:tc>
          <w:tcPr>
            <w:tcW w:w="890" w:type="dxa"/>
            <w:vAlign w:val="center"/>
          </w:tcPr>
          <w:p w14:paraId="7E5703F6">
            <w:pPr>
              <w:jc w:val="center"/>
              <w:rPr>
                <w:szCs w:val="21"/>
              </w:rPr>
            </w:pPr>
          </w:p>
        </w:tc>
      </w:tr>
      <w:tr w14:paraId="5E738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177A8D14">
            <w:pPr>
              <w:jc w:val="center"/>
              <w:rPr>
                <w:szCs w:val="21"/>
              </w:rPr>
            </w:pPr>
          </w:p>
        </w:tc>
        <w:tc>
          <w:tcPr>
            <w:tcW w:w="1238" w:type="dxa"/>
            <w:vAlign w:val="center"/>
          </w:tcPr>
          <w:p w14:paraId="1F1D8198">
            <w:pPr>
              <w:jc w:val="center"/>
              <w:rPr>
                <w:szCs w:val="21"/>
              </w:rPr>
            </w:pPr>
          </w:p>
        </w:tc>
        <w:tc>
          <w:tcPr>
            <w:tcW w:w="782" w:type="dxa"/>
            <w:vAlign w:val="center"/>
          </w:tcPr>
          <w:p w14:paraId="1E838842">
            <w:pPr>
              <w:jc w:val="center"/>
              <w:rPr>
                <w:szCs w:val="21"/>
              </w:rPr>
            </w:pPr>
          </w:p>
        </w:tc>
        <w:tc>
          <w:tcPr>
            <w:tcW w:w="1189" w:type="dxa"/>
            <w:vAlign w:val="center"/>
          </w:tcPr>
          <w:p w14:paraId="56A8D0F4">
            <w:pPr>
              <w:jc w:val="center"/>
              <w:rPr>
                <w:szCs w:val="21"/>
              </w:rPr>
            </w:pPr>
          </w:p>
        </w:tc>
        <w:tc>
          <w:tcPr>
            <w:tcW w:w="825" w:type="dxa"/>
            <w:vAlign w:val="center"/>
          </w:tcPr>
          <w:p w14:paraId="5E4D1F3C">
            <w:pPr>
              <w:jc w:val="center"/>
              <w:rPr>
                <w:szCs w:val="21"/>
              </w:rPr>
            </w:pPr>
          </w:p>
        </w:tc>
        <w:tc>
          <w:tcPr>
            <w:tcW w:w="825" w:type="dxa"/>
            <w:vAlign w:val="center"/>
          </w:tcPr>
          <w:p w14:paraId="4033326C">
            <w:pPr>
              <w:jc w:val="center"/>
              <w:rPr>
                <w:szCs w:val="21"/>
              </w:rPr>
            </w:pPr>
          </w:p>
        </w:tc>
        <w:tc>
          <w:tcPr>
            <w:tcW w:w="1368" w:type="dxa"/>
            <w:vAlign w:val="center"/>
          </w:tcPr>
          <w:p w14:paraId="20D22804">
            <w:pPr>
              <w:jc w:val="center"/>
              <w:rPr>
                <w:szCs w:val="21"/>
              </w:rPr>
            </w:pPr>
          </w:p>
        </w:tc>
        <w:tc>
          <w:tcPr>
            <w:tcW w:w="1014" w:type="dxa"/>
            <w:vAlign w:val="center"/>
          </w:tcPr>
          <w:p w14:paraId="3DCFC6ED">
            <w:pPr>
              <w:jc w:val="center"/>
              <w:rPr>
                <w:szCs w:val="21"/>
              </w:rPr>
            </w:pPr>
          </w:p>
        </w:tc>
        <w:tc>
          <w:tcPr>
            <w:tcW w:w="1014" w:type="dxa"/>
            <w:vAlign w:val="center"/>
          </w:tcPr>
          <w:p w14:paraId="4A3F9B44">
            <w:pPr>
              <w:jc w:val="center"/>
              <w:rPr>
                <w:szCs w:val="21"/>
              </w:rPr>
            </w:pPr>
          </w:p>
        </w:tc>
        <w:tc>
          <w:tcPr>
            <w:tcW w:w="890" w:type="dxa"/>
            <w:vAlign w:val="center"/>
          </w:tcPr>
          <w:p w14:paraId="06A89E75">
            <w:pPr>
              <w:jc w:val="center"/>
              <w:rPr>
                <w:szCs w:val="21"/>
              </w:rPr>
            </w:pPr>
          </w:p>
        </w:tc>
      </w:tr>
      <w:tr w14:paraId="7B905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3E74524F">
            <w:pPr>
              <w:jc w:val="center"/>
              <w:rPr>
                <w:szCs w:val="21"/>
              </w:rPr>
            </w:pPr>
          </w:p>
        </w:tc>
        <w:tc>
          <w:tcPr>
            <w:tcW w:w="1238" w:type="dxa"/>
            <w:vAlign w:val="center"/>
          </w:tcPr>
          <w:p w14:paraId="1952A4D2">
            <w:pPr>
              <w:jc w:val="center"/>
              <w:rPr>
                <w:szCs w:val="21"/>
              </w:rPr>
            </w:pPr>
          </w:p>
        </w:tc>
        <w:tc>
          <w:tcPr>
            <w:tcW w:w="782" w:type="dxa"/>
            <w:vAlign w:val="center"/>
          </w:tcPr>
          <w:p w14:paraId="2F9A8BAA">
            <w:pPr>
              <w:jc w:val="center"/>
              <w:rPr>
                <w:szCs w:val="21"/>
              </w:rPr>
            </w:pPr>
          </w:p>
        </w:tc>
        <w:tc>
          <w:tcPr>
            <w:tcW w:w="1189" w:type="dxa"/>
            <w:vAlign w:val="center"/>
          </w:tcPr>
          <w:p w14:paraId="7A99EBFB">
            <w:pPr>
              <w:jc w:val="center"/>
              <w:rPr>
                <w:szCs w:val="21"/>
              </w:rPr>
            </w:pPr>
          </w:p>
        </w:tc>
        <w:tc>
          <w:tcPr>
            <w:tcW w:w="825" w:type="dxa"/>
            <w:vAlign w:val="center"/>
          </w:tcPr>
          <w:p w14:paraId="10445136">
            <w:pPr>
              <w:jc w:val="center"/>
              <w:rPr>
                <w:szCs w:val="21"/>
              </w:rPr>
            </w:pPr>
          </w:p>
        </w:tc>
        <w:tc>
          <w:tcPr>
            <w:tcW w:w="825" w:type="dxa"/>
            <w:vAlign w:val="center"/>
          </w:tcPr>
          <w:p w14:paraId="481D4026">
            <w:pPr>
              <w:jc w:val="center"/>
              <w:rPr>
                <w:szCs w:val="21"/>
              </w:rPr>
            </w:pPr>
          </w:p>
        </w:tc>
        <w:tc>
          <w:tcPr>
            <w:tcW w:w="1368" w:type="dxa"/>
            <w:vAlign w:val="center"/>
          </w:tcPr>
          <w:p w14:paraId="7D7020AC">
            <w:pPr>
              <w:jc w:val="center"/>
              <w:rPr>
                <w:szCs w:val="21"/>
              </w:rPr>
            </w:pPr>
          </w:p>
        </w:tc>
        <w:tc>
          <w:tcPr>
            <w:tcW w:w="1014" w:type="dxa"/>
            <w:vAlign w:val="center"/>
          </w:tcPr>
          <w:p w14:paraId="5112E96D">
            <w:pPr>
              <w:jc w:val="center"/>
              <w:rPr>
                <w:szCs w:val="21"/>
              </w:rPr>
            </w:pPr>
          </w:p>
        </w:tc>
        <w:tc>
          <w:tcPr>
            <w:tcW w:w="1014" w:type="dxa"/>
            <w:vAlign w:val="center"/>
          </w:tcPr>
          <w:p w14:paraId="7801F774">
            <w:pPr>
              <w:jc w:val="center"/>
              <w:rPr>
                <w:szCs w:val="21"/>
              </w:rPr>
            </w:pPr>
          </w:p>
        </w:tc>
        <w:tc>
          <w:tcPr>
            <w:tcW w:w="890" w:type="dxa"/>
            <w:vAlign w:val="center"/>
          </w:tcPr>
          <w:p w14:paraId="17574BB8">
            <w:pPr>
              <w:jc w:val="center"/>
              <w:rPr>
                <w:szCs w:val="21"/>
              </w:rPr>
            </w:pPr>
          </w:p>
        </w:tc>
      </w:tr>
      <w:tr w14:paraId="6C31E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4D5A7611">
            <w:pPr>
              <w:jc w:val="center"/>
              <w:rPr>
                <w:szCs w:val="21"/>
              </w:rPr>
            </w:pPr>
          </w:p>
        </w:tc>
        <w:tc>
          <w:tcPr>
            <w:tcW w:w="1238" w:type="dxa"/>
            <w:vAlign w:val="center"/>
          </w:tcPr>
          <w:p w14:paraId="3D829F14">
            <w:pPr>
              <w:jc w:val="center"/>
              <w:rPr>
                <w:szCs w:val="21"/>
              </w:rPr>
            </w:pPr>
          </w:p>
        </w:tc>
        <w:tc>
          <w:tcPr>
            <w:tcW w:w="782" w:type="dxa"/>
            <w:vAlign w:val="center"/>
          </w:tcPr>
          <w:p w14:paraId="4C97978C">
            <w:pPr>
              <w:jc w:val="center"/>
              <w:rPr>
                <w:szCs w:val="21"/>
              </w:rPr>
            </w:pPr>
          </w:p>
        </w:tc>
        <w:tc>
          <w:tcPr>
            <w:tcW w:w="1189" w:type="dxa"/>
            <w:vAlign w:val="center"/>
          </w:tcPr>
          <w:p w14:paraId="4695F3EF">
            <w:pPr>
              <w:jc w:val="center"/>
              <w:rPr>
                <w:szCs w:val="21"/>
              </w:rPr>
            </w:pPr>
          </w:p>
        </w:tc>
        <w:tc>
          <w:tcPr>
            <w:tcW w:w="825" w:type="dxa"/>
            <w:vAlign w:val="center"/>
          </w:tcPr>
          <w:p w14:paraId="43F05788">
            <w:pPr>
              <w:jc w:val="center"/>
              <w:rPr>
                <w:szCs w:val="21"/>
              </w:rPr>
            </w:pPr>
          </w:p>
        </w:tc>
        <w:tc>
          <w:tcPr>
            <w:tcW w:w="825" w:type="dxa"/>
            <w:vAlign w:val="center"/>
          </w:tcPr>
          <w:p w14:paraId="36A035D9">
            <w:pPr>
              <w:jc w:val="center"/>
              <w:rPr>
                <w:szCs w:val="21"/>
              </w:rPr>
            </w:pPr>
          </w:p>
        </w:tc>
        <w:tc>
          <w:tcPr>
            <w:tcW w:w="1368" w:type="dxa"/>
            <w:vAlign w:val="center"/>
          </w:tcPr>
          <w:p w14:paraId="5D414C86">
            <w:pPr>
              <w:jc w:val="center"/>
              <w:rPr>
                <w:szCs w:val="21"/>
              </w:rPr>
            </w:pPr>
          </w:p>
        </w:tc>
        <w:tc>
          <w:tcPr>
            <w:tcW w:w="1014" w:type="dxa"/>
            <w:vAlign w:val="center"/>
          </w:tcPr>
          <w:p w14:paraId="03E352DF">
            <w:pPr>
              <w:jc w:val="center"/>
              <w:rPr>
                <w:szCs w:val="21"/>
              </w:rPr>
            </w:pPr>
          </w:p>
        </w:tc>
        <w:tc>
          <w:tcPr>
            <w:tcW w:w="1014" w:type="dxa"/>
            <w:vAlign w:val="center"/>
          </w:tcPr>
          <w:p w14:paraId="6B8779D4">
            <w:pPr>
              <w:jc w:val="center"/>
              <w:rPr>
                <w:szCs w:val="21"/>
              </w:rPr>
            </w:pPr>
          </w:p>
        </w:tc>
        <w:tc>
          <w:tcPr>
            <w:tcW w:w="890" w:type="dxa"/>
            <w:vAlign w:val="center"/>
          </w:tcPr>
          <w:p w14:paraId="78A978A8">
            <w:pPr>
              <w:jc w:val="center"/>
              <w:rPr>
                <w:szCs w:val="21"/>
              </w:rPr>
            </w:pPr>
          </w:p>
        </w:tc>
      </w:tr>
      <w:tr w14:paraId="3156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65C8E5BD">
            <w:pPr>
              <w:jc w:val="center"/>
              <w:rPr>
                <w:szCs w:val="21"/>
              </w:rPr>
            </w:pPr>
          </w:p>
        </w:tc>
        <w:tc>
          <w:tcPr>
            <w:tcW w:w="1238" w:type="dxa"/>
            <w:vAlign w:val="center"/>
          </w:tcPr>
          <w:p w14:paraId="2A6D55A7">
            <w:pPr>
              <w:jc w:val="center"/>
              <w:rPr>
                <w:szCs w:val="21"/>
              </w:rPr>
            </w:pPr>
          </w:p>
        </w:tc>
        <w:tc>
          <w:tcPr>
            <w:tcW w:w="782" w:type="dxa"/>
            <w:vAlign w:val="center"/>
          </w:tcPr>
          <w:p w14:paraId="539B246B">
            <w:pPr>
              <w:jc w:val="center"/>
              <w:rPr>
                <w:szCs w:val="21"/>
              </w:rPr>
            </w:pPr>
          </w:p>
        </w:tc>
        <w:tc>
          <w:tcPr>
            <w:tcW w:w="1189" w:type="dxa"/>
            <w:vAlign w:val="center"/>
          </w:tcPr>
          <w:p w14:paraId="21F40CED">
            <w:pPr>
              <w:jc w:val="center"/>
              <w:rPr>
                <w:szCs w:val="21"/>
              </w:rPr>
            </w:pPr>
          </w:p>
        </w:tc>
        <w:tc>
          <w:tcPr>
            <w:tcW w:w="825" w:type="dxa"/>
            <w:vAlign w:val="center"/>
          </w:tcPr>
          <w:p w14:paraId="1EBA7B21">
            <w:pPr>
              <w:jc w:val="center"/>
              <w:rPr>
                <w:szCs w:val="21"/>
              </w:rPr>
            </w:pPr>
          </w:p>
        </w:tc>
        <w:tc>
          <w:tcPr>
            <w:tcW w:w="825" w:type="dxa"/>
            <w:vAlign w:val="center"/>
          </w:tcPr>
          <w:p w14:paraId="338967F6">
            <w:pPr>
              <w:jc w:val="center"/>
              <w:rPr>
                <w:szCs w:val="21"/>
              </w:rPr>
            </w:pPr>
          </w:p>
        </w:tc>
        <w:tc>
          <w:tcPr>
            <w:tcW w:w="1368" w:type="dxa"/>
            <w:vAlign w:val="center"/>
          </w:tcPr>
          <w:p w14:paraId="081BD79B">
            <w:pPr>
              <w:jc w:val="center"/>
              <w:rPr>
                <w:szCs w:val="21"/>
              </w:rPr>
            </w:pPr>
          </w:p>
        </w:tc>
        <w:tc>
          <w:tcPr>
            <w:tcW w:w="1014" w:type="dxa"/>
            <w:vAlign w:val="center"/>
          </w:tcPr>
          <w:p w14:paraId="39BAA1CF">
            <w:pPr>
              <w:jc w:val="center"/>
              <w:rPr>
                <w:szCs w:val="21"/>
              </w:rPr>
            </w:pPr>
          </w:p>
        </w:tc>
        <w:tc>
          <w:tcPr>
            <w:tcW w:w="1014" w:type="dxa"/>
            <w:vAlign w:val="center"/>
          </w:tcPr>
          <w:p w14:paraId="4A88243B">
            <w:pPr>
              <w:jc w:val="center"/>
              <w:rPr>
                <w:szCs w:val="21"/>
              </w:rPr>
            </w:pPr>
          </w:p>
        </w:tc>
        <w:tc>
          <w:tcPr>
            <w:tcW w:w="890" w:type="dxa"/>
            <w:vAlign w:val="center"/>
          </w:tcPr>
          <w:p w14:paraId="1BD60CF6">
            <w:pPr>
              <w:jc w:val="center"/>
              <w:rPr>
                <w:szCs w:val="21"/>
              </w:rPr>
            </w:pPr>
          </w:p>
        </w:tc>
      </w:tr>
      <w:tr w14:paraId="652C6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1E191F4F">
            <w:pPr>
              <w:jc w:val="center"/>
              <w:rPr>
                <w:szCs w:val="21"/>
              </w:rPr>
            </w:pPr>
          </w:p>
        </w:tc>
        <w:tc>
          <w:tcPr>
            <w:tcW w:w="1238" w:type="dxa"/>
            <w:vAlign w:val="center"/>
          </w:tcPr>
          <w:p w14:paraId="036841A2">
            <w:pPr>
              <w:jc w:val="center"/>
              <w:rPr>
                <w:szCs w:val="21"/>
              </w:rPr>
            </w:pPr>
          </w:p>
        </w:tc>
        <w:tc>
          <w:tcPr>
            <w:tcW w:w="782" w:type="dxa"/>
            <w:vAlign w:val="center"/>
          </w:tcPr>
          <w:p w14:paraId="02A42BF0">
            <w:pPr>
              <w:jc w:val="center"/>
              <w:rPr>
                <w:szCs w:val="21"/>
              </w:rPr>
            </w:pPr>
          </w:p>
        </w:tc>
        <w:tc>
          <w:tcPr>
            <w:tcW w:w="1189" w:type="dxa"/>
            <w:vAlign w:val="center"/>
          </w:tcPr>
          <w:p w14:paraId="275C5E03">
            <w:pPr>
              <w:jc w:val="center"/>
              <w:rPr>
                <w:szCs w:val="21"/>
              </w:rPr>
            </w:pPr>
          </w:p>
        </w:tc>
        <w:tc>
          <w:tcPr>
            <w:tcW w:w="825" w:type="dxa"/>
            <w:vAlign w:val="center"/>
          </w:tcPr>
          <w:p w14:paraId="7CE9EA05">
            <w:pPr>
              <w:jc w:val="center"/>
              <w:rPr>
                <w:szCs w:val="21"/>
              </w:rPr>
            </w:pPr>
          </w:p>
        </w:tc>
        <w:tc>
          <w:tcPr>
            <w:tcW w:w="825" w:type="dxa"/>
            <w:vAlign w:val="center"/>
          </w:tcPr>
          <w:p w14:paraId="06FB2AB6">
            <w:pPr>
              <w:jc w:val="center"/>
              <w:rPr>
                <w:szCs w:val="21"/>
              </w:rPr>
            </w:pPr>
          </w:p>
        </w:tc>
        <w:tc>
          <w:tcPr>
            <w:tcW w:w="1368" w:type="dxa"/>
            <w:vAlign w:val="center"/>
          </w:tcPr>
          <w:p w14:paraId="19E05413">
            <w:pPr>
              <w:jc w:val="center"/>
              <w:rPr>
                <w:szCs w:val="21"/>
              </w:rPr>
            </w:pPr>
          </w:p>
        </w:tc>
        <w:tc>
          <w:tcPr>
            <w:tcW w:w="1014" w:type="dxa"/>
            <w:vAlign w:val="center"/>
          </w:tcPr>
          <w:p w14:paraId="60C6A366">
            <w:pPr>
              <w:jc w:val="center"/>
              <w:rPr>
                <w:szCs w:val="21"/>
              </w:rPr>
            </w:pPr>
          </w:p>
        </w:tc>
        <w:tc>
          <w:tcPr>
            <w:tcW w:w="1014" w:type="dxa"/>
            <w:vAlign w:val="center"/>
          </w:tcPr>
          <w:p w14:paraId="595C6E37">
            <w:pPr>
              <w:jc w:val="center"/>
              <w:rPr>
                <w:szCs w:val="21"/>
              </w:rPr>
            </w:pPr>
          </w:p>
        </w:tc>
        <w:tc>
          <w:tcPr>
            <w:tcW w:w="890" w:type="dxa"/>
            <w:vAlign w:val="center"/>
          </w:tcPr>
          <w:p w14:paraId="4254EBD4">
            <w:pPr>
              <w:jc w:val="center"/>
              <w:rPr>
                <w:szCs w:val="21"/>
              </w:rPr>
            </w:pPr>
          </w:p>
        </w:tc>
      </w:tr>
      <w:tr w14:paraId="3D81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75BFA0D2">
            <w:pPr>
              <w:jc w:val="center"/>
              <w:rPr>
                <w:szCs w:val="21"/>
              </w:rPr>
            </w:pPr>
          </w:p>
        </w:tc>
        <w:tc>
          <w:tcPr>
            <w:tcW w:w="1238" w:type="dxa"/>
            <w:vAlign w:val="center"/>
          </w:tcPr>
          <w:p w14:paraId="6A1C56AB">
            <w:pPr>
              <w:jc w:val="center"/>
              <w:rPr>
                <w:szCs w:val="21"/>
              </w:rPr>
            </w:pPr>
          </w:p>
        </w:tc>
        <w:tc>
          <w:tcPr>
            <w:tcW w:w="782" w:type="dxa"/>
            <w:vAlign w:val="center"/>
          </w:tcPr>
          <w:p w14:paraId="78A0AFE4">
            <w:pPr>
              <w:jc w:val="center"/>
              <w:rPr>
                <w:szCs w:val="21"/>
              </w:rPr>
            </w:pPr>
          </w:p>
        </w:tc>
        <w:tc>
          <w:tcPr>
            <w:tcW w:w="1189" w:type="dxa"/>
            <w:vAlign w:val="center"/>
          </w:tcPr>
          <w:p w14:paraId="704A0654">
            <w:pPr>
              <w:jc w:val="center"/>
              <w:rPr>
                <w:szCs w:val="21"/>
              </w:rPr>
            </w:pPr>
          </w:p>
        </w:tc>
        <w:tc>
          <w:tcPr>
            <w:tcW w:w="825" w:type="dxa"/>
            <w:vAlign w:val="center"/>
          </w:tcPr>
          <w:p w14:paraId="37A216AB">
            <w:pPr>
              <w:jc w:val="center"/>
              <w:rPr>
                <w:szCs w:val="21"/>
              </w:rPr>
            </w:pPr>
          </w:p>
        </w:tc>
        <w:tc>
          <w:tcPr>
            <w:tcW w:w="825" w:type="dxa"/>
            <w:vAlign w:val="center"/>
          </w:tcPr>
          <w:p w14:paraId="11F2D758">
            <w:pPr>
              <w:jc w:val="center"/>
              <w:rPr>
                <w:szCs w:val="21"/>
              </w:rPr>
            </w:pPr>
          </w:p>
        </w:tc>
        <w:tc>
          <w:tcPr>
            <w:tcW w:w="1368" w:type="dxa"/>
            <w:vAlign w:val="center"/>
          </w:tcPr>
          <w:p w14:paraId="0B245E3A">
            <w:pPr>
              <w:jc w:val="center"/>
              <w:rPr>
                <w:szCs w:val="21"/>
              </w:rPr>
            </w:pPr>
          </w:p>
        </w:tc>
        <w:tc>
          <w:tcPr>
            <w:tcW w:w="1014" w:type="dxa"/>
            <w:vAlign w:val="center"/>
          </w:tcPr>
          <w:p w14:paraId="11CE2097">
            <w:pPr>
              <w:jc w:val="center"/>
              <w:rPr>
                <w:szCs w:val="21"/>
              </w:rPr>
            </w:pPr>
          </w:p>
        </w:tc>
        <w:tc>
          <w:tcPr>
            <w:tcW w:w="1014" w:type="dxa"/>
            <w:vAlign w:val="center"/>
          </w:tcPr>
          <w:p w14:paraId="54346190">
            <w:pPr>
              <w:jc w:val="center"/>
              <w:rPr>
                <w:szCs w:val="21"/>
              </w:rPr>
            </w:pPr>
          </w:p>
        </w:tc>
        <w:tc>
          <w:tcPr>
            <w:tcW w:w="890" w:type="dxa"/>
            <w:vAlign w:val="center"/>
          </w:tcPr>
          <w:p w14:paraId="7500AA84">
            <w:pPr>
              <w:jc w:val="center"/>
              <w:rPr>
                <w:szCs w:val="21"/>
              </w:rPr>
            </w:pPr>
          </w:p>
        </w:tc>
      </w:tr>
      <w:tr w14:paraId="2C0B4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249BADAB">
            <w:pPr>
              <w:jc w:val="center"/>
              <w:rPr>
                <w:szCs w:val="21"/>
              </w:rPr>
            </w:pPr>
          </w:p>
        </w:tc>
        <w:tc>
          <w:tcPr>
            <w:tcW w:w="1238" w:type="dxa"/>
            <w:vAlign w:val="center"/>
          </w:tcPr>
          <w:p w14:paraId="2BADA6DD">
            <w:pPr>
              <w:jc w:val="center"/>
              <w:rPr>
                <w:szCs w:val="21"/>
              </w:rPr>
            </w:pPr>
          </w:p>
        </w:tc>
        <w:tc>
          <w:tcPr>
            <w:tcW w:w="782" w:type="dxa"/>
            <w:vAlign w:val="center"/>
          </w:tcPr>
          <w:p w14:paraId="7CD5FC28">
            <w:pPr>
              <w:jc w:val="center"/>
              <w:rPr>
                <w:szCs w:val="21"/>
              </w:rPr>
            </w:pPr>
          </w:p>
        </w:tc>
        <w:tc>
          <w:tcPr>
            <w:tcW w:w="1189" w:type="dxa"/>
            <w:vAlign w:val="center"/>
          </w:tcPr>
          <w:p w14:paraId="0CA8BD88">
            <w:pPr>
              <w:jc w:val="center"/>
              <w:rPr>
                <w:szCs w:val="21"/>
              </w:rPr>
            </w:pPr>
          </w:p>
        </w:tc>
        <w:tc>
          <w:tcPr>
            <w:tcW w:w="825" w:type="dxa"/>
            <w:vAlign w:val="center"/>
          </w:tcPr>
          <w:p w14:paraId="01CFA151">
            <w:pPr>
              <w:jc w:val="center"/>
              <w:rPr>
                <w:szCs w:val="21"/>
              </w:rPr>
            </w:pPr>
          </w:p>
        </w:tc>
        <w:tc>
          <w:tcPr>
            <w:tcW w:w="825" w:type="dxa"/>
            <w:vAlign w:val="center"/>
          </w:tcPr>
          <w:p w14:paraId="71F4EC70">
            <w:pPr>
              <w:jc w:val="center"/>
              <w:rPr>
                <w:szCs w:val="21"/>
              </w:rPr>
            </w:pPr>
          </w:p>
        </w:tc>
        <w:tc>
          <w:tcPr>
            <w:tcW w:w="1368" w:type="dxa"/>
            <w:vAlign w:val="center"/>
          </w:tcPr>
          <w:p w14:paraId="1E5C64E4">
            <w:pPr>
              <w:jc w:val="center"/>
              <w:rPr>
                <w:szCs w:val="21"/>
              </w:rPr>
            </w:pPr>
          </w:p>
        </w:tc>
        <w:tc>
          <w:tcPr>
            <w:tcW w:w="1014" w:type="dxa"/>
            <w:vAlign w:val="center"/>
          </w:tcPr>
          <w:p w14:paraId="57684603">
            <w:pPr>
              <w:jc w:val="center"/>
              <w:rPr>
                <w:szCs w:val="21"/>
              </w:rPr>
            </w:pPr>
          </w:p>
        </w:tc>
        <w:tc>
          <w:tcPr>
            <w:tcW w:w="1014" w:type="dxa"/>
            <w:vAlign w:val="center"/>
          </w:tcPr>
          <w:p w14:paraId="574FE9CB">
            <w:pPr>
              <w:jc w:val="center"/>
              <w:rPr>
                <w:szCs w:val="21"/>
              </w:rPr>
            </w:pPr>
          </w:p>
        </w:tc>
        <w:tc>
          <w:tcPr>
            <w:tcW w:w="890" w:type="dxa"/>
            <w:vAlign w:val="center"/>
          </w:tcPr>
          <w:p w14:paraId="3AA04DF4">
            <w:pPr>
              <w:jc w:val="center"/>
              <w:rPr>
                <w:szCs w:val="21"/>
              </w:rPr>
            </w:pPr>
          </w:p>
        </w:tc>
      </w:tr>
      <w:tr w14:paraId="23B3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3F59453B">
            <w:pPr>
              <w:jc w:val="center"/>
              <w:rPr>
                <w:szCs w:val="21"/>
              </w:rPr>
            </w:pPr>
          </w:p>
        </w:tc>
        <w:tc>
          <w:tcPr>
            <w:tcW w:w="1238" w:type="dxa"/>
            <w:vAlign w:val="center"/>
          </w:tcPr>
          <w:p w14:paraId="7DC73227">
            <w:pPr>
              <w:jc w:val="center"/>
              <w:rPr>
                <w:szCs w:val="21"/>
              </w:rPr>
            </w:pPr>
          </w:p>
        </w:tc>
        <w:tc>
          <w:tcPr>
            <w:tcW w:w="782" w:type="dxa"/>
            <w:vAlign w:val="center"/>
          </w:tcPr>
          <w:p w14:paraId="234C7C4E">
            <w:pPr>
              <w:jc w:val="center"/>
              <w:rPr>
                <w:szCs w:val="21"/>
              </w:rPr>
            </w:pPr>
          </w:p>
        </w:tc>
        <w:tc>
          <w:tcPr>
            <w:tcW w:w="1189" w:type="dxa"/>
            <w:vAlign w:val="center"/>
          </w:tcPr>
          <w:p w14:paraId="5BC2B404">
            <w:pPr>
              <w:jc w:val="center"/>
              <w:rPr>
                <w:szCs w:val="21"/>
              </w:rPr>
            </w:pPr>
          </w:p>
        </w:tc>
        <w:tc>
          <w:tcPr>
            <w:tcW w:w="825" w:type="dxa"/>
            <w:vAlign w:val="center"/>
          </w:tcPr>
          <w:p w14:paraId="4418343E">
            <w:pPr>
              <w:jc w:val="center"/>
              <w:rPr>
                <w:szCs w:val="21"/>
              </w:rPr>
            </w:pPr>
          </w:p>
        </w:tc>
        <w:tc>
          <w:tcPr>
            <w:tcW w:w="825" w:type="dxa"/>
            <w:vAlign w:val="center"/>
          </w:tcPr>
          <w:p w14:paraId="36718ADF">
            <w:pPr>
              <w:jc w:val="center"/>
              <w:rPr>
                <w:szCs w:val="21"/>
              </w:rPr>
            </w:pPr>
          </w:p>
        </w:tc>
        <w:tc>
          <w:tcPr>
            <w:tcW w:w="1368" w:type="dxa"/>
            <w:vAlign w:val="center"/>
          </w:tcPr>
          <w:p w14:paraId="784123EC">
            <w:pPr>
              <w:jc w:val="center"/>
              <w:rPr>
                <w:szCs w:val="21"/>
              </w:rPr>
            </w:pPr>
          </w:p>
        </w:tc>
        <w:tc>
          <w:tcPr>
            <w:tcW w:w="1014" w:type="dxa"/>
            <w:vAlign w:val="center"/>
          </w:tcPr>
          <w:p w14:paraId="46577A0B">
            <w:pPr>
              <w:jc w:val="center"/>
              <w:rPr>
                <w:szCs w:val="21"/>
              </w:rPr>
            </w:pPr>
          </w:p>
        </w:tc>
        <w:tc>
          <w:tcPr>
            <w:tcW w:w="1014" w:type="dxa"/>
            <w:vAlign w:val="center"/>
          </w:tcPr>
          <w:p w14:paraId="1AF12E57">
            <w:pPr>
              <w:jc w:val="center"/>
              <w:rPr>
                <w:szCs w:val="21"/>
              </w:rPr>
            </w:pPr>
          </w:p>
        </w:tc>
        <w:tc>
          <w:tcPr>
            <w:tcW w:w="890" w:type="dxa"/>
            <w:vAlign w:val="center"/>
          </w:tcPr>
          <w:p w14:paraId="1852C234">
            <w:pPr>
              <w:jc w:val="center"/>
              <w:rPr>
                <w:szCs w:val="21"/>
              </w:rPr>
            </w:pPr>
          </w:p>
        </w:tc>
      </w:tr>
      <w:tr w14:paraId="64AFE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5BD22E9E">
            <w:pPr>
              <w:jc w:val="center"/>
              <w:rPr>
                <w:szCs w:val="21"/>
              </w:rPr>
            </w:pPr>
          </w:p>
        </w:tc>
        <w:tc>
          <w:tcPr>
            <w:tcW w:w="1238" w:type="dxa"/>
            <w:vAlign w:val="center"/>
          </w:tcPr>
          <w:p w14:paraId="297640C7">
            <w:pPr>
              <w:jc w:val="center"/>
              <w:rPr>
                <w:szCs w:val="21"/>
              </w:rPr>
            </w:pPr>
          </w:p>
        </w:tc>
        <w:tc>
          <w:tcPr>
            <w:tcW w:w="782" w:type="dxa"/>
            <w:vAlign w:val="center"/>
          </w:tcPr>
          <w:p w14:paraId="291731C6">
            <w:pPr>
              <w:jc w:val="center"/>
              <w:rPr>
                <w:szCs w:val="21"/>
              </w:rPr>
            </w:pPr>
          </w:p>
        </w:tc>
        <w:tc>
          <w:tcPr>
            <w:tcW w:w="1189" w:type="dxa"/>
            <w:vAlign w:val="center"/>
          </w:tcPr>
          <w:p w14:paraId="28F7E975">
            <w:pPr>
              <w:jc w:val="center"/>
              <w:rPr>
                <w:szCs w:val="21"/>
              </w:rPr>
            </w:pPr>
          </w:p>
        </w:tc>
        <w:tc>
          <w:tcPr>
            <w:tcW w:w="825" w:type="dxa"/>
            <w:vAlign w:val="center"/>
          </w:tcPr>
          <w:p w14:paraId="678F3038">
            <w:pPr>
              <w:jc w:val="center"/>
              <w:rPr>
                <w:szCs w:val="21"/>
              </w:rPr>
            </w:pPr>
          </w:p>
        </w:tc>
        <w:tc>
          <w:tcPr>
            <w:tcW w:w="825" w:type="dxa"/>
            <w:vAlign w:val="center"/>
          </w:tcPr>
          <w:p w14:paraId="5F6F4DA5">
            <w:pPr>
              <w:jc w:val="center"/>
              <w:rPr>
                <w:szCs w:val="21"/>
              </w:rPr>
            </w:pPr>
          </w:p>
        </w:tc>
        <w:tc>
          <w:tcPr>
            <w:tcW w:w="1368" w:type="dxa"/>
            <w:vAlign w:val="center"/>
          </w:tcPr>
          <w:p w14:paraId="1EFA8FA6">
            <w:pPr>
              <w:jc w:val="center"/>
              <w:rPr>
                <w:szCs w:val="21"/>
              </w:rPr>
            </w:pPr>
          </w:p>
        </w:tc>
        <w:tc>
          <w:tcPr>
            <w:tcW w:w="1014" w:type="dxa"/>
            <w:vAlign w:val="center"/>
          </w:tcPr>
          <w:p w14:paraId="1D2BF100">
            <w:pPr>
              <w:jc w:val="center"/>
              <w:rPr>
                <w:szCs w:val="21"/>
              </w:rPr>
            </w:pPr>
          </w:p>
        </w:tc>
        <w:tc>
          <w:tcPr>
            <w:tcW w:w="1014" w:type="dxa"/>
            <w:vAlign w:val="center"/>
          </w:tcPr>
          <w:p w14:paraId="0FE1264E">
            <w:pPr>
              <w:jc w:val="center"/>
              <w:rPr>
                <w:szCs w:val="21"/>
              </w:rPr>
            </w:pPr>
          </w:p>
        </w:tc>
        <w:tc>
          <w:tcPr>
            <w:tcW w:w="890" w:type="dxa"/>
            <w:vAlign w:val="center"/>
          </w:tcPr>
          <w:p w14:paraId="37FD7777">
            <w:pPr>
              <w:jc w:val="center"/>
              <w:rPr>
                <w:szCs w:val="21"/>
              </w:rPr>
            </w:pPr>
          </w:p>
        </w:tc>
      </w:tr>
      <w:tr w14:paraId="745F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0BFD5ACF">
            <w:pPr>
              <w:jc w:val="center"/>
              <w:rPr>
                <w:szCs w:val="21"/>
              </w:rPr>
            </w:pPr>
          </w:p>
        </w:tc>
        <w:tc>
          <w:tcPr>
            <w:tcW w:w="1238" w:type="dxa"/>
            <w:vAlign w:val="center"/>
          </w:tcPr>
          <w:p w14:paraId="6F01CEB3">
            <w:pPr>
              <w:jc w:val="center"/>
              <w:rPr>
                <w:szCs w:val="21"/>
              </w:rPr>
            </w:pPr>
          </w:p>
        </w:tc>
        <w:tc>
          <w:tcPr>
            <w:tcW w:w="782" w:type="dxa"/>
            <w:vAlign w:val="center"/>
          </w:tcPr>
          <w:p w14:paraId="59AA36D9">
            <w:pPr>
              <w:jc w:val="center"/>
              <w:rPr>
                <w:szCs w:val="21"/>
              </w:rPr>
            </w:pPr>
          </w:p>
        </w:tc>
        <w:tc>
          <w:tcPr>
            <w:tcW w:w="1189" w:type="dxa"/>
            <w:vAlign w:val="center"/>
          </w:tcPr>
          <w:p w14:paraId="3EA682A6">
            <w:pPr>
              <w:jc w:val="center"/>
              <w:rPr>
                <w:szCs w:val="21"/>
              </w:rPr>
            </w:pPr>
          </w:p>
        </w:tc>
        <w:tc>
          <w:tcPr>
            <w:tcW w:w="825" w:type="dxa"/>
            <w:vAlign w:val="center"/>
          </w:tcPr>
          <w:p w14:paraId="4630012F">
            <w:pPr>
              <w:jc w:val="center"/>
              <w:rPr>
                <w:szCs w:val="21"/>
              </w:rPr>
            </w:pPr>
          </w:p>
        </w:tc>
        <w:tc>
          <w:tcPr>
            <w:tcW w:w="825" w:type="dxa"/>
            <w:vAlign w:val="center"/>
          </w:tcPr>
          <w:p w14:paraId="2E624F7A">
            <w:pPr>
              <w:jc w:val="center"/>
              <w:rPr>
                <w:szCs w:val="21"/>
              </w:rPr>
            </w:pPr>
          </w:p>
        </w:tc>
        <w:tc>
          <w:tcPr>
            <w:tcW w:w="1368" w:type="dxa"/>
            <w:vAlign w:val="center"/>
          </w:tcPr>
          <w:p w14:paraId="5A900580">
            <w:pPr>
              <w:jc w:val="center"/>
              <w:rPr>
                <w:szCs w:val="21"/>
              </w:rPr>
            </w:pPr>
          </w:p>
        </w:tc>
        <w:tc>
          <w:tcPr>
            <w:tcW w:w="1014" w:type="dxa"/>
            <w:vAlign w:val="center"/>
          </w:tcPr>
          <w:p w14:paraId="603E9640">
            <w:pPr>
              <w:jc w:val="center"/>
              <w:rPr>
                <w:szCs w:val="21"/>
              </w:rPr>
            </w:pPr>
          </w:p>
        </w:tc>
        <w:tc>
          <w:tcPr>
            <w:tcW w:w="1014" w:type="dxa"/>
            <w:vAlign w:val="center"/>
          </w:tcPr>
          <w:p w14:paraId="5ED1029E">
            <w:pPr>
              <w:jc w:val="center"/>
              <w:rPr>
                <w:szCs w:val="21"/>
              </w:rPr>
            </w:pPr>
          </w:p>
        </w:tc>
        <w:tc>
          <w:tcPr>
            <w:tcW w:w="890" w:type="dxa"/>
            <w:vAlign w:val="center"/>
          </w:tcPr>
          <w:p w14:paraId="481FED58">
            <w:pPr>
              <w:jc w:val="center"/>
              <w:rPr>
                <w:szCs w:val="21"/>
              </w:rPr>
            </w:pPr>
          </w:p>
        </w:tc>
      </w:tr>
      <w:tr w14:paraId="7FB0D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2D65C8C3">
            <w:pPr>
              <w:jc w:val="center"/>
              <w:rPr>
                <w:szCs w:val="21"/>
              </w:rPr>
            </w:pPr>
          </w:p>
        </w:tc>
        <w:tc>
          <w:tcPr>
            <w:tcW w:w="1238" w:type="dxa"/>
            <w:vAlign w:val="center"/>
          </w:tcPr>
          <w:p w14:paraId="6BC6697D">
            <w:pPr>
              <w:jc w:val="center"/>
              <w:rPr>
                <w:szCs w:val="21"/>
              </w:rPr>
            </w:pPr>
          </w:p>
        </w:tc>
        <w:tc>
          <w:tcPr>
            <w:tcW w:w="782" w:type="dxa"/>
            <w:vAlign w:val="center"/>
          </w:tcPr>
          <w:p w14:paraId="35C980F7">
            <w:pPr>
              <w:jc w:val="center"/>
              <w:rPr>
                <w:szCs w:val="21"/>
              </w:rPr>
            </w:pPr>
          </w:p>
        </w:tc>
        <w:tc>
          <w:tcPr>
            <w:tcW w:w="1189" w:type="dxa"/>
            <w:vAlign w:val="center"/>
          </w:tcPr>
          <w:p w14:paraId="3B7BC7E1">
            <w:pPr>
              <w:jc w:val="center"/>
              <w:rPr>
                <w:szCs w:val="21"/>
              </w:rPr>
            </w:pPr>
          </w:p>
        </w:tc>
        <w:tc>
          <w:tcPr>
            <w:tcW w:w="825" w:type="dxa"/>
            <w:vAlign w:val="center"/>
          </w:tcPr>
          <w:p w14:paraId="4A01F407">
            <w:pPr>
              <w:jc w:val="center"/>
              <w:rPr>
                <w:szCs w:val="21"/>
              </w:rPr>
            </w:pPr>
          </w:p>
        </w:tc>
        <w:tc>
          <w:tcPr>
            <w:tcW w:w="825" w:type="dxa"/>
            <w:vAlign w:val="center"/>
          </w:tcPr>
          <w:p w14:paraId="01305E0B">
            <w:pPr>
              <w:jc w:val="center"/>
              <w:rPr>
                <w:szCs w:val="21"/>
              </w:rPr>
            </w:pPr>
          </w:p>
        </w:tc>
        <w:tc>
          <w:tcPr>
            <w:tcW w:w="1368" w:type="dxa"/>
            <w:vAlign w:val="center"/>
          </w:tcPr>
          <w:p w14:paraId="63839F83">
            <w:pPr>
              <w:jc w:val="center"/>
              <w:rPr>
                <w:szCs w:val="21"/>
              </w:rPr>
            </w:pPr>
          </w:p>
        </w:tc>
        <w:tc>
          <w:tcPr>
            <w:tcW w:w="1014" w:type="dxa"/>
            <w:vAlign w:val="center"/>
          </w:tcPr>
          <w:p w14:paraId="41929DC5">
            <w:pPr>
              <w:jc w:val="center"/>
              <w:rPr>
                <w:szCs w:val="21"/>
              </w:rPr>
            </w:pPr>
          </w:p>
        </w:tc>
        <w:tc>
          <w:tcPr>
            <w:tcW w:w="1014" w:type="dxa"/>
            <w:vAlign w:val="center"/>
          </w:tcPr>
          <w:p w14:paraId="5C89585D">
            <w:pPr>
              <w:jc w:val="center"/>
              <w:rPr>
                <w:szCs w:val="21"/>
              </w:rPr>
            </w:pPr>
          </w:p>
        </w:tc>
        <w:tc>
          <w:tcPr>
            <w:tcW w:w="890" w:type="dxa"/>
            <w:vAlign w:val="center"/>
          </w:tcPr>
          <w:p w14:paraId="57648B1A">
            <w:pPr>
              <w:jc w:val="center"/>
              <w:rPr>
                <w:szCs w:val="21"/>
              </w:rPr>
            </w:pPr>
          </w:p>
        </w:tc>
      </w:tr>
      <w:tr w14:paraId="3FB07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72FA0DC3">
            <w:pPr>
              <w:jc w:val="center"/>
              <w:rPr>
                <w:szCs w:val="21"/>
              </w:rPr>
            </w:pPr>
          </w:p>
        </w:tc>
        <w:tc>
          <w:tcPr>
            <w:tcW w:w="1238" w:type="dxa"/>
            <w:vAlign w:val="center"/>
          </w:tcPr>
          <w:p w14:paraId="3EB1C4B3">
            <w:pPr>
              <w:jc w:val="center"/>
              <w:rPr>
                <w:szCs w:val="21"/>
              </w:rPr>
            </w:pPr>
          </w:p>
        </w:tc>
        <w:tc>
          <w:tcPr>
            <w:tcW w:w="782" w:type="dxa"/>
            <w:vAlign w:val="center"/>
          </w:tcPr>
          <w:p w14:paraId="5B4A8A69">
            <w:pPr>
              <w:jc w:val="center"/>
              <w:rPr>
                <w:szCs w:val="21"/>
              </w:rPr>
            </w:pPr>
          </w:p>
        </w:tc>
        <w:tc>
          <w:tcPr>
            <w:tcW w:w="1189" w:type="dxa"/>
            <w:vAlign w:val="center"/>
          </w:tcPr>
          <w:p w14:paraId="158E9AB3">
            <w:pPr>
              <w:jc w:val="center"/>
              <w:rPr>
                <w:szCs w:val="21"/>
              </w:rPr>
            </w:pPr>
          </w:p>
        </w:tc>
        <w:tc>
          <w:tcPr>
            <w:tcW w:w="825" w:type="dxa"/>
            <w:vAlign w:val="center"/>
          </w:tcPr>
          <w:p w14:paraId="525238F5">
            <w:pPr>
              <w:jc w:val="center"/>
              <w:rPr>
                <w:szCs w:val="21"/>
              </w:rPr>
            </w:pPr>
          </w:p>
        </w:tc>
        <w:tc>
          <w:tcPr>
            <w:tcW w:w="825" w:type="dxa"/>
            <w:vAlign w:val="center"/>
          </w:tcPr>
          <w:p w14:paraId="55DCA71B">
            <w:pPr>
              <w:jc w:val="center"/>
              <w:rPr>
                <w:szCs w:val="21"/>
              </w:rPr>
            </w:pPr>
          </w:p>
        </w:tc>
        <w:tc>
          <w:tcPr>
            <w:tcW w:w="1368" w:type="dxa"/>
            <w:vAlign w:val="center"/>
          </w:tcPr>
          <w:p w14:paraId="707EDC84">
            <w:pPr>
              <w:jc w:val="center"/>
              <w:rPr>
                <w:szCs w:val="21"/>
              </w:rPr>
            </w:pPr>
          </w:p>
        </w:tc>
        <w:tc>
          <w:tcPr>
            <w:tcW w:w="1014" w:type="dxa"/>
            <w:vAlign w:val="center"/>
          </w:tcPr>
          <w:p w14:paraId="4B75B19A">
            <w:pPr>
              <w:jc w:val="center"/>
              <w:rPr>
                <w:szCs w:val="21"/>
              </w:rPr>
            </w:pPr>
          </w:p>
        </w:tc>
        <w:tc>
          <w:tcPr>
            <w:tcW w:w="1014" w:type="dxa"/>
            <w:vAlign w:val="center"/>
          </w:tcPr>
          <w:p w14:paraId="0F24B1CA">
            <w:pPr>
              <w:jc w:val="center"/>
              <w:rPr>
                <w:szCs w:val="21"/>
              </w:rPr>
            </w:pPr>
          </w:p>
        </w:tc>
        <w:tc>
          <w:tcPr>
            <w:tcW w:w="890" w:type="dxa"/>
            <w:vAlign w:val="center"/>
          </w:tcPr>
          <w:p w14:paraId="33D6CB97">
            <w:pPr>
              <w:jc w:val="center"/>
              <w:rPr>
                <w:szCs w:val="21"/>
              </w:rPr>
            </w:pPr>
          </w:p>
        </w:tc>
      </w:tr>
      <w:tr w14:paraId="474B6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6DA8E557">
            <w:pPr>
              <w:jc w:val="center"/>
              <w:rPr>
                <w:szCs w:val="21"/>
              </w:rPr>
            </w:pPr>
          </w:p>
        </w:tc>
        <w:tc>
          <w:tcPr>
            <w:tcW w:w="1238" w:type="dxa"/>
            <w:vAlign w:val="center"/>
          </w:tcPr>
          <w:p w14:paraId="3E4B8B4E">
            <w:pPr>
              <w:jc w:val="center"/>
              <w:rPr>
                <w:szCs w:val="21"/>
              </w:rPr>
            </w:pPr>
          </w:p>
        </w:tc>
        <w:tc>
          <w:tcPr>
            <w:tcW w:w="782" w:type="dxa"/>
            <w:vAlign w:val="center"/>
          </w:tcPr>
          <w:p w14:paraId="75939A4B">
            <w:pPr>
              <w:jc w:val="center"/>
              <w:rPr>
                <w:szCs w:val="21"/>
              </w:rPr>
            </w:pPr>
          </w:p>
        </w:tc>
        <w:tc>
          <w:tcPr>
            <w:tcW w:w="1189" w:type="dxa"/>
            <w:vAlign w:val="center"/>
          </w:tcPr>
          <w:p w14:paraId="598B51E3">
            <w:pPr>
              <w:jc w:val="center"/>
              <w:rPr>
                <w:szCs w:val="21"/>
              </w:rPr>
            </w:pPr>
          </w:p>
        </w:tc>
        <w:tc>
          <w:tcPr>
            <w:tcW w:w="825" w:type="dxa"/>
            <w:vAlign w:val="center"/>
          </w:tcPr>
          <w:p w14:paraId="04F6055F">
            <w:pPr>
              <w:jc w:val="center"/>
              <w:rPr>
                <w:szCs w:val="21"/>
              </w:rPr>
            </w:pPr>
          </w:p>
        </w:tc>
        <w:tc>
          <w:tcPr>
            <w:tcW w:w="825" w:type="dxa"/>
            <w:vAlign w:val="center"/>
          </w:tcPr>
          <w:p w14:paraId="1BA2881A">
            <w:pPr>
              <w:jc w:val="center"/>
              <w:rPr>
                <w:szCs w:val="21"/>
              </w:rPr>
            </w:pPr>
          </w:p>
        </w:tc>
        <w:tc>
          <w:tcPr>
            <w:tcW w:w="1368" w:type="dxa"/>
            <w:vAlign w:val="center"/>
          </w:tcPr>
          <w:p w14:paraId="58E64982">
            <w:pPr>
              <w:jc w:val="center"/>
              <w:rPr>
                <w:szCs w:val="21"/>
              </w:rPr>
            </w:pPr>
          </w:p>
        </w:tc>
        <w:tc>
          <w:tcPr>
            <w:tcW w:w="1014" w:type="dxa"/>
            <w:vAlign w:val="center"/>
          </w:tcPr>
          <w:p w14:paraId="3E0717E1">
            <w:pPr>
              <w:jc w:val="center"/>
              <w:rPr>
                <w:szCs w:val="21"/>
              </w:rPr>
            </w:pPr>
          </w:p>
        </w:tc>
        <w:tc>
          <w:tcPr>
            <w:tcW w:w="1014" w:type="dxa"/>
            <w:vAlign w:val="center"/>
          </w:tcPr>
          <w:p w14:paraId="09695007">
            <w:pPr>
              <w:jc w:val="center"/>
              <w:rPr>
                <w:szCs w:val="21"/>
              </w:rPr>
            </w:pPr>
          </w:p>
        </w:tc>
        <w:tc>
          <w:tcPr>
            <w:tcW w:w="890" w:type="dxa"/>
            <w:vAlign w:val="center"/>
          </w:tcPr>
          <w:p w14:paraId="0A753D95">
            <w:pPr>
              <w:jc w:val="center"/>
              <w:rPr>
                <w:szCs w:val="21"/>
              </w:rPr>
            </w:pPr>
          </w:p>
        </w:tc>
      </w:tr>
      <w:tr w14:paraId="4BBA2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446B3434">
            <w:pPr>
              <w:jc w:val="center"/>
              <w:rPr>
                <w:szCs w:val="21"/>
              </w:rPr>
            </w:pPr>
          </w:p>
        </w:tc>
        <w:tc>
          <w:tcPr>
            <w:tcW w:w="1238" w:type="dxa"/>
            <w:vAlign w:val="center"/>
          </w:tcPr>
          <w:p w14:paraId="2FFE29E5">
            <w:pPr>
              <w:jc w:val="center"/>
              <w:rPr>
                <w:szCs w:val="21"/>
              </w:rPr>
            </w:pPr>
          </w:p>
        </w:tc>
        <w:tc>
          <w:tcPr>
            <w:tcW w:w="782" w:type="dxa"/>
            <w:vAlign w:val="center"/>
          </w:tcPr>
          <w:p w14:paraId="60F9FCEB">
            <w:pPr>
              <w:jc w:val="center"/>
              <w:rPr>
                <w:szCs w:val="21"/>
              </w:rPr>
            </w:pPr>
          </w:p>
        </w:tc>
        <w:tc>
          <w:tcPr>
            <w:tcW w:w="1189" w:type="dxa"/>
            <w:vAlign w:val="center"/>
          </w:tcPr>
          <w:p w14:paraId="550159D7">
            <w:pPr>
              <w:jc w:val="center"/>
              <w:rPr>
                <w:szCs w:val="21"/>
              </w:rPr>
            </w:pPr>
          </w:p>
        </w:tc>
        <w:tc>
          <w:tcPr>
            <w:tcW w:w="825" w:type="dxa"/>
            <w:vAlign w:val="center"/>
          </w:tcPr>
          <w:p w14:paraId="55BB1B1F">
            <w:pPr>
              <w:jc w:val="center"/>
              <w:rPr>
                <w:szCs w:val="21"/>
              </w:rPr>
            </w:pPr>
          </w:p>
        </w:tc>
        <w:tc>
          <w:tcPr>
            <w:tcW w:w="825" w:type="dxa"/>
            <w:vAlign w:val="center"/>
          </w:tcPr>
          <w:p w14:paraId="013F1CF3">
            <w:pPr>
              <w:jc w:val="center"/>
              <w:rPr>
                <w:szCs w:val="21"/>
              </w:rPr>
            </w:pPr>
          </w:p>
        </w:tc>
        <w:tc>
          <w:tcPr>
            <w:tcW w:w="1368" w:type="dxa"/>
            <w:vAlign w:val="center"/>
          </w:tcPr>
          <w:p w14:paraId="5E64F29C">
            <w:pPr>
              <w:jc w:val="center"/>
              <w:rPr>
                <w:szCs w:val="21"/>
              </w:rPr>
            </w:pPr>
          </w:p>
        </w:tc>
        <w:tc>
          <w:tcPr>
            <w:tcW w:w="1014" w:type="dxa"/>
            <w:vAlign w:val="center"/>
          </w:tcPr>
          <w:p w14:paraId="5D7F7A25">
            <w:pPr>
              <w:jc w:val="center"/>
              <w:rPr>
                <w:szCs w:val="21"/>
              </w:rPr>
            </w:pPr>
          </w:p>
        </w:tc>
        <w:tc>
          <w:tcPr>
            <w:tcW w:w="1014" w:type="dxa"/>
            <w:vAlign w:val="center"/>
          </w:tcPr>
          <w:p w14:paraId="63B10302">
            <w:pPr>
              <w:jc w:val="center"/>
              <w:rPr>
                <w:szCs w:val="21"/>
              </w:rPr>
            </w:pPr>
          </w:p>
        </w:tc>
        <w:tc>
          <w:tcPr>
            <w:tcW w:w="890" w:type="dxa"/>
            <w:vAlign w:val="center"/>
          </w:tcPr>
          <w:p w14:paraId="38C74DF1">
            <w:pPr>
              <w:jc w:val="center"/>
              <w:rPr>
                <w:szCs w:val="21"/>
              </w:rPr>
            </w:pPr>
          </w:p>
        </w:tc>
      </w:tr>
      <w:tr w14:paraId="0CFD6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360366AE">
            <w:pPr>
              <w:jc w:val="center"/>
              <w:rPr>
                <w:szCs w:val="21"/>
              </w:rPr>
            </w:pPr>
          </w:p>
        </w:tc>
        <w:tc>
          <w:tcPr>
            <w:tcW w:w="1238" w:type="dxa"/>
            <w:vAlign w:val="center"/>
          </w:tcPr>
          <w:p w14:paraId="2D96D49C">
            <w:pPr>
              <w:jc w:val="center"/>
              <w:rPr>
                <w:szCs w:val="21"/>
              </w:rPr>
            </w:pPr>
          </w:p>
        </w:tc>
        <w:tc>
          <w:tcPr>
            <w:tcW w:w="782" w:type="dxa"/>
            <w:vAlign w:val="center"/>
          </w:tcPr>
          <w:p w14:paraId="0D44CF6C">
            <w:pPr>
              <w:jc w:val="center"/>
              <w:rPr>
                <w:szCs w:val="21"/>
              </w:rPr>
            </w:pPr>
          </w:p>
        </w:tc>
        <w:tc>
          <w:tcPr>
            <w:tcW w:w="1189" w:type="dxa"/>
            <w:vAlign w:val="center"/>
          </w:tcPr>
          <w:p w14:paraId="080730AF">
            <w:pPr>
              <w:jc w:val="center"/>
              <w:rPr>
                <w:szCs w:val="21"/>
              </w:rPr>
            </w:pPr>
          </w:p>
        </w:tc>
        <w:tc>
          <w:tcPr>
            <w:tcW w:w="825" w:type="dxa"/>
            <w:vAlign w:val="center"/>
          </w:tcPr>
          <w:p w14:paraId="3AEB418C">
            <w:pPr>
              <w:jc w:val="center"/>
              <w:rPr>
                <w:szCs w:val="21"/>
              </w:rPr>
            </w:pPr>
          </w:p>
        </w:tc>
        <w:tc>
          <w:tcPr>
            <w:tcW w:w="825" w:type="dxa"/>
            <w:vAlign w:val="center"/>
          </w:tcPr>
          <w:p w14:paraId="2B4DE4B0">
            <w:pPr>
              <w:jc w:val="center"/>
              <w:rPr>
                <w:szCs w:val="21"/>
              </w:rPr>
            </w:pPr>
          </w:p>
        </w:tc>
        <w:tc>
          <w:tcPr>
            <w:tcW w:w="1368" w:type="dxa"/>
            <w:vAlign w:val="center"/>
          </w:tcPr>
          <w:p w14:paraId="1AFA3340">
            <w:pPr>
              <w:jc w:val="center"/>
              <w:rPr>
                <w:szCs w:val="21"/>
              </w:rPr>
            </w:pPr>
          </w:p>
        </w:tc>
        <w:tc>
          <w:tcPr>
            <w:tcW w:w="1014" w:type="dxa"/>
            <w:vAlign w:val="center"/>
          </w:tcPr>
          <w:p w14:paraId="3B048B01">
            <w:pPr>
              <w:jc w:val="center"/>
              <w:rPr>
                <w:szCs w:val="21"/>
              </w:rPr>
            </w:pPr>
          </w:p>
        </w:tc>
        <w:tc>
          <w:tcPr>
            <w:tcW w:w="1014" w:type="dxa"/>
            <w:vAlign w:val="center"/>
          </w:tcPr>
          <w:p w14:paraId="122D3DD7">
            <w:pPr>
              <w:jc w:val="center"/>
              <w:rPr>
                <w:szCs w:val="21"/>
              </w:rPr>
            </w:pPr>
          </w:p>
        </w:tc>
        <w:tc>
          <w:tcPr>
            <w:tcW w:w="890" w:type="dxa"/>
            <w:vAlign w:val="center"/>
          </w:tcPr>
          <w:p w14:paraId="0C0B67AE">
            <w:pPr>
              <w:jc w:val="center"/>
              <w:rPr>
                <w:szCs w:val="21"/>
              </w:rPr>
            </w:pPr>
          </w:p>
        </w:tc>
      </w:tr>
      <w:tr w14:paraId="56826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49" w:type="dxa"/>
            <w:vAlign w:val="center"/>
          </w:tcPr>
          <w:p w14:paraId="649EE97D">
            <w:pPr>
              <w:jc w:val="center"/>
              <w:rPr>
                <w:szCs w:val="21"/>
              </w:rPr>
            </w:pPr>
          </w:p>
        </w:tc>
        <w:tc>
          <w:tcPr>
            <w:tcW w:w="1238" w:type="dxa"/>
            <w:vAlign w:val="center"/>
          </w:tcPr>
          <w:p w14:paraId="461FD29E">
            <w:pPr>
              <w:jc w:val="center"/>
              <w:rPr>
                <w:szCs w:val="21"/>
              </w:rPr>
            </w:pPr>
          </w:p>
        </w:tc>
        <w:tc>
          <w:tcPr>
            <w:tcW w:w="782" w:type="dxa"/>
            <w:vAlign w:val="center"/>
          </w:tcPr>
          <w:p w14:paraId="7E169A7C">
            <w:pPr>
              <w:jc w:val="center"/>
              <w:rPr>
                <w:szCs w:val="21"/>
              </w:rPr>
            </w:pPr>
          </w:p>
        </w:tc>
        <w:tc>
          <w:tcPr>
            <w:tcW w:w="1189" w:type="dxa"/>
            <w:vAlign w:val="center"/>
          </w:tcPr>
          <w:p w14:paraId="4622249A">
            <w:pPr>
              <w:jc w:val="center"/>
              <w:rPr>
                <w:szCs w:val="21"/>
              </w:rPr>
            </w:pPr>
          </w:p>
        </w:tc>
        <w:tc>
          <w:tcPr>
            <w:tcW w:w="825" w:type="dxa"/>
            <w:vAlign w:val="center"/>
          </w:tcPr>
          <w:p w14:paraId="0F675457">
            <w:pPr>
              <w:jc w:val="center"/>
              <w:rPr>
                <w:szCs w:val="21"/>
              </w:rPr>
            </w:pPr>
          </w:p>
        </w:tc>
        <w:tc>
          <w:tcPr>
            <w:tcW w:w="825" w:type="dxa"/>
            <w:vAlign w:val="center"/>
          </w:tcPr>
          <w:p w14:paraId="50C32145">
            <w:pPr>
              <w:jc w:val="center"/>
              <w:rPr>
                <w:szCs w:val="21"/>
              </w:rPr>
            </w:pPr>
          </w:p>
        </w:tc>
        <w:tc>
          <w:tcPr>
            <w:tcW w:w="1368" w:type="dxa"/>
            <w:vAlign w:val="center"/>
          </w:tcPr>
          <w:p w14:paraId="7E874325">
            <w:pPr>
              <w:jc w:val="center"/>
              <w:rPr>
                <w:szCs w:val="21"/>
              </w:rPr>
            </w:pPr>
          </w:p>
        </w:tc>
        <w:tc>
          <w:tcPr>
            <w:tcW w:w="1014" w:type="dxa"/>
            <w:vAlign w:val="center"/>
          </w:tcPr>
          <w:p w14:paraId="3FE16C12">
            <w:pPr>
              <w:jc w:val="center"/>
              <w:rPr>
                <w:szCs w:val="21"/>
              </w:rPr>
            </w:pPr>
          </w:p>
        </w:tc>
        <w:tc>
          <w:tcPr>
            <w:tcW w:w="1014" w:type="dxa"/>
            <w:vAlign w:val="center"/>
          </w:tcPr>
          <w:p w14:paraId="57F19763">
            <w:pPr>
              <w:jc w:val="center"/>
              <w:rPr>
                <w:szCs w:val="21"/>
              </w:rPr>
            </w:pPr>
          </w:p>
        </w:tc>
        <w:tc>
          <w:tcPr>
            <w:tcW w:w="890" w:type="dxa"/>
            <w:vAlign w:val="center"/>
          </w:tcPr>
          <w:p w14:paraId="59E14CEC">
            <w:pPr>
              <w:jc w:val="center"/>
              <w:rPr>
                <w:szCs w:val="21"/>
              </w:rPr>
            </w:pPr>
          </w:p>
        </w:tc>
      </w:tr>
      <w:tr w14:paraId="31C05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749" w:type="dxa"/>
            <w:vAlign w:val="center"/>
          </w:tcPr>
          <w:p w14:paraId="1F5F94EE">
            <w:pPr>
              <w:jc w:val="center"/>
              <w:rPr>
                <w:szCs w:val="21"/>
              </w:rPr>
            </w:pPr>
          </w:p>
        </w:tc>
        <w:tc>
          <w:tcPr>
            <w:tcW w:w="1238" w:type="dxa"/>
            <w:vAlign w:val="center"/>
          </w:tcPr>
          <w:p w14:paraId="2BB2C5EE">
            <w:pPr>
              <w:jc w:val="center"/>
              <w:rPr>
                <w:szCs w:val="21"/>
              </w:rPr>
            </w:pPr>
          </w:p>
        </w:tc>
        <w:tc>
          <w:tcPr>
            <w:tcW w:w="782" w:type="dxa"/>
            <w:vAlign w:val="center"/>
          </w:tcPr>
          <w:p w14:paraId="389765B0">
            <w:pPr>
              <w:jc w:val="center"/>
              <w:rPr>
                <w:szCs w:val="21"/>
              </w:rPr>
            </w:pPr>
          </w:p>
        </w:tc>
        <w:tc>
          <w:tcPr>
            <w:tcW w:w="1189" w:type="dxa"/>
            <w:vAlign w:val="center"/>
          </w:tcPr>
          <w:p w14:paraId="1EE8B380">
            <w:pPr>
              <w:jc w:val="center"/>
              <w:rPr>
                <w:szCs w:val="21"/>
              </w:rPr>
            </w:pPr>
          </w:p>
        </w:tc>
        <w:tc>
          <w:tcPr>
            <w:tcW w:w="825" w:type="dxa"/>
            <w:vAlign w:val="center"/>
          </w:tcPr>
          <w:p w14:paraId="3C09C971">
            <w:pPr>
              <w:jc w:val="center"/>
              <w:rPr>
                <w:szCs w:val="21"/>
              </w:rPr>
            </w:pPr>
          </w:p>
        </w:tc>
        <w:tc>
          <w:tcPr>
            <w:tcW w:w="825" w:type="dxa"/>
            <w:vAlign w:val="center"/>
          </w:tcPr>
          <w:p w14:paraId="3BA86849">
            <w:pPr>
              <w:jc w:val="center"/>
              <w:rPr>
                <w:szCs w:val="21"/>
              </w:rPr>
            </w:pPr>
          </w:p>
        </w:tc>
        <w:tc>
          <w:tcPr>
            <w:tcW w:w="1368" w:type="dxa"/>
            <w:vAlign w:val="center"/>
          </w:tcPr>
          <w:p w14:paraId="7C2CC553">
            <w:pPr>
              <w:jc w:val="center"/>
              <w:rPr>
                <w:szCs w:val="21"/>
              </w:rPr>
            </w:pPr>
          </w:p>
        </w:tc>
        <w:tc>
          <w:tcPr>
            <w:tcW w:w="1014" w:type="dxa"/>
            <w:vAlign w:val="center"/>
          </w:tcPr>
          <w:p w14:paraId="6163D2E7">
            <w:pPr>
              <w:jc w:val="center"/>
              <w:rPr>
                <w:szCs w:val="21"/>
              </w:rPr>
            </w:pPr>
          </w:p>
        </w:tc>
        <w:tc>
          <w:tcPr>
            <w:tcW w:w="1014" w:type="dxa"/>
            <w:vAlign w:val="center"/>
          </w:tcPr>
          <w:p w14:paraId="17297D49">
            <w:pPr>
              <w:jc w:val="center"/>
              <w:rPr>
                <w:szCs w:val="21"/>
              </w:rPr>
            </w:pPr>
          </w:p>
        </w:tc>
        <w:tc>
          <w:tcPr>
            <w:tcW w:w="890" w:type="dxa"/>
            <w:vAlign w:val="center"/>
          </w:tcPr>
          <w:p w14:paraId="1474BDB5">
            <w:pPr>
              <w:jc w:val="center"/>
              <w:rPr>
                <w:szCs w:val="21"/>
              </w:rPr>
            </w:pPr>
          </w:p>
        </w:tc>
      </w:tr>
    </w:tbl>
    <w:p w14:paraId="27804E0C">
      <w:pPr>
        <w:spacing w:line="420" w:lineRule="exact"/>
        <w:rPr>
          <w:szCs w:val="21"/>
        </w:rPr>
      </w:pPr>
    </w:p>
    <w:p w14:paraId="4FA0E97E">
      <w:pPr>
        <w:spacing w:before="120" w:beforeLines="50" w:after="240" w:afterLines="100" w:line="420" w:lineRule="exact"/>
        <w:outlineLvl w:val="2"/>
        <w:rPr>
          <w:szCs w:val="21"/>
        </w:rPr>
      </w:pPr>
      <w:r>
        <w:rPr>
          <w:rFonts w:hint="eastAsia"/>
          <w:szCs w:val="21"/>
        </w:rPr>
        <w:br w:type="page"/>
      </w:r>
      <w:r>
        <w:rPr>
          <w:rFonts w:hint="eastAsia"/>
          <w:szCs w:val="21"/>
        </w:rPr>
        <w:t>附表二：拟配备本工程的试验和检测仪器设备表</w:t>
      </w:r>
    </w:p>
    <w:tbl>
      <w:tblPr>
        <w:tblStyle w:val="27"/>
        <w:tblW w:w="987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272"/>
        <w:gridCol w:w="809"/>
        <w:gridCol w:w="1024"/>
        <w:gridCol w:w="991"/>
        <w:gridCol w:w="859"/>
        <w:gridCol w:w="1272"/>
        <w:gridCol w:w="1773"/>
        <w:gridCol w:w="1000"/>
      </w:tblGrid>
      <w:tr w14:paraId="522B7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875" w:type="dxa"/>
            <w:vAlign w:val="center"/>
          </w:tcPr>
          <w:p w14:paraId="08BBC1FA">
            <w:pPr>
              <w:jc w:val="center"/>
              <w:rPr>
                <w:szCs w:val="21"/>
              </w:rPr>
            </w:pPr>
            <w:r>
              <w:rPr>
                <w:rFonts w:hint="eastAsia"/>
                <w:szCs w:val="21"/>
              </w:rPr>
              <w:t>序号</w:t>
            </w:r>
          </w:p>
        </w:tc>
        <w:tc>
          <w:tcPr>
            <w:tcW w:w="1272" w:type="dxa"/>
            <w:vAlign w:val="center"/>
          </w:tcPr>
          <w:p w14:paraId="32E2DECD">
            <w:pPr>
              <w:jc w:val="center"/>
              <w:rPr>
                <w:szCs w:val="21"/>
              </w:rPr>
            </w:pPr>
            <w:r>
              <w:rPr>
                <w:rFonts w:hint="eastAsia"/>
                <w:szCs w:val="21"/>
              </w:rPr>
              <w:t>仪器设备</w:t>
            </w:r>
          </w:p>
          <w:p w14:paraId="6D0CC5F1">
            <w:pPr>
              <w:jc w:val="center"/>
              <w:rPr>
                <w:szCs w:val="21"/>
              </w:rPr>
            </w:pPr>
            <w:r>
              <w:rPr>
                <w:rFonts w:hint="eastAsia"/>
                <w:szCs w:val="21"/>
              </w:rPr>
              <w:t>名    称</w:t>
            </w:r>
          </w:p>
        </w:tc>
        <w:tc>
          <w:tcPr>
            <w:tcW w:w="809" w:type="dxa"/>
            <w:vAlign w:val="center"/>
          </w:tcPr>
          <w:p w14:paraId="3814A5FC">
            <w:pPr>
              <w:jc w:val="center"/>
              <w:rPr>
                <w:szCs w:val="21"/>
              </w:rPr>
            </w:pPr>
            <w:r>
              <w:rPr>
                <w:rFonts w:hint="eastAsia"/>
                <w:szCs w:val="21"/>
              </w:rPr>
              <w:t>型号</w:t>
            </w:r>
          </w:p>
          <w:p w14:paraId="105AF068">
            <w:pPr>
              <w:jc w:val="center"/>
              <w:rPr>
                <w:szCs w:val="21"/>
              </w:rPr>
            </w:pPr>
            <w:r>
              <w:rPr>
                <w:rFonts w:hint="eastAsia"/>
                <w:szCs w:val="21"/>
              </w:rPr>
              <w:t>规格</w:t>
            </w:r>
          </w:p>
        </w:tc>
        <w:tc>
          <w:tcPr>
            <w:tcW w:w="1024" w:type="dxa"/>
            <w:vAlign w:val="center"/>
          </w:tcPr>
          <w:p w14:paraId="2357BD48">
            <w:pPr>
              <w:jc w:val="center"/>
              <w:rPr>
                <w:szCs w:val="21"/>
              </w:rPr>
            </w:pPr>
            <w:r>
              <w:rPr>
                <w:rFonts w:hint="eastAsia"/>
                <w:szCs w:val="21"/>
              </w:rPr>
              <w:t>数  量</w:t>
            </w:r>
          </w:p>
        </w:tc>
        <w:tc>
          <w:tcPr>
            <w:tcW w:w="991" w:type="dxa"/>
            <w:vAlign w:val="center"/>
          </w:tcPr>
          <w:p w14:paraId="0A61D76D">
            <w:pPr>
              <w:jc w:val="center"/>
              <w:rPr>
                <w:szCs w:val="21"/>
              </w:rPr>
            </w:pPr>
            <w:r>
              <w:rPr>
                <w:rFonts w:hint="eastAsia"/>
                <w:szCs w:val="21"/>
              </w:rPr>
              <w:t>国别</w:t>
            </w:r>
          </w:p>
          <w:p w14:paraId="6C5B11DD">
            <w:pPr>
              <w:jc w:val="center"/>
              <w:rPr>
                <w:szCs w:val="21"/>
              </w:rPr>
            </w:pPr>
            <w:r>
              <w:rPr>
                <w:rFonts w:hint="eastAsia"/>
                <w:szCs w:val="21"/>
              </w:rPr>
              <w:t>产地</w:t>
            </w:r>
          </w:p>
        </w:tc>
        <w:tc>
          <w:tcPr>
            <w:tcW w:w="859" w:type="dxa"/>
            <w:vAlign w:val="center"/>
          </w:tcPr>
          <w:p w14:paraId="7A7736AD">
            <w:pPr>
              <w:jc w:val="center"/>
              <w:rPr>
                <w:szCs w:val="21"/>
              </w:rPr>
            </w:pPr>
            <w:r>
              <w:rPr>
                <w:rFonts w:hint="eastAsia"/>
                <w:szCs w:val="21"/>
              </w:rPr>
              <w:t>制造</w:t>
            </w:r>
          </w:p>
          <w:p w14:paraId="7DE45565">
            <w:pPr>
              <w:jc w:val="center"/>
              <w:rPr>
                <w:szCs w:val="21"/>
              </w:rPr>
            </w:pPr>
            <w:r>
              <w:rPr>
                <w:rFonts w:hint="eastAsia"/>
                <w:szCs w:val="21"/>
              </w:rPr>
              <w:t>年份</w:t>
            </w:r>
          </w:p>
        </w:tc>
        <w:tc>
          <w:tcPr>
            <w:tcW w:w="1272" w:type="dxa"/>
            <w:vAlign w:val="center"/>
          </w:tcPr>
          <w:p w14:paraId="0C911F84">
            <w:pPr>
              <w:jc w:val="center"/>
              <w:rPr>
                <w:szCs w:val="21"/>
              </w:rPr>
            </w:pPr>
            <w:r>
              <w:rPr>
                <w:rFonts w:hint="eastAsia"/>
                <w:szCs w:val="21"/>
              </w:rPr>
              <w:t>已使用台</w:t>
            </w:r>
          </w:p>
          <w:p w14:paraId="238F4316">
            <w:pPr>
              <w:jc w:val="center"/>
              <w:rPr>
                <w:szCs w:val="21"/>
              </w:rPr>
            </w:pPr>
            <w:r>
              <w:rPr>
                <w:rFonts w:hint="eastAsia"/>
                <w:szCs w:val="21"/>
              </w:rPr>
              <w:t>时    数</w:t>
            </w:r>
          </w:p>
        </w:tc>
        <w:tc>
          <w:tcPr>
            <w:tcW w:w="1773" w:type="dxa"/>
            <w:vAlign w:val="center"/>
          </w:tcPr>
          <w:p w14:paraId="0D81F875">
            <w:pPr>
              <w:jc w:val="center"/>
              <w:rPr>
                <w:szCs w:val="21"/>
              </w:rPr>
            </w:pPr>
            <w:r>
              <w:rPr>
                <w:rFonts w:hint="eastAsia"/>
                <w:szCs w:val="21"/>
              </w:rPr>
              <w:t>用  途</w:t>
            </w:r>
          </w:p>
        </w:tc>
        <w:tc>
          <w:tcPr>
            <w:tcW w:w="1000" w:type="dxa"/>
            <w:vAlign w:val="center"/>
          </w:tcPr>
          <w:p w14:paraId="1DB06D75">
            <w:pPr>
              <w:jc w:val="center"/>
              <w:rPr>
                <w:szCs w:val="21"/>
              </w:rPr>
            </w:pPr>
            <w:r>
              <w:rPr>
                <w:rFonts w:hint="eastAsia"/>
                <w:szCs w:val="21"/>
              </w:rPr>
              <w:t>备注</w:t>
            </w:r>
          </w:p>
        </w:tc>
      </w:tr>
      <w:tr w14:paraId="41260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6C5A4A11">
            <w:pPr>
              <w:jc w:val="center"/>
              <w:rPr>
                <w:szCs w:val="21"/>
              </w:rPr>
            </w:pPr>
          </w:p>
        </w:tc>
        <w:tc>
          <w:tcPr>
            <w:tcW w:w="1272" w:type="dxa"/>
            <w:vAlign w:val="center"/>
          </w:tcPr>
          <w:p w14:paraId="6E7BCA20">
            <w:pPr>
              <w:jc w:val="center"/>
              <w:rPr>
                <w:szCs w:val="21"/>
              </w:rPr>
            </w:pPr>
          </w:p>
        </w:tc>
        <w:tc>
          <w:tcPr>
            <w:tcW w:w="809" w:type="dxa"/>
            <w:vAlign w:val="center"/>
          </w:tcPr>
          <w:p w14:paraId="6DB845F1">
            <w:pPr>
              <w:jc w:val="center"/>
              <w:rPr>
                <w:szCs w:val="21"/>
              </w:rPr>
            </w:pPr>
          </w:p>
        </w:tc>
        <w:tc>
          <w:tcPr>
            <w:tcW w:w="1024" w:type="dxa"/>
            <w:vAlign w:val="center"/>
          </w:tcPr>
          <w:p w14:paraId="1B27AE20">
            <w:pPr>
              <w:jc w:val="center"/>
              <w:rPr>
                <w:szCs w:val="21"/>
              </w:rPr>
            </w:pPr>
          </w:p>
        </w:tc>
        <w:tc>
          <w:tcPr>
            <w:tcW w:w="991" w:type="dxa"/>
            <w:vAlign w:val="center"/>
          </w:tcPr>
          <w:p w14:paraId="1A594B09">
            <w:pPr>
              <w:jc w:val="center"/>
              <w:rPr>
                <w:szCs w:val="21"/>
              </w:rPr>
            </w:pPr>
          </w:p>
        </w:tc>
        <w:tc>
          <w:tcPr>
            <w:tcW w:w="859" w:type="dxa"/>
            <w:vAlign w:val="center"/>
          </w:tcPr>
          <w:p w14:paraId="7420C828">
            <w:pPr>
              <w:jc w:val="center"/>
              <w:rPr>
                <w:szCs w:val="21"/>
              </w:rPr>
            </w:pPr>
          </w:p>
        </w:tc>
        <w:tc>
          <w:tcPr>
            <w:tcW w:w="1272" w:type="dxa"/>
            <w:vAlign w:val="center"/>
          </w:tcPr>
          <w:p w14:paraId="2D727449">
            <w:pPr>
              <w:jc w:val="center"/>
              <w:rPr>
                <w:szCs w:val="21"/>
              </w:rPr>
            </w:pPr>
          </w:p>
        </w:tc>
        <w:tc>
          <w:tcPr>
            <w:tcW w:w="1773" w:type="dxa"/>
            <w:vAlign w:val="center"/>
          </w:tcPr>
          <w:p w14:paraId="73AC894A">
            <w:pPr>
              <w:jc w:val="center"/>
              <w:rPr>
                <w:szCs w:val="21"/>
              </w:rPr>
            </w:pPr>
          </w:p>
        </w:tc>
        <w:tc>
          <w:tcPr>
            <w:tcW w:w="1000" w:type="dxa"/>
            <w:vAlign w:val="center"/>
          </w:tcPr>
          <w:p w14:paraId="34C297B9">
            <w:pPr>
              <w:jc w:val="center"/>
              <w:rPr>
                <w:szCs w:val="21"/>
              </w:rPr>
            </w:pPr>
          </w:p>
        </w:tc>
      </w:tr>
      <w:tr w14:paraId="760E0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055021D5">
            <w:pPr>
              <w:jc w:val="center"/>
              <w:rPr>
                <w:szCs w:val="21"/>
              </w:rPr>
            </w:pPr>
          </w:p>
        </w:tc>
        <w:tc>
          <w:tcPr>
            <w:tcW w:w="1272" w:type="dxa"/>
            <w:vAlign w:val="center"/>
          </w:tcPr>
          <w:p w14:paraId="0E7D411E">
            <w:pPr>
              <w:jc w:val="center"/>
              <w:rPr>
                <w:szCs w:val="21"/>
              </w:rPr>
            </w:pPr>
          </w:p>
        </w:tc>
        <w:tc>
          <w:tcPr>
            <w:tcW w:w="809" w:type="dxa"/>
            <w:vAlign w:val="center"/>
          </w:tcPr>
          <w:p w14:paraId="259A13E7">
            <w:pPr>
              <w:jc w:val="center"/>
              <w:rPr>
                <w:szCs w:val="21"/>
              </w:rPr>
            </w:pPr>
          </w:p>
        </w:tc>
        <w:tc>
          <w:tcPr>
            <w:tcW w:w="1024" w:type="dxa"/>
            <w:vAlign w:val="center"/>
          </w:tcPr>
          <w:p w14:paraId="585D2260">
            <w:pPr>
              <w:jc w:val="center"/>
              <w:rPr>
                <w:szCs w:val="21"/>
              </w:rPr>
            </w:pPr>
          </w:p>
        </w:tc>
        <w:tc>
          <w:tcPr>
            <w:tcW w:w="991" w:type="dxa"/>
            <w:vAlign w:val="center"/>
          </w:tcPr>
          <w:p w14:paraId="78BD998E">
            <w:pPr>
              <w:jc w:val="center"/>
              <w:rPr>
                <w:szCs w:val="21"/>
              </w:rPr>
            </w:pPr>
          </w:p>
        </w:tc>
        <w:tc>
          <w:tcPr>
            <w:tcW w:w="859" w:type="dxa"/>
            <w:vAlign w:val="center"/>
          </w:tcPr>
          <w:p w14:paraId="3C93171C">
            <w:pPr>
              <w:jc w:val="center"/>
              <w:rPr>
                <w:szCs w:val="21"/>
              </w:rPr>
            </w:pPr>
          </w:p>
        </w:tc>
        <w:tc>
          <w:tcPr>
            <w:tcW w:w="1272" w:type="dxa"/>
            <w:vAlign w:val="center"/>
          </w:tcPr>
          <w:p w14:paraId="3BE9D5FE">
            <w:pPr>
              <w:jc w:val="center"/>
              <w:rPr>
                <w:szCs w:val="21"/>
              </w:rPr>
            </w:pPr>
          </w:p>
        </w:tc>
        <w:tc>
          <w:tcPr>
            <w:tcW w:w="1773" w:type="dxa"/>
            <w:vAlign w:val="center"/>
          </w:tcPr>
          <w:p w14:paraId="301C2DF6">
            <w:pPr>
              <w:jc w:val="center"/>
              <w:rPr>
                <w:szCs w:val="21"/>
              </w:rPr>
            </w:pPr>
          </w:p>
        </w:tc>
        <w:tc>
          <w:tcPr>
            <w:tcW w:w="1000" w:type="dxa"/>
            <w:vAlign w:val="center"/>
          </w:tcPr>
          <w:p w14:paraId="58C71FCA">
            <w:pPr>
              <w:jc w:val="center"/>
              <w:rPr>
                <w:szCs w:val="21"/>
              </w:rPr>
            </w:pPr>
          </w:p>
        </w:tc>
      </w:tr>
      <w:tr w14:paraId="2FDE9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331063AC">
            <w:pPr>
              <w:jc w:val="center"/>
              <w:rPr>
                <w:szCs w:val="21"/>
              </w:rPr>
            </w:pPr>
          </w:p>
        </w:tc>
        <w:tc>
          <w:tcPr>
            <w:tcW w:w="1272" w:type="dxa"/>
            <w:vAlign w:val="center"/>
          </w:tcPr>
          <w:p w14:paraId="5F62D27A">
            <w:pPr>
              <w:jc w:val="center"/>
              <w:rPr>
                <w:szCs w:val="21"/>
              </w:rPr>
            </w:pPr>
          </w:p>
        </w:tc>
        <w:tc>
          <w:tcPr>
            <w:tcW w:w="809" w:type="dxa"/>
            <w:vAlign w:val="center"/>
          </w:tcPr>
          <w:p w14:paraId="7D66ABA5">
            <w:pPr>
              <w:jc w:val="center"/>
              <w:rPr>
                <w:szCs w:val="21"/>
              </w:rPr>
            </w:pPr>
          </w:p>
        </w:tc>
        <w:tc>
          <w:tcPr>
            <w:tcW w:w="1024" w:type="dxa"/>
            <w:vAlign w:val="center"/>
          </w:tcPr>
          <w:p w14:paraId="42618604">
            <w:pPr>
              <w:jc w:val="center"/>
              <w:rPr>
                <w:szCs w:val="21"/>
              </w:rPr>
            </w:pPr>
          </w:p>
        </w:tc>
        <w:tc>
          <w:tcPr>
            <w:tcW w:w="991" w:type="dxa"/>
            <w:vAlign w:val="center"/>
          </w:tcPr>
          <w:p w14:paraId="078507A7">
            <w:pPr>
              <w:jc w:val="center"/>
              <w:rPr>
                <w:szCs w:val="21"/>
              </w:rPr>
            </w:pPr>
          </w:p>
        </w:tc>
        <w:tc>
          <w:tcPr>
            <w:tcW w:w="859" w:type="dxa"/>
            <w:vAlign w:val="center"/>
          </w:tcPr>
          <w:p w14:paraId="10505432">
            <w:pPr>
              <w:jc w:val="center"/>
              <w:rPr>
                <w:szCs w:val="21"/>
              </w:rPr>
            </w:pPr>
          </w:p>
        </w:tc>
        <w:tc>
          <w:tcPr>
            <w:tcW w:w="1272" w:type="dxa"/>
            <w:vAlign w:val="center"/>
          </w:tcPr>
          <w:p w14:paraId="3F23A8A8">
            <w:pPr>
              <w:jc w:val="center"/>
              <w:rPr>
                <w:szCs w:val="21"/>
              </w:rPr>
            </w:pPr>
          </w:p>
        </w:tc>
        <w:tc>
          <w:tcPr>
            <w:tcW w:w="1773" w:type="dxa"/>
            <w:vAlign w:val="center"/>
          </w:tcPr>
          <w:p w14:paraId="50CC67FD">
            <w:pPr>
              <w:jc w:val="center"/>
              <w:rPr>
                <w:szCs w:val="21"/>
              </w:rPr>
            </w:pPr>
          </w:p>
        </w:tc>
        <w:tc>
          <w:tcPr>
            <w:tcW w:w="1000" w:type="dxa"/>
            <w:vAlign w:val="center"/>
          </w:tcPr>
          <w:p w14:paraId="4AE21AF3">
            <w:pPr>
              <w:jc w:val="center"/>
              <w:rPr>
                <w:szCs w:val="21"/>
              </w:rPr>
            </w:pPr>
          </w:p>
        </w:tc>
      </w:tr>
      <w:tr w14:paraId="4FAB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42153B12">
            <w:pPr>
              <w:jc w:val="center"/>
              <w:rPr>
                <w:szCs w:val="21"/>
              </w:rPr>
            </w:pPr>
          </w:p>
        </w:tc>
        <w:tc>
          <w:tcPr>
            <w:tcW w:w="1272" w:type="dxa"/>
            <w:vAlign w:val="center"/>
          </w:tcPr>
          <w:p w14:paraId="4E96B3DF">
            <w:pPr>
              <w:jc w:val="center"/>
              <w:rPr>
                <w:szCs w:val="21"/>
              </w:rPr>
            </w:pPr>
          </w:p>
        </w:tc>
        <w:tc>
          <w:tcPr>
            <w:tcW w:w="809" w:type="dxa"/>
            <w:vAlign w:val="center"/>
          </w:tcPr>
          <w:p w14:paraId="50D11994">
            <w:pPr>
              <w:jc w:val="center"/>
              <w:rPr>
                <w:szCs w:val="21"/>
              </w:rPr>
            </w:pPr>
          </w:p>
        </w:tc>
        <w:tc>
          <w:tcPr>
            <w:tcW w:w="1024" w:type="dxa"/>
            <w:vAlign w:val="center"/>
          </w:tcPr>
          <w:p w14:paraId="5FDC35FF">
            <w:pPr>
              <w:jc w:val="center"/>
              <w:rPr>
                <w:szCs w:val="21"/>
              </w:rPr>
            </w:pPr>
          </w:p>
        </w:tc>
        <w:tc>
          <w:tcPr>
            <w:tcW w:w="991" w:type="dxa"/>
            <w:vAlign w:val="center"/>
          </w:tcPr>
          <w:p w14:paraId="6F4D0612">
            <w:pPr>
              <w:jc w:val="center"/>
              <w:rPr>
                <w:szCs w:val="21"/>
              </w:rPr>
            </w:pPr>
          </w:p>
        </w:tc>
        <w:tc>
          <w:tcPr>
            <w:tcW w:w="859" w:type="dxa"/>
            <w:vAlign w:val="center"/>
          </w:tcPr>
          <w:p w14:paraId="6347792F">
            <w:pPr>
              <w:jc w:val="center"/>
              <w:rPr>
                <w:szCs w:val="21"/>
              </w:rPr>
            </w:pPr>
          </w:p>
        </w:tc>
        <w:tc>
          <w:tcPr>
            <w:tcW w:w="1272" w:type="dxa"/>
            <w:vAlign w:val="center"/>
          </w:tcPr>
          <w:p w14:paraId="15F9B53D">
            <w:pPr>
              <w:jc w:val="center"/>
              <w:rPr>
                <w:szCs w:val="21"/>
              </w:rPr>
            </w:pPr>
          </w:p>
        </w:tc>
        <w:tc>
          <w:tcPr>
            <w:tcW w:w="1773" w:type="dxa"/>
            <w:vAlign w:val="center"/>
          </w:tcPr>
          <w:p w14:paraId="5F972D20">
            <w:pPr>
              <w:jc w:val="center"/>
              <w:rPr>
                <w:szCs w:val="21"/>
              </w:rPr>
            </w:pPr>
          </w:p>
        </w:tc>
        <w:tc>
          <w:tcPr>
            <w:tcW w:w="1000" w:type="dxa"/>
            <w:vAlign w:val="center"/>
          </w:tcPr>
          <w:p w14:paraId="7C469838">
            <w:pPr>
              <w:jc w:val="center"/>
              <w:rPr>
                <w:szCs w:val="21"/>
              </w:rPr>
            </w:pPr>
          </w:p>
        </w:tc>
      </w:tr>
      <w:tr w14:paraId="1CD7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6" w:hRule="atLeast"/>
        </w:trPr>
        <w:tc>
          <w:tcPr>
            <w:tcW w:w="875" w:type="dxa"/>
            <w:vAlign w:val="center"/>
          </w:tcPr>
          <w:p w14:paraId="1BC3D972">
            <w:pPr>
              <w:jc w:val="center"/>
              <w:rPr>
                <w:szCs w:val="21"/>
              </w:rPr>
            </w:pPr>
          </w:p>
        </w:tc>
        <w:tc>
          <w:tcPr>
            <w:tcW w:w="1272" w:type="dxa"/>
            <w:vAlign w:val="center"/>
          </w:tcPr>
          <w:p w14:paraId="3ACFBB9E">
            <w:pPr>
              <w:jc w:val="center"/>
              <w:rPr>
                <w:szCs w:val="21"/>
              </w:rPr>
            </w:pPr>
          </w:p>
        </w:tc>
        <w:tc>
          <w:tcPr>
            <w:tcW w:w="809" w:type="dxa"/>
            <w:vAlign w:val="center"/>
          </w:tcPr>
          <w:p w14:paraId="1250B86C">
            <w:pPr>
              <w:jc w:val="center"/>
              <w:rPr>
                <w:szCs w:val="21"/>
              </w:rPr>
            </w:pPr>
          </w:p>
        </w:tc>
        <w:tc>
          <w:tcPr>
            <w:tcW w:w="1024" w:type="dxa"/>
            <w:vAlign w:val="center"/>
          </w:tcPr>
          <w:p w14:paraId="258009C2">
            <w:pPr>
              <w:jc w:val="center"/>
              <w:rPr>
                <w:szCs w:val="21"/>
              </w:rPr>
            </w:pPr>
          </w:p>
        </w:tc>
        <w:tc>
          <w:tcPr>
            <w:tcW w:w="991" w:type="dxa"/>
            <w:vAlign w:val="center"/>
          </w:tcPr>
          <w:p w14:paraId="0C42714B">
            <w:pPr>
              <w:jc w:val="center"/>
              <w:rPr>
                <w:szCs w:val="21"/>
              </w:rPr>
            </w:pPr>
          </w:p>
        </w:tc>
        <w:tc>
          <w:tcPr>
            <w:tcW w:w="859" w:type="dxa"/>
            <w:vAlign w:val="center"/>
          </w:tcPr>
          <w:p w14:paraId="322361CC">
            <w:pPr>
              <w:jc w:val="center"/>
              <w:rPr>
                <w:szCs w:val="21"/>
              </w:rPr>
            </w:pPr>
          </w:p>
        </w:tc>
        <w:tc>
          <w:tcPr>
            <w:tcW w:w="1272" w:type="dxa"/>
            <w:vAlign w:val="center"/>
          </w:tcPr>
          <w:p w14:paraId="050ADEAB">
            <w:pPr>
              <w:jc w:val="center"/>
              <w:rPr>
                <w:szCs w:val="21"/>
              </w:rPr>
            </w:pPr>
          </w:p>
        </w:tc>
        <w:tc>
          <w:tcPr>
            <w:tcW w:w="1773" w:type="dxa"/>
            <w:vAlign w:val="center"/>
          </w:tcPr>
          <w:p w14:paraId="40E4A171">
            <w:pPr>
              <w:jc w:val="center"/>
              <w:rPr>
                <w:szCs w:val="21"/>
              </w:rPr>
            </w:pPr>
          </w:p>
        </w:tc>
        <w:tc>
          <w:tcPr>
            <w:tcW w:w="1000" w:type="dxa"/>
            <w:vAlign w:val="center"/>
          </w:tcPr>
          <w:p w14:paraId="74920F7F">
            <w:pPr>
              <w:jc w:val="center"/>
              <w:rPr>
                <w:szCs w:val="21"/>
              </w:rPr>
            </w:pPr>
          </w:p>
        </w:tc>
      </w:tr>
      <w:tr w14:paraId="1EF4D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716A27E4">
            <w:pPr>
              <w:jc w:val="center"/>
              <w:rPr>
                <w:szCs w:val="21"/>
              </w:rPr>
            </w:pPr>
          </w:p>
        </w:tc>
        <w:tc>
          <w:tcPr>
            <w:tcW w:w="1272" w:type="dxa"/>
            <w:vAlign w:val="center"/>
          </w:tcPr>
          <w:p w14:paraId="29AA8C28">
            <w:pPr>
              <w:jc w:val="center"/>
              <w:rPr>
                <w:szCs w:val="21"/>
              </w:rPr>
            </w:pPr>
          </w:p>
        </w:tc>
        <w:tc>
          <w:tcPr>
            <w:tcW w:w="809" w:type="dxa"/>
            <w:vAlign w:val="center"/>
          </w:tcPr>
          <w:p w14:paraId="71ED9A00">
            <w:pPr>
              <w:jc w:val="center"/>
              <w:rPr>
                <w:szCs w:val="21"/>
              </w:rPr>
            </w:pPr>
          </w:p>
        </w:tc>
        <w:tc>
          <w:tcPr>
            <w:tcW w:w="1024" w:type="dxa"/>
            <w:vAlign w:val="center"/>
          </w:tcPr>
          <w:p w14:paraId="69C2ADA9">
            <w:pPr>
              <w:jc w:val="center"/>
              <w:rPr>
                <w:szCs w:val="21"/>
              </w:rPr>
            </w:pPr>
          </w:p>
        </w:tc>
        <w:tc>
          <w:tcPr>
            <w:tcW w:w="991" w:type="dxa"/>
            <w:vAlign w:val="center"/>
          </w:tcPr>
          <w:p w14:paraId="4A952C27">
            <w:pPr>
              <w:jc w:val="center"/>
              <w:rPr>
                <w:szCs w:val="21"/>
              </w:rPr>
            </w:pPr>
          </w:p>
        </w:tc>
        <w:tc>
          <w:tcPr>
            <w:tcW w:w="859" w:type="dxa"/>
            <w:vAlign w:val="center"/>
          </w:tcPr>
          <w:p w14:paraId="436076DF">
            <w:pPr>
              <w:jc w:val="center"/>
              <w:rPr>
                <w:szCs w:val="21"/>
              </w:rPr>
            </w:pPr>
          </w:p>
        </w:tc>
        <w:tc>
          <w:tcPr>
            <w:tcW w:w="1272" w:type="dxa"/>
            <w:vAlign w:val="center"/>
          </w:tcPr>
          <w:p w14:paraId="134173ED">
            <w:pPr>
              <w:jc w:val="center"/>
              <w:rPr>
                <w:szCs w:val="21"/>
              </w:rPr>
            </w:pPr>
          </w:p>
        </w:tc>
        <w:tc>
          <w:tcPr>
            <w:tcW w:w="1773" w:type="dxa"/>
            <w:vAlign w:val="center"/>
          </w:tcPr>
          <w:p w14:paraId="79A81150">
            <w:pPr>
              <w:jc w:val="center"/>
              <w:rPr>
                <w:szCs w:val="21"/>
              </w:rPr>
            </w:pPr>
          </w:p>
        </w:tc>
        <w:tc>
          <w:tcPr>
            <w:tcW w:w="1000" w:type="dxa"/>
            <w:vAlign w:val="center"/>
          </w:tcPr>
          <w:p w14:paraId="1EEBA648">
            <w:pPr>
              <w:jc w:val="center"/>
              <w:rPr>
                <w:szCs w:val="21"/>
              </w:rPr>
            </w:pPr>
          </w:p>
        </w:tc>
      </w:tr>
      <w:tr w14:paraId="4FCEC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3FEDA2D0">
            <w:pPr>
              <w:jc w:val="center"/>
              <w:rPr>
                <w:szCs w:val="21"/>
              </w:rPr>
            </w:pPr>
          </w:p>
        </w:tc>
        <w:tc>
          <w:tcPr>
            <w:tcW w:w="1272" w:type="dxa"/>
            <w:vAlign w:val="center"/>
          </w:tcPr>
          <w:p w14:paraId="1A8C18AD">
            <w:pPr>
              <w:jc w:val="center"/>
              <w:rPr>
                <w:szCs w:val="21"/>
              </w:rPr>
            </w:pPr>
          </w:p>
        </w:tc>
        <w:tc>
          <w:tcPr>
            <w:tcW w:w="809" w:type="dxa"/>
            <w:vAlign w:val="center"/>
          </w:tcPr>
          <w:p w14:paraId="01824360">
            <w:pPr>
              <w:jc w:val="center"/>
              <w:rPr>
                <w:szCs w:val="21"/>
              </w:rPr>
            </w:pPr>
          </w:p>
        </w:tc>
        <w:tc>
          <w:tcPr>
            <w:tcW w:w="1024" w:type="dxa"/>
            <w:vAlign w:val="center"/>
          </w:tcPr>
          <w:p w14:paraId="433C501B">
            <w:pPr>
              <w:jc w:val="center"/>
              <w:rPr>
                <w:szCs w:val="21"/>
              </w:rPr>
            </w:pPr>
          </w:p>
        </w:tc>
        <w:tc>
          <w:tcPr>
            <w:tcW w:w="991" w:type="dxa"/>
            <w:vAlign w:val="center"/>
          </w:tcPr>
          <w:p w14:paraId="1175ACE9">
            <w:pPr>
              <w:jc w:val="center"/>
              <w:rPr>
                <w:szCs w:val="21"/>
              </w:rPr>
            </w:pPr>
          </w:p>
        </w:tc>
        <w:tc>
          <w:tcPr>
            <w:tcW w:w="859" w:type="dxa"/>
            <w:vAlign w:val="center"/>
          </w:tcPr>
          <w:p w14:paraId="1F9CF1FD">
            <w:pPr>
              <w:jc w:val="center"/>
              <w:rPr>
                <w:szCs w:val="21"/>
              </w:rPr>
            </w:pPr>
          </w:p>
        </w:tc>
        <w:tc>
          <w:tcPr>
            <w:tcW w:w="1272" w:type="dxa"/>
            <w:vAlign w:val="center"/>
          </w:tcPr>
          <w:p w14:paraId="47040EDF">
            <w:pPr>
              <w:jc w:val="center"/>
              <w:rPr>
                <w:szCs w:val="21"/>
              </w:rPr>
            </w:pPr>
          </w:p>
        </w:tc>
        <w:tc>
          <w:tcPr>
            <w:tcW w:w="1773" w:type="dxa"/>
            <w:vAlign w:val="center"/>
          </w:tcPr>
          <w:p w14:paraId="0FACB05E">
            <w:pPr>
              <w:jc w:val="center"/>
              <w:rPr>
                <w:szCs w:val="21"/>
              </w:rPr>
            </w:pPr>
          </w:p>
        </w:tc>
        <w:tc>
          <w:tcPr>
            <w:tcW w:w="1000" w:type="dxa"/>
            <w:vAlign w:val="center"/>
          </w:tcPr>
          <w:p w14:paraId="529E255D">
            <w:pPr>
              <w:jc w:val="center"/>
              <w:rPr>
                <w:szCs w:val="21"/>
              </w:rPr>
            </w:pPr>
          </w:p>
        </w:tc>
      </w:tr>
      <w:tr w14:paraId="42984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57ED8BD2">
            <w:pPr>
              <w:jc w:val="center"/>
              <w:rPr>
                <w:szCs w:val="21"/>
              </w:rPr>
            </w:pPr>
          </w:p>
        </w:tc>
        <w:tc>
          <w:tcPr>
            <w:tcW w:w="1272" w:type="dxa"/>
            <w:vAlign w:val="center"/>
          </w:tcPr>
          <w:p w14:paraId="36CDBCAA">
            <w:pPr>
              <w:jc w:val="center"/>
              <w:rPr>
                <w:szCs w:val="21"/>
              </w:rPr>
            </w:pPr>
          </w:p>
        </w:tc>
        <w:tc>
          <w:tcPr>
            <w:tcW w:w="809" w:type="dxa"/>
            <w:vAlign w:val="center"/>
          </w:tcPr>
          <w:p w14:paraId="214DFAB8">
            <w:pPr>
              <w:jc w:val="center"/>
              <w:rPr>
                <w:szCs w:val="21"/>
              </w:rPr>
            </w:pPr>
          </w:p>
        </w:tc>
        <w:tc>
          <w:tcPr>
            <w:tcW w:w="1024" w:type="dxa"/>
            <w:vAlign w:val="center"/>
          </w:tcPr>
          <w:p w14:paraId="672CB093">
            <w:pPr>
              <w:jc w:val="center"/>
              <w:rPr>
                <w:szCs w:val="21"/>
              </w:rPr>
            </w:pPr>
          </w:p>
        </w:tc>
        <w:tc>
          <w:tcPr>
            <w:tcW w:w="991" w:type="dxa"/>
            <w:vAlign w:val="center"/>
          </w:tcPr>
          <w:p w14:paraId="15756F58">
            <w:pPr>
              <w:jc w:val="center"/>
              <w:rPr>
                <w:szCs w:val="21"/>
              </w:rPr>
            </w:pPr>
          </w:p>
        </w:tc>
        <w:tc>
          <w:tcPr>
            <w:tcW w:w="859" w:type="dxa"/>
            <w:vAlign w:val="center"/>
          </w:tcPr>
          <w:p w14:paraId="1D799D6D">
            <w:pPr>
              <w:jc w:val="center"/>
              <w:rPr>
                <w:szCs w:val="21"/>
              </w:rPr>
            </w:pPr>
          </w:p>
        </w:tc>
        <w:tc>
          <w:tcPr>
            <w:tcW w:w="1272" w:type="dxa"/>
            <w:vAlign w:val="center"/>
          </w:tcPr>
          <w:p w14:paraId="49F4771D">
            <w:pPr>
              <w:jc w:val="center"/>
              <w:rPr>
                <w:szCs w:val="21"/>
              </w:rPr>
            </w:pPr>
          </w:p>
        </w:tc>
        <w:tc>
          <w:tcPr>
            <w:tcW w:w="1773" w:type="dxa"/>
            <w:vAlign w:val="center"/>
          </w:tcPr>
          <w:p w14:paraId="381C077D">
            <w:pPr>
              <w:jc w:val="center"/>
              <w:rPr>
                <w:szCs w:val="21"/>
              </w:rPr>
            </w:pPr>
          </w:p>
        </w:tc>
        <w:tc>
          <w:tcPr>
            <w:tcW w:w="1000" w:type="dxa"/>
            <w:vAlign w:val="center"/>
          </w:tcPr>
          <w:p w14:paraId="0E8B96F3">
            <w:pPr>
              <w:jc w:val="center"/>
              <w:rPr>
                <w:szCs w:val="21"/>
              </w:rPr>
            </w:pPr>
          </w:p>
        </w:tc>
      </w:tr>
      <w:tr w14:paraId="5803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30C96480">
            <w:pPr>
              <w:jc w:val="center"/>
              <w:rPr>
                <w:szCs w:val="21"/>
              </w:rPr>
            </w:pPr>
          </w:p>
        </w:tc>
        <w:tc>
          <w:tcPr>
            <w:tcW w:w="1272" w:type="dxa"/>
            <w:vAlign w:val="center"/>
          </w:tcPr>
          <w:p w14:paraId="3E2075D6">
            <w:pPr>
              <w:jc w:val="center"/>
              <w:rPr>
                <w:szCs w:val="21"/>
              </w:rPr>
            </w:pPr>
          </w:p>
        </w:tc>
        <w:tc>
          <w:tcPr>
            <w:tcW w:w="809" w:type="dxa"/>
            <w:vAlign w:val="center"/>
          </w:tcPr>
          <w:p w14:paraId="338A3FDE">
            <w:pPr>
              <w:jc w:val="center"/>
              <w:rPr>
                <w:szCs w:val="21"/>
              </w:rPr>
            </w:pPr>
          </w:p>
        </w:tc>
        <w:tc>
          <w:tcPr>
            <w:tcW w:w="1024" w:type="dxa"/>
            <w:vAlign w:val="center"/>
          </w:tcPr>
          <w:p w14:paraId="4009C6D3">
            <w:pPr>
              <w:jc w:val="center"/>
              <w:rPr>
                <w:szCs w:val="21"/>
              </w:rPr>
            </w:pPr>
          </w:p>
        </w:tc>
        <w:tc>
          <w:tcPr>
            <w:tcW w:w="991" w:type="dxa"/>
            <w:vAlign w:val="center"/>
          </w:tcPr>
          <w:p w14:paraId="6B858557">
            <w:pPr>
              <w:jc w:val="center"/>
              <w:rPr>
                <w:szCs w:val="21"/>
              </w:rPr>
            </w:pPr>
          </w:p>
        </w:tc>
        <w:tc>
          <w:tcPr>
            <w:tcW w:w="859" w:type="dxa"/>
            <w:vAlign w:val="center"/>
          </w:tcPr>
          <w:p w14:paraId="1525495D">
            <w:pPr>
              <w:jc w:val="center"/>
              <w:rPr>
                <w:szCs w:val="21"/>
              </w:rPr>
            </w:pPr>
          </w:p>
        </w:tc>
        <w:tc>
          <w:tcPr>
            <w:tcW w:w="1272" w:type="dxa"/>
            <w:vAlign w:val="center"/>
          </w:tcPr>
          <w:p w14:paraId="11B539E7">
            <w:pPr>
              <w:jc w:val="center"/>
              <w:rPr>
                <w:szCs w:val="21"/>
              </w:rPr>
            </w:pPr>
          </w:p>
        </w:tc>
        <w:tc>
          <w:tcPr>
            <w:tcW w:w="1773" w:type="dxa"/>
            <w:vAlign w:val="center"/>
          </w:tcPr>
          <w:p w14:paraId="21C2EE42">
            <w:pPr>
              <w:jc w:val="center"/>
              <w:rPr>
                <w:szCs w:val="21"/>
              </w:rPr>
            </w:pPr>
          </w:p>
        </w:tc>
        <w:tc>
          <w:tcPr>
            <w:tcW w:w="1000" w:type="dxa"/>
            <w:vAlign w:val="center"/>
          </w:tcPr>
          <w:p w14:paraId="2995830F">
            <w:pPr>
              <w:jc w:val="center"/>
              <w:rPr>
                <w:szCs w:val="21"/>
              </w:rPr>
            </w:pPr>
          </w:p>
        </w:tc>
      </w:tr>
      <w:tr w14:paraId="3D08E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5383F997">
            <w:pPr>
              <w:jc w:val="center"/>
              <w:rPr>
                <w:szCs w:val="21"/>
              </w:rPr>
            </w:pPr>
          </w:p>
        </w:tc>
        <w:tc>
          <w:tcPr>
            <w:tcW w:w="1272" w:type="dxa"/>
            <w:vAlign w:val="center"/>
          </w:tcPr>
          <w:p w14:paraId="11D38545">
            <w:pPr>
              <w:jc w:val="center"/>
              <w:rPr>
                <w:szCs w:val="21"/>
              </w:rPr>
            </w:pPr>
          </w:p>
        </w:tc>
        <w:tc>
          <w:tcPr>
            <w:tcW w:w="809" w:type="dxa"/>
            <w:vAlign w:val="center"/>
          </w:tcPr>
          <w:p w14:paraId="5EE508D3">
            <w:pPr>
              <w:jc w:val="center"/>
              <w:rPr>
                <w:szCs w:val="21"/>
              </w:rPr>
            </w:pPr>
          </w:p>
        </w:tc>
        <w:tc>
          <w:tcPr>
            <w:tcW w:w="1024" w:type="dxa"/>
            <w:vAlign w:val="center"/>
          </w:tcPr>
          <w:p w14:paraId="60BD5499">
            <w:pPr>
              <w:jc w:val="center"/>
              <w:rPr>
                <w:szCs w:val="21"/>
              </w:rPr>
            </w:pPr>
          </w:p>
        </w:tc>
        <w:tc>
          <w:tcPr>
            <w:tcW w:w="991" w:type="dxa"/>
            <w:vAlign w:val="center"/>
          </w:tcPr>
          <w:p w14:paraId="4B4EC433">
            <w:pPr>
              <w:jc w:val="center"/>
              <w:rPr>
                <w:szCs w:val="21"/>
              </w:rPr>
            </w:pPr>
          </w:p>
        </w:tc>
        <w:tc>
          <w:tcPr>
            <w:tcW w:w="859" w:type="dxa"/>
            <w:vAlign w:val="center"/>
          </w:tcPr>
          <w:p w14:paraId="40C91D76">
            <w:pPr>
              <w:jc w:val="center"/>
              <w:rPr>
                <w:szCs w:val="21"/>
              </w:rPr>
            </w:pPr>
          </w:p>
        </w:tc>
        <w:tc>
          <w:tcPr>
            <w:tcW w:w="1272" w:type="dxa"/>
            <w:vAlign w:val="center"/>
          </w:tcPr>
          <w:p w14:paraId="0162E5C9">
            <w:pPr>
              <w:jc w:val="center"/>
              <w:rPr>
                <w:szCs w:val="21"/>
              </w:rPr>
            </w:pPr>
          </w:p>
        </w:tc>
        <w:tc>
          <w:tcPr>
            <w:tcW w:w="1773" w:type="dxa"/>
            <w:vAlign w:val="center"/>
          </w:tcPr>
          <w:p w14:paraId="3DD990AA">
            <w:pPr>
              <w:jc w:val="center"/>
              <w:rPr>
                <w:szCs w:val="21"/>
              </w:rPr>
            </w:pPr>
          </w:p>
        </w:tc>
        <w:tc>
          <w:tcPr>
            <w:tcW w:w="1000" w:type="dxa"/>
            <w:vAlign w:val="center"/>
          </w:tcPr>
          <w:p w14:paraId="4B951B6A">
            <w:pPr>
              <w:jc w:val="center"/>
              <w:rPr>
                <w:szCs w:val="21"/>
              </w:rPr>
            </w:pPr>
          </w:p>
        </w:tc>
      </w:tr>
      <w:tr w14:paraId="235B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63E15342">
            <w:pPr>
              <w:jc w:val="center"/>
              <w:rPr>
                <w:szCs w:val="21"/>
              </w:rPr>
            </w:pPr>
          </w:p>
        </w:tc>
        <w:tc>
          <w:tcPr>
            <w:tcW w:w="1272" w:type="dxa"/>
            <w:vAlign w:val="center"/>
          </w:tcPr>
          <w:p w14:paraId="4ACDA816">
            <w:pPr>
              <w:jc w:val="center"/>
              <w:rPr>
                <w:szCs w:val="21"/>
              </w:rPr>
            </w:pPr>
          </w:p>
        </w:tc>
        <w:tc>
          <w:tcPr>
            <w:tcW w:w="809" w:type="dxa"/>
            <w:vAlign w:val="center"/>
          </w:tcPr>
          <w:p w14:paraId="75FD2EE7">
            <w:pPr>
              <w:jc w:val="center"/>
              <w:rPr>
                <w:szCs w:val="21"/>
              </w:rPr>
            </w:pPr>
          </w:p>
        </w:tc>
        <w:tc>
          <w:tcPr>
            <w:tcW w:w="1024" w:type="dxa"/>
            <w:vAlign w:val="center"/>
          </w:tcPr>
          <w:p w14:paraId="00CBB8E3">
            <w:pPr>
              <w:jc w:val="center"/>
              <w:rPr>
                <w:szCs w:val="21"/>
              </w:rPr>
            </w:pPr>
          </w:p>
        </w:tc>
        <w:tc>
          <w:tcPr>
            <w:tcW w:w="991" w:type="dxa"/>
            <w:vAlign w:val="center"/>
          </w:tcPr>
          <w:p w14:paraId="69114DC5">
            <w:pPr>
              <w:jc w:val="center"/>
              <w:rPr>
                <w:szCs w:val="21"/>
              </w:rPr>
            </w:pPr>
          </w:p>
        </w:tc>
        <w:tc>
          <w:tcPr>
            <w:tcW w:w="859" w:type="dxa"/>
            <w:vAlign w:val="center"/>
          </w:tcPr>
          <w:p w14:paraId="2224A9F2">
            <w:pPr>
              <w:jc w:val="center"/>
              <w:rPr>
                <w:szCs w:val="21"/>
              </w:rPr>
            </w:pPr>
          </w:p>
        </w:tc>
        <w:tc>
          <w:tcPr>
            <w:tcW w:w="1272" w:type="dxa"/>
            <w:vAlign w:val="center"/>
          </w:tcPr>
          <w:p w14:paraId="4F72F0AB">
            <w:pPr>
              <w:jc w:val="center"/>
              <w:rPr>
                <w:szCs w:val="21"/>
              </w:rPr>
            </w:pPr>
          </w:p>
        </w:tc>
        <w:tc>
          <w:tcPr>
            <w:tcW w:w="1773" w:type="dxa"/>
            <w:vAlign w:val="center"/>
          </w:tcPr>
          <w:p w14:paraId="0E830892">
            <w:pPr>
              <w:jc w:val="center"/>
              <w:rPr>
                <w:szCs w:val="21"/>
              </w:rPr>
            </w:pPr>
          </w:p>
        </w:tc>
        <w:tc>
          <w:tcPr>
            <w:tcW w:w="1000" w:type="dxa"/>
            <w:vAlign w:val="center"/>
          </w:tcPr>
          <w:p w14:paraId="3A9CF138">
            <w:pPr>
              <w:jc w:val="center"/>
              <w:rPr>
                <w:szCs w:val="21"/>
              </w:rPr>
            </w:pPr>
          </w:p>
        </w:tc>
      </w:tr>
      <w:tr w14:paraId="7955D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6" w:hRule="atLeast"/>
        </w:trPr>
        <w:tc>
          <w:tcPr>
            <w:tcW w:w="875" w:type="dxa"/>
            <w:vAlign w:val="center"/>
          </w:tcPr>
          <w:p w14:paraId="70EF1F20">
            <w:pPr>
              <w:jc w:val="center"/>
              <w:rPr>
                <w:szCs w:val="21"/>
              </w:rPr>
            </w:pPr>
          </w:p>
        </w:tc>
        <w:tc>
          <w:tcPr>
            <w:tcW w:w="1272" w:type="dxa"/>
            <w:vAlign w:val="center"/>
          </w:tcPr>
          <w:p w14:paraId="62CE88FD">
            <w:pPr>
              <w:jc w:val="center"/>
              <w:rPr>
                <w:szCs w:val="21"/>
              </w:rPr>
            </w:pPr>
          </w:p>
        </w:tc>
        <w:tc>
          <w:tcPr>
            <w:tcW w:w="809" w:type="dxa"/>
            <w:vAlign w:val="center"/>
          </w:tcPr>
          <w:p w14:paraId="18401611">
            <w:pPr>
              <w:jc w:val="center"/>
              <w:rPr>
                <w:szCs w:val="21"/>
              </w:rPr>
            </w:pPr>
          </w:p>
        </w:tc>
        <w:tc>
          <w:tcPr>
            <w:tcW w:w="1024" w:type="dxa"/>
            <w:vAlign w:val="center"/>
          </w:tcPr>
          <w:p w14:paraId="53365BD9">
            <w:pPr>
              <w:jc w:val="center"/>
              <w:rPr>
                <w:szCs w:val="21"/>
              </w:rPr>
            </w:pPr>
          </w:p>
        </w:tc>
        <w:tc>
          <w:tcPr>
            <w:tcW w:w="991" w:type="dxa"/>
            <w:vAlign w:val="center"/>
          </w:tcPr>
          <w:p w14:paraId="3DDC702A">
            <w:pPr>
              <w:jc w:val="center"/>
              <w:rPr>
                <w:szCs w:val="21"/>
              </w:rPr>
            </w:pPr>
          </w:p>
        </w:tc>
        <w:tc>
          <w:tcPr>
            <w:tcW w:w="859" w:type="dxa"/>
            <w:vAlign w:val="center"/>
          </w:tcPr>
          <w:p w14:paraId="24CD4140">
            <w:pPr>
              <w:jc w:val="center"/>
              <w:rPr>
                <w:szCs w:val="21"/>
              </w:rPr>
            </w:pPr>
          </w:p>
        </w:tc>
        <w:tc>
          <w:tcPr>
            <w:tcW w:w="1272" w:type="dxa"/>
            <w:vAlign w:val="center"/>
          </w:tcPr>
          <w:p w14:paraId="346D6C4D">
            <w:pPr>
              <w:jc w:val="center"/>
              <w:rPr>
                <w:szCs w:val="21"/>
              </w:rPr>
            </w:pPr>
          </w:p>
        </w:tc>
        <w:tc>
          <w:tcPr>
            <w:tcW w:w="1773" w:type="dxa"/>
            <w:vAlign w:val="center"/>
          </w:tcPr>
          <w:p w14:paraId="2FFBBD31">
            <w:pPr>
              <w:jc w:val="center"/>
              <w:rPr>
                <w:szCs w:val="21"/>
              </w:rPr>
            </w:pPr>
          </w:p>
        </w:tc>
        <w:tc>
          <w:tcPr>
            <w:tcW w:w="1000" w:type="dxa"/>
            <w:vAlign w:val="center"/>
          </w:tcPr>
          <w:p w14:paraId="0E9C4AA2">
            <w:pPr>
              <w:jc w:val="center"/>
              <w:rPr>
                <w:szCs w:val="21"/>
              </w:rPr>
            </w:pPr>
          </w:p>
        </w:tc>
      </w:tr>
      <w:tr w14:paraId="33EDE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68830E6B">
            <w:pPr>
              <w:jc w:val="center"/>
              <w:rPr>
                <w:szCs w:val="21"/>
              </w:rPr>
            </w:pPr>
          </w:p>
        </w:tc>
        <w:tc>
          <w:tcPr>
            <w:tcW w:w="1272" w:type="dxa"/>
            <w:vAlign w:val="center"/>
          </w:tcPr>
          <w:p w14:paraId="7733DC1A">
            <w:pPr>
              <w:jc w:val="center"/>
              <w:rPr>
                <w:szCs w:val="21"/>
              </w:rPr>
            </w:pPr>
          </w:p>
        </w:tc>
        <w:tc>
          <w:tcPr>
            <w:tcW w:w="809" w:type="dxa"/>
            <w:vAlign w:val="center"/>
          </w:tcPr>
          <w:p w14:paraId="126D9BC0">
            <w:pPr>
              <w:jc w:val="center"/>
              <w:rPr>
                <w:szCs w:val="21"/>
              </w:rPr>
            </w:pPr>
          </w:p>
        </w:tc>
        <w:tc>
          <w:tcPr>
            <w:tcW w:w="1024" w:type="dxa"/>
            <w:vAlign w:val="center"/>
          </w:tcPr>
          <w:p w14:paraId="0055044E">
            <w:pPr>
              <w:jc w:val="center"/>
              <w:rPr>
                <w:szCs w:val="21"/>
              </w:rPr>
            </w:pPr>
          </w:p>
        </w:tc>
        <w:tc>
          <w:tcPr>
            <w:tcW w:w="991" w:type="dxa"/>
            <w:vAlign w:val="center"/>
          </w:tcPr>
          <w:p w14:paraId="43AC689F">
            <w:pPr>
              <w:jc w:val="center"/>
              <w:rPr>
                <w:szCs w:val="21"/>
              </w:rPr>
            </w:pPr>
          </w:p>
        </w:tc>
        <w:tc>
          <w:tcPr>
            <w:tcW w:w="859" w:type="dxa"/>
            <w:vAlign w:val="center"/>
          </w:tcPr>
          <w:p w14:paraId="198989A4">
            <w:pPr>
              <w:jc w:val="center"/>
              <w:rPr>
                <w:szCs w:val="21"/>
              </w:rPr>
            </w:pPr>
          </w:p>
        </w:tc>
        <w:tc>
          <w:tcPr>
            <w:tcW w:w="1272" w:type="dxa"/>
            <w:vAlign w:val="center"/>
          </w:tcPr>
          <w:p w14:paraId="038F3A37">
            <w:pPr>
              <w:jc w:val="center"/>
              <w:rPr>
                <w:szCs w:val="21"/>
              </w:rPr>
            </w:pPr>
          </w:p>
        </w:tc>
        <w:tc>
          <w:tcPr>
            <w:tcW w:w="1773" w:type="dxa"/>
            <w:vAlign w:val="center"/>
          </w:tcPr>
          <w:p w14:paraId="20DBEF5F">
            <w:pPr>
              <w:jc w:val="center"/>
              <w:rPr>
                <w:szCs w:val="21"/>
              </w:rPr>
            </w:pPr>
          </w:p>
        </w:tc>
        <w:tc>
          <w:tcPr>
            <w:tcW w:w="1000" w:type="dxa"/>
            <w:vAlign w:val="center"/>
          </w:tcPr>
          <w:p w14:paraId="0D710C84">
            <w:pPr>
              <w:jc w:val="center"/>
              <w:rPr>
                <w:szCs w:val="21"/>
              </w:rPr>
            </w:pPr>
          </w:p>
        </w:tc>
      </w:tr>
      <w:tr w14:paraId="6D349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4AC1293F">
            <w:pPr>
              <w:jc w:val="center"/>
              <w:rPr>
                <w:szCs w:val="21"/>
              </w:rPr>
            </w:pPr>
          </w:p>
        </w:tc>
        <w:tc>
          <w:tcPr>
            <w:tcW w:w="1272" w:type="dxa"/>
            <w:vAlign w:val="center"/>
          </w:tcPr>
          <w:p w14:paraId="5F3155AF">
            <w:pPr>
              <w:jc w:val="center"/>
              <w:rPr>
                <w:szCs w:val="21"/>
              </w:rPr>
            </w:pPr>
          </w:p>
        </w:tc>
        <w:tc>
          <w:tcPr>
            <w:tcW w:w="809" w:type="dxa"/>
            <w:vAlign w:val="center"/>
          </w:tcPr>
          <w:p w14:paraId="26CB626D">
            <w:pPr>
              <w:jc w:val="center"/>
              <w:rPr>
                <w:szCs w:val="21"/>
              </w:rPr>
            </w:pPr>
          </w:p>
        </w:tc>
        <w:tc>
          <w:tcPr>
            <w:tcW w:w="1024" w:type="dxa"/>
            <w:vAlign w:val="center"/>
          </w:tcPr>
          <w:p w14:paraId="1651C292">
            <w:pPr>
              <w:jc w:val="center"/>
              <w:rPr>
                <w:szCs w:val="21"/>
              </w:rPr>
            </w:pPr>
          </w:p>
        </w:tc>
        <w:tc>
          <w:tcPr>
            <w:tcW w:w="991" w:type="dxa"/>
            <w:vAlign w:val="center"/>
          </w:tcPr>
          <w:p w14:paraId="6129A49C">
            <w:pPr>
              <w:jc w:val="center"/>
              <w:rPr>
                <w:szCs w:val="21"/>
              </w:rPr>
            </w:pPr>
          </w:p>
        </w:tc>
        <w:tc>
          <w:tcPr>
            <w:tcW w:w="859" w:type="dxa"/>
            <w:vAlign w:val="center"/>
          </w:tcPr>
          <w:p w14:paraId="3B598354">
            <w:pPr>
              <w:jc w:val="center"/>
              <w:rPr>
                <w:szCs w:val="21"/>
              </w:rPr>
            </w:pPr>
          </w:p>
        </w:tc>
        <w:tc>
          <w:tcPr>
            <w:tcW w:w="1272" w:type="dxa"/>
            <w:vAlign w:val="center"/>
          </w:tcPr>
          <w:p w14:paraId="33C5C40F">
            <w:pPr>
              <w:jc w:val="center"/>
              <w:rPr>
                <w:szCs w:val="21"/>
              </w:rPr>
            </w:pPr>
          </w:p>
        </w:tc>
        <w:tc>
          <w:tcPr>
            <w:tcW w:w="1773" w:type="dxa"/>
            <w:vAlign w:val="center"/>
          </w:tcPr>
          <w:p w14:paraId="5FBE3015">
            <w:pPr>
              <w:jc w:val="center"/>
              <w:rPr>
                <w:szCs w:val="21"/>
              </w:rPr>
            </w:pPr>
          </w:p>
        </w:tc>
        <w:tc>
          <w:tcPr>
            <w:tcW w:w="1000" w:type="dxa"/>
            <w:vAlign w:val="center"/>
          </w:tcPr>
          <w:p w14:paraId="5EFC9277">
            <w:pPr>
              <w:jc w:val="center"/>
              <w:rPr>
                <w:szCs w:val="21"/>
              </w:rPr>
            </w:pPr>
          </w:p>
        </w:tc>
      </w:tr>
      <w:tr w14:paraId="6A747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35E7C88C">
            <w:pPr>
              <w:jc w:val="center"/>
              <w:rPr>
                <w:szCs w:val="21"/>
              </w:rPr>
            </w:pPr>
          </w:p>
        </w:tc>
        <w:tc>
          <w:tcPr>
            <w:tcW w:w="1272" w:type="dxa"/>
            <w:vAlign w:val="center"/>
          </w:tcPr>
          <w:p w14:paraId="2099C633">
            <w:pPr>
              <w:jc w:val="center"/>
              <w:rPr>
                <w:szCs w:val="21"/>
              </w:rPr>
            </w:pPr>
          </w:p>
        </w:tc>
        <w:tc>
          <w:tcPr>
            <w:tcW w:w="809" w:type="dxa"/>
            <w:vAlign w:val="center"/>
          </w:tcPr>
          <w:p w14:paraId="2C3D19A0">
            <w:pPr>
              <w:jc w:val="center"/>
              <w:rPr>
                <w:szCs w:val="21"/>
              </w:rPr>
            </w:pPr>
          </w:p>
        </w:tc>
        <w:tc>
          <w:tcPr>
            <w:tcW w:w="1024" w:type="dxa"/>
            <w:vAlign w:val="center"/>
          </w:tcPr>
          <w:p w14:paraId="184267E6">
            <w:pPr>
              <w:jc w:val="center"/>
              <w:rPr>
                <w:szCs w:val="21"/>
              </w:rPr>
            </w:pPr>
          </w:p>
        </w:tc>
        <w:tc>
          <w:tcPr>
            <w:tcW w:w="991" w:type="dxa"/>
            <w:vAlign w:val="center"/>
          </w:tcPr>
          <w:p w14:paraId="554F76ED">
            <w:pPr>
              <w:jc w:val="center"/>
              <w:rPr>
                <w:szCs w:val="21"/>
              </w:rPr>
            </w:pPr>
          </w:p>
        </w:tc>
        <w:tc>
          <w:tcPr>
            <w:tcW w:w="859" w:type="dxa"/>
            <w:vAlign w:val="center"/>
          </w:tcPr>
          <w:p w14:paraId="0A4BC7F0">
            <w:pPr>
              <w:jc w:val="center"/>
              <w:rPr>
                <w:szCs w:val="21"/>
              </w:rPr>
            </w:pPr>
          </w:p>
        </w:tc>
        <w:tc>
          <w:tcPr>
            <w:tcW w:w="1272" w:type="dxa"/>
            <w:vAlign w:val="center"/>
          </w:tcPr>
          <w:p w14:paraId="47AEADEB">
            <w:pPr>
              <w:jc w:val="center"/>
              <w:rPr>
                <w:szCs w:val="21"/>
              </w:rPr>
            </w:pPr>
          </w:p>
        </w:tc>
        <w:tc>
          <w:tcPr>
            <w:tcW w:w="1773" w:type="dxa"/>
            <w:vAlign w:val="center"/>
          </w:tcPr>
          <w:p w14:paraId="75AF6B3C">
            <w:pPr>
              <w:jc w:val="center"/>
              <w:rPr>
                <w:szCs w:val="21"/>
              </w:rPr>
            </w:pPr>
          </w:p>
        </w:tc>
        <w:tc>
          <w:tcPr>
            <w:tcW w:w="1000" w:type="dxa"/>
            <w:vAlign w:val="center"/>
          </w:tcPr>
          <w:p w14:paraId="70D24978">
            <w:pPr>
              <w:jc w:val="center"/>
              <w:rPr>
                <w:szCs w:val="21"/>
              </w:rPr>
            </w:pPr>
          </w:p>
        </w:tc>
      </w:tr>
      <w:tr w14:paraId="39BF5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1B0588C2">
            <w:pPr>
              <w:jc w:val="center"/>
              <w:rPr>
                <w:szCs w:val="21"/>
              </w:rPr>
            </w:pPr>
          </w:p>
        </w:tc>
        <w:tc>
          <w:tcPr>
            <w:tcW w:w="1272" w:type="dxa"/>
            <w:vAlign w:val="center"/>
          </w:tcPr>
          <w:p w14:paraId="0650E91D">
            <w:pPr>
              <w:jc w:val="center"/>
              <w:rPr>
                <w:szCs w:val="21"/>
              </w:rPr>
            </w:pPr>
          </w:p>
        </w:tc>
        <w:tc>
          <w:tcPr>
            <w:tcW w:w="809" w:type="dxa"/>
            <w:vAlign w:val="center"/>
          </w:tcPr>
          <w:p w14:paraId="2D7CC657">
            <w:pPr>
              <w:jc w:val="center"/>
              <w:rPr>
                <w:szCs w:val="21"/>
              </w:rPr>
            </w:pPr>
          </w:p>
        </w:tc>
        <w:tc>
          <w:tcPr>
            <w:tcW w:w="1024" w:type="dxa"/>
            <w:vAlign w:val="center"/>
          </w:tcPr>
          <w:p w14:paraId="0688BE90">
            <w:pPr>
              <w:jc w:val="center"/>
              <w:rPr>
                <w:szCs w:val="21"/>
              </w:rPr>
            </w:pPr>
          </w:p>
        </w:tc>
        <w:tc>
          <w:tcPr>
            <w:tcW w:w="991" w:type="dxa"/>
            <w:vAlign w:val="center"/>
          </w:tcPr>
          <w:p w14:paraId="405B043D">
            <w:pPr>
              <w:jc w:val="center"/>
              <w:rPr>
                <w:szCs w:val="21"/>
              </w:rPr>
            </w:pPr>
          </w:p>
        </w:tc>
        <w:tc>
          <w:tcPr>
            <w:tcW w:w="859" w:type="dxa"/>
            <w:vAlign w:val="center"/>
          </w:tcPr>
          <w:p w14:paraId="5FCD3615">
            <w:pPr>
              <w:jc w:val="center"/>
              <w:rPr>
                <w:szCs w:val="21"/>
              </w:rPr>
            </w:pPr>
          </w:p>
        </w:tc>
        <w:tc>
          <w:tcPr>
            <w:tcW w:w="1272" w:type="dxa"/>
            <w:vAlign w:val="center"/>
          </w:tcPr>
          <w:p w14:paraId="3F97CF63">
            <w:pPr>
              <w:jc w:val="center"/>
              <w:rPr>
                <w:szCs w:val="21"/>
              </w:rPr>
            </w:pPr>
          </w:p>
        </w:tc>
        <w:tc>
          <w:tcPr>
            <w:tcW w:w="1773" w:type="dxa"/>
            <w:vAlign w:val="center"/>
          </w:tcPr>
          <w:p w14:paraId="30D7D7A2">
            <w:pPr>
              <w:jc w:val="center"/>
              <w:rPr>
                <w:szCs w:val="21"/>
              </w:rPr>
            </w:pPr>
          </w:p>
        </w:tc>
        <w:tc>
          <w:tcPr>
            <w:tcW w:w="1000" w:type="dxa"/>
            <w:vAlign w:val="center"/>
          </w:tcPr>
          <w:p w14:paraId="51B766BC">
            <w:pPr>
              <w:jc w:val="center"/>
              <w:rPr>
                <w:szCs w:val="21"/>
              </w:rPr>
            </w:pPr>
          </w:p>
        </w:tc>
      </w:tr>
      <w:tr w14:paraId="09C1F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469F061B">
            <w:pPr>
              <w:jc w:val="center"/>
              <w:rPr>
                <w:szCs w:val="21"/>
              </w:rPr>
            </w:pPr>
          </w:p>
        </w:tc>
        <w:tc>
          <w:tcPr>
            <w:tcW w:w="1272" w:type="dxa"/>
            <w:vAlign w:val="center"/>
          </w:tcPr>
          <w:p w14:paraId="15D771FF">
            <w:pPr>
              <w:jc w:val="center"/>
              <w:rPr>
                <w:szCs w:val="21"/>
              </w:rPr>
            </w:pPr>
          </w:p>
        </w:tc>
        <w:tc>
          <w:tcPr>
            <w:tcW w:w="809" w:type="dxa"/>
            <w:vAlign w:val="center"/>
          </w:tcPr>
          <w:p w14:paraId="7A8622D6">
            <w:pPr>
              <w:jc w:val="center"/>
              <w:rPr>
                <w:szCs w:val="21"/>
              </w:rPr>
            </w:pPr>
          </w:p>
        </w:tc>
        <w:tc>
          <w:tcPr>
            <w:tcW w:w="1024" w:type="dxa"/>
            <w:vAlign w:val="center"/>
          </w:tcPr>
          <w:p w14:paraId="5EB2BF2D">
            <w:pPr>
              <w:jc w:val="center"/>
              <w:rPr>
                <w:szCs w:val="21"/>
              </w:rPr>
            </w:pPr>
          </w:p>
        </w:tc>
        <w:tc>
          <w:tcPr>
            <w:tcW w:w="991" w:type="dxa"/>
            <w:vAlign w:val="center"/>
          </w:tcPr>
          <w:p w14:paraId="2BA88434">
            <w:pPr>
              <w:jc w:val="center"/>
              <w:rPr>
                <w:szCs w:val="21"/>
              </w:rPr>
            </w:pPr>
          </w:p>
        </w:tc>
        <w:tc>
          <w:tcPr>
            <w:tcW w:w="859" w:type="dxa"/>
            <w:vAlign w:val="center"/>
          </w:tcPr>
          <w:p w14:paraId="4669CB92">
            <w:pPr>
              <w:jc w:val="center"/>
              <w:rPr>
                <w:szCs w:val="21"/>
              </w:rPr>
            </w:pPr>
          </w:p>
        </w:tc>
        <w:tc>
          <w:tcPr>
            <w:tcW w:w="1272" w:type="dxa"/>
            <w:vAlign w:val="center"/>
          </w:tcPr>
          <w:p w14:paraId="41E5B8E5">
            <w:pPr>
              <w:jc w:val="center"/>
              <w:rPr>
                <w:szCs w:val="21"/>
              </w:rPr>
            </w:pPr>
          </w:p>
        </w:tc>
        <w:tc>
          <w:tcPr>
            <w:tcW w:w="1773" w:type="dxa"/>
            <w:vAlign w:val="center"/>
          </w:tcPr>
          <w:p w14:paraId="29520513">
            <w:pPr>
              <w:jc w:val="center"/>
              <w:rPr>
                <w:szCs w:val="21"/>
              </w:rPr>
            </w:pPr>
          </w:p>
        </w:tc>
        <w:tc>
          <w:tcPr>
            <w:tcW w:w="1000" w:type="dxa"/>
            <w:vAlign w:val="center"/>
          </w:tcPr>
          <w:p w14:paraId="1BDDCE42">
            <w:pPr>
              <w:jc w:val="center"/>
              <w:rPr>
                <w:szCs w:val="21"/>
              </w:rPr>
            </w:pPr>
          </w:p>
        </w:tc>
      </w:tr>
      <w:tr w14:paraId="6D069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7DAB7416">
            <w:pPr>
              <w:jc w:val="center"/>
              <w:rPr>
                <w:szCs w:val="21"/>
              </w:rPr>
            </w:pPr>
          </w:p>
        </w:tc>
        <w:tc>
          <w:tcPr>
            <w:tcW w:w="1272" w:type="dxa"/>
            <w:vAlign w:val="center"/>
          </w:tcPr>
          <w:p w14:paraId="4E80737B">
            <w:pPr>
              <w:jc w:val="center"/>
              <w:rPr>
                <w:szCs w:val="21"/>
              </w:rPr>
            </w:pPr>
          </w:p>
        </w:tc>
        <w:tc>
          <w:tcPr>
            <w:tcW w:w="809" w:type="dxa"/>
            <w:vAlign w:val="center"/>
          </w:tcPr>
          <w:p w14:paraId="797C0BF3">
            <w:pPr>
              <w:jc w:val="center"/>
              <w:rPr>
                <w:szCs w:val="21"/>
              </w:rPr>
            </w:pPr>
          </w:p>
        </w:tc>
        <w:tc>
          <w:tcPr>
            <w:tcW w:w="1024" w:type="dxa"/>
            <w:vAlign w:val="center"/>
          </w:tcPr>
          <w:p w14:paraId="04445103">
            <w:pPr>
              <w:jc w:val="center"/>
              <w:rPr>
                <w:szCs w:val="21"/>
              </w:rPr>
            </w:pPr>
          </w:p>
        </w:tc>
        <w:tc>
          <w:tcPr>
            <w:tcW w:w="991" w:type="dxa"/>
            <w:vAlign w:val="center"/>
          </w:tcPr>
          <w:p w14:paraId="23B58340">
            <w:pPr>
              <w:jc w:val="center"/>
              <w:rPr>
                <w:szCs w:val="21"/>
              </w:rPr>
            </w:pPr>
          </w:p>
        </w:tc>
        <w:tc>
          <w:tcPr>
            <w:tcW w:w="859" w:type="dxa"/>
            <w:vAlign w:val="center"/>
          </w:tcPr>
          <w:p w14:paraId="4F027DC9">
            <w:pPr>
              <w:jc w:val="center"/>
              <w:rPr>
                <w:szCs w:val="21"/>
              </w:rPr>
            </w:pPr>
          </w:p>
        </w:tc>
        <w:tc>
          <w:tcPr>
            <w:tcW w:w="1272" w:type="dxa"/>
            <w:vAlign w:val="center"/>
          </w:tcPr>
          <w:p w14:paraId="59A2A0E1">
            <w:pPr>
              <w:jc w:val="center"/>
              <w:rPr>
                <w:szCs w:val="21"/>
              </w:rPr>
            </w:pPr>
          </w:p>
        </w:tc>
        <w:tc>
          <w:tcPr>
            <w:tcW w:w="1773" w:type="dxa"/>
            <w:vAlign w:val="center"/>
          </w:tcPr>
          <w:p w14:paraId="3F81BBAD">
            <w:pPr>
              <w:jc w:val="center"/>
              <w:rPr>
                <w:szCs w:val="21"/>
              </w:rPr>
            </w:pPr>
          </w:p>
        </w:tc>
        <w:tc>
          <w:tcPr>
            <w:tcW w:w="1000" w:type="dxa"/>
            <w:vAlign w:val="center"/>
          </w:tcPr>
          <w:p w14:paraId="752B09D3">
            <w:pPr>
              <w:jc w:val="center"/>
              <w:rPr>
                <w:szCs w:val="21"/>
              </w:rPr>
            </w:pPr>
          </w:p>
        </w:tc>
      </w:tr>
      <w:tr w14:paraId="6EEAB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053E2206">
            <w:pPr>
              <w:jc w:val="center"/>
              <w:rPr>
                <w:szCs w:val="21"/>
              </w:rPr>
            </w:pPr>
          </w:p>
        </w:tc>
        <w:tc>
          <w:tcPr>
            <w:tcW w:w="1272" w:type="dxa"/>
            <w:vAlign w:val="center"/>
          </w:tcPr>
          <w:p w14:paraId="4FCDC393">
            <w:pPr>
              <w:jc w:val="center"/>
              <w:rPr>
                <w:szCs w:val="21"/>
              </w:rPr>
            </w:pPr>
          </w:p>
        </w:tc>
        <w:tc>
          <w:tcPr>
            <w:tcW w:w="809" w:type="dxa"/>
            <w:vAlign w:val="center"/>
          </w:tcPr>
          <w:p w14:paraId="05213E1F">
            <w:pPr>
              <w:jc w:val="center"/>
              <w:rPr>
                <w:szCs w:val="21"/>
              </w:rPr>
            </w:pPr>
          </w:p>
        </w:tc>
        <w:tc>
          <w:tcPr>
            <w:tcW w:w="1024" w:type="dxa"/>
            <w:vAlign w:val="center"/>
          </w:tcPr>
          <w:p w14:paraId="6F6AC34E">
            <w:pPr>
              <w:jc w:val="center"/>
              <w:rPr>
                <w:szCs w:val="21"/>
              </w:rPr>
            </w:pPr>
          </w:p>
        </w:tc>
        <w:tc>
          <w:tcPr>
            <w:tcW w:w="991" w:type="dxa"/>
            <w:vAlign w:val="center"/>
          </w:tcPr>
          <w:p w14:paraId="7E845A76">
            <w:pPr>
              <w:jc w:val="center"/>
              <w:rPr>
                <w:szCs w:val="21"/>
              </w:rPr>
            </w:pPr>
          </w:p>
        </w:tc>
        <w:tc>
          <w:tcPr>
            <w:tcW w:w="859" w:type="dxa"/>
            <w:vAlign w:val="center"/>
          </w:tcPr>
          <w:p w14:paraId="1C3FC1A8">
            <w:pPr>
              <w:jc w:val="center"/>
              <w:rPr>
                <w:szCs w:val="21"/>
              </w:rPr>
            </w:pPr>
          </w:p>
        </w:tc>
        <w:tc>
          <w:tcPr>
            <w:tcW w:w="1272" w:type="dxa"/>
            <w:vAlign w:val="center"/>
          </w:tcPr>
          <w:p w14:paraId="1597A16E">
            <w:pPr>
              <w:jc w:val="center"/>
              <w:rPr>
                <w:szCs w:val="21"/>
              </w:rPr>
            </w:pPr>
          </w:p>
        </w:tc>
        <w:tc>
          <w:tcPr>
            <w:tcW w:w="1773" w:type="dxa"/>
            <w:vAlign w:val="center"/>
          </w:tcPr>
          <w:p w14:paraId="7DCCE651">
            <w:pPr>
              <w:jc w:val="center"/>
              <w:rPr>
                <w:szCs w:val="21"/>
              </w:rPr>
            </w:pPr>
          </w:p>
        </w:tc>
        <w:tc>
          <w:tcPr>
            <w:tcW w:w="1000" w:type="dxa"/>
            <w:vAlign w:val="center"/>
          </w:tcPr>
          <w:p w14:paraId="5D924131">
            <w:pPr>
              <w:jc w:val="center"/>
              <w:rPr>
                <w:szCs w:val="21"/>
              </w:rPr>
            </w:pPr>
          </w:p>
        </w:tc>
      </w:tr>
      <w:tr w14:paraId="70007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6DA09F32">
            <w:pPr>
              <w:jc w:val="center"/>
              <w:rPr>
                <w:szCs w:val="21"/>
              </w:rPr>
            </w:pPr>
          </w:p>
        </w:tc>
        <w:tc>
          <w:tcPr>
            <w:tcW w:w="1272" w:type="dxa"/>
            <w:vAlign w:val="center"/>
          </w:tcPr>
          <w:p w14:paraId="32C0F361">
            <w:pPr>
              <w:jc w:val="center"/>
              <w:rPr>
                <w:szCs w:val="21"/>
              </w:rPr>
            </w:pPr>
          </w:p>
        </w:tc>
        <w:tc>
          <w:tcPr>
            <w:tcW w:w="809" w:type="dxa"/>
            <w:vAlign w:val="center"/>
          </w:tcPr>
          <w:p w14:paraId="7550B01A">
            <w:pPr>
              <w:jc w:val="center"/>
              <w:rPr>
                <w:szCs w:val="21"/>
              </w:rPr>
            </w:pPr>
          </w:p>
        </w:tc>
        <w:tc>
          <w:tcPr>
            <w:tcW w:w="1024" w:type="dxa"/>
            <w:vAlign w:val="center"/>
          </w:tcPr>
          <w:p w14:paraId="33471E09">
            <w:pPr>
              <w:jc w:val="center"/>
              <w:rPr>
                <w:szCs w:val="21"/>
              </w:rPr>
            </w:pPr>
          </w:p>
        </w:tc>
        <w:tc>
          <w:tcPr>
            <w:tcW w:w="991" w:type="dxa"/>
            <w:vAlign w:val="center"/>
          </w:tcPr>
          <w:p w14:paraId="5CC3950D">
            <w:pPr>
              <w:jc w:val="center"/>
              <w:rPr>
                <w:szCs w:val="21"/>
              </w:rPr>
            </w:pPr>
          </w:p>
        </w:tc>
        <w:tc>
          <w:tcPr>
            <w:tcW w:w="859" w:type="dxa"/>
            <w:vAlign w:val="center"/>
          </w:tcPr>
          <w:p w14:paraId="4BF4F1E8">
            <w:pPr>
              <w:jc w:val="center"/>
              <w:rPr>
                <w:szCs w:val="21"/>
              </w:rPr>
            </w:pPr>
          </w:p>
        </w:tc>
        <w:tc>
          <w:tcPr>
            <w:tcW w:w="1272" w:type="dxa"/>
            <w:vAlign w:val="center"/>
          </w:tcPr>
          <w:p w14:paraId="6829F171">
            <w:pPr>
              <w:jc w:val="center"/>
              <w:rPr>
                <w:szCs w:val="21"/>
              </w:rPr>
            </w:pPr>
          </w:p>
        </w:tc>
        <w:tc>
          <w:tcPr>
            <w:tcW w:w="1773" w:type="dxa"/>
            <w:vAlign w:val="center"/>
          </w:tcPr>
          <w:p w14:paraId="53AED2C6">
            <w:pPr>
              <w:jc w:val="center"/>
              <w:rPr>
                <w:szCs w:val="21"/>
              </w:rPr>
            </w:pPr>
          </w:p>
        </w:tc>
        <w:tc>
          <w:tcPr>
            <w:tcW w:w="1000" w:type="dxa"/>
            <w:vAlign w:val="center"/>
          </w:tcPr>
          <w:p w14:paraId="0673E743">
            <w:pPr>
              <w:jc w:val="center"/>
              <w:rPr>
                <w:szCs w:val="21"/>
              </w:rPr>
            </w:pPr>
          </w:p>
        </w:tc>
      </w:tr>
      <w:tr w14:paraId="34B8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78DDB1C6">
            <w:pPr>
              <w:jc w:val="center"/>
              <w:rPr>
                <w:szCs w:val="21"/>
              </w:rPr>
            </w:pPr>
          </w:p>
        </w:tc>
        <w:tc>
          <w:tcPr>
            <w:tcW w:w="1272" w:type="dxa"/>
            <w:vAlign w:val="center"/>
          </w:tcPr>
          <w:p w14:paraId="302F6681">
            <w:pPr>
              <w:jc w:val="center"/>
              <w:rPr>
                <w:szCs w:val="21"/>
              </w:rPr>
            </w:pPr>
          </w:p>
        </w:tc>
        <w:tc>
          <w:tcPr>
            <w:tcW w:w="809" w:type="dxa"/>
            <w:vAlign w:val="center"/>
          </w:tcPr>
          <w:p w14:paraId="62F59675">
            <w:pPr>
              <w:jc w:val="center"/>
              <w:rPr>
                <w:szCs w:val="21"/>
              </w:rPr>
            </w:pPr>
          </w:p>
        </w:tc>
        <w:tc>
          <w:tcPr>
            <w:tcW w:w="1024" w:type="dxa"/>
            <w:vAlign w:val="center"/>
          </w:tcPr>
          <w:p w14:paraId="17CB95FD">
            <w:pPr>
              <w:jc w:val="center"/>
              <w:rPr>
                <w:szCs w:val="21"/>
              </w:rPr>
            </w:pPr>
          </w:p>
        </w:tc>
        <w:tc>
          <w:tcPr>
            <w:tcW w:w="991" w:type="dxa"/>
            <w:vAlign w:val="center"/>
          </w:tcPr>
          <w:p w14:paraId="05500BAF">
            <w:pPr>
              <w:jc w:val="center"/>
              <w:rPr>
                <w:szCs w:val="21"/>
              </w:rPr>
            </w:pPr>
          </w:p>
        </w:tc>
        <w:tc>
          <w:tcPr>
            <w:tcW w:w="859" w:type="dxa"/>
            <w:vAlign w:val="center"/>
          </w:tcPr>
          <w:p w14:paraId="2103C365">
            <w:pPr>
              <w:jc w:val="center"/>
              <w:rPr>
                <w:szCs w:val="21"/>
              </w:rPr>
            </w:pPr>
          </w:p>
        </w:tc>
        <w:tc>
          <w:tcPr>
            <w:tcW w:w="1272" w:type="dxa"/>
            <w:vAlign w:val="center"/>
          </w:tcPr>
          <w:p w14:paraId="09191259">
            <w:pPr>
              <w:jc w:val="center"/>
              <w:rPr>
                <w:szCs w:val="21"/>
              </w:rPr>
            </w:pPr>
          </w:p>
        </w:tc>
        <w:tc>
          <w:tcPr>
            <w:tcW w:w="1773" w:type="dxa"/>
            <w:vAlign w:val="center"/>
          </w:tcPr>
          <w:p w14:paraId="47D3F595">
            <w:pPr>
              <w:jc w:val="center"/>
              <w:rPr>
                <w:szCs w:val="21"/>
              </w:rPr>
            </w:pPr>
          </w:p>
        </w:tc>
        <w:tc>
          <w:tcPr>
            <w:tcW w:w="1000" w:type="dxa"/>
            <w:vAlign w:val="center"/>
          </w:tcPr>
          <w:p w14:paraId="3D4EA882">
            <w:pPr>
              <w:jc w:val="center"/>
              <w:rPr>
                <w:szCs w:val="21"/>
              </w:rPr>
            </w:pPr>
          </w:p>
        </w:tc>
      </w:tr>
      <w:tr w14:paraId="5A132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75" w:type="dxa"/>
            <w:vAlign w:val="center"/>
          </w:tcPr>
          <w:p w14:paraId="3389743A">
            <w:pPr>
              <w:jc w:val="center"/>
              <w:rPr>
                <w:szCs w:val="21"/>
              </w:rPr>
            </w:pPr>
          </w:p>
        </w:tc>
        <w:tc>
          <w:tcPr>
            <w:tcW w:w="1272" w:type="dxa"/>
            <w:vAlign w:val="center"/>
          </w:tcPr>
          <w:p w14:paraId="71178902">
            <w:pPr>
              <w:jc w:val="center"/>
              <w:rPr>
                <w:szCs w:val="21"/>
              </w:rPr>
            </w:pPr>
          </w:p>
        </w:tc>
        <w:tc>
          <w:tcPr>
            <w:tcW w:w="809" w:type="dxa"/>
            <w:vAlign w:val="center"/>
          </w:tcPr>
          <w:p w14:paraId="3830BC20">
            <w:pPr>
              <w:jc w:val="center"/>
              <w:rPr>
                <w:szCs w:val="21"/>
              </w:rPr>
            </w:pPr>
          </w:p>
        </w:tc>
        <w:tc>
          <w:tcPr>
            <w:tcW w:w="1024" w:type="dxa"/>
            <w:vAlign w:val="center"/>
          </w:tcPr>
          <w:p w14:paraId="605FD63A">
            <w:pPr>
              <w:jc w:val="center"/>
              <w:rPr>
                <w:szCs w:val="21"/>
              </w:rPr>
            </w:pPr>
          </w:p>
        </w:tc>
        <w:tc>
          <w:tcPr>
            <w:tcW w:w="991" w:type="dxa"/>
            <w:vAlign w:val="center"/>
          </w:tcPr>
          <w:p w14:paraId="79D004CB">
            <w:pPr>
              <w:jc w:val="center"/>
              <w:rPr>
                <w:szCs w:val="21"/>
              </w:rPr>
            </w:pPr>
          </w:p>
        </w:tc>
        <w:tc>
          <w:tcPr>
            <w:tcW w:w="859" w:type="dxa"/>
            <w:vAlign w:val="center"/>
          </w:tcPr>
          <w:p w14:paraId="22521C46">
            <w:pPr>
              <w:jc w:val="center"/>
              <w:rPr>
                <w:szCs w:val="21"/>
              </w:rPr>
            </w:pPr>
          </w:p>
        </w:tc>
        <w:tc>
          <w:tcPr>
            <w:tcW w:w="1272" w:type="dxa"/>
            <w:vAlign w:val="center"/>
          </w:tcPr>
          <w:p w14:paraId="703E9A9B">
            <w:pPr>
              <w:jc w:val="center"/>
              <w:rPr>
                <w:szCs w:val="21"/>
              </w:rPr>
            </w:pPr>
          </w:p>
        </w:tc>
        <w:tc>
          <w:tcPr>
            <w:tcW w:w="1773" w:type="dxa"/>
            <w:vAlign w:val="center"/>
          </w:tcPr>
          <w:p w14:paraId="62566016">
            <w:pPr>
              <w:jc w:val="center"/>
              <w:rPr>
                <w:szCs w:val="21"/>
              </w:rPr>
            </w:pPr>
          </w:p>
        </w:tc>
        <w:tc>
          <w:tcPr>
            <w:tcW w:w="1000" w:type="dxa"/>
            <w:vAlign w:val="center"/>
          </w:tcPr>
          <w:p w14:paraId="6B6A7D6A">
            <w:pPr>
              <w:jc w:val="center"/>
              <w:rPr>
                <w:szCs w:val="21"/>
              </w:rPr>
            </w:pPr>
          </w:p>
        </w:tc>
      </w:tr>
      <w:tr w14:paraId="6AE24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75" w:type="dxa"/>
            <w:vAlign w:val="center"/>
          </w:tcPr>
          <w:p w14:paraId="4B14ED0D">
            <w:pPr>
              <w:jc w:val="center"/>
              <w:rPr>
                <w:szCs w:val="21"/>
              </w:rPr>
            </w:pPr>
          </w:p>
        </w:tc>
        <w:tc>
          <w:tcPr>
            <w:tcW w:w="1272" w:type="dxa"/>
            <w:vAlign w:val="center"/>
          </w:tcPr>
          <w:p w14:paraId="0B99FA44">
            <w:pPr>
              <w:jc w:val="center"/>
              <w:rPr>
                <w:szCs w:val="21"/>
              </w:rPr>
            </w:pPr>
          </w:p>
        </w:tc>
        <w:tc>
          <w:tcPr>
            <w:tcW w:w="809" w:type="dxa"/>
            <w:vAlign w:val="center"/>
          </w:tcPr>
          <w:p w14:paraId="17AF0EFC">
            <w:pPr>
              <w:jc w:val="center"/>
              <w:rPr>
                <w:szCs w:val="21"/>
              </w:rPr>
            </w:pPr>
          </w:p>
        </w:tc>
        <w:tc>
          <w:tcPr>
            <w:tcW w:w="1024" w:type="dxa"/>
            <w:vAlign w:val="center"/>
          </w:tcPr>
          <w:p w14:paraId="57417A43">
            <w:pPr>
              <w:jc w:val="center"/>
              <w:rPr>
                <w:szCs w:val="21"/>
              </w:rPr>
            </w:pPr>
          </w:p>
        </w:tc>
        <w:tc>
          <w:tcPr>
            <w:tcW w:w="991" w:type="dxa"/>
            <w:vAlign w:val="center"/>
          </w:tcPr>
          <w:p w14:paraId="123AAFE9">
            <w:pPr>
              <w:jc w:val="center"/>
              <w:rPr>
                <w:szCs w:val="21"/>
              </w:rPr>
            </w:pPr>
          </w:p>
        </w:tc>
        <w:tc>
          <w:tcPr>
            <w:tcW w:w="859" w:type="dxa"/>
            <w:vAlign w:val="center"/>
          </w:tcPr>
          <w:p w14:paraId="49791189">
            <w:pPr>
              <w:jc w:val="center"/>
              <w:rPr>
                <w:szCs w:val="21"/>
              </w:rPr>
            </w:pPr>
          </w:p>
        </w:tc>
        <w:tc>
          <w:tcPr>
            <w:tcW w:w="1272" w:type="dxa"/>
            <w:vAlign w:val="center"/>
          </w:tcPr>
          <w:p w14:paraId="3048F054">
            <w:pPr>
              <w:jc w:val="center"/>
              <w:rPr>
                <w:szCs w:val="21"/>
              </w:rPr>
            </w:pPr>
          </w:p>
        </w:tc>
        <w:tc>
          <w:tcPr>
            <w:tcW w:w="1773" w:type="dxa"/>
            <w:vAlign w:val="center"/>
          </w:tcPr>
          <w:p w14:paraId="5884F458">
            <w:pPr>
              <w:jc w:val="center"/>
              <w:rPr>
                <w:szCs w:val="21"/>
              </w:rPr>
            </w:pPr>
          </w:p>
        </w:tc>
        <w:tc>
          <w:tcPr>
            <w:tcW w:w="1000" w:type="dxa"/>
            <w:vAlign w:val="center"/>
          </w:tcPr>
          <w:p w14:paraId="76F7A93C">
            <w:pPr>
              <w:jc w:val="center"/>
              <w:rPr>
                <w:szCs w:val="21"/>
              </w:rPr>
            </w:pPr>
          </w:p>
        </w:tc>
      </w:tr>
    </w:tbl>
    <w:p w14:paraId="20A5886E">
      <w:pPr>
        <w:spacing w:line="420" w:lineRule="exact"/>
        <w:rPr>
          <w:szCs w:val="21"/>
        </w:rPr>
      </w:pPr>
    </w:p>
    <w:p w14:paraId="4AF149E7">
      <w:pPr>
        <w:spacing w:before="120" w:beforeLines="50" w:after="120" w:afterLines="50" w:line="420" w:lineRule="exact"/>
        <w:outlineLvl w:val="2"/>
        <w:rPr>
          <w:sz w:val="24"/>
        </w:rPr>
      </w:pPr>
      <w:r>
        <w:rPr>
          <w:rFonts w:hint="eastAsia"/>
          <w:szCs w:val="21"/>
        </w:rPr>
        <w:br w:type="page"/>
      </w:r>
      <w:r>
        <w:rPr>
          <w:rFonts w:hint="eastAsia"/>
          <w:szCs w:val="21"/>
        </w:rPr>
        <w:t>附表三：劳动力计划表</w:t>
      </w:r>
    </w:p>
    <w:p w14:paraId="77FD3106">
      <w:pPr>
        <w:wordWrap w:val="0"/>
        <w:spacing w:line="420" w:lineRule="exact"/>
        <w:jc w:val="right"/>
        <w:rPr>
          <w:szCs w:val="21"/>
        </w:rPr>
      </w:pPr>
      <w:r>
        <w:rPr>
          <w:rFonts w:hint="eastAsia"/>
          <w:szCs w:val="21"/>
        </w:rPr>
        <w:t xml:space="preserve">单位：人   </w:t>
      </w:r>
    </w:p>
    <w:tbl>
      <w:tblPr>
        <w:tblStyle w:val="27"/>
        <w:tblW w:w="995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43"/>
        <w:gridCol w:w="1258"/>
        <w:gridCol w:w="1258"/>
        <w:gridCol w:w="1258"/>
        <w:gridCol w:w="1258"/>
        <w:gridCol w:w="1258"/>
        <w:gridCol w:w="1259"/>
      </w:tblGrid>
      <w:tr w14:paraId="372FC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867" w:type="dxa"/>
            <w:vAlign w:val="center"/>
          </w:tcPr>
          <w:p w14:paraId="3CDC15F0">
            <w:pPr>
              <w:jc w:val="center"/>
              <w:rPr>
                <w:szCs w:val="21"/>
              </w:rPr>
            </w:pPr>
            <w:r>
              <w:rPr>
                <w:rFonts w:hint="eastAsia"/>
                <w:szCs w:val="21"/>
              </w:rPr>
              <w:t>工种</w:t>
            </w:r>
          </w:p>
        </w:tc>
        <w:tc>
          <w:tcPr>
            <w:tcW w:w="9092" w:type="dxa"/>
            <w:gridSpan w:val="7"/>
            <w:vAlign w:val="center"/>
          </w:tcPr>
          <w:p w14:paraId="3C8AB600">
            <w:pPr>
              <w:jc w:val="center"/>
              <w:rPr>
                <w:szCs w:val="21"/>
              </w:rPr>
            </w:pPr>
            <w:r>
              <w:rPr>
                <w:rFonts w:hint="eastAsia"/>
                <w:szCs w:val="21"/>
              </w:rPr>
              <w:t>按工程施工阶段投入劳动力情况</w:t>
            </w:r>
          </w:p>
        </w:tc>
      </w:tr>
      <w:tr w14:paraId="7021D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7C92CBF6">
            <w:pPr>
              <w:jc w:val="center"/>
              <w:rPr>
                <w:szCs w:val="21"/>
              </w:rPr>
            </w:pPr>
          </w:p>
        </w:tc>
        <w:tc>
          <w:tcPr>
            <w:tcW w:w="1543" w:type="dxa"/>
            <w:vAlign w:val="center"/>
          </w:tcPr>
          <w:p w14:paraId="1F923E12">
            <w:pPr>
              <w:jc w:val="center"/>
              <w:rPr>
                <w:szCs w:val="21"/>
              </w:rPr>
            </w:pPr>
          </w:p>
        </w:tc>
        <w:tc>
          <w:tcPr>
            <w:tcW w:w="1258" w:type="dxa"/>
            <w:vAlign w:val="center"/>
          </w:tcPr>
          <w:p w14:paraId="527238BB">
            <w:pPr>
              <w:jc w:val="center"/>
              <w:rPr>
                <w:szCs w:val="21"/>
              </w:rPr>
            </w:pPr>
          </w:p>
        </w:tc>
        <w:tc>
          <w:tcPr>
            <w:tcW w:w="1258" w:type="dxa"/>
            <w:vAlign w:val="center"/>
          </w:tcPr>
          <w:p w14:paraId="6E9E76C8">
            <w:pPr>
              <w:jc w:val="center"/>
              <w:rPr>
                <w:szCs w:val="21"/>
              </w:rPr>
            </w:pPr>
          </w:p>
        </w:tc>
        <w:tc>
          <w:tcPr>
            <w:tcW w:w="1258" w:type="dxa"/>
            <w:vAlign w:val="center"/>
          </w:tcPr>
          <w:p w14:paraId="0C0D2967">
            <w:pPr>
              <w:jc w:val="center"/>
              <w:rPr>
                <w:szCs w:val="21"/>
              </w:rPr>
            </w:pPr>
          </w:p>
        </w:tc>
        <w:tc>
          <w:tcPr>
            <w:tcW w:w="1258" w:type="dxa"/>
            <w:vAlign w:val="center"/>
          </w:tcPr>
          <w:p w14:paraId="5F95C831">
            <w:pPr>
              <w:jc w:val="center"/>
              <w:rPr>
                <w:szCs w:val="21"/>
              </w:rPr>
            </w:pPr>
          </w:p>
        </w:tc>
        <w:tc>
          <w:tcPr>
            <w:tcW w:w="1258" w:type="dxa"/>
            <w:vAlign w:val="center"/>
          </w:tcPr>
          <w:p w14:paraId="56E97B7C">
            <w:pPr>
              <w:jc w:val="center"/>
              <w:rPr>
                <w:szCs w:val="21"/>
              </w:rPr>
            </w:pPr>
          </w:p>
        </w:tc>
        <w:tc>
          <w:tcPr>
            <w:tcW w:w="1259" w:type="dxa"/>
            <w:vAlign w:val="center"/>
          </w:tcPr>
          <w:p w14:paraId="5D456B9E">
            <w:pPr>
              <w:jc w:val="center"/>
              <w:rPr>
                <w:szCs w:val="21"/>
              </w:rPr>
            </w:pPr>
          </w:p>
        </w:tc>
      </w:tr>
      <w:tr w14:paraId="44F39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2D4ADAA5">
            <w:pPr>
              <w:jc w:val="center"/>
              <w:rPr>
                <w:szCs w:val="21"/>
              </w:rPr>
            </w:pPr>
          </w:p>
        </w:tc>
        <w:tc>
          <w:tcPr>
            <w:tcW w:w="1543" w:type="dxa"/>
            <w:vAlign w:val="center"/>
          </w:tcPr>
          <w:p w14:paraId="4D5C8CC1">
            <w:pPr>
              <w:jc w:val="center"/>
              <w:rPr>
                <w:szCs w:val="21"/>
              </w:rPr>
            </w:pPr>
          </w:p>
        </w:tc>
        <w:tc>
          <w:tcPr>
            <w:tcW w:w="1258" w:type="dxa"/>
            <w:vAlign w:val="center"/>
          </w:tcPr>
          <w:p w14:paraId="68D8432F">
            <w:pPr>
              <w:jc w:val="center"/>
              <w:rPr>
                <w:szCs w:val="21"/>
              </w:rPr>
            </w:pPr>
          </w:p>
        </w:tc>
        <w:tc>
          <w:tcPr>
            <w:tcW w:w="1258" w:type="dxa"/>
            <w:vAlign w:val="center"/>
          </w:tcPr>
          <w:p w14:paraId="675E26D1">
            <w:pPr>
              <w:jc w:val="center"/>
              <w:rPr>
                <w:szCs w:val="21"/>
              </w:rPr>
            </w:pPr>
          </w:p>
        </w:tc>
        <w:tc>
          <w:tcPr>
            <w:tcW w:w="1258" w:type="dxa"/>
            <w:vAlign w:val="center"/>
          </w:tcPr>
          <w:p w14:paraId="13673E1F">
            <w:pPr>
              <w:jc w:val="center"/>
              <w:rPr>
                <w:szCs w:val="21"/>
              </w:rPr>
            </w:pPr>
          </w:p>
        </w:tc>
        <w:tc>
          <w:tcPr>
            <w:tcW w:w="1258" w:type="dxa"/>
            <w:vAlign w:val="center"/>
          </w:tcPr>
          <w:p w14:paraId="4AF2584B">
            <w:pPr>
              <w:jc w:val="center"/>
              <w:rPr>
                <w:szCs w:val="21"/>
              </w:rPr>
            </w:pPr>
          </w:p>
        </w:tc>
        <w:tc>
          <w:tcPr>
            <w:tcW w:w="1258" w:type="dxa"/>
            <w:vAlign w:val="center"/>
          </w:tcPr>
          <w:p w14:paraId="3A9330C1">
            <w:pPr>
              <w:jc w:val="center"/>
              <w:rPr>
                <w:szCs w:val="21"/>
              </w:rPr>
            </w:pPr>
          </w:p>
        </w:tc>
        <w:tc>
          <w:tcPr>
            <w:tcW w:w="1259" w:type="dxa"/>
            <w:vAlign w:val="center"/>
          </w:tcPr>
          <w:p w14:paraId="5CD98A98">
            <w:pPr>
              <w:jc w:val="center"/>
              <w:rPr>
                <w:szCs w:val="21"/>
              </w:rPr>
            </w:pPr>
          </w:p>
        </w:tc>
      </w:tr>
      <w:tr w14:paraId="218A1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5D740619">
            <w:pPr>
              <w:jc w:val="center"/>
              <w:rPr>
                <w:szCs w:val="21"/>
              </w:rPr>
            </w:pPr>
          </w:p>
        </w:tc>
        <w:tc>
          <w:tcPr>
            <w:tcW w:w="1543" w:type="dxa"/>
            <w:vAlign w:val="center"/>
          </w:tcPr>
          <w:p w14:paraId="34015E40">
            <w:pPr>
              <w:jc w:val="center"/>
              <w:rPr>
                <w:szCs w:val="21"/>
              </w:rPr>
            </w:pPr>
          </w:p>
        </w:tc>
        <w:tc>
          <w:tcPr>
            <w:tcW w:w="1258" w:type="dxa"/>
            <w:vAlign w:val="center"/>
          </w:tcPr>
          <w:p w14:paraId="4A2E7A6A">
            <w:pPr>
              <w:jc w:val="center"/>
              <w:rPr>
                <w:szCs w:val="21"/>
              </w:rPr>
            </w:pPr>
          </w:p>
        </w:tc>
        <w:tc>
          <w:tcPr>
            <w:tcW w:w="1258" w:type="dxa"/>
            <w:vAlign w:val="center"/>
          </w:tcPr>
          <w:p w14:paraId="0FDD4B2D">
            <w:pPr>
              <w:jc w:val="center"/>
              <w:rPr>
                <w:szCs w:val="21"/>
              </w:rPr>
            </w:pPr>
          </w:p>
        </w:tc>
        <w:tc>
          <w:tcPr>
            <w:tcW w:w="1258" w:type="dxa"/>
            <w:vAlign w:val="center"/>
          </w:tcPr>
          <w:p w14:paraId="0B1E248A">
            <w:pPr>
              <w:jc w:val="center"/>
              <w:rPr>
                <w:szCs w:val="21"/>
              </w:rPr>
            </w:pPr>
          </w:p>
        </w:tc>
        <w:tc>
          <w:tcPr>
            <w:tcW w:w="1258" w:type="dxa"/>
            <w:vAlign w:val="center"/>
          </w:tcPr>
          <w:p w14:paraId="72FB0693">
            <w:pPr>
              <w:jc w:val="center"/>
              <w:rPr>
                <w:szCs w:val="21"/>
              </w:rPr>
            </w:pPr>
          </w:p>
        </w:tc>
        <w:tc>
          <w:tcPr>
            <w:tcW w:w="1258" w:type="dxa"/>
            <w:vAlign w:val="center"/>
          </w:tcPr>
          <w:p w14:paraId="01D7448E">
            <w:pPr>
              <w:jc w:val="center"/>
              <w:rPr>
                <w:szCs w:val="21"/>
              </w:rPr>
            </w:pPr>
          </w:p>
        </w:tc>
        <w:tc>
          <w:tcPr>
            <w:tcW w:w="1259" w:type="dxa"/>
            <w:vAlign w:val="center"/>
          </w:tcPr>
          <w:p w14:paraId="3FA9CE5C">
            <w:pPr>
              <w:jc w:val="center"/>
              <w:rPr>
                <w:szCs w:val="21"/>
              </w:rPr>
            </w:pPr>
          </w:p>
        </w:tc>
      </w:tr>
      <w:tr w14:paraId="7FAAA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4EC249D9">
            <w:pPr>
              <w:jc w:val="center"/>
              <w:rPr>
                <w:szCs w:val="21"/>
              </w:rPr>
            </w:pPr>
          </w:p>
        </w:tc>
        <w:tc>
          <w:tcPr>
            <w:tcW w:w="1543" w:type="dxa"/>
            <w:vAlign w:val="center"/>
          </w:tcPr>
          <w:p w14:paraId="40F1FB9B">
            <w:pPr>
              <w:jc w:val="center"/>
              <w:rPr>
                <w:szCs w:val="21"/>
              </w:rPr>
            </w:pPr>
          </w:p>
        </w:tc>
        <w:tc>
          <w:tcPr>
            <w:tcW w:w="1258" w:type="dxa"/>
            <w:vAlign w:val="center"/>
          </w:tcPr>
          <w:p w14:paraId="4EDB5560">
            <w:pPr>
              <w:jc w:val="center"/>
              <w:rPr>
                <w:szCs w:val="21"/>
              </w:rPr>
            </w:pPr>
          </w:p>
        </w:tc>
        <w:tc>
          <w:tcPr>
            <w:tcW w:w="1258" w:type="dxa"/>
            <w:vAlign w:val="center"/>
          </w:tcPr>
          <w:p w14:paraId="53CB8036">
            <w:pPr>
              <w:jc w:val="center"/>
              <w:rPr>
                <w:szCs w:val="21"/>
              </w:rPr>
            </w:pPr>
          </w:p>
        </w:tc>
        <w:tc>
          <w:tcPr>
            <w:tcW w:w="1258" w:type="dxa"/>
            <w:vAlign w:val="center"/>
          </w:tcPr>
          <w:p w14:paraId="5E6BE01A">
            <w:pPr>
              <w:jc w:val="center"/>
              <w:rPr>
                <w:szCs w:val="21"/>
              </w:rPr>
            </w:pPr>
          </w:p>
        </w:tc>
        <w:tc>
          <w:tcPr>
            <w:tcW w:w="1258" w:type="dxa"/>
            <w:vAlign w:val="center"/>
          </w:tcPr>
          <w:p w14:paraId="4166C42D">
            <w:pPr>
              <w:jc w:val="center"/>
              <w:rPr>
                <w:szCs w:val="21"/>
              </w:rPr>
            </w:pPr>
          </w:p>
        </w:tc>
        <w:tc>
          <w:tcPr>
            <w:tcW w:w="1258" w:type="dxa"/>
            <w:vAlign w:val="center"/>
          </w:tcPr>
          <w:p w14:paraId="09DC9B10">
            <w:pPr>
              <w:jc w:val="center"/>
              <w:rPr>
                <w:szCs w:val="21"/>
              </w:rPr>
            </w:pPr>
          </w:p>
        </w:tc>
        <w:tc>
          <w:tcPr>
            <w:tcW w:w="1259" w:type="dxa"/>
            <w:vAlign w:val="center"/>
          </w:tcPr>
          <w:p w14:paraId="6892BE59">
            <w:pPr>
              <w:jc w:val="center"/>
              <w:rPr>
                <w:szCs w:val="21"/>
              </w:rPr>
            </w:pPr>
          </w:p>
        </w:tc>
      </w:tr>
      <w:tr w14:paraId="510A6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37829A1F">
            <w:pPr>
              <w:jc w:val="center"/>
              <w:rPr>
                <w:szCs w:val="21"/>
              </w:rPr>
            </w:pPr>
          </w:p>
        </w:tc>
        <w:tc>
          <w:tcPr>
            <w:tcW w:w="1543" w:type="dxa"/>
            <w:vAlign w:val="center"/>
          </w:tcPr>
          <w:p w14:paraId="0E4EAD51">
            <w:pPr>
              <w:jc w:val="center"/>
              <w:rPr>
                <w:szCs w:val="21"/>
              </w:rPr>
            </w:pPr>
          </w:p>
        </w:tc>
        <w:tc>
          <w:tcPr>
            <w:tcW w:w="1258" w:type="dxa"/>
            <w:vAlign w:val="center"/>
          </w:tcPr>
          <w:p w14:paraId="49D70784">
            <w:pPr>
              <w:jc w:val="center"/>
              <w:rPr>
                <w:szCs w:val="21"/>
              </w:rPr>
            </w:pPr>
          </w:p>
        </w:tc>
        <w:tc>
          <w:tcPr>
            <w:tcW w:w="1258" w:type="dxa"/>
            <w:vAlign w:val="center"/>
          </w:tcPr>
          <w:p w14:paraId="6221B57C">
            <w:pPr>
              <w:jc w:val="center"/>
              <w:rPr>
                <w:szCs w:val="21"/>
              </w:rPr>
            </w:pPr>
          </w:p>
        </w:tc>
        <w:tc>
          <w:tcPr>
            <w:tcW w:w="1258" w:type="dxa"/>
            <w:vAlign w:val="center"/>
          </w:tcPr>
          <w:p w14:paraId="1DE78E70">
            <w:pPr>
              <w:jc w:val="center"/>
              <w:rPr>
                <w:szCs w:val="21"/>
              </w:rPr>
            </w:pPr>
          </w:p>
        </w:tc>
        <w:tc>
          <w:tcPr>
            <w:tcW w:w="1258" w:type="dxa"/>
            <w:vAlign w:val="center"/>
          </w:tcPr>
          <w:p w14:paraId="639D244B">
            <w:pPr>
              <w:jc w:val="center"/>
              <w:rPr>
                <w:szCs w:val="21"/>
              </w:rPr>
            </w:pPr>
          </w:p>
        </w:tc>
        <w:tc>
          <w:tcPr>
            <w:tcW w:w="1258" w:type="dxa"/>
            <w:vAlign w:val="center"/>
          </w:tcPr>
          <w:p w14:paraId="5928F0B3">
            <w:pPr>
              <w:jc w:val="center"/>
              <w:rPr>
                <w:szCs w:val="21"/>
              </w:rPr>
            </w:pPr>
          </w:p>
        </w:tc>
        <w:tc>
          <w:tcPr>
            <w:tcW w:w="1259" w:type="dxa"/>
            <w:vAlign w:val="center"/>
          </w:tcPr>
          <w:p w14:paraId="5FF4FB07">
            <w:pPr>
              <w:jc w:val="center"/>
              <w:rPr>
                <w:szCs w:val="21"/>
              </w:rPr>
            </w:pPr>
          </w:p>
        </w:tc>
      </w:tr>
      <w:tr w14:paraId="04BD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6A37DFAE">
            <w:pPr>
              <w:jc w:val="center"/>
              <w:rPr>
                <w:szCs w:val="21"/>
              </w:rPr>
            </w:pPr>
          </w:p>
        </w:tc>
        <w:tc>
          <w:tcPr>
            <w:tcW w:w="1543" w:type="dxa"/>
            <w:vAlign w:val="center"/>
          </w:tcPr>
          <w:p w14:paraId="2D8B9DAD">
            <w:pPr>
              <w:jc w:val="center"/>
              <w:rPr>
                <w:szCs w:val="21"/>
              </w:rPr>
            </w:pPr>
          </w:p>
        </w:tc>
        <w:tc>
          <w:tcPr>
            <w:tcW w:w="1258" w:type="dxa"/>
            <w:vAlign w:val="center"/>
          </w:tcPr>
          <w:p w14:paraId="3878ECA5">
            <w:pPr>
              <w:jc w:val="center"/>
              <w:rPr>
                <w:szCs w:val="21"/>
              </w:rPr>
            </w:pPr>
          </w:p>
        </w:tc>
        <w:tc>
          <w:tcPr>
            <w:tcW w:w="1258" w:type="dxa"/>
            <w:vAlign w:val="center"/>
          </w:tcPr>
          <w:p w14:paraId="17B3EF85">
            <w:pPr>
              <w:jc w:val="center"/>
              <w:rPr>
                <w:szCs w:val="21"/>
              </w:rPr>
            </w:pPr>
          </w:p>
        </w:tc>
        <w:tc>
          <w:tcPr>
            <w:tcW w:w="1258" w:type="dxa"/>
            <w:vAlign w:val="center"/>
          </w:tcPr>
          <w:p w14:paraId="2C5E6C82">
            <w:pPr>
              <w:jc w:val="center"/>
              <w:rPr>
                <w:szCs w:val="21"/>
              </w:rPr>
            </w:pPr>
          </w:p>
        </w:tc>
        <w:tc>
          <w:tcPr>
            <w:tcW w:w="1258" w:type="dxa"/>
            <w:vAlign w:val="center"/>
          </w:tcPr>
          <w:p w14:paraId="512F6B72">
            <w:pPr>
              <w:jc w:val="center"/>
              <w:rPr>
                <w:szCs w:val="21"/>
              </w:rPr>
            </w:pPr>
          </w:p>
        </w:tc>
        <w:tc>
          <w:tcPr>
            <w:tcW w:w="1258" w:type="dxa"/>
            <w:vAlign w:val="center"/>
          </w:tcPr>
          <w:p w14:paraId="15710EE2">
            <w:pPr>
              <w:jc w:val="center"/>
              <w:rPr>
                <w:szCs w:val="21"/>
              </w:rPr>
            </w:pPr>
          </w:p>
        </w:tc>
        <w:tc>
          <w:tcPr>
            <w:tcW w:w="1259" w:type="dxa"/>
            <w:vAlign w:val="center"/>
          </w:tcPr>
          <w:p w14:paraId="218CBD84">
            <w:pPr>
              <w:jc w:val="center"/>
              <w:rPr>
                <w:szCs w:val="21"/>
              </w:rPr>
            </w:pPr>
          </w:p>
        </w:tc>
      </w:tr>
      <w:tr w14:paraId="38C15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1995EBAF">
            <w:pPr>
              <w:jc w:val="center"/>
              <w:rPr>
                <w:szCs w:val="21"/>
              </w:rPr>
            </w:pPr>
          </w:p>
        </w:tc>
        <w:tc>
          <w:tcPr>
            <w:tcW w:w="1543" w:type="dxa"/>
            <w:vAlign w:val="center"/>
          </w:tcPr>
          <w:p w14:paraId="22563941">
            <w:pPr>
              <w:jc w:val="center"/>
              <w:rPr>
                <w:szCs w:val="21"/>
              </w:rPr>
            </w:pPr>
          </w:p>
        </w:tc>
        <w:tc>
          <w:tcPr>
            <w:tcW w:w="1258" w:type="dxa"/>
            <w:vAlign w:val="center"/>
          </w:tcPr>
          <w:p w14:paraId="52EDF546">
            <w:pPr>
              <w:jc w:val="center"/>
              <w:rPr>
                <w:szCs w:val="21"/>
              </w:rPr>
            </w:pPr>
          </w:p>
        </w:tc>
        <w:tc>
          <w:tcPr>
            <w:tcW w:w="1258" w:type="dxa"/>
            <w:vAlign w:val="center"/>
          </w:tcPr>
          <w:p w14:paraId="7B44886D">
            <w:pPr>
              <w:jc w:val="center"/>
              <w:rPr>
                <w:szCs w:val="21"/>
              </w:rPr>
            </w:pPr>
          </w:p>
        </w:tc>
        <w:tc>
          <w:tcPr>
            <w:tcW w:w="1258" w:type="dxa"/>
            <w:vAlign w:val="center"/>
          </w:tcPr>
          <w:p w14:paraId="066BA301">
            <w:pPr>
              <w:jc w:val="center"/>
              <w:rPr>
                <w:szCs w:val="21"/>
              </w:rPr>
            </w:pPr>
          </w:p>
        </w:tc>
        <w:tc>
          <w:tcPr>
            <w:tcW w:w="1258" w:type="dxa"/>
            <w:vAlign w:val="center"/>
          </w:tcPr>
          <w:p w14:paraId="08FB64AA">
            <w:pPr>
              <w:jc w:val="center"/>
              <w:rPr>
                <w:szCs w:val="21"/>
              </w:rPr>
            </w:pPr>
          </w:p>
        </w:tc>
        <w:tc>
          <w:tcPr>
            <w:tcW w:w="1258" w:type="dxa"/>
            <w:vAlign w:val="center"/>
          </w:tcPr>
          <w:p w14:paraId="7BA95B0B">
            <w:pPr>
              <w:jc w:val="center"/>
              <w:rPr>
                <w:szCs w:val="21"/>
              </w:rPr>
            </w:pPr>
          </w:p>
        </w:tc>
        <w:tc>
          <w:tcPr>
            <w:tcW w:w="1259" w:type="dxa"/>
            <w:vAlign w:val="center"/>
          </w:tcPr>
          <w:p w14:paraId="10E12F67">
            <w:pPr>
              <w:jc w:val="center"/>
              <w:rPr>
                <w:szCs w:val="21"/>
              </w:rPr>
            </w:pPr>
          </w:p>
        </w:tc>
      </w:tr>
      <w:tr w14:paraId="4DEDA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16A60A99">
            <w:pPr>
              <w:jc w:val="center"/>
              <w:rPr>
                <w:szCs w:val="21"/>
              </w:rPr>
            </w:pPr>
          </w:p>
        </w:tc>
        <w:tc>
          <w:tcPr>
            <w:tcW w:w="1543" w:type="dxa"/>
            <w:vAlign w:val="center"/>
          </w:tcPr>
          <w:p w14:paraId="20D5A3FC">
            <w:pPr>
              <w:jc w:val="center"/>
              <w:rPr>
                <w:szCs w:val="21"/>
              </w:rPr>
            </w:pPr>
          </w:p>
        </w:tc>
        <w:tc>
          <w:tcPr>
            <w:tcW w:w="1258" w:type="dxa"/>
            <w:vAlign w:val="center"/>
          </w:tcPr>
          <w:p w14:paraId="6EF4DE40">
            <w:pPr>
              <w:jc w:val="center"/>
              <w:rPr>
                <w:szCs w:val="21"/>
              </w:rPr>
            </w:pPr>
          </w:p>
        </w:tc>
        <w:tc>
          <w:tcPr>
            <w:tcW w:w="1258" w:type="dxa"/>
            <w:vAlign w:val="center"/>
          </w:tcPr>
          <w:p w14:paraId="41B88CCB">
            <w:pPr>
              <w:jc w:val="center"/>
              <w:rPr>
                <w:szCs w:val="21"/>
              </w:rPr>
            </w:pPr>
          </w:p>
        </w:tc>
        <w:tc>
          <w:tcPr>
            <w:tcW w:w="1258" w:type="dxa"/>
            <w:vAlign w:val="center"/>
          </w:tcPr>
          <w:p w14:paraId="38EB963D">
            <w:pPr>
              <w:jc w:val="center"/>
              <w:rPr>
                <w:szCs w:val="21"/>
              </w:rPr>
            </w:pPr>
          </w:p>
        </w:tc>
        <w:tc>
          <w:tcPr>
            <w:tcW w:w="1258" w:type="dxa"/>
            <w:vAlign w:val="center"/>
          </w:tcPr>
          <w:p w14:paraId="331FAE3C">
            <w:pPr>
              <w:jc w:val="center"/>
              <w:rPr>
                <w:szCs w:val="21"/>
              </w:rPr>
            </w:pPr>
          </w:p>
        </w:tc>
        <w:tc>
          <w:tcPr>
            <w:tcW w:w="1258" w:type="dxa"/>
            <w:vAlign w:val="center"/>
          </w:tcPr>
          <w:p w14:paraId="08DED57B">
            <w:pPr>
              <w:jc w:val="center"/>
              <w:rPr>
                <w:szCs w:val="21"/>
              </w:rPr>
            </w:pPr>
          </w:p>
        </w:tc>
        <w:tc>
          <w:tcPr>
            <w:tcW w:w="1259" w:type="dxa"/>
            <w:vAlign w:val="center"/>
          </w:tcPr>
          <w:p w14:paraId="24CCA52C">
            <w:pPr>
              <w:jc w:val="center"/>
              <w:rPr>
                <w:szCs w:val="21"/>
              </w:rPr>
            </w:pPr>
          </w:p>
        </w:tc>
      </w:tr>
      <w:tr w14:paraId="0F00B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6146F3CF">
            <w:pPr>
              <w:jc w:val="center"/>
              <w:rPr>
                <w:szCs w:val="21"/>
              </w:rPr>
            </w:pPr>
          </w:p>
        </w:tc>
        <w:tc>
          <w:tcPr>
            <w:tcW w:w="1543" w:type="dxa"/>
            <w:vAlign w:val="center"/>
          </w:tcPr>
          <w:p w14:paraId="61F72594">
            <w:pPr>
              <w:jc w:val="center"/>
              <w:rPr>
                <w:szCs w:val="21"/>
              </w:rPr>
            </w:pPr>
          </w:p>
        </w:tc>
        <w:tc>
          <w:tcPr>
            <w:tcW w:w="1258" w:type="dxa"/>
            <w:vAlign w:val="center"/>
          </w:tcPr>
          <w:p w14:paraId="13DF9361">
            <w:pPr>
              <w:jc w:val="center"/>
              <w:rPr>
                <w:szCs w:val="21"/>
              </w:rPr>
            </w:pPr>
          </w:p>
        </w:tc>
        <w:tc>
          <w:tcPr>
            <w:tcW w:w="1258" w:type="dxa"/>
            <w:vAlign w:val="center"/>
          </w:tcPr>
          <w:p w14:paraId="3B1F1290">
            <w:pPr>
              <w:jc w:val="center"/>
              <w:rPr>
                <w:szCs w:val="21"/>
              </w:rPr>
            </w:pPr>
          </w:p>
        </w:tc>
        <w:tc>
          <w:tcPr>
            <w:tcW w:w="1258" w:type="dxa"/>
            <w:vAlign w:val="center"/>
          </w:tcPr>
          <w:p w14:paraId="2C78F788">
            <w:pPr>
              <w:jc w:val="center"/>
              <w:rPr>
                <w:szCs w:val="21"/>
              </w:rPr>
            </w:pPr>
          </w:p>
        </w:tc>
        <w:tc>
          <w:tcPr>
            <w:tcW w:w="1258" w:type="dxa"/>
            <w:vAlign w:val="center"/>
          </w:tcPr>
          <w:p w14:paraId="6609DC6C">
            <w:pPr>
              <w:jc w:val="center"/>
              <w:rPr>
                <w:szCs w:val="21"/>
              </w:rPr>
            </w:pPr>
          </w:p>
        </w:tc>
        <w:tc>
          <w:tcPr>
            <w:tcW w:w="1258" w:type="dxa"/>
            <w:vAlign w:val="center"/>
          </w:tcPr>
          <w:p w14:paraId="2BA6024A">
            <w:pPr>
              <w:jc w:val="center"/>
              <w:rPr>
                <w:szCs w:val="21"/>
              </w:rPr>
            </w:pPr>
          </w:p>
        </w:tc>
        <w:tc>
          <w:tcPr>
            <w:tcW w:w="1259" w:type="dxa"/>
            <w:vAlign w:val="center"/>
          </w:tcPr>
          <w:p w14:paraId="26672DA8">
            <w:pPr>
              <w:jc w:val="center"/>
              <w:rPr>
                <w:szCs w:val="21"/>
              </w:rPr>
            </w:pPr>
          </w:p>
        </w:tc>
      </w:tr>
      <w:tr w14:paraId="41956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1FDE1097">
            <w:pPr>
              <w:jc w:val="center"/>
              <w:rPr>
                <w:szCs w:val="21"/>
              </w:rPr>
            </w:pPr>
          </w:p>
        </w:tc>
        <w:tc>
          <w:tcPr>
            <w:tcW w:w="1543" w:type="dxa"/>
            <w:vAlign w:val="center"/>
          </w:tcPr>
          <w:p w14:paraId="230B8B5D">
            <w:pPr>
              <w:jc w:val="center"/>
              <w:rPr>
                <w:szCs w:val="21"/>
              </w:rPr>
            </w:pPr>
          </w:p>
        </w:tc>
        <w:tc>
          <w:tcPr>
            <w:tcW w:w="1258" w:type="dxa"/>
            <w:vAlign w:val="center"/>
          </w:tcPr>
          <w:p w14:paraId="6CC2CC28">
            <w:pPr>
              <w:jc w:val="center"/>
              <w:rPr>
                <w:szCs w:val="21"/>
              </w:rPr>
            </w:pPr>
          </w:p>
        </w:tc>
        <w:tc>
          <w:tcPr>
            <w:tcW w:w="1258" w:type="dxa"/>
            <w:vAlign w:val="center"/>
          </w:tcPr>
          <w:p w14:paraId="371A5920">
            <w:pPr>
              <w:jc w:val="center"/>
              <w:rPr>
                <w:szCs w:val="21"/>
              </w:rPr>
            </w:pPr>
          </w:p>
        </w:tc>
        <w:tc>
          <w:tcPr>
            <w:tcW w:w="1258" w:type="dxa"/>
            <w:vAlign w:val="center"/>
          </w:tcPr>
          <w:p w14:paraId="351B3914">
            <w:pPr>
              <w:jc w:val="center"/>
              <w:rPr>
                <w:szCs w:val="21"/>
              </w:rPr>
            </w:pPr>
          </w:p>
        </w:tc>
        <w:tc>
          <w:tcPr>
            <w:tcW w:w="1258" w:type="dxa"/>
            <w:vAlign w:val="center"/>
          </w:tcPr>
          <w:p w14:paraId="41FEAAE1">
            <w:pPr>
              <w:jc w:val="center"/>
              <w:rPr>
                <w:szCs w:val="21"/>
              </w:rPr>
            </w:pPr>
          </w:p>
        </w:tc>
        <w:tc>
          <w:tcPr>
            <w:tcW w:w="1258" w:type="dxa"/>
            <w:vAlign w:val="center"/>
          </w:tcPr>
          <w:p w14:paraId="12962A93">
            <w:pPr>
              <w:jc w:val="center"/>
              <w:rPr>
                <w:szCs w:val="21"/>
              </w:rPr>
            </w:pPr>
          </w:p>
        </w:tc>
        <w:tc>
          <w:tcPr>
            <w:tcW w:w="1259" w:type="dxa"/>
            <w:vAlign w:val="center"/>
          </w:tcPr>
          <w:p w14:paraId="4177E365">
            <w:pPr>
              <w:jc w:val="center"/>
              <w:rPr>
                <w:szCs w:val="21"/>
              </w:rPr>
            </w:pPr>
          </w:p>
        </w:tc>
      </w:tr>
      <w:tr w14:paraId="6C2AA87A">
        <w:tblPrEx>
          <w:tblCellMar>
            <w:top w:w="0" w:type="dxa"/>
            <w:left w:w="108" w:type="dxa"/>
            <w:bottom w:w="0" w:type="dxa"/>
            <w:right w:w="108" w:type="dxa"/>
          </w:tblCellMar>
        </w:tblPrEx>
        <w:trPr>
          <w:trHeight w:val="452" w:hRule="atLeast"/>
        </w:trPr>
        <w:tc>
          <w:tcPr>
            <w:tcW w:w="867" w:type="dxa"/>
            <w:vAlign w:val="center"/>
          </w:tcPr>
          <w:p w14:paraId="71C4D736">
            <w:pPr>
              <w:jc w:val="center"/>
              <w:rPr>
                <w:szCs w:val="21"/>
              </w:rPr>
            </w:pPr>
          </w:p>
        </w:tc>
        <w:tc>
          <w:tcPr>
            <w:tcW w:w="1543" w:type="dxa"/>
            <w:vAlign w:val="center"/>
          </w:tcPr>
          <w:p w14:paraId="3A6B9AA2">
            <w:pPr>
              <w:jc w:val="center"/>
              <w:rPr>
                <w:szCs w:val="21"/>
              </w:rPr>
            </w:pPr>
          </w:p>
        </w:tc>
        <w:tc>
          <w:tcPr>
            <w:tcW w:w="1258" w:type="dxa"/>
            <w:vAlign w:val="center"/>
          </w:tcPr>
          <w:p w14:paraId="3ECE58EA">
            <w:pPr>
              <w:jc w:val="center"/>
              <w:rPr>
                <w:szCs w:val="21"/>
              </w:rPr>
            </w:pPr>
          </w:p>
        </w:tc>
        <w:tc>
          <w:tcPr>
            <w:tcW w:w="1258" w:type="dxa"/>
            <w:vAlign w:val="center"/>
          </w:tcPr>
          <w:p w14:paraId="5C201BD8">
            <w:pPr>
              <w:jc w:val="center"/>
              <w:rPr>
                <w:szCs w:val="21"/>
              </w:rPr>
            </w:pPr>
          </w:p>
        </w:tc>
        <w:tc>
          <w:tcPr>
            <w:tcW w:w="1258" w:type="dxa"/>
            <w:vAlign w:val="center"/>
          </w:tcPr>
          <w:p w14:paraId="1FDBF1E3">
            <w:pPr>
              <w:jc w:val="center"/>
              <w:rPr>
                <w:szCs w:val="21"/>
              </w:rPr>
            </w:pPr>
          </w:p>
        </w:tc>
        <w:tc>
          <w:tcPr>
            <w:tcW w:w="1258" w:type="dxa"/>
            <w:vAlign w:val="center"/>
          </w:tcPr>
          <w:p w14:paraId="506E4E77">
            <w:pPr>
              <w:jc w:val="center"/>
              <w:rPr>
                <w:szCs w:val="21"/>
              </w:rPr>
            </w:pPr>
          </w:p>
        </w:tc>
        <w:tc>
          <w:tcPr>
            <w:tcW w:w="1258" w:type="dxa"/>
            <w:vAlign w:val="center"/>
          </w:tcPr>
          <w:p w14:paraId="4E3AB4C0">
            <w:pPr>
              <w:jc w:val="center"/>
              <w:rPr>
                <w:szCs w:val="21"/>
              </w:rPr>
            </w:pPr>
          </w:p>
        </w:tc>
        <w:tc>
          <w:tcPr>
            <w:tcW w:w="1259" w:type="dxa"/>
            <w:vAlign w:val="center"/>
          </w:tcPr>
          <w:p w14:paraId="26BA9893">
            <w:pPr>
              <w:jc w:val="center"/>
              <w:rPr>
                <w:szCs w:val="21"/>
              </w:rPr>
            </w:pPr>
          </w:p>
        </w:tc>
      </w:tr>
      <w:tr w14:paraId="412A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646F64FF">
            <w:pPr>
              <w:jc w:val="center"/>
              <w:rPr>
                <w:szCs w:val="21"/>
              </w:rPr>
            </w:pPr>
          </w:p>
        </w:tc>
        <w:tc>
          <w:tcPr>
            <w:tcW w:w="1543" w:type="dxa"/>
            <w:vAlign w:val="center"/>
          </w:tcPr>
          <w:p w14:paraId="19799CA7">
            <w:pPr>
              <w:jc w:val="center"/>
              <w:rPr>
                <w:szCs w:val="21"/>
              </w:rPr>
            </w:pPr>
          </w:p>
        </w:tc>
        <w:tc>
          <w:tcPr>
            <w:tcW w:w="1258" w:type="dxa"/>
            <w:vAlign w:val="center"/>
          </w:tcPr>
          <w:p w14:paraId="3198A5F6">
            <w:pPr>
              <w:jc w:val="center"/>
              <w:rPr>
                <w:szCs w:val="21"/>
              </w:rPr>
            </w:pPr>
          </w:p>
        </w:tc>
        <w:tc>
          <w:tcPr>
            <w:tcW w:w="1258" w:type="dxa"/>
            <w:vAlign w:val="center"/>
          </w:tcPr>
          <w:p w14:paraId="41B07A90">
            <w:pPr>
              <w:jc w:val="center"/>
              <w:rPr>
                <w:szCs w:val="21"/>
              </w:rPr>
            </w:pPr>
          </w:p>
        </w:tc>
        <w:tc>
          <w:tcPr>
            <w:tcW w:w="1258" w:type="dxa"/>
            <w:vAlign w:val="center"/>
          </w:tcPr>
          <w:p w14:paraId="31F0AFC4">
            <w:pPr>
              <w:jc w:val="center"/>
              <w:rPr>
                <w:szCs w:val="21"/>
              </w:rPr>
            </w:pPr>
          </w:p>
        </w:tc>
        <w:tc>
          <w:tcPr>
            <w:tcW w:w="1258" w:type="dxa"/>
            <w:vAlign w:val="center"/>
          </w:tcPr>
          <w:p w14:paraId="61E75465">
            <w:pPr>
              <w:jc w:val="center"/>
              <w:rPr>
                <w:szCs w:val="21"/>
              </w:rPr>
            </w:pPr>
          </w:p>
        </w:tc>
        <w:tc>
          <w:tcPr>
            <w:tcW w:w="1258" w:type="dxa"/>
            <w:vAlign w:val="center"/>
          </w:tcPr>
          <w:p w14:paraId="1D71C196">
            <w:pPr>
              <w:jc w:val="center"/>
              <w:rPr>
                <w:szCs w:val="21"/>
              </w:rPr>
            </w:pPr>
          </w:p>
        </w:tc>
        <w:tc>
          <w:tcPr>
            <w:tcW w:w="1259" w:type="dxa"/>
            <w:vAlign w:val="center"/>
          </w:tcPr>
          <w:p w14:paraId="445C6107">
            <w:pPr>
              <w:jc w:val="center"/>
              <w:rPr>
                <w:szCs w:val="21"/>
              </w:rPr>
            </w:pPr>
          </w:p>
        </w:tc>
      </w:tr>
      <w:tr w14:paraId="4E15D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0B4F3902">
            <w:pPr>
              <w:jc w:val="center"/>
              <w:rPr>
                <w:szCs w:val="21"/>
              </w:rPr>
            </w:pPr>
          </w:p>
        </w:tc>
        <w:tc>
          <w:tcPr>
            <w:tcW w:w="1543" w:type="dxa"/>
            <w:vAlign w:val="center"/>
          </w:tcPr>
          <w:p w14:paraId="2CE8E1FF">
            <w:pPr>
              <w:jc w:val="center"/>
              <w:rPr>
                <w:szCs w:val="21"/>
              </w:rPr>
            </w:pPr>
          </w:p>
        </w:tc>
        <w:tc>
          <w:tcPr>
            <w:tcW w:w="1258" w:type="dxa"/>
            <w:vAlign w:val="center"/>
          </w:tcPr>
          <w:p w14:paraId="7BBF4236">
            <w:pPr>
              <w:jc w:val="center"/>
              <w:rPr>
                <w:szCs w:val="21"/>
              </w:rPr>
            </w:pPr>
          </w:p>
        </w:tc>
        <w:tc>
          <w:tcPr>
            <w:tcW w:w="1258" w:type="dxa"/>
            <w:vAlign w:val="center"/>
          </w:tcPr>
          <w:p w14:paraId="4C2E48EE">
            <w:pPr>
              <w:jc w:val="center"/>
              <w:rPr>
                <w:szCs w:val="21"/>
              </w:rPr>
            </w:pPr>
          </w:p>
        </w:tc>
        <w:tc>
          <w:tcPr>
            <w:tcW w:w="1258" w:type="dxa"/>
            <w:vAlign w:val="center"/>
          </w:tcPr>
          <w:p w14:paraId="1BA0E844">
            <w:pPr>
              <w:jc w:val="center"/>
              <w:rPr>
                <w:szCs w:val="21"/>
              </w:rPr>
            </w:pPr>
          </w:p>
        </w:tc>
        <w:tc>
          <w:tcPr>
            <w:tcW w:w="1258" w:type="dxa"/>
            <w:vAlign w:val="center"/>
          </w:tcPr>
          <w:p w14:paraId="2AAD923E">
            <w:pPr>
              <w:jc w:val="center"/>
              <w:rPr>
                <w:szCs w:val="21"/>
              </w:rPr>
            </w:pPr>
          </w:p>
        </w:tc>
        <w:tc>
          <w:tcPr>
            <w:tcW w:w="1258" w:type="dxa"/>
            <w:vAlign w:val="center"/>
          </w:tcPr>
          <w:p w14:paraId="5DD2B950">
            <w:pPr>
              <w:jc w:val="center"/>
              <w:rPr>
                <w:szCs w:val="21"/>
              </w:rPr>
            </w:pPr>
          </w:p>
        </w:tc>
        <w:tc>
          <w:tcPr>
            <w:tcW w:w="1259" w:type="dxa"/>
            <w:vAlign w:val="center"/>
          </w:tcPr>
          <w:p w14:paraId="48540763">
            <w:pPr>
              <w:jc w:val="center"/>
              <w:rPr>
                <w:szCs w:val="21"/>
              </w:rPr>
            </w:pPr>
          </w:p>
        </w:tc>
      </w:tr>
      <w:tr w14:paraId="6563E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403C8F1B">
            <w:pPr>
              <w:jc w:val="center"/>
              <w:rPr>
                <w:szCs w:val="21"/>
              </w:rPr>
            </w:pPr>
          </w:p>
        </w:tc>
        <w:tc>
          <w:tcPr>
            <w:tcW w:w="1543" w:type="dxa"/>
            <w:vAlign w:val="center"/>
          </w:tcPr>
          <w:p w14:paraId="26C83A68">
            <w:pPr>
              <w:jc w:val="center"/>
              <w:rPr>
                <w:szCs w:val="21"/>
              </w:rPr>
            </w:pPr>
          </w:p>
        </w:tc>
        <w:tc>
          <w:tcPr>
            <w:tcW w:w="1258" w:type="dxa"/>
            <w:vAlign w:val="center"/>
          </w:tcPr>
          <w:p w14:paraId="2F6E05B5">
            <w:pPr>
              <w:jc w:val="center"/>
              <w:rPr>
                <w:szCs w:val="21"/>
              </w:rPr>
            </w:pPr>
          </w:p>
        </w:tc>
        <w:tc>
          <w:tcPr>
            <w:tcW w:w="1258" w:type="dxa"/>
            <w:vAlign w:val="center"/>
          </w:tcPr>
          <w:p w14:paraId="006F8340">
            <w:pPr>
              <w:jc w:val="center"/>
              <w:rPr>
                <w:szCs w:val="21"/>
              </w:rPr>
            </w:pPr>
          </w:p>
        </w:tc>
        <w:tc>
          <w:tcPr>
            <w:tcW w:w="1258" w:type="dxa"/>
            <w:vAlign w:val="center"/>
          </w:tcPr>
          <w:p w14:paraId="1F73BA14">
            <w:pPr>
              <w:jc w:val="center"/>
              <w:rPr>
                <w:szCs w:val="21"/>
              </w:rPr>
            </w:pPr>
          </w:p>
        </w:tc>
        <w:tc>
          <w:tcPr>
            <w:tcW w:w="1258" w:type="dxa"/>
            <w:vAlign w:val="center"/>
          </w:tcPr>
          <w:p w14:paraId="345D2B3A">
            <w:pPr>
              <w:jc w:val="center"/>
              <w:rPr>
                <w:szCs w:val="21"/>
              </w:rPr>
            </w:pPr>
          </w:p>
        </w:tc>
        <w:tc>
          <w:tcPr>
            <w:tcW w:w="1258" w:type="dxa"/>
            <w:vAlign w:val="center"/>
          </w:tcPr>
          <w:p w14:paraId="1E29C218">
            <w:pPr>
              <w:jc w:val="center"/>
              <w:rPr>
                <w:szCs w:val="21"/>
              </w:rPr>
            </w:pPr>
          </w:p>
        </w:tc>
        <w:tc>
          <w:tcPr>
            <w:tcW w:w="1259" w:type="dxa"/>
            <w:vAlign w:val="center"/>
          </w:tcPr>
          <w:p w14:paraId="621B5189">
            <w:pPr>
              <w:jc w:val="center"/>
              <w:rPr>
                <w:szCs w:val="21"/>
              </w:rPr>
            </w:pPr>
          </w:p>
        </w:tc>
      </w:tr>
      <w:tr w14:paraId="00A086EB">
        <w:tblPrEx>
          <w:tblCellMar>
            <w:top w:w="0" w:type="dxa"/>
            <w:left w:w="108" w:type="dxa"/>
            <w:bottom w:w="0" w:type="dxa"/>
            <w:right w:w="108" w:type="dxa"/>
          </w:tblCellMar>
        </w:tblPrEx>
        <w:trPr>
          <w:trHeight w:val="452" w:hRule="atLeast"/>
        </w:trPr>
        <w:tc>
          <w:tcPr>
            <w:tcW w:w="867" w:type="dxa"/>
            <w:vAlign w:val="center"/>
          </w:tcPr>
          <w:p w14:paraId="3BF4A37B">
            <w:pPr>
              <w:jc w:val="center"/>
              <w:rPr>
                <w:szCs w:val="21"/>
              </w:rPr>
            </w:pPr>
          </w:p>
        </w:tc>
        <w:tc>
          <w:tcPr>
            <w:tcW w:w="1543" w:type="dxa"/>
            <w:vAlign w:val="center"/>
          </w:tcPr>
          <w:p w14:paraId="1902C2FE">
            <w:pPr>
              <w:jc w:val="center"/>
              <w:rPr>
                <w:szCs w:val="21"/>
              </w:rPr>
            </w:pPr>
          </w:p>
        </w:tc>
        <w:tc>
          <w:tcPr>
            <w:tcW w:w="1258" w:type="dxa"/>
            <w:vAlign w:val="center"/>
          </w:tcPr>
          <w:p w14:paraId="41E21BF8">
            <w:pPr>
              <w:jc w:val="center"/>
              <w:rPr>
                <w:szCs w:val="21"/>
              </w:rPr>
            </w:pPr>
          </w:p>
        </w:tc>
        <w:tc>
          <w:tcPr>
            <w:tcW w:w="1258" w:type="dxa"/>
            <w:vAlign w:val="center"/>
          </w:tcPr>
          <w:p w14:paraId="689A9573">
            <w:pPr>
              <w:jc w:val="center"/>
              <w:rPr>
                <w:szCs w:val="21"/>
              </w:rPr>
            </w:pPr>
          </w:p>
        </w:tc>
        <w:tc>
          <w:tcPr>
            <w:tcW w:w="1258" w:type="dxa"/>
            <w:vAlign w:val="center"/>
          </w:tcPr>
          <w:p w14:paraId="0C1342B0">
            <w:pPr>
              <w:jc w:val="center"/>
              <w:rPr>
                <w:szCs w:val="21"/>
              </w:rPr>
            </w:pPr>
          </w:p>
        </w:tc>
        <w:tc>
          <w:tcPr>
            <w:tcW w:w="1258" w:type="dxa"/>
            <w:vAlign w:val="center"/>
          </w:tcPr>
          <w:p w14:paraId="2489EED4">
            <w:pPr>
              <w:jc w:val="center"/>
              <w:rPr>
                <w:szCs w:val="21"/>
              </w:rPr>
            </w:pPr>
          </w:p>
        </w:tc>
        <w:tc>
          <w:tcPr>
            <w:tcW w:w="1258" w:type="dxa"/>
            <w:vAlign w:val="center"/>
          </w:tcPr>
          <w:p w14:paraId="2C536DF8">
            <w:pPr>
              <w:jc w:val="center"/>
              <w:rPr>
                <w:szCs w:val="21"/>
              </w:rPr>
            </w:pPr>
          </w:p>
        </w:tc>
        <w:tc>
          <w:tcPr>
            <w:tcW w:w="1259" w:type="dxa"/>
            <w:vAlign w:val="center"/>
          </w:tcPr>
          <w:p w14:paraId="2538BD8C">
            <w:pPr>
              <w:jc w:val="center"/>
              <w:rPr>
                <w:szCs w:val="21"/>
              </w:rPr>
            </w:pPr>
          </w:p>
        </w:tc>
      </w:tr>
      <w:tr w14:paraId="4C0CA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51075EEE">
            <w:pPr>
              <w:jc w:val="center"/>
              <w:rPr>
                <w:szCs w:val="21"/>
              </w:rPr>
            </w:pPr>
          </w:p>
        </w:tc>
        <w:tc>
          <w:tcPr>
            <w:tcW w:w="1543" w:type="dxa"/>
            <w:vAlign w:val="center"/>
          </w:tcPr>
          <w:p w14:paraId="38B43375">
            <w:pPr>
              <w:jc w:val="center"/>
              <w:rPr>
                <w:szCs w:val="21"/>
              </w:rPr>
            </w:pPr>
          </w:p>
        </w:tc>
        <w:tc>
          <w:tcPr>
            <w:tcW w:w="1258" w:type="dxa"/>
            <w:vAlign w:val="center"/>
          </w:tcPr>
          <w:p w14:paraId="11D421E2">
            <w:pPr>
              <w:jc w:val="center"/>
              <w:rPr>
                <w:szCs w:val="21"/>
              </w:rPr>
            </w:pPr>
          </w:p>
        </w:tc>
        <w:tc>
          <w:tcPr>
            <w:tcW w:w="1258" w:type="dxa"/>
            <w:vAlign w:val="center"/>
          </w:tcPr>
          <w:p w14:paraId="42983407">
            <w:pPr>
              <w:jc w:val="center"/>
              <w:rPr>
                <w:szCs w:val="21"/>
              </w:rPr>
            </w:pPr>
          </w:p>
        </w:tc>
        <w:tc>
          <w:tcPr>
            <w:tcW w:w="1258" w:type="dxa"/>
            <w:vAlign w:val="center"/>
          </w:tcPr>
          <w:p w14:paraId="3077620D">
            <w:pPr>
              <w:jc w:val="center"/>
              <w:rPr>
                <w:szCs w:val="21"/>
              </w:rPr>
            </w:pPr>
          </w:p>
        </w:tc>
        <w:tc>
          <w:tcPr>
            <w:tcW w:w="1258" w:type="dxa"/>
            <w:vAlign w:val="center"/>
          </w:tcPr>
          <w:p w14:paraId="540AC284">
            <w:pPr>
              <w:jc w:val="center"/>
              <w:rPr>
                <w:szCs w:val="21"/>
              </w:rPr>
            </w:pPr>
          </w:p>
        </w:tc>
        <w:tc>
          <w:tcPr>
            <w:tcW w:w="1258" w:type="dxa"/>
            <w:vAlign w:val="center"/>
          </w:tcPr>
          <w:p w14:paraId="0DAFCA56">
            <w:pPr>
              <w:jc w:val="center"/>
              <w:rPr>
                <w:szCs w:val="21"/>
              </w:rPr>
            </w:pPr>
          </w:p>
        </w:tc>
        <w:tc>
          <w:tcPr>
            <w:tcW w:w="1259" w:type="dxa"/>
            <w:vAlign w:val="center"/>
          </w:tcPr>
          <w:p w14:paraId="1B5F24EE">
            <w:pPr>
              <w:jc w:val="center"/>
              <w:rPr>
                <w:szCs w:val="21"/>
              </w:rPr>
            </w:pPr>
          </w:p>
        </w:tc>
      </w:tr>
      <w:tr w14:paraId="708F9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13D1C437">
            <w:pPr>
              <w:jc w:val="center"/>
              <w:rPr>
                <w:szCs w:val="21"/>
              </w:rPr>
            </w:pPr>
          </w:p>
        </w:tc>
        <w:tc>
          <w:tcPr>
            <w:tcW w:w="1543" w:type="dxa"/>
            <w:vAlign w:val="center"/>
          </w:tcPr>
          <w:p w14:paraId="630E09AB">
            <w:pPr>
              <w:jc w:val="center"/>
              <w:rPr>
                <w:szCs w:val="21"/>
              </w:rPr>
            </w:pPr>
          </w:p>
        </w:tc>
        <w:tc>
          <w:tcPr>
            <w:tcW w:w="1258" w:type="dxa"/>
            <w:vAlign w:val="center"/>
          </w:tcPr>
          <w:p w14:paraId="5D4885E0">
            <w:pPr>
              <w:jc w:val="center"/>
              <w:rPr>
                <w:szCs w:val="21"/>
              </w:rPr>
            </w:pPr>
          </w:p>
        </w:tc>
        <w:tc>
          <w:tcPr>
            <w:tcW w:w="1258" w:type="dxa"/>
            <w:vAlign w:val="center"/>
          </w:tcPr>
          <w:p w14:paraId="1CDCF2AF">
            <w:pPr>
              <w:jc w:val="center"/>
              <w:rPr>
                <w:szCs w:val="21"/>
              </w:rPr>
            </w:pPr>
          </w:p>
        </w:tc>
        <w:tc>
          <w:tcPr>
            <w:tcW w:w="1258" w:type="dxa"/>
            <w:vAlign w:val="center"/>
          </w:tcPr>
          <w:p w14:paraId="7A245639">
            <w:pPr>
              <w:jc w:val="center"/>
              <w:rPr>
                <w:szCs w:val="21"/>
              </w:rPr>
            </w:pPr>
          </w:p>
        </w:tc>
        <w:tc>
          <w:tcPr>
            <w:tcW w:w="1258" w:type="dxa"/>
            <w:vAlign w:val="center"/>
          </w:tcPr>
          <w:p w14:paraId="7FFD2DBA">
            <w:pPr>
              <w:jc w:val="center"/>
              <w:rPr>
                <w:szCs w:val="21"/>
              </w:rPr>
            </w:pPr>
          </w:p>
        </w:tc>
        <w:tc>
          <w:tcPr>
            <w:tcW w:w="1258" w:type="dxa"/>
            <w:vAlign w:val="center"/>
          </w:tcPr>
          <w:p w14:paraId="2C448116">
            <w:pPr>
              <w:jc w:val="center"/>
              <w:rPr>
                <w:szCs w:val="21"/>
              </w:rPr>
            </w:pPr>
          </w:p>
        </w:tc>
        <w:tc>
          <w:tcPr>
            <w:tcW w:w="1259" w:type="dxa"/>
            <w:vAlign w:val="center"/>
          </w:tcPr>
          <w:p w14:paraId="3F123268">
            <w:pPr>
              <w:jc w:val="center"/>
              <w:rPr>
                <w:szCs w:val="21"/>
              </w:rPr>
            </w:pPr>
          </w:p>
        </w:tc>
      </w:tr>
      <w:tr w14:paraId="5B264EC3">
        <w:tblPrEx>
          <w:tblCellMar>
            <w:top w:w="0" w:type="dxa"/>
            <w:left w:w="108" w:type="dxa"/>
            <w:bottom w:w="0" w:type="dxa"/>
            <w:right w:w="108" w:type="dxa"/>
          </w:tblCellMar>
        </w:tblPrEx>
        <w:trPr>
          <w:trHeight w:val="452" w:hRule="atLeast"/>
        </w:trPr>
        <w:tc>
          <w:tcPr>
            <w:tcW w:w="867" w:type="dxa"/>
            <w:vAlign w:val="center"/>
          </w:tcPr>
          <w:p w14:paraId="0FE87060">
            <w:pPr>
              <w:jc w:val="center"/>
              <w:rPr>
                <w:szCs w:val="21"/>
              </w:rPr>
            </w:pPr>
          </w:p>
        </w:tc>
        <w:tc>
          <w:tcPr>
            <w:tcW w:w="1543" w:type="dxa"/>
            <w:vAlign w:val="center"/>
          </w:tcPr>
          <w:p w14:paraId="0A228386">
            <w:pPr>
              <w:jc w:val="center"/>
              <w:rPr>
                <w:szCs w:val="21"/>
              </w:rPr>
            </w:pPr>
          </w:p>
        </w:tc>
        <w:tc>
          <w:tcPr>
            <w:tcW w:w="1258" w:type="dxa"/>
            <w:vAlign w:val="center"/>
          </w:tcPr>
          <w:p w14:paraId="0440EAA6">
            <w:pPr>
              <w:jc w:val="center"/>
              <w:rPr>
                <w:szCs w:val="21"/>
              </w:rPr>
            </w:pPr>
          </w:p>
        </w:tc>
        <w:tc>
          <w:tcPr>
            <w:tcW w:w="1258" w:type="dxa"/>
            <w:vAlign w:val="center"/>
          </w:tcPr>
          <w:p w14:paraId="2A9FC91F">
            <w:pPr>
              <w:jc w:val="center"/>
              <w:rPr>
                <w:szCs w:val="21"/>
              </w:rPr>
            </w:pPr>
          </w:p>
        </w:tc>
        <w:tc>
          <w:tcPr>
            <w:tcW w:w="1258" w:type="dxa"/>
            <w:vAlign w:val="center"/>
          </w:tcPr>
          <w:p w14:paraId="0468C3DA">
            <w:pPr>
              <w:jc w:val="center"/>
              <w:rPr>
                <w:szCs w:val="21"/>
              </w:rPr>
            </w:pPr>
          </w:p>
        </w:tc>
        <w:tc>
          <w:tcPr>
            <w:tcW w:w="1258" w:type="dxa"/>
            <w:vAlign w:val="center"/>
          </w:tcPr>
          <w:p w14:paraId="0EB39DFD">
            <w:pPr>
              <w:jc w:val="center"/>
              <w:rPr>
                <w:szCs w:val="21"/>
              </w:rPr>
            </w:pPr>
          </w:p>
        </w:tc>
        <w:tc>
          <w:tcPr>
            <w:tcW w:w="1258" w:type="dxa"/>
            <w:vAlign w:val="center"/>
          </w:tcPr>
          <w:p w14:paraId="308C6B79">
            <w:pPr>
              <w:jc w:val="center"/>
              <w:rPr>
                <w:szCs w:val="21"/>
              </w:rPr>
            </w:pPr>
          </w:p>
        </w:tc>
        <w:tc>
          <w:tcPr>
            <w:tcW w:w="1259" w:type="dxa"/>
            <w:vAlign w:val="center"/>
          </w:tcPr>
          <w:p w14:paraId="71898DD4">
            <w:pPr>
              <w:jc w:val="center"/>
              <w:rPr>
                <w:szCs w:val="21"/>
              </w:rPr>
            </w:pPr>
          </w:p>
        </w:tc>
      </w:tr>
      <w:tr w14:paraId="4DAD3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39A71CED">
            <w:pPr>
              <w:jc w:val="center"/>
              <w:rPr>
                <w:szCs w:val="21"/>
              </w:rPr>
            </w:pPr>
          </w:p>
        </w:tc>
        <w:tc>
          <w:tcPr>
            <w:tcW w:w="1543" w:type="dxa"/>
            <w:vAlign w:val="center"/>
          </w:tcPr>
          <w:p w14:paraId="27524884">
            <w:pPr>
              <w:jc w:val="center"/>
              <w:rPr>
                <w:szCs w:val="21"/>
              </w:rPr>
            </w:pPr>
          </w:p>
        </w:tc>
        <w:tc>
          <w:tcPr>
            <w:tcW w:w="1258" w:type="dxa"/>
            <w:vAlign w:val="center"/>
          </w:tcPr>
          <w:p w14:paraId="70F6BAB2">
            <w:pPr>
              <w:jc w:val="center"/>
              <w:rPr>
                <w:szCs w:val="21"/>
              </w:rPr>
            </w:pPr>
          </w:p>
        </w:tc>
        <w:tc>
          <w:tcPr>
            <w:tcW w:w="1258" w:type="dxa"/>
            <w:vAlign w:val="center"/>
          </w:tcPr>
          <w:p w14:paraId="3AEAC4F2">
            <w:pPr>
              <w:jc w:val="center"/>
              <w:rPr>
                <w:szCs w:val="21"/>
              </w:rPr>
            </w:pPr>
          </w:p>
        </w:tc>
        <w:tc>
          <w:tcPr>
            <w:tcW w:w="1258" w:type="dxa"/>
            <w:vAlign w:val="center"/>
          </w:tcPr>
          <w:p w14:paraId="114F4BAD">
            <w:pPr>
              <w:jc w:val="center"/>
              <w:rPr>
                <w:szCs w:val="21"/>
              </w:rPr>
            </w:pPr>
          </w:p>
        </w:tc>
        <w:tc>
          <w:tcPr>
            <w:tcW w:w="1258" w:type="dxa"/>
            <w:vAlign w:val="center"/>
          </w:tcPr>
          <w:p w14:paraId="4FD33DE7">
            <w:pPr>
              <w:jc w:val="center"/>
              <w:rPr>
                <w:szCs w:val="21"/>
              </w:rPr>
            </w:pPr>
          </w:p>
        </w:tc>
        <w:tc>
          <w:tcPr>
            <w:tcW w:w="1258" w:type="dxa"/>
            <w:vAlign w:val="center"/>
          </w:tcPr>
          <w:p w14:paraId="5CA81978">
            <w:pPr>
              <w:jc w:val="center"/>
              <w:rPr>
                <w:szCs w:val="21"/>
              </w:rPr>
            </w:pPr>
          </w:p>
        </w:tc>
        <w:tc>
          <w:tcPr>
            <w:tcW w:w="1259" w:type="dxa"/>
            <w:vAlign w:val="center"/>
          </w:tcPr>
          <w:p w14:paraId="43B12EFB">
            <w:pPr>
              <w:jc w:val="center"/>
              <w:rPr>
                <w:szCs w:val="21"/>
              </w:rPr>
            </w:pPr>
          </w:p>
        </w:tc>
      </w:tr>
      <w:tr w14:paraId="1F284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67" w:type="dxa"/>
            <w:vAlign w:val="center"/>
          </w:tcPr>
          <w:p w14:paraId="1CD80B97">
            <w:pPr>
              <w:jc w:val="center"/>
              <w:rPr>
                <w:szCs w:val="21"/>
              </w:rPr>
            </w:pPr>
          </w:p>
        </w:tc>
        <w:tc>
          <w:tcPr>
            <w:tcW w:w="1543" w:type="dxa"/>
            <w:vAlign w:val="center"/>
          </w:tcPr>
          <w:p w14:paraId="36A01A2D">
            <w:pPr>
              <w:jc w:val="center"/>
              <w:rPr>
                <w:szCs w:val="21"/>
              </w:rPr>
            </w:pPr>
          </w:p>
        </w:tc>
        <w:tc>
          <w:tcPr>
            <w:tcW w:w="1258" w:type="dxa"/>
            <w:vAlign w:val="center"/>
          </w:tcPr>
          <w:p w14:paraId="51F073BB">
            <w:pPr>
              <w:jc w:val="center"/>
              <w:rPr>
                <w:szCs w:val="21"/>
              </w:rPr>
            </w:pPr>
          </w:p>
        </w:tc>
        <w:tc>
          <w:tcPr>
            <w:tcW w:w="1258" w:type="dxa"/>
            <w:vAlign w:val="center"/>
          </w:tcPr>
          <w:p w14:paraId="64655BEB">
            <w:pPr>
              <w:jc w:val="center"/>
              <w:rPr>
                <w:szCs w:val="21"/>
              </w:rPr>
            </w:pPr>
          </w:p>
        </w:tc>
        <w:tc>
          <w:tcPr>
            <w:tcW w:w="1258" w:type="dxa"/>
            <w:vAlign w:val="center"/>
          </w:tcPr>
          <w:p w14:paraId="697C4FFE">
            <w:pPr>
              <w:jc w:val="center"/>
              <w:rPr>
                <w:szCs w:val="21"/>
              </w:rPr>
            </w:pPr>
          </w:p>
        </w:tc>
        <w:tc>
          <w:tcPr>
            <w:tcW w:w="1258" w:type="dxa"/>
            <w:vAlign w:val="center"/>
          </w:tcPr>
          <w:p w14:paraId="4CF0180D">
            <w:pPr>
              <w:jc w:val="center"/>
              <w:rPr>
                <w:szCs w:val="21"/>
              </w:rPr>
            </w:pPr>
          </w:p>
        </w:tc>
        <w:tc>
          <w:tcPr>
            <w:tcW w:w="1258" w:type="dxa"/>
            <w:vAlign w:val="center"/>
          </w:tcPr>
          <w:p w14:paraId="2DE0A38A">
            <w:pPr>
              <w:jc w:val="center"/>
              <w:rPr>
                <w:szCs w:val="21"/>
              </w:rPr>
            </w:pPr>
          </w:p>
        </w:tc>
        <w:tc>
          <w:tcPr>
            <w:tcW w:w="1259" w:type="dxa"/>
            <w:vAlign w:val="center"/>
          </w:tcPr>
          <w:p w14:paraId="1675D9EA">
            <w:pPr>
              <w:jc w:val="center"/>
              <w:rPr>
                <w:szCs w:val="21"/>
              </w:rPr>
            </w:pPr>
          </w:p>
        </w:tc>
      </w:tr>
      <w:tr w14:paraId="6104A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67" w:type="dxa"/>
            <w:vAlign w:val="center"/>
          </w:tcPr>
          <w:p w14:paraId="2482C40F">
            <w:pPr>
              <w:jc w:val="center"/>
              <w:rPr>
                <w:szCs w:val="21"/>
              </w:rPr>
            </w:pPr>
          </w:p>
        </w:tc>
        <w:tc>
          <w:tcPr>
            <w:tcW w:w="1543" w:type="dxa"/>
            <w:vAlign w:val="center"/>
          </w:tcPr>
          <w:p w14:paraId="6AE3D6A2">
            <w:pPr>
              <w:jc w:val="center"/>
              <w:rPr>
                <w:szCs w:val="21"/>
              </w:rPr>
            </w:pPr>
          </w:p>
        </w:tc>
        <w:tc>
          <w:tcPr>
            <w:tcW w:w="1258" w:type="dxa"/>
            <w:vAlign w:val="center"/>
          </w:tcPr>
          <w:p w14:paraId="4432F733">
            <w:pPr>
              <w:jc w:val="center"/>
              <w:rPr>
                <w:szCs w:val="21"/>
              </w:rPr>
            </w:pPr>
          </w:p>
        </w:tc>
        <w:tc>
          <w:tcPr>
            <w:tcW w:w="1258" w:type="dxa"/>
            <w:vAlign w:val="center"/>
          </w:tcPr>
          <w:p w14:paraId="1FAB6EF5">
            <w:pPr>
              <w:jc w:val="center"/>
              <w:rPr>
                <w:szCs w:val="21"/>
              </w:rPr>
            </w:pPr>
          </w:p>
        </w:tc>
        <w:tc>
          <w:tcPr>
            <w:tcW w:w="1258" w:type="dxa"/>
            <w:vAlign w:val="center"/>
          </w:tcPr>
          <w:p w14:paraId="0C550B26">
            <w:pPr>
              <w:jc w:val="center"/>
              <w:rPr>
                <w:szCs w:val="21"/>
              </w:rPr>
            </w:pPr>
          </w:p>
        </w:tc>
        <w:tc>
          <w:tcPr>
            <w:tcW w:w="1258" w:type="dxa"/>
            <w:vAlign w:val="center"/>
          </w:tcPr>
          <w:p w14:paraId="6A615DFB">
            <w:pPr>
              <w:jc w:val="center"/>
              <w:rPr>
                <w:szCs w:val="21"/>
              </w:rPr>
            </w:pPr>
          </w:p>
        </w:tc>
        <w:tc>
          <w:tcPr>
            <w:tcW w:w="1258" w:type="dxa"/>
            <w:vAlign w:val="center"/>
          </w:tcPr>
          <w:p w14:paraId="141E1FE0">
            <w:pPr>
              <w:jc w:val="center"/>
              <w:rPr>
                <w:szCs w:val="21"/>
              </w:rPr>
            </w:pPr>
          </w:p>
        </w:tc>
        <w:tc>
          <w:tcPr>
            <w:tcW w:w="1259" w:type="dxa"/>
            <w:vAlign w:val="center"/>
          </w:tcPr>
          <w:p w14:paraId="705F477E">
            <w:pPr>
              <w:jc w:val="center"/>
              <w:rPr>
                <w:szCs w:val="21"/>
              </w:rPr>
            </w:pPr>
          </w:p>
        </w:tc>
      </w:tr>
    </w:tbl>
    <w:p w14:paraId="039AB598">
      <w:pPr>
        <w:spacing w:before="120" w:beforeLines="50" w:after="240" w:afterLines="100" w:line="420" w:lineRule="exact"/>
        <w:outlineLvl w:val="2"/>
        <w:rPr>
          <w:szCs w:val="21"/>
        </w:rPr>
      </w:pPr>
      <w:r>
        <w:rPr>
          <w:rFonts w:hint="eastAsia"/>
          <w:szCs w:val="21"/>
        </w:rPr>
        <w:br w:type="page"/>
      </w:r>
      <w:r>
        <w:rPr>
          <w:rFonts w:hint="eastAsia"/>
          <w:szCs w:val="21"/>
        </w:rPr>
        <w:t>附表四：计划开、竣工日期和施工进度网络图</w:t>
      </w:r>
    </w:p>
    <w:p w14:paraId="7EE57316">
      <w:pPr>
        <w:spacing w:line="420" w:lineRule="exact"/>
        <w:ind w:firstLine="440" w:firstLineChars="200"/>
        <w:rPr>
          <w:szCs w:val="21"/>
        </w:rPr>
      </w:pPr>
      <w:r>
        <w:rPr>
          <w:rFonts w:hint="eastAsia"/>
          <w:szCs w:val="21"/>
        </w:rPr>
        <w:t>1．</w:t>
      </w:r>
      <w:r>
        <w:rPr>
          <w:rFonts w:hint="eastAsia"/>
          <w:szCs w:val="21"/>
          <w:lang w:val="en-US"/>
        </w:rPr>
        <w:t>供应商</w:t>
      </w:r>
      <w:r>
        <w:rPr>
          <w:rFonts w:hint="eastAsia"/>
          <w:szCs w:val="21"/>
        </w:rPr>
        <w:t>应递交施工进度网络图或施工进度表，说明按</w:t>
      </w:r>
      <w:r>
        <w:rPr>
          <w:rFonts w:hint="eastAsia"/>
          <w:szCs w:val="21"/>
          <w:lang w:val="en-US"/>
        </w:rPr>
        <w:t>磋商</w:t>
      </w:r>
      <w:r>
        <w:rPr>
          <w:rFonts w:hint="eastAsia"/>
          <w:szCs w:val="21"/>
        </w:rPr>
        <w:t>文件要求的计划工期进行施工的各个关键日期。</w:t>
      </w:r>
    </w:p>
    <w:p w14:paraId="7E38DC9B">
      <w:pPr>
        <w:spacing w:line="420" w:lineRule="exact"/>
        <w:ind w:firstLine="440" w:firstLineChars="200"/>
        <w:rPr>
          <w:szCs w:val="21"/>
        </w:rPr>
      </w:pPr>
      <w:r>
        <w:rPr>
          <w:rFonts w:hint="eastAsia"/>
          <w:szCs w:val="21"/>
        </w:rPr>
        <w:t>2．施工进度表可采用网络图和（或）横道图表示。</w:t>
      </w:r>
    </w:p>
    <w:p w14:paraId="306B1CFE">
      <w:pPr>
        <w:spacing w:line="420" w:lineRule="exact"/>
        <w:outlineLvl w:val="2"/>
        <w:rPr>
          <w:szCs w:val="21"/>
        </w:rPr>
      </w:pPr>
      <w:r>
        <w:rPr>
          <w:rFonts w:hint="eastAsia"/>
          <w:szCs w:val="21"/>
        </w:rPr>
        <w:br w:type="page"/>
      </w:r>
      <w:r>
        <w:rPr>
          <w:rFonts w:hint="eastAsia"/>
          <w:szCs w:val="21"/>
        </w:rPr>
        <w:t>附表五：临时用地表</w:t>
      </w:r>
    </w:p>
    <w:p w14:paraId="051A4DD6">
      <w:pPr>
        <w:pStyle w:val="25"/>
        <w:ind w:firstLine="210"/>
      </w:pPr>
    </w:p>
    <w:tbl>
      <w:tblPr>
        <w:tblStyle w:val="27"/>
        <w:tblW w:w="9799"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2"/>
        <w:gridCol w:w="2429"/>
        <w:gridCol w:w="2429"/>
        <w:gridCol w:w="2429"/>
      </w:tblGrid>
      <w:tr w14:paraId="5ECA0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vAlign w:val="center"/>
          </w:tcPr>
          <w:p w14:paraId="2807C0B4">
            <w:pPr>
              <w:jc w:val="center"/>
              <w:rPr>
                <w:szCs w:val="21"/>
              </w:rPr>
            </w:pPr>
            <w:r>
              <w:rPr>
                <w:rFonts w:hint="eastAsia"/>
                <w:szCs w:val="21"/>
              </w:rPr>
              <w:t>用  途</w:t>
            </w:r>
          </w:p>
        </w:tc>
        <w:tc>
          <w:tcPr>
            <w:tcW w:w="2429" w:type="dxa"/>
            <w:vAlign w:val="center"/>
          </w:tcPr>
          <w:p w14:paraId="6ADAF171">
            <w:pPr>
              <w:jc w:val="center"/>
              <w:rPr>
                <w:szCs w:val="21"/>
              </w:rPr>
            </w:pPr>
            <w:r>
              <w:rPr>
                <w:rFonts w:hint="eastAsia"/>
                <w:szCs w:val="21"/>
              </w:rPr>
              <w:t>面 积（平方米）</w:t>
            </w:r>
          </w:p>
        </w:tc>
        <w:tc>
          <w:tcPr>
            <w:tcW w:w="2429" w:type="dxa"/>
            <w:vAlign w:val="center"/>
          </w:tcPr>
          <w:p w14:paraId="5B0E4400">
            <w:pPr>
              <w:jc w:val="center"/>
              <w:rPr>
                <w:szCs w:val="21"/>
              </w:rPr>
            </w:pPr>
            <w:r>
              <w:rPr>
                <w:rFonts w:hint="eastAsia"/>
                <w:szCs w:val="21"/>
              </w:rPr>
              <w:t>位  置</w:t>
            </w:r>
          </w:p>
        </w:tc>
        <w:tc>
          <w:tcPr>
            <w:tcW w:w="2429" w:type="dxa"/>
            <w:vAlign w:val="center"/>
          </w:tcPr>
          <w:p w14:paraId="7C985C8A">
            <w:pPr>
              <w:jc w:val="center"/>
              <w:rPr>
                <w:szCs w:val="21"/>
              </w:rPr>
            </w:pPr>
            <w:r>
              <w:rPr>
                <w:rFonts w:hint="eastAsia"/>
                <w:szCs w:val="21"/>
              </w:rPr>
              <w:t>需用时间</w:t>
            </w:r>
          </w:p>
        </w:tc>
      </w:tr>
      <w:tr w14:paraId="2D1F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77B341CB">
            <w:pPr>
              <w:rPr>
                <w:szCs w:val="21"/>
              </w:rPr>
            </w:pPr>
          </w:p>
        </w:tc>
        <w:tc>
          <w:tcPr>
            <w:tcW w:w="2429" w:type="dxa"/>
          </w:tcPr>
          <w:p w14:paraId="53F9DF92">
            <w:pPr>
              <w:rPr>
                <w:szCs w:val="21"/>
              </w:rPr>
            </w:pPr>
          </w:p>
        </w:tc>
        <w:tc>
          <w:tcPr>
            <w:tcW w:w="2429" w:type="dxa"/>
          </w:tcPr>
          <w:p w14:paraId="79B6EE7C">
            <w:pPr>
              <w:rPr>
                <w:szCs w:val="21"/>
              </w:rPr>
            </w:pPr>
          </w:p>
        </w:tc>
        <w:tc>
          <w:tcPr>
            <w:tcW w:w="2429" w:type="dxa"/>
          </w:tcPr>
          <w:p w14:paraId="1D24BE39">
            <w:pPr>
              <w:rPr>
                <w:szCs w:val="21"/>
              </w:rPr>
            </w:pPr>
          </w:p>
        </w:tc>
      </w:tr>
      <w:tr w14:paraId="06606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56F43717">
            <w:pPr>
              <w:rPr>
                <w:szCs w:val="21"/>
              </w:rPr>
            </w:pPr>
          </w:p>
        </w:tc>
        <w:tc>
          <w:tcPr>
            <w:tcW w:w="2429" w:type="dxa"/>
          </w:tcPr>
          <w:p w14:paraId="602B1635">
            <w:pPr>
              <w:rPr>
                <w:szCs w:val="21"/>
              </w:rPr>
            </w:pPr>
          </w:p>
        </w:tc>
        <w:tc>
          <w:tcPr>
            <w:tcW w:w="2429" w:type="dxa"/>
          </w:tcPr>
          <w:p w14:paraId="4BDCAD53">
            <w:pPr>
              <w:rPr>
                <w:szCs w:val="21"/>
              </w:rPr>
            </w:pPr>
          </w:p>
        </w:tc>
        <w:tc>
          <w:tcPr>
            <w:tcW w:w="2429" w:type="dxa"/>
          </w:tcPr>
          <w:p w14:paraId="5F2E05B3">
            <w:pPr>
              <w:rPr>
                <w:szCs w:val="21"/>
              </w:rPr>
            </w:pPr>
          </w:p>
        </w:tc>
      </w:tr>
      <w:tr w14:paraId="05871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32F0702D">
            <w:pPr>
              <w:rPr>
                <w:szCs w:val="21"/>
              </w:rPr>
            </w:pPr>
          </w:p>
        </w:tc>
        <w:tc>
          <w:tcPr>
            <w:tcW w:w="2429" w:type="dxa"/>
          </w:tcPr>
          <w:p w14:paraId="014E2547">
            <w:pPr>
              <w:rPr>
                <w:szCs w:val="21"/>
              </w:rPr>
            </w:pPr>
          </w:p>
        </w:tc>
        <w:tc>
          <w:tcPr>
            <w:tcW w:w="2429" w:type="dxa"/>
          </w:tcPr>
          <w:p w14:paraId="56BA0204">
            <w:pPr>
              <w:rPr>
                <w:szCs w:val="21"/>
              </w:rPr>
            </w:pPr>
          </w:p>
        </w:tc>
        <w:tc>
          <w:tcPr>
            <w:tcW w:w="2429" w:type="dxa"/>
          </w:tcPr>
          <w:p w14:paraId="72172741">
            <w:pPr>
              <w:rPr>
                <w:szCs w:val="21"/>
              </w:rPr>
            </w:pPr>
          </w:p>
        </w:tc>
      </w:tr>
      <w:tr w14:paraId="569B2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1964ABD7">
            <w:pPr>
              <w:rPr>
                <w:szCs w:val="21"/>
              </w:rPr>
            </w:pPr>
          </w:p>
        </w:tc>
        <w:tc>
          <w:tcPr>
            <w:tcW w:w="2429" w:type="dxa"/>
          </w:tcPr>
          <w:p w14:paraId="500B015D">
            <w:pPr>
              <w:rPr>
                <w:szCs w:val="21"/>
              </w:rPr>
            </w:pPr>
          </w:p>
        </w:tc>
        <w:tc>
          <w:tcPr>
            <w:tcW w:w="2429" w:type="dxa"/>
          </w:tcPr>
          <w:p w14:paraId="3E80CDCE">
            <w:pPr>
              <w:rPr>
                <w:szCs w:val="21"/>
              </w:rPr>
            </w:pPr>
          </w:p>
        </w:tc>
        <w:tc>
          <w:tcPr>
            <w:tcW w:w="2429" w:type="dxa"/>
          </w:tcPr>
          <w:p w14:paraId="56C1A183">
            <w:pPr>
              <w:rPr>
                <w:szCs w:val="21"/>
              </w:rPr>
            </w:pPr>
          </w:p>
        </w:tc>
      </w:tr>
      <w:tr w14:paraId="72C5B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3E1B88ED">
            <w:pPr>
              <w:rPr>
                <w:szCs w:val="21"/>
              </w:rPr>
            </w:pPr>
          </w:p>
        </w:tc>
        <w:tc>
          <w:tcPr>
            <w:tcW w:w="2429" w:type="dxa"/>
          </w:tcPr>
          <w:p w14:paraId="31C5F059">
            <w:pPr>
              <w:rPr>
                <w:szCs w:val="21"/>
              </w:rPr>
            </w:pPr>
          </w:p>
        </w:tc>
        <w:tc>
          <w:tcPr>
            <w:tcW w:w="2429" w:type="dxa"/>
          </w:tcPr>
          <w:p w14:paraId="7252C633">
            <w:pPr>
              <w:rPr>
                <w:szCs w:val="21"/>
              </w:rPr>
            </w:pPr>
          </w:p>
        </w:tc>
        <w:tc>
          <w:tcPr>
            <w:tcW w:w="2429" w:type="dxa"/>
          </w:tcPr>
          <w:p w14:paraId="38A12B7F">
            <w:pPr>
              <w:rPr>
                <w:szCs w:val="21"/>
              </w:rPr>
            </w:pPr>
          </w:p>
        </w:tc>
      </w:tr>
      <w:tr w14:paraId="29BF7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7A53BBF5">
            <w:pPr>
              <w:rPr>
                <w:szCs w:val="21"/>
              </w:rPr>
            </w:pPr>
          </w:p>
        </w:tc>
        <w:tc>
          <w:tcPr>
            <w:tcW w:w="2429" w:type="dxa"/>
          </w:tcPr>
          <w:p w14:paraId="2A2DFCC6">
            <w:pPr>
              <w:rPr>
                <w:szCs w:val="21"/>
              </w:rPr>
            </w:pPr>
          </w:p>
        </w:tc>
        <w:tc>
          <w:tcPr>
            <w:tcW w:w="2429" w:type="dxa"/>
          </w:tcPr>
          <w:p w14:paraId="6AE98A7A">
            <w:pPr>
              <w:rPr>
                <w:szCs w:val="21"/>
              </w:rPr>
            </w:pPr>
          </w:p>
        </w:tc>
        <w:tc>
          <w:tcPr>
            <w:tcW w:w="2429" w:type="dxa"/>
          </w:tcPr>
          <w:p w14:paraId="65981976">
            <w:pPr>
              <w:rPr>
                <w:szCs w:val="21"/>
              </w:rPr>
            </w:pPr>
          </w:p>
        </w:tc>
      </w:tr>
      <w:tr w14:paraId="4F2F9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0FFC5959">
            <w:pPr>
              <w:rPr>
                <w:szCs w:val="21"/>
              </w:rPr>
            </w:pPr>
          </w:p>
        </w:tc>
        <w:tc>
          <w:tcPr>
            <w:tcW w:w="2429" w:type="dxa"/>
          </w:tcPr>
          <w:p w14:paraId="51939705">
            <w:pPr>
              <w:rPr>
                <w:szCs w:val="21"/>
              </w:rPr>
            </w:pPr>
          </w:p>
        </w:tc>
        <w:tc>
          <w:tcPr>
            <w:tcW w:w="2429" w:type="dxa"/>
          </w:tcPr>
          <w:p w14:paraId="59D4721D">
            <w:pPr>
              <w:rPr>
                <w:szCs w:val="21"/>
              </w:rPr>
            </w:pPr>
          </w:p>
        </w:tc>
        <w:tc>
          <w:tcPr>
            <w:tcW w:w="2429" w:type="dxa"/>
          </w:tcPr>
          <w:p w14:paraId="3FF06D19">
            <w:pPr>
              <w:rPr>
                <w:szCs w:val="21"/>
              </w:rPr>
            </w:pPr>
          </w:p>
        </w:tc>
      </w:tr>
      <w:tr w14:paraId="0366D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783084AE">
            <w:pPr>
              <w:rPr>
                <w:szCs w:val="21"/>
              </w:rPr>
            </w:pPr>
          </w:p>
        </w:tc>
        <w:tc>
          <w:tcPr>
            <w:tcW w:w="2429" w:type="dxa"/>
          </w:tcPr>
          <w:p w14:paraId="1CD78558">
            <w:pPr>
              <w:rPr>
                <w:szCs w:val="21"/>
              </w:rPr>
            </w:pPr>
          </w:p>
        </w:tc>
        <w:tc>
          <w:tcPr>
            <w:tcW w:w="2429" w:type="dxa"/>
          </w:tcPr>
          <w:p w14:paraId="005D768A">
            <w:pPr>
              <w:rPr>
                <w:szCs w:val="21"/>
              </w:rPr>
            </w:pPr>
          </w:p>
        </w:tc>
        <w:tc>
          <w:tcPr>
            <w:tcW w:w="2429" w:type="dxa"/>
          </w:tcPr>
          <w:p w14:paraId="7A9EBFBE">
            <w:pPr>
              <w:rPr>
                <w:szCs w:val="21"/>
              </w:rPr>
            </w:pPr>
          </w:p>
        </w:tc>
      </w:tr>
      <w:tr w14:paraId="7C21E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33582652">
            <w:pPr>
              <w:rPr>
                <w:szCs w:val="21"/>
              </w:rPr>
            </w:pPr>
          </w:p>
        </w:tc>
        <w:tc>
          <w:tcPr>
            <w:tcW w:w="2429" w:type="dxa"/>
          </w:tcPr>
          <w:p w14:paraId="3CF8EEB6">
            <w:pPr>
              <w:rPr>
                <w:szCs w:val="21"/>
              </w:rPr>
            </w:pPr>
          </w:p>
        </w:tc>
        <w:tc>
          <w:tcPr>
            <w:tcW w:w="2429" w:type="dxa"/>
          </w:tcPr>
          <w:p w14:paraId="3CFE295A">
            <w:pPr>
              <w:rPr>
                <w:szCs w:val="21"/>
              </w:rPr>
            </w:pPr>
          </w:p>
        </w:tc>
        <w:tc>
          <w:tcPr>
            <w:tcW w:w="2429" w:type="dxa"/>
          </w:tcPr>
          <w:p w14:paraId="19DFEECC">
            <w:pPr>
              <w:rPr>
                <w:szCs w:val="21"/>
              </w:rPr>
            </w:pPr>
          </w:p>
        </w:tc>
      </w:tr>
      <w:tr w14:paraId="748A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12E2A33A">
            <w:pPr>
              <w:rPr>
                <w:szCs w:val="21"/>
              </w:rPr>
            </w:pPr>
          </w:p>
        </w:tc>
        <w:tc>
          <w:tcPr>
            <w:tcW w:w="2429" w:type="dxa"/>
          </w:tcPr>
          <w:p w14:paraId="6AB61FBF">
            <w:pPr>
              <w:rPr>
                <w:szCs w:val="21"/>
              </w:rPr>
            </w:pPr>
          </w:p>
        </w:tc>
        <w:tc>
          <w:tcPr>
            <w:tcW w:w="2429" w:type="dxa"/>
          </w:tcPr>
          <w:p w14:paraId="74CD9AC4">
            <w:pPr>
              <w:rPr>
                <w:szCs w:val="21"/>
              </w:rPr>
            </w:pPr>
          </w:p>
        </w:tc>
        <w:tc>
          <w:tcPr>
            <w:tcW w:w="2429" w:type="dxa"/>
          </w:tcPr>
          <w:p w14:paraId="102A1389">
            <w:pPr>
              <w:rPr>
                <w:szCs w:val="21"/>
              </w:rPr>
            </w:pPr>
          </w:p>
        </w:tc>
      </w:tr>
      <w:tr w14:paraId="7D0C8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32FEDC1B">
            <w:pPr>
              <w:rPr>
                <w:szCs w:val="21"/>
              </w:rPr>
            </w:pPr>
          </w:p>
        </w:tc>
        <w:tc>
          <w:tcPr>
            <w:tcW w:w="2429" w:type="dxa"/>
          </w:tcPr>
          <w:p w14:paraId="32957825">
            <w:pPr>
              <w:rPr>
                <w:szCs w:val="21"/>
              </w:rPr>
            </w:pPr>
          </w:p>
        </w:tc>
        <w:tc>
          <w:tcPr>
            <w:tcW w:w="2429" w:type="dxa"/>
          </w:tcPr>
          <w:p w14:paraId="6989D547">
            <w:pPr>
              <w:rPr>
                <w:szCs w:val="21"/>
              </w:rPr>
            </w:pPr>
          </w:p>
        </w:tc>
        <w:tc>
          <w:tcPr>
            <w:tcW w:w="2429" w:type="dxa"/>
          </w:tcPr>
          <w:p w14:paraId="4B3B805B">
            <w:pPr>
              <w:rPr>
                <w:szCs w:val="21"/>
              </w:rPr>
            </w:pPr>
          </w:p>
        </w:tc>
      </w:tr>
      <w:tr w14:paraId="21A3E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398ED09E">
            <w:pPr>
              <w:rPr>
                <w:szCs w:val="21"/>
              </w:rPr>
            </w:pPr>
          </w:p>
        </w:tc>
        <w:tc>
          <w:tcPr>
            <w:tcW w:w="2429" w:type="dxa"/>
          </w:tcPr>
          <w:p w14:paraId="2842EDA5">
            <w:pPr>
              <w:rPr>
                <w:szCs w:val="21"/>
              </w:rPr>
            </w:pPr>
          </w:p>
        </w:tc>
        <w:tc>
          <w:tcPr>
            <w:tcW w:w="2429" w:type="dxa"/>
          </w:tcPr>
          <w:p w14:paraId="3FCB36BC">
            <w:pPr>
              <w:rPr>
                <w:szCs w:val="21"/>
              </w:rPr>
            </w:pPr>
          </w:p>
        </w:tc>
        <w:tc>
          <w:tcPr>
            <w:tcW w:w="2429" w:type="dxa"/>
          </w:tcPr>
          <w:p w14:paraId="09563D25">
            <w:pPr>
              <w:rPr>
                <w:szCs w:val="21"/>
              </w:rPr>
            </w:pPr>
          </w:p>
        </w:tc>
      </w:tr>
      <w:tr w14:paraId="78AE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17981696">
            <w:pPr>
              <w:rPr>
                <w:szCs w:val="21"/>
              </w:rPr>
            </w:pPr>
          </w:p>
        </w:tc>
        <w:tc>
          <w:tcPr>
            <w:tcW w:w="2429" w:type="dxa"/>
          </w:tcPr>
          <w:p w14:paraId="4A22CE30">
            <w:pPr>
              <w:rPr>
                <w:szCs w:val="21"/>
              </w:rPr>
            </w:pPr>
          </w:p>
        </w:tc>
        <w:tc>
          <w:tcPr>
            <w:tcW w:w="2429" w:type="dxa"/>
          </w:tcPr>
          <w:p w14:paraId="6BEA6046">
            <w:pPr>
              <w:rPr>
                <w:szCs w:val="21"/>
              </w:rPr>
            </w:pPr>
          </w:p>
        </w:tc>
        <w:tc>
          <w:tcPr>
            <w:tcW w:w="2429" w:type="dxa"/>
          </w:tcPr>
          <w:p w14:paraId="5B8B9774">
            <w:pPr>
              <w:rPr>
                <w:szCs w:val="21"/>
              </w:rPr>
            </w:pPr>
          </w:p>
        </w:tc>
      </w:tr>
      <w:tr w14:paraId="2105B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21CE8B5F">
            <w:pPr>
              <w:rPr>
                <w:szCs w:val="21"/>
              </w:rPr>
            </w:pPr>
          </w:p>
        </w:tc>
        <w:tc>
          <w:tcPr>
            <w:tcW w:w="2429" w:type="dxa"/>
          </w:tcPr>
          <w:p w14:paraId="735B18D6">
            <w:pPr>
              <w:rPr>
                <w:szCs w:val="21"/>
              </w:rPr>
            </w:pPr>
          </w:p>
        </w:tc>
        <w:tc>
          <w:tcPr>
            <w:tcW w:w="2429" w:type="dxa"/>
          </w:tcPr>
          <w:p w14:paraId="08C09E98">
            <w:pPr>
              <w:rPr>
                <w:szCs w:val="21"/>
              </w:rPr>
            </w:pPr>
          </w:p>
        </w:tc>
        <w:tc>
          <w:tcPr>
            <w:tcW w:w="2429" w:type="dxa"/>
          </w:tcPr>
          <w:p w14:paraId="09A8B7A1">
            <w:pPr>
              <w:rPr>
                <w:szCs w:val="21"/>
              </w:rPr>
            </w:pPr>
          </w:p>
        </w:tc>
      </w:tr>
      <w:tr w14:paraId="739E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6554AF77">
            <w:pPr>
              <w:rPr>
                <w:szCs w:val="21"/>
              </w:rPr>
            </w:pPr>
          </w:p>
        </w:tc>
        <w:tc>
          <w:tcPr>
            <w:tcW w:w="2429" w:type="dxa"/>
          </w:tcPr>
          <w:p w14:paraId="044770E9">
            <w:pPr>
              <w:rPr>
                <w:szCs w:val="21"/>
              </w:rPr>
            </w:pPr>
          </w:p>
        </w:tc>
        <w:tc>
          <w:tcPr>
            <w:tcW w:w="2429" w:type="dxa"/>
          </w:tcPr>
          <w:p w14:paraId="62D223E5">
            <w:pPr>
              <w:rPr>
                <w:szCs w:val="21"/>
              </w:rPr>
            </w:pPr>
          </w:p>
        </w:tc>
        <w:tc>
          <w:tcPr>
            <w:tcW w:w="2429" w:type="dxa"/>
          </w:tcPr>
          <w:p w14:paraId="4AA0B801">
            <w:pPr>
              <w:rPr>
                <w:szCs w:val="21"/>
              </w:rPr>
            </w:pPr>
          </w:p>
        </w:tc>
      </w:tr>
      <w:tr w14:paraId="44E59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16117DFC">
            <w:pPr>
              <w:rPr>
                <w:szCs w:val="21"/>
              </w:rPr>
            </w:pPr>
          </w:p>
        </w:tc>
        <w:tc>
          <w:tcPr>
            <w:tcW w:w="2429" w:type="dxa"/>
          </w:tcPr>
          <w:p w14:paraId="5EDC947F">
            <w:pPr>
              <w:rPr>
                <w:szCs w:val="21"/>
              </w:rPr>
            </w:pPr>
          </w:p>
        </w:tc>
        <w:tc>
          <w:tcPr>
            <w:tcW w:w="2429" w:type="dxa"/>
          </w:tcPr>
          <w:p w14:paraId="63F49E91">
            <w:pPr>
              <w:rPr>
                <w:szCs w:val="21"/>
              </w:rPr>
            </w:pPr>
          </w:p>
        </w:tc>
        <w:tc>
          <w:tcPr>
            <w:tcW w:w="2429" w:type="dxa"/>
          </w:tcPr>
          <w:p w14:paraId="6C1973B7">
            <w:pPr>
              <w:rPr>
                <w:szCs w:val="21"/>
              </w:rPr>
            </w:pPr>
          </w:p>
        </w:tc>
      </w:tr>
      <w:tr w14:paraId="4A75F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3941C31C">
            <w:pPr>
              <w:rPr>
                <w:szCs w:val="21"/>
              </w:rPr>
            </w:pPr>
          </w:p>
        </w:tc>
        <w:tc>
          <w:tcPr>
            <w:tcW w:w="2429" w:type="dxa"/>
          </w:tcPr>
          <w:p w14:paraId="0037C9E8">
            <w:pPr>
              <w:rPr>
                <w:szCs w:val="21"/>
              </w:rPr>
            </w:pPr>
          </w:p>
        </w:tc>
        <w:tc>
          <w:tcPr>
            <w:tcW w:w="2429" w:type="dxa"/>
          </w:tcPr>
          <w:p w14:paraId="4DF7B685">
            <w:pPr>
              <w:rPr>
                <w:szCs w:val="21"/>
              </w:rPr>
            </w:pPr>
          </w:p>
        </w:tc>
        <w:tc>
          <w:tcPr>
            <w:tcW w:w="2429" w:type="dxa"/>
          </w:tcPr>
          <w:p w14:paraId="4D303449">
            <w:pPr>
              <w:rPr>
                <w:szCs w:val="21"/>
              </w:rPr>
            </w:pPr>
          </w:p>
        </w:tc>
      </w:tr>
      <w:tr w14:paraId="64F5F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01FF9CAD">
            <w:pPr>
              <w:rPr>
                <w:szCs w:val="21"/>
              </w:rPr>
            </w:pPr>
          </w:p>
        </w:tc>
        <w:tc>
          <w:tcPr>
            <w:tcW w:w="2429" w:type="dxa"/>
          </w:tcPr>
          <w:p w14:paraId="5165A14D">
            <w:pPr>
              <w:rPr>
                <w:szCs w:val="21"/>
              </w:rPr>
            </w:pPr>
          </w:p>
        </w:tc>
        <w:tc>
          <w:tcPr>
            <w:tcW w:w="2429" w:type="dxa"/>
          </w:tcPr>
          <w:p w14:paraId="1C760691">
            <w:pPr>
              <w:rPr>
                <w:szCs w:val="21"/>
              </w:rPr>
            </w:pPr>
          </w:p>
        </w:tc>
        <w:tc>
          <w:tcPr>
            <w:tcW w:w="2429" w:type="dxa"/>
          </w:tcPr>
          <w:p w14:paraId="5C9E21A4">
            <w:pPr>
              <w:rPr>
                <w:szCs w:val="21"/>
              </w:rPr>
            </w:pPr>
          </w:p>
        </w:tc>
      </w:tr>
      <w:tr w14:paraId="36FA7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3ADD6827">
            <w:pPr>
              <w:rPr>
                <w:szCs w:val="21"/>
              </w:rPr>
            </w:pPr>
          </w:p>
        </w:tc>
        <w:tc>
          <w:tcPr>
            <w:tcW w:w="2429" w:type="dxa"/>
          </w:tcPr>
          <w:p w14:paraId="76B0ABAC">
            <w:pPr>
              <w:rPr>
                <w:szCs w:val="21"/>
              </w:rPr>
            </w:pPr>
          </w:p>
        </w:tc>
        <w:tc>
          <w:tcPr>
            <w:tcW w:w="2429" w:type="dxa"/>
          </w:tcPr>
          <w:p w14:paraId="5B480E99">
            <w:pPr>
              <w:rPr>
                <w:szCs w:val="21"/>
              </w:rPr>
            </w:pPr>
          </w:p>
        </w:tc>
        <w:tc>
          <w:tcPr>
            <w:tcW w:w="2429" w:type="dxa"/>
          </w:tcPr>
          <w:p w14:paraId="2D593F17">
            <w:pPr>
              <w:rPr>
                <w:szCs w:val="21"/>
              </w:rPr>
            </w:pPr>
          </w:p>
        </w:tc>
      </w:tr>
      <w:tr w14:paraId="5FB51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66D18FCA">
            <w:pPr>
              <w:rPr>
                <w:szCs w:val="21"/>
              </w:rPr>
            </w:pPr>
          </w:p>
        </w:tc>
        <w:tc>
          <w:tcPr>
            <w:tcW w:w="2429" w:type="dxa"/>
          </w:tcPr>
          <w:p w14:paraId="104BE81B">
            <w:pPr>
              <w:rPr>
                <w:szCs w:val="21"/>
              </w:rPr>
            </w:pPr>
          </w:p>
        </w:tc>
        <w:tc>
          <w:tcPr>
            <w:tcW w:w="2429" w:type="dxa"/>
          </w:tcPr>
          <w:p w14:paraId="61E47593">
            <w:pPr>
              <w:rPr>
                <w:szCs w:val="21"/>
              </w:rPr>
            </w:pPr>
          </w:p>
        </w:tc>
        <w:tc>
          <w:tcPr>
            <w:tcW w:w="2429" w:type="dxa"/>
          </w:tcPr>
          <w:p w14:paraId="2A38A1B2">
            <w:pPr>
              <w:rPr>
                <w:szCs w:val="21"/>
              </w:rPr>
            </w:pPr>
          </w:p>
        </w:tc>
      </w:tr>
      <w:tr w14:paraId="433E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3D63A328">
            <w:pPr>
              <w:rPr>
                <w:szCs w:val="21"/>
              </w:rPr>
            </w:pPr>
          </w:p>
        </w:tc>
        <w:tc>
          <w:tcPr>
            <w:tcW w:w="2429" w:type="dxa"/>
          </w:tcPr>
          <w:p w14:paraId="0E5D8EF6">
            <w:pPr>
              <w:rPr>
                <w:szCs w:val="21"/>
              </w:rPr>
            </w:pPr>
          </w:p>
        </w:tc>
        <w:tc>
          <w:tcPr>
            <w:tcW w:w="2429" w:type="dxa"/>
          </w:tcPr>
          <w:p w14:paraId="603DD8E0">
            <w:pPr>
              <w:rPr>
                <w:szCs w:val="21"/>
              </w:rPr>
            </w:pPr>
          </w:p>
        </w:tc>
        <w:tc>
          <w:tcPr>
            <w:tcW w:w="2429" w:type="dxa"/>
          </w:tcPr>
          <w:p w14:paraId="5CEB711C">
            <w:pPr>
              <w:rPr>
                <w:szCs w:val="21"/>
              </w:rPr>
            </w:pPr>
          </w:p>
        </w:tc>
      </w:tr>
      <w:tr w14:paraId="43AD1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2512" w:type="dxa"/>
          </w:tcPr>
          <w:p w14:paraId="2EAAF427">
            <w:pPr>
              <w:rPr>
                <w:szCs w:val="21"/>
              </w:rPr>
            </w:pPr>
          </w:p>
        </w:tc>
        <w:tc>
          <w:tcPr>
            <w:tcW w:w="2429" w:type="dxa"/>
          </w:tcPr>
          <w:p w14:paraId="2EFB9050">
            <w:pPr>
              <w:rPr>
                <w:szCs w:val="21"/>
              </w:rPr>
            </w:pPr>
          </w:p>
        </w:tc>
        <w:tc>
          <w:tcPr>
            <w:tcW w:w="2429" w:type="dxa"/>
          </w:tcPr>
          <w:p w14:paraId="234A8C6D">
            <w:pPr>
              <w:rPr>
                <w:szCs w:val="21"/>
              </w:rPr>
            </w:pPr>
          </w:p>
        </w:tc>
        <w:tc>
          <w:tcPr>
            <w:tcW w:w="2429" w:type="dxa"/>
          </w:tcPr>
          <w:p w14:paraId="0FE1D590">
            <w:pPr>
              <w:rPr>
                <w:szCs w:val="21"/>
              </w:rPr>
            </w:pPr>
          </w:p>
        </w:tc>
      </w:tr>
      <w:tr w14:paraId="4017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2512" w:type="dxa"/>
          </w:tcPr>
          <w:p w14:paraId="38243D4A">
            <w:pPr>
              <w:rPr>
                <w:szCs w:val="21"/>
              </w:rPr>
            </w:pPr>
          </w:p>
        </w:tc>
        <w:tc>
          <w:tcPr>
            <w:tcW w:w="2429" w:type="dxa"/>
          </w:tcPr>
          <w:p w14:paraId="7B10F451">
            <w:pPr>
              <w:rPr>
                <w:szCs w:val="21"/>
              </w:rPr>
            </w:pPr>
          </w:p>
        </w:tc>
        <w:tc>
          <w:tcPr>
            <w:tcW w:w="2429" w:type="dxa"/>
          </w:tcPr>
          <w:p w14:paraId="435514AC">
            <w:pPr>
              <w:rPr>
                <w:szCs w:val="21"/>
              </w:rPr>
            </w:pPr>
          </w:p>
        </w:tc>
        <w:tc>
          <w:tcPr>
            <w:tcW w:w="2429" w:type="dxa"/>
          </w:tcPr>
          <w:p w14:paraId="174BFDFB">
            <w:pPr>
              <w:rPr>
                <w:szCs w:val="21"/>
              </w:rPr>
            </w:pPr>
          </w:p>
        </w:tc>
      </w:tr>
    </w:tbl>
    <w:p w14:paraId="697A7253">
      <w:pPr>
        <w:spacing w:line="420" w:lineRule="exact"/>
        <w:rPr>
          <w:szCs w:val="21"/>
        </w:rPr>
      </w:pPr>
    </w:p>
    <w:p w14:paraId="4970E498">
      <w:pPr>
        <w:ind w:firstLine="3855" w:firstLineChars="1200"/>
        <w:jc w:val="both"/>
        <w:outlineLvl w:val="1"/>
        <w:rPr>
          <w:rFonts w:hint="eastAsia"/>
          <w:b/>
          <w:bCs/>
          <w:sz w:val="32"/>
          <w:szCs w:val="32"/>
        </w:rPr>
      </w:pPr>
    </w:p>
    <w:p w14:paraId="2DBE528D">
      <w:pPr>
        <w:ind w:firstLine="3855" w:firstLineChars="1200"/>
        <w:jc w:val="both"/>
        <w:outlineLvl w:val="1"/>
        <w:rPr>
          <w:rFonts w:hint="eastAsia"/>
          <w:b/>
          <w:bCs/>
          <w:sz w:val="32"/>
          <w:szCs w:val="32"/>
        </w:rPr>
      </w:pPr>
    </w:p>
    <w:p w14:paraId="1AA3190E">
      <w:pPr>
        <w:ind w:firstLine="3855" w:firstLineChars="1200"/>
        <w:jc w:val="both"/>
        <w:outlineLvl w:val="1"/>
        <w:rPr>
          <w:rFonts w:hint="eastAsia"/>
          <w:b/>
          <w:bCs/>
          <w:sz w:val="32"/>
          <w:szCs w:val="32"/>
        </w:rPr>
      </w:pPr>
    </w:p>
    <w:p w14:paraId="533D60B2">
      <w:pPr>
        <w:ind w:firstLine="3855" w:firstLineChars="1200"/>
        <w:jc w:val="both"/>
        <w:outlineLvl w:val="1"/>
        <w:rPr>
          <w:rFonts w:hint="eastAsia"/>
          <w:b/>
          <w:bCs/>
          <w:sz w:val="32"/>
          <w:szCs w:val="32"/>
        </w:rPr>
      </w:pPr>
    </w:p>
    <w:p w14:paraId="20B63001">
      <w:pPr>
        <w:ind w:firstLine="3855" w:firstLineChars="1200"/>
        <w:jc w:val="both"/>
        <w:outlineLvl w:val="1"/>
        <w:rPr>
          <w:b/>
          <w:bCs/>
          <w:sz w:val="32"/>
          <w:szCs w:val="32"/>
        </w:rPr>
      </w:pPr>
      <w:r>
        <w:rPr>
          <w:rFonts w:hint="eastAsia"/>
          <w:b/>
          <w:bCs/>
          <w:sz w:val="32"/>
          <w:szCs w:val="32"/>
        </w:rPr>
        <w:t>十、其他材料</w:t>
      </w:r>
      <w:bookmarkEnd w:id="839"/>
    </w:p>
    <w:p w14:paraId="6D70469D">
      <w:pPr>
        <w:ind w:left="440" w:leftChars="200"/>
      </w:pPr>
    </w:p>
    <w:p w14:paraId="4421547E">
      <w:pPr>
        <w:spacing w:line="360" w:lineRule="auto"/>
        <w:ind w:firstLine="440" w:firstLineChars="200"/>
        <w:rPr>
          <w:szCs w:val="21"/>
        </w:rPr>
      </w:pPr>
      <w:r>
        <w:rPr>
          <w:rFonts w:hint="eastAsia"/>
          <w:szCs w:val="21"/>
          <w:lang w:val="en-US"/>
        </w:rPr>
        <w:t>供应商</w:t>
      </w:r>
      <w:r>
        <w:rPr>
          <w:rFonts w:hint="eastAsia"/>
          <w:szCs w:val="21"/>
        </w:rPr>
        <w:t>认为有必要的最有利于自身的证明材料，</w:t>
      </w:r>
      <w:r>
        <w:rPr>
          <w:rFonts w:hint="eastAsia"/>
          <w:szCs w:val="21"/>
          <w:lang w:val="en-US"/>
        </w:rPr>
        <w:t>供应商</w:t>
      </w:r>
      <w:r>
        <w:rPr>
          <w:rFonts w:hint="eastAsia"/>
          <w:szCs w:val="21"/>
        </w:rPr>
        <w:t>应当仔细查阅</w:t>
      </w:r>
      <w:r>
        <w:rPr>
          <w:rFonts w:hint="eastAsia"/>
          <w:szCs w:val="21"/>
          <w:lang w:val="en-US"/>
        </w:rPr>
        <w:t>磋商</w:t>
      </w:r>
      <w:r>
        <w:rPr>
          <w:rFonts w:hint="eastAsia"/>
          <w:szCs w:val="21"/>
        </w:rPr>
        <w:t>文件中有关内容和评</w:t>
      </w:r>
      <w:r>
        <w:rPr>
          <w:rFonts w:hint="eastAsia"/>
          <w:szCs w:val="21"/>
          <w:lang w:val="en-US"/>
        </w:rPr>
        <w:t>审</w:t>
      </w:r>
      <w:r>
        <w:rPr>
          <w:rFonts w:hint="eastAsia"/>
          <w:szCs w:val="21"/>
        </w:rPr>
        <w:t>标准，提供</w:t>
      </w:r>
      <w:r>
        <w:rPr>
          <w:rFonts w:hint="eastAsia"/>
          <w:szCs w:val="21"/>
          <w:lang w:val="en-US"/>
        </w:rPr>
        <w:t>供应商</w:t>
      </w:r>
      <w:r>
        <w:rPr>
          <w:rFonts w:hint="eastAsia"/>
          <w:szCs w:val="21"/>
        </w:rPr>
        <w:t>认为应当附加的其它内容，以充分证明其投标符合</w:t>
      </w:r>
      <w:r>
        <w:rPr>
          <w:rFonts w:hint="eastAsia"/>
          <w:szCs w:val="21"/>
          <w:lang w:val="en-US"/>
        </w:rPr>
        <w:t>磋商</w:t>
      </w:r>
      <w:r>
        <w:rPr>
          <w:rFonts w:hint="eastAsia"/>
          <w:szCs w:val="21"/>
        </w:rPr>
        <w:t>文件中的规定，并为评</w:t>
      </w:r>
      <w:r>
        <w:rPr>
          <w:rFonts w:hint="eastAsia"/>
          <w:szCs w:val="21"/>
          <w:lang w:val="en-US"/>
        </w:rPr>
        <w:t>审</w:t>
      </w:r>
      <w:r>
        <w:rPr>
          <w:rFonts w:hint="eastAsia"/>
          <w:szCs w:val="21"/>
        </w:rPr>
        <w:t>打分提供充分依据。如果</w:t>
      </w:r>
      <w:r>
        <w:rPr>
          <w:rFonts w:hint="eastAsia"/>
          <w:szCs w:val="21"/>
          <w:lang w:val="en-US"/>
        </w:rPr>
        <w:t>供应商</w:t>
      </w:r>
      <w:r>
        <w:rPr>
          <w:rFonts w:hint="eastAsia"/>
          <w:szCs w:val="21"/>
        </w:rPr>
        <w:t>未能提供相关证明文件，将有可能导致废标或者无法得分。</w:t>
      </w:r>
    </w:p>
    <w:p w14:paraId="78E3228F">
      <w:pPr>
        <w:pStyle w:val="12"/>
      </w:pPr>
    </w:p>
    <w:p w14:paraId="09FB7ED6">
      <w:pPr>
        <w:rPr>
          <w:szCs w:val="21"/>
        </w:rPr>
      </w:pPr>
    </w:p>
    <w:p w14:paraId="3B407F42">
      <w:pPr>
        <w:pStyle w:val="12"/>
      </w:pPr>
    </w:p>
    <w:p w14:paraId="6805B5ED">
      <w:pPr>
        <w:rPr>
          <w:szCs w:val="21"/>
        </w:rPr>
      </w:pPr>
    </w:p>
    <w:p w14:paraId="786C049D">
      <w:pPr>
        <w:pStyle w:val="12"/>
      </w:pPr>
    </w:p>
    <w:p w14:paraId="707DE062">
      <w:pPr>
        <w:rPr>
          <w:szCs w:val="21"/>
        </w:rPr>
      </w:pPr>
    </w:p>
    <w:p w14:paraId="1F7D5156">
      <w:pPr>
        <w:pStyle w:val="12"/>
      </w:pPr>
    </w:p>
    <w:p w14:paraId="19C07CCF">
      <w:pPr>
        <w:rPr>
          <w:szCs w:val="21"/>
        </w:rPr>
      </w:pPr>
    </w:p>
    <w:p w14:paraId="72B9DE51">
      <w:pPr>
        <w:pStyle w:val="12"/>
      </w:pPr>
    </w:p>
    <w:p w14:paraId="0B0D1B21">
      <w:pPr>
        <w:rPr>
          <w:szCs w:val="21"/>
        </w:rPr>
      </w:pPr>
    </w:p>
    <w:p w14:paraId="5C5489E9">
      <w:pPr>
        <w:pStyle w:val="12"/>
      </w:pPr>
    </w:p>
    <w:p w14:paraId="6983CE8A">
      <w:pPr>
        <w:rPr>
          <w:szCs w:val="21"/>
        </w:rPr>
      </w:pPr>
    </w:p>
    <w:p w14:paraId="7AB7C94D">
      <w:pPr>
        <w:pStyle w:val="12"/>
      </w:pPr>
    </w:p>
    <w:p w14:paraId="6D61F2D0">
      <w:pPr>
        <w:rPr>
          <w:szCs w:val="21"/>
        </w:rPr>
      </w:pPr>
    </w:p>
    <w:p w14:paraId="2CBECD02">
      <w:pPr>
        <w:pStyle w:val="12"/>
      </w:pPr>
    </w:p>
    <w:p w14:paraId="704650B1">
      <w:pPr>
        <w:rPr>
          <w:szCs w:val="21"/>
        </w:rPr>
      </w:pPr>
    </w:p>
    <w:p w14:paraId="0669F709">
      <w:pPr>
        <w:pStyle w:val="12"/>
      </w:pPr>
    </w:p>
    <w:p w14:paraId="4554A0EA">
      <w:pPr>
        <w:rPr>
          <w:szCs w:val="21"/>
        </w:rPr>
      </w:pPr>
    </w:p>
    <w:p w14:paraId="30BE8336">
      <w:pPr>
        <w:pStyle w:val="12"/>
      </w:pPr>
    </w:p>
    <w:p w14:paraId="7E34A6E8">
      <w:pPr>
        <w:rPr>
          <w:szCs w:val="21"/>
        </w:rPr>
      </w:pPr>
    </w:p>
    <w:p w14:paraId="08062EF7">
      <w:pPr>
        <w:pStyle w:val="12"/>
      </w:pPr>
    </w:p>
    <w:p w14:paraId="048BACDD">
      <w:pPr>
        <w:rPr>
          <w:szCs w:val="21"/>
        </w:rPr>
      </w:pPr>
    </w:p>
    <w:p w14:paraId="4D2387AB">
      <w:pPr>
        <w:pStyle w:val="12"/>
      </w:pPr>
    </w:p>
    <w:p w14:paraId="3C599A34">
      <w:pPr>
        <w:rPr>
          <w:szCs w:val="21"/>
        </w:rPr>
      </w:pPr>
    </w:p>
    <w:p w14:paraId="37150418">
      <w:pPr>
        <w:pStyle w:val="12"/>
      </w:pPr>
    </w:p>
    <w:p w14:paraId="34C8B7AF">
      <w:pPr>
        <w:rPr>
          <w:szCs w:val="21"/>
        </w:rPr>
      </w:pPr>
    </w:p>
    <w:p w14:paraId="01CB2845">
      <w:pPr>
        <w:pStyle w:val="12"/>
      </w:pPr>
    </w:p>
    <w:p w14:paraId="4B9C9F61">
      <w:pPr>
        <w:rPr>
          <w:szCs w:val="21"/>
        </w:rPr>
      </w:pPr>
    </w:p>
    <w:p w14:paraId="4ED7B592">
      <w:pPr>
        <w:pStyle w:val="12"/>
      </w:pPr>
    </w:p>
    <w:p w14:paraId="35AFA90D">
      <w:pPr>
        <w:rPr>
          <w:szCs w:val="21"/>
        </w:rPr>
      </w:pPr>
    </w:p>
    <w:p w14:paraId="6CA9BC99">
      <w:pPr>
        <w:pStyle w:val="12"/>
      </w:pPr>
    </w:p>
    <w:p w14:paraId="06AB352E">
      <w:pPr>
        <w:rPr>
          <w:szCs w:val="21"/>
        </w:rPr>
      </w:pPr>
    </w:p>
    <w:p w14:paraId="6F64284B">
      <w:pPr>
        <w:pStyle w:val="12"/>
      </w:pPr>
    </w:p>
    <w:p w14:paraId="21378339">
      <w:pPr>
        <w:rPr>
          <w:szCs w:val="21"/>
        </w:rPr>
      </w:pPr>
    </w:p>
    <w:p w14:paraId="4F59302D">
      <w:pPr>
        <w:pStyle w:val="12"/>
      </w:pPr>
    </w:p>
    <w:p w14:paraId="41FE8451"/>
    <w:p w14:paraId="3E4637AE">
      <w:pPr>
        <w:rPr>
          <w:szCs w:val="21"/>
        </w:rPr>
      </w:pPr>
    </w:p>
    <w:p w14:paraId="5C61243D">
      <w:pPr>
        <w:pStyle w:val="12"/>
      </w:pPr>
    </w:p>
    <w:p w14:paraId="02775F8D">
      <w:pPr>
        <w:pStyle w:val="12"/>
      </w:pPr>
    </w:p>
    <w:p w14:paraId="7175AFEC">
      <w:pPr>
        <w:widowControl/>
        <w:outlineLvl w:val="0"/>
        <w:rPr>
          <w:rFonts w:hint="eastAsia" w:eastAsia="宋体"/>
          <w:lang w:eastAsia="zh-CN"/>
        </w:rPr>
      </w:pPr>
      <w:r>
        <w:rPr>
          <w:rFonts w:hint="eastAsia"/>
          <w:b/>
          <w:bCs/>
          <w:sz w:val="32"/>
          <w:szCs w:val="32"/>
        </w:rPr>
        <w:t xml:space="preserve">附件1 </w:t>
      </w:r>
      <w:r>
        <w:rPr>
          <w:rFonts w:hint="eastAsia"/>
          <w:b/>
          <w:bCs/>
          <w:sz w:val="32"/>
          <w:szCs w:val="32"/>
          <w:lang w:val="en-US" w:eastAsia="zh-CN"/>
        </w:rPr>
        <w:t>竞争性磋商第</w:t>
      </w:r>
      <w:r>
        <w:rPr>
          <w:rFonts w:hint="eastAsia"/>
          <w:b/>
          <w:bCs/>
          <w:sz w:val="32"/>
          <w:szCs w:val="32"/>
        </w:rPr>
        <w:t>二次（最终）报价函</w:t>
      </w:r>
      <w:r>
        <w:rPr>
          <w:rFonts w:hint="eastAsia"/>
          <w:color w:val="000000"/>
          <w:sz w:val="36"/>
          <w:szCs w:val="36"/>
          <w:lang w:bidi="ar"/>
        </w:rPr>
        <w:t xml:space="preserve"> </w:t>
      </w:r>
      <w:r>
        <w:rPr>
          <w:rFonts w:hint="eastAsia"/>
          <w:b/>
          <w:bCs/>
          <w:sz w:val="32"/>
          <w:szCs w:val="32"/>
          <w:lang w:eastAsia="zh-CN"/>
        </w:rPr>
        <w:t>（网上系统提交）</w:t>
      </w:r>
    </w:p>
    <w:tbl>
      <w:tblPr>
        <w:tblStyle w:val="27"/>
        <w:tblW w:w="963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207"/>
        <w:gridCol w:w="2262"/>
        <w:gridCol w:w="1845"/>
        <w:gridCol w:w="2317"/>
      </w:tblGrid>
      <w:tr w14:paraId="354624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3" w:hRule="atLeast"/>
          <w:jc w:val="center"/>
        </w:trPr>
        <w:tc>
          <w:tcPr>
            <w:tcW w:w="3207" w:type="dxa"/>
            <w:tcBorders>
              <w:top w:val="single" w:color="auto" w:sz="12" w:space="0"/>
            </w:tcBorders>
            <w:vAlign w:val="center"/>
          </w:tcPr>
          <w:p w14:paraId="084D3805">
            <w:pPr>
              <w:spacing w:line="540" w:lineRule="exact"/>
              <w:jc w:val="center"/>
              <w:rPr>
                <w:rFonts w:hint="eastAsia"/>
                <w:szCs w:val="28"/>
                <w:lang w:val="en-US"/>
              </w:rPr>
            </w:pPr>
            <w:r>
              <w:rPr>
                <w:rFonts w:hint="eastAsia"/>
                <w:szCs w:val="28"/>
                <w:lang w:val="en-US"/>
              </w:rPr>
              <w:t>项目名称</w:t>
            </w:r>
          </w:p>
        </w:tc>
        <w:tc>
          <w:tcPr>
            <w:tcW w:w="6424" w:type="dxa"/>
            <w:gridSpan w:val="3"/>
            <w:tcBorders>
              <w:top w:val="single" w:color="auto" w:sz="12" w:space="0"/>
            </w:tcBorders>
            <w:vAlign w:val="center"/>
          </w:tcPr>
          <w:p w14:paraId="6A78B2D6">
            <w:pPr>
              <w:pStyle w:val="10"/>
              <w:spacing w:before="0" w:line="540" w:lineRule="exact"/>
              <w:rPr>
                <w:rFonts w:ascii="宋体" w:hAnsi="宋体"/>
                <w:color w:val="auto"/>
                <w:sz w:val="21"/>
                <w:szCs w:val="21"/>
              </w:rPr>
            </w:pPr>
          </w:p>
        </w:tc>
      </w:tr>
      <w:tr w14:paraId="6D9ECB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3207" w:type="dxa"/>
            <w:vAlign w:val="center"/>
          </w:tcPr>
          <w:p w14:paraId="014E34B6">
            <w:pPr>
              <w:spacing w:line="540" w:lineRule="exact"/>
              <w:jc w:val="center"/>
              <w:rPr>
                <w:rFonts w:hint="eastAsia"/>
                <w:szCs w:val="28"/>
              </w:rPr>
            </w:pPr>
            <w:r>
              <w:rPr>
                <w:rFonts w:hint="eastAsia"/>
                <w:szCs w:val="28"/>
                <w:lang w:val="en-US"/>
              </w:rPr>
              <w:t>供应商</w:t>
            </w:r>
          </w:p>
        </w:tc>
        <w:tc>
          <w:tcPr>
            <w:tcW w:w="6424" w:type="dxa"/>
            <w:gridSpan w:val="3"/>
            <w:vAlign w:val="center"/>
          </w:tcPr>
          <w:p w14:paraId="57C16E71">
            <w:pPr>
              <w:spacing w:line="540" w:lineRule="exact"/>
              <w:rPr>
                <w:szCs w:val="21"/>
              </w:rPr>
            </w:pPr>
          </w:p>
        </w:tc>
      </w:tr>
      <w:tr w14:paraId="4EF76C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3207" w:type="dxa"/>
            <w:vAlign w:val="center"/>
          </w:tcPr>
          <w:p w14:paraId="2C9629E8">
            <w:pPr>
              <w:spacing w:line="540" w:lineRule="exact"/>
              <w:jc w:val="center"/>
              <w:rPr>
                <w:rFonts w:hint="eastAsia"/>
                <w:szCs w:val="28"/>
                <w:lang w:val="en-US"/>
              </w:rPr>
            </w:pPr>
            <w:r>
              <w:rPr>
                <w:rFonts w:hint="eastAsia"/>
                <w:szCs w:val="28"/>
                <w:lang w:val="en-US"/>
              </w:rPr>
              <w:t>投报范围</w:t>
            </w:r>
          </w:p>
        </w:tc>
        <w:tc>
          <w:tcPr>
            <w:tcW w:w="6424" w:type="dxa"/>
            <w:gridSpan w:val="3"/>
            <w:vAlign w:val="center"/>
          </w:tcPr>
          <w:p w14:paraId="35ECC926">
            <w:pPr>
              <w:spacing w:line="540" w:lineRule="exact"/>
              <w:rPr>
                <w:szCs w:val="21"/>
              </w:rPr>
            </w:pPr>
            <w:r>
              <w:rPr>
                <w:rFonts w:hint="eastAsia"/>
                <w:szCs w:val="28"/>
              </w:rPr>
              <w:t>本项目工程量清单及施工图纸所包含的全部内容</w:t>
            </w:r>
          </w:p>
        </w:tc>
      </w:tr>
      <w:tr w14:paraId="6501C8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57" w:hRule="atLeast"/>
          <w:jc w:val="center"/>
        </w:trPr>
        <w:tc>
          <w:tcPr>
            <w:tcW w:w="3207" w:type="dxa"/>
            <w:vAlign w:val="center"/>
          </w:tcPr>
          <w:p w14:paraId="76FDCF4D">
            <w:pPr>
              <w:spacing w:line="540" w:lineRule="exact"/>
              <w:jc w:val="center"/>
              <w:rPr>
                <w:rFonts w:hint="eastAsia"/>
                <w:szCs w:val="28"/>
                <w:lang w:val="en-US"/>
              </w:rPr>
            </w:pPr>
            <w:r>
              <w:rPr>
                <w:rFonts w:hint="eastAsia"/>
                <w:szCs w:val="28"/>
                <w:lang w:val="en-US" w:eastAsia="zh-CN"/>
              </w:rPr>
              <w:t>第</w:t>
            </w:r>
            <w:r>
              <w:rPr>
                <w:rFonts w:hint="eastAsia"/>
                <w:szCs w:val="28"/>
                <w:lang w:val="en-US"/>
              </w:rPr>
              <w:t>二次（最终）</w:t>
            </w:r>
            <w:r>
              <w:rPr>
                <w:rFonts w:hint="eastAsia"/>
                <w:szCs w:val="28"/>
                <w:lang w:val="en-US" w:eastAsia="zh-CN"/>
              </w:rPr>
              <w:t>磋商</w:t>
            </w:r>
            <w:r>
              <w:rPr>
                <w:rFonts w:hint="eastAsia"/>
                <w:szCs w:val="28"/>
                <w:lang w:val="en-US"/>
              </w:rPr>
              <w:t>报价</w:t>
            </w:r>
          </w:p>
        </w:tc>
        <w:tc>
          <w:tcPr>
            <w:tcW w:w="6424" w:type="dxa"/>
            <w:gridSpan w:val="3"/>
            <w:vAlign w:val="center"/>
          </w:tcPr>
          <w:p w14:paraId="467E0E05">
            <w:pPr>
              <w:spacing w:line="312" w:lineRule="auto"/>
              <w:rPr>
                <w:sz w:val="22"/>
                <w:szCs w:val="22"/>
                <w:lang w:val="en-US"/>
              </w:rPr>
            </w:pPr>
            <w:r>
              <w:rPr>
                <w:rFonts w:hint="eastAsia"/>
                <w:sz w:val="22"/>
                <w:szCs w:val="22"/>
                <w:lang w:val="en-US"/>
              </w:rPr>
              <w:t>小写：</w:t>
            </w:r>
            <w:r>
              <w:rPr>
                <w:rFonts w:hint="eastAsia"/>
                <w:sz w:val="22"/>
                <w:szCs w:val="22"/>
                <w:u w:val="single"/>
                <w:lang w:val="en-US"/>
              </w:rPr>
              <w:t xml:space="preserve">　　　                   </w:t>
            </w:r>
            <w:r>
              <w:rPr>
                <w:rFonts w:hint="eastAsia"/>
                <w:sz w:val="22"/>
                <w:szCs w:val="22"/>
                <w:lang w:val="en-US"/>
              </w:rPr>
              <w:t>元</w:t>
            </w:r>
          </w:p>
          <w:p w14:paraId="4E665593">
            <w:pPr>
              <w:spacing w:line="540" w:lineRule="exact"/>
              <w:rPr>
                <w:sz w:val="21"/>
                <w:szCs w:val="21"/>
                <w:lang w:val="en-US"/>
              </w:rPr>
            </w:pPr>
            <w:r>
              <w:rPr>
                <w:rFonts w:hint="eastAsia"/>
                <w:sz w:val="22"/>
                <w:szCs w:val="22"/>
                <w:lang w:val="en-US"/>
              </w:rPr>
              <w:t>大写：</w:t>
            </w:r>
            <w:r>
              <w:rPr>
                <w:rFonts w:hint="eastAsia"/>
                <w:sz w:val="22"/>
                <w:szCs w:val="22"/>
                <w:u w:val="single"/>
                <w:lang w:val="en-US"/>
              </w:rPr>
              <w:t xml:space="preserve">                         </w:t>
            </w:r>
            <w:r>
              <w:rPr>
                <w:rFonts w:hint="eastAsia"/>
                <w:sz w:val="22"/>
                <w:szCs w:val="22"/>
                <w:lang w:val="en-US"/>
              </w:rPr>
              <w:t>元</w:t>
            </w:r>
          </w:p>
        </w:tc>
      </w:tr>
      <w:tr w14:paraId="112F02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69" w:hRule="atLeast"/>
          <w:jc w:val="center"/>
        </w:trPr>
        <w:tc>
          <w:tcPr>
            <w:tcW w:w="3207" w:type="dxa"/>
            <w:vAlign w:val="center"/>
          </w:tcPr>
          <w:p w14:paraId="5A78F446">
            <w:pPr>
              <w:spacing w:line="540" w:lineRule="exact"/>
              <w:jc w:val="center"/>
              <w:rPr>
                <w:rFonts w:hint="eastAsia"/>
                <w:szCs w:val="28"/>
                <w:lang w:val="en-US"/>
              </w:rPr>
            </w:pPr>
            <w:r>
              <w:rPr>
                <w:rFonts w:hint="eastAsia"/>
                <w:szCs w:val="28"/>
                <w:lang w:val="en-US"/>
              </w:rPr>
              <w:t>投标有效期</w:t>
            </w:r>
          </w:p>
        </w:tc>
        <w:tc>
          <w:tcPr>
            <w:tcW w:w="6424" w:type="dxa"/>
            <w:gridSpan w:val="3"/>
            <w:vAlign w:val="center"/>
          </w:tcPr>
          <w:p w14:paraId="4AD9EF45">
            <w:pPr>
              <w:spacing w:line="540" w:lineRule="exact"/>
              <w:rPr>
                <w:sz w:val="21"/>
                <w:szCs w:val="21"/>
                <w:lang w:val="en-US"/>
              </w:rPr>
            </w:pPr>
            <w:r>
              <w:rPr>
                <w:rFonts w:hint="eastAsia"/>
                <w:sz w:val="21"/>
                <w:szCs w:val="21"/>
                <w:u w:val="single"/>
                <w:lang w:val="en-US"/>
              </w:rPr>
              <w:t xml:space="preserve">         </w:t>
            </w:r>
            <w:r>
              <w:rPr>
                <w:rFonts w:hint="eastAsia"/>
                <w:sz w:val="21"/>
                <w:szCs w:val="21"/>
                <w:lang w:val="en-US"/>
              </w:rPr>
              <w:t>日历天</w:t>
            </w:r>
          </w:p>
        </w:tc>
      </w:tr>
      <w:tr w14:paraId="62BC75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5" w:hRule="atLeast"/>
          <w:jc w:val="center"/>
        </w:trPr>
        <w:tc>
          <w:tcPr>
            <w:tcW w:w="3207" w:type="dxa"/>
            <w:vAlign w:val="center"/>
          </w:tcPr>
          <w:p w14:paraId="367C891B">
            <w:pPr>
              <w:spacing w:line="540" w:lineRule="exact"/>
              <w:jc w:val="center"/>
              <w:rPr>
                <w:rFonts w:hint="eastAsia"/>
                <w:szCs w:val="28"/>
                <w:lang w:val="en-US"/>
              </w:rPr>
            </w:pPr>
            <w:r>
              <w:rPr>
                <w:rFonts w:hint="eastAsia"/>
                <w:szCs w:val="28"/>
                <w:lang w:val="en-US"/>
              </w:rPr>
              <w:t>质量要求</w:t>
            </w:r>
          </w:p>
        </w:tc>
        <w:tc>
          <w:tcPr>
            <w:tcW w:w="6424" w:type="dxa"/>
            <w:gridSpan w:val="3"/>
            <w:vAlign w:val="center"/>
          </w:tcPr>
          <w:p w14:paraId="08D73D0E">
            <w:pPr>
              <w:pStyle w:val="10"/>
              <w:spacing w:before="0" w:line="540" w:lineRule="exact"/>
              <w:rPr>
                <w:rFonts w:ascii="宋体" w:hAnsi="宋体"/>
                <w:color w:val="auto"/>
                <w:sz w:val="21"/>
                <w:szCs w:val="21"/>
                <w:lang w:val="en-US"/>
              </w:rPr>
            </w:pPr>
          </w:p>
        </w:tc>
      </w:tr>
      <w:tr w14:paraId="27F959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3207" w:type="dxa"/>
            <w:vAlign w:val="center"/>
          </w:tcPr>
          <w:p w14:paraId="42A107F7">
            <w:pPr>
              <w:spacing w:line="540" w:lineRule="exact"/>
              <w:jc w:val="center"/>
              <w:rPr>
                <w:rFonts w:hint="eastAsia"/>
                <w:szCs w:val="28"/>
                <w:lang w:val="en-US"/>
              </w:rPr>
            </w:pPr>
            <w:r>
              <w:rPr>
                <w:rFonts w:hint="eastAsia"/>
                <w:szCs w:val="28"/>
                <w:lang w:val="en-US"/>
              </w:rPr>
              <w:t>投报工期</w:t>
            </w:r>
          </w:p>
        </w:tc>
        <w:tc>
          <w:tcPr>
            <w:tcW w:w="6424" w:type="dxa"/>
            <w:gridSpan w:val="3"/>
            <w:vAlign w:val="center"/>
          </w:tcPr>
          <w:p w14:paraId="2105F88D">
            <w:pPr>
              <w:spacing w:line="540" w:lineRule="exact"/>
              <w:rPr>
                <w:sz w:val="21"/>
                <w:szCs w:val="21"/>
                <w:lang w:val="en-US"/>
              </w:rPr>
            </w:pPr>
            <w:r>
              <w:rPr>
                <w:rFonts w:hint="eastAsia"/>
                <w:szCs w:val="28"/>
                <w:u w:val="single"/>
              </w:rPr>
              <w:t xml:space="preserve">         </w:t>
            </w:r>
            <w:r>
              <w:rPr>
                <w:rFonts w:hint="eastAsia"/>
                <w:szCs w:val="28"/>
              </w:rPr>
              <w:t>日历天</w:t>
            </w:r>
          </w:p>
        </w:tc>
      </w:tr>
      <w:tr w14:paraId="783192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0" w:hRule="atLeast"/>
          <w:jc w:val="center"/>
        </w:trPr>
        <w:tc>
          <w:tcPr>
            <w:tcW w:w="3207" w:type="dxa"/>
            <w:vAlign w:val="center"/>
          </w:tcPr>
          <w:p w14:paraId="2BCE1D53">
            <w:pPr>
              <w:spacing w:line="540" w:lineRule="exact"/>
              <w:jc w:val="center"/>
              <w:rPr>
                <w:rFonts w:hint="eastAsia"/>
                <w:szCs w:val="28"/>
                <w:lang w:val="en-US"/>
              </w:rPr>
            </w:pPr>
            <w:r>
              <w:rPr>
                <w:rFonts w:hint="eastAsia"/>
                <w:szCs w:val="28"/>
                <w:lang w:val="en-US"/>
              </w:rPr>
              <w:t>合同履行期限</w:t>
            </w:r>
          </w:p>
        </w:tc>
        <w:tc>
          <w:tcPr>
            <w:tcW w:w="6424" w:type="dxa"/>
            <w:gridSpan w:val="3"/>
            <w:vAlign w:val="center"/>
          </w:tcPr>
          <w:p w14:paraId="4EBC5521">
            <w:pPr>
              <w:spacing w:line="540" w:lineRule="exact"/>
              <w:rPr>
                <w:sz w:val="21"/>
                <w:szCs w:val="21"/>
                <w:lang w:val="en-US"/>
              </w:rPr>
            </w:pPr>
          </w:p>
        </w:tc>
      </w:tr>
      <w:tr w14:paraId="38B92E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3" w:hRule="atLeast"/>
          <w:jc w:val="center"/>
        </w:trPr>
        <w:tc>
          <w:tcPr>
            <w:tcW w:w="3207" w:type="dxa"/>
            <w:vMerge w:val="restart"/>
            <w:vAlign w:val="center"/>
          </w:tcPr>
          <w:p w14:paraId="22A6DAE6">
            <w:pPr>
              <w:spacing w:line="540" w:lineRule="exact"/>
              <w:jc w:val="center"/>
              <w:rPr>
                <w:rFonts w:hint="eastAsia"/>
                <w:szCs w:val="28"/>
                <w:lang w:val="en-US"/>
              </w:rPr>
            </w:pPr>
            <w:r>
              <w:rPr>
                <w:rFonts w:hint="eastAsia"/>
                <w:szCs w:val="28"/>
                <w:lang w:val="en-US"/>
              </w:rPr>
              <w:t>建造师</w:t>
            </w:r>
          </w:p>
        </w:tc>
        <w:tc>
          <w:tcPr>
            <w:tcW w:w="2262" w:type="dxa"/>
            <w:tcBorders>
              <w:bottom w:val="single" w:color="auto" w:sz="4" w:space="0"/>
              <w:right w:val="single" w:color="auto" w:sz="4" w:space="0"/>
            </w:tcBorders>
            <w:vAlign w:val="center"/>
          </w:tcPr>
          <w:p w14:paraId="3BEC4830">
            <w:pPr>
              <w:jc w:val="center"/>
              <w:rPr>
                <w:sz w:val="22"/>
                <w:szCs w:val="22"/>
                <w:lang w:val="en-US"/>
              </w:rPr>
            </w:pPr>
            <w:r>
              <w:rPr>
                <w:rFonts w:hint="eastAsia"/>
                <w:sz w:val="22"/>
                <w:szCs w:val="22"/>
                <w:lang w:val="en-US"/>
              </w:rPr>
              <w:t>姓名</w:t>
            </w:r>
          </w:p>
        </w:tc>
        <w:tc>
          <w:tcPr>
            <w:tcW w:w="1845" w:type="dxa"/>
            <w:tcBorders>
              <w:left w:val="single" w:color="auto" w:sz="4" w:space="0"/>
              <w:bottom w:val="single" w:color="auto" w:sz="4" w:space="0"/>
            </w:tcBorders>
            <w:vAlign w:val="center"/>
          </w:tcPr>
          <w:p w14:paraId="6CB9609F">
            <w:pPr>
              <w:spacing w:line="240" w:lineRule="exact"/>
              <w:jc w:val="center"/>
              <w:rPr>
                <w:sz w:val="22"/>
                <w:szCs w:val="22"/>
                <w:lang w:val="en-US"/>
              </w:rPr>
            </w:pPr>
            <w:r>
              <w:rPr>
                <w:rFonts w:hint="eastAsia"/>
                <w:sz w:val="22"/>
                <w:szCs w:val="22"/>
              </w:rPr>
              <w:t>级别</w:t>
            </w:r>
          </w:p>
        </w:tc>
        <w:tc>
          <w:tcPr>
            <w:tcW w:w="2317" w:type="dxa"/>
            <w:tcBorders>
              <w:left w:val="single" w:color="auto" w:sz="4" w:space="0"/>
              <w:bottom w:val="single" w:color="auto" w:sz="4" w:space="0"/>
            </w:tcBorders>
            <w:vAlign w:val="center"/>
          </w:tcPr>
          <w:p w14:paraId="1326105A">
            <w:pPr>
              <w:spacing w:line="240" w:lineRule="exact"/>
              <w:jc w:val="center"/>
              <w:rPr>
                <w:rFonts w:hint="eastAsia"/>
                <w:sz w:val="22"/>
                <w:szCs w:val="22"/>
              </w:rPr>
            </w:pPr>
          </w:p>
          <w:p w14:paraId="6EA37B2A">
            <w:pPr>
              <w:spacing w:line="240" w:lineRule="exact"/>
              <w:jc w:val="center"/>
              <w:rPr>
                <w:sz w:val="22"/>
                <w:szCs w:val="22"/>
                <w:lang w:val="en-US"/>
              </w:rPr>
            </w:pPr>
            <w:r>
              <w:rPr>
                <w:rFonts w:hint="eastAsia"/>
                <w:sz w:val="22"/>
                <w:szCs w:val="22"/>
              </w:rPr>
              <w:t>证书编号</w:t>
            </w:r>
          </w:p>
          <w:p w14:paraId="01A3D793">
            <w:pPr>
              <w:spacing w:line="240" w:lineRule="exact"/>
              <w:jc w:val="center"/>
              <w:rPr>
                <w:sz w:val="22"/>
                <w:szCs w:val="22"/>
                <w:lang w:val="en-US"/>
              </w:rPr>
            </w:pPr>
          </w:p>
        </w:tc>
      </w:tr>
      <w:tr w14:paraId="116807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2" w:hRule="atLeast"/>
          <w:jc w:val="center"/>
        </w:trPr>
        <w:tc>
          <w:tcPr>
            <w:tcW w:w="3207" w:type="dxa"/>
            <w:vMerge w:val="continue"/>
            <w:vAlign w:val="center"/>
          </w:tcPr>
          <w:p w14:paraId="64AEFB85">
            <w:pPr>
              <w:spacing w:line="540" w:lineRule="exact"/>
              <w:jc w:val="center"/>
              <w:rPr>
                <w:rFonts w:hint="eastAsia"/>
                <w:szCs w:val="28"/>
                <w:lang w:val="en-US"/>
              </w:rPr>
            </w:pPr>
          </w:p>
        </w:tc>
        <w:tc>
          <w:tcPr>
            <w:tcW w:w="2262" w:type="dxa"/>
            <w:tcBorders>
              <w:top w:val="single" w:color="auto" w:sz="4" w:space="0"/>
              <w:right w:val="single" w:color="auto" w:sz="4" w:space="0"/>
            </w:tcBorders>
            <w:vAlign w:val="center"/>
          </w:tcPr>
          <w:p w14:paraId="18F8B55C">
            <w:pPr>
              <w:spacing w:line="540" w:lineRule="exact"/>
              <w:rPr>
                <w:sz w:val="21"/>
                <w:szCs w:val="21"/>
                <w:lang w:val="en-US"/>
              </w:rPr>
            </w:pPr>
          </w:p>
        </w:tc>
        <w:tc>
          <w:tcPr>
            <w:tcW w:w="1845" w:type="dxa"/>
            <w:tcBorders>
              <w:top w:val="single" w:color="auto" w:sz="4" w:space="0"/>
              <w:left w:val="single" w:color="auto" w:sz="4" w:space="0"/>
            </w:tcBorders>
            <w:vAlign w:val="center"/>
          </w:tcPr>
          <w:p w14:paraId="077F96E9">
            <w:pPr>
              <w:spacing w:line="540" w:lineRule="exact"/>
              <w:rPr>
                <w:sz w:val="21"/>
                <w:szCs w:val="21"/>
                <w:lang w:val="en-US"/>
              </w:rPr>
            </w:pPr>
          </w:p>
        </w:tc>
        <w:tc>
          <w:tcPr>
            <w:tcW w:w="2317" w:type="dxa"/>
            <w:tcBorders>
              <w:top w:val="single" w:color="auto" w:sz="4" w:space="0"/>
              <w:left w:val="single" w:color="auto" w:sz="4" w:space="0"/>
            </w:tcBorders>
            <w:vAlign w:val="center"/>
          </w:tcPr>
          <w:p w14:paraId="3F63021F">
            <w:pPr>
              <w:spacing w:line="540" w:lineRule="exact"/>
              <w:rPr>
                <w:sz w:val="21"/>
                <w:szCs w:val="21"/>
                <w:lang w:val="en-US"/>
              </w:rPr>
            </w:pPr>
          </w:p>
        </w:tc>
      </w:tr>
      <w:tr w14:paraId="63D47C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0" w:hRule="atLeast"/>
          <w:jc w:val="center"/>
        </w:trPr>
        <w:tc>
          <w:tcPr>
            <w:tcW w:w="3207" w:type="dxa"/>
            <w:tcBorders>
              <w:bottom w:val="single" w:color="auto" w:sz="4" w:space="0"/>
            </w:tcBorders>
            <w:vAlign w:val="center"/>
          </w:tcPr>
          <w:p w14:paraId="1336BA97">
            <w:pPr>
              <w:spacing w:line="540" w:lineRule="exact"/>
              <w:jc w:val="center"/>
              <w:rPr>
                <w:rFonts w:hint="eastAsia"/>
                <w:szCs w:val="28"/>
                <w:lang w:val="en-US"/>
              </w:rPr>
            </w:pPr>
            <w:r>
              <w:rPr>
                <w:rFonts w:hint="eastAsia"/>
                <w:szCs w:val="28"/>
                <w:lang w:val="en-US"/>
              </w:rPr>
              <w:t>备注</w:t>
            </w:r>
          </w:p>
        </w:tc>
        <w:tc>
          <w:tcPr>
            <w:tcW w:w="6424" w:type="dxa"/>
            <w:gridSpan w:val="3"/>
            <w:tcBorders>
              <w:bottom w:val="single" w:color="auto" w:sz="4" w:space="0"/>
            </w:tcBorders>
            <w:vAlign w:val="center"/>
          </w:tcPr>
          <w:p w14:paraId="6AC12082">
            <w:pPr>
              <w:spacing w:line="540" w:lineRule="exact"/>
              <w:rPr>
                <w:sz w:val="21"/>
                <w:szCs w:val="21"/>
                <w:lang w:val="en-US"/>
              </w:rPr>
            </w:pPr>
          </w:p>
        </w:tc>
      </w:tr>
    </w:tbl>
    <w:p w14:paraId="4B2B1D52">
      <w:pPr>
        <w:spacing w:line="480" w:lineRule="exact"/>
        <w:rPr>
          <w:color w:val="auto"/>
          <w:sz w:val="22"/>
          <w:szCs w:val="22"/>
          <w:lang w:val="en-US"/>
        </w:rPr>
      </w:pPr>
      <w:r>
        <w:rPr>
          <w:rFonts w:hint="eastAsia"/>
          <w:szCs w:val="21"/>
          <w:lang w:val="en-US"/>
        </w:rPr>
        <w:t xml:space="preserve">   </w:t>
      </w:r>
      <w:r>
        <w:rPr>
          <w:rFonts w:hint="eastAsia"/>
          <w:color w:val="auto"/>
          <w:szCs w:val="21"/>
          <w:lang w:val="en-US"/>
        </w:rPr>
        <w:t xml:space="preserve"> </w:t>
      </w:r>
      <w:r>
        <w:rPr>
          <w:rFonts w:hint="eastAsia"/>
          <w:b/>
          <w:bCs/>
          <w:color w:val="auto"/>
          <w:szCs w:val="21"/>
          <w:lang w:val="en-US"/>
        </w:rPr>
        <w:t>注</w:t>
      </w:r>
      <w:r>
        <w:rPr>
          <w:rFonts w:hint="eastAsia"/>
          <w:b/>
          <w:bCs/>
          <w:color w:val="auto"/>
          <w:szCs w:val="21"/>
          <w:lang w:val="en-US" w:eastAsia="zh-CN"/>
        </w:rPr>
        <w:t>：成</w:t>
      </w:r>
      <w:r>
        <w:rPr>
          <w:rFonts w:hint="eastAsia"/>
          <w:b/>
          <w:bCs/>
          <w:color w:val="auto"/>
          <w:szCs w:val="21"/>
          <w:lang w:val="en-US"/>
        </w:rPr>
        <w:t>交供应商在领取成交通知书时，将此“二次（最终）报价函”递交2份纸质原件及“二次（最终）报价”工程量清单2份纸质版</w:t>
      </w:r>
      <w:r>
        <w:rPr>
          <w:rFonts w:hint="eastAsia"/>
          <w:b/>
          <w:bCs/>
          <w:color w:val="auto"/>
          <w:szCs w:val="21"/>
          <w:lang w:val="en-US" w:eastAsia="zh-CN"/>
        </w:rPr>
        <w:t>（完成签字及盖章）</w:t>
      </w:r>
      <w:r>
        <w:rPr>
          <w:rFonts w:hint="eastAsia"/>
          <w:b/>
          <w:bCs/>
          <w:color w:val="auto"/>
          <w:szCs w:val="21"/>
          <w:lang w:val="en-US"/>
        </w:rPr>
        <w:t>、1份电子版至采购代理处（具体相关事宜要求详见“第二章：供应商须知 第3.2款：</w:t>
      </w:r>
      <w:r>
        <w:rPr>
          <w:rFonts w:hint="eastAsia"/>
          <w:b/>
          <w:bCs/>
          <w:color w:val="auto"/>
          <w:szCs w:val="21"/>
          <w:lang w:val="en-US" w:eastAsia="zh-CN"/>
        </w:rPr>
        <w:t>磋商</w:t>
      </w:r>
      <w:r>
        <w:rPr>
          <w:rFonts w:hint="eastAsia"/>
          <w:b/>
          <w:bCs/>
          <w:color w:val="auto"/>
          <w:szCs w:val="21"/>
          <w:lang w:val="en-US"/>
        </w:rPr>
        <w:t>报价”）。</w:t>
      </w:r>
    </w:p>
    <w:p w14:paraId="2C85533E">
      <w:pPr>
        <w:spacing w:line="540" w:lineRule="exact"/>
        <w:ind w:firstLine="880" w:firstLineChars="400"/>
        <w:jc w:val="right"/>
        <w:rPr>
          <w:sz w:val="22"/>
          <w:szCs w:val="22"/>
          <w:lang w:val="en-US"/>
        </w:rPr>
      </w:pPr>
      <w:r>
        <w:rPr>
          <w:rFonts w:hint="eastAsia"/>
          <w:sz w:val="22"/>
          <w:szCs w:val="22"/>
          <w:lang w:val="en-US"/>
        </w:rPr>
        <w:t>供应商：</w:t>
      </w:r>
      <w:r>
        <w:rPr>
          <w:rFonts w:hint="eastAsia"/>
          <w:sz w:val="22"/>
          <w:szCs w:val="22"/>
          <w:u w:val="single"/>
          <w:lang w:val="en-US"/>
        </w:rPr>
        <w:t xml:space="preserve">               </w:t>
      </w:r>
      <w:r>
        <w:rPr>
          <w:rFonts w:hint="eastAsia"/>
          <w:sz w:val="22"/>
          <w:szCs w:val="22"/>
          <w:lang w:val="en-US"/>
        </w:rPr>
        <w:t>（</w:t>
      </w:r>
      <w:r>
        <w:rPr>
          <w:rFonts w:hint="eastAsia" w:ascii="宋体" w:hAnsi="宋体" w:cs="宋体"/>
          <w:sz w:val="22"/>
          <w:szCs w:val="22"/>
        </w:rPr>
        <w:t>单位电子CA印章</w:t>
      </w:r>
      <w:r>
        <w:rPr>
          <w:rFonts w:hint="eastAsia"/>
          <w:sz w:val="22"/>
          <w:szCs w:val="22"/>
          <w:lang w:val="en-US"/>
        </w:rPr>
        <w:t>）</w:t>
      </w:r>
    </w:p>
    <w:p w14:paraId="037A4BB3">
      <w:pPr>
        <w:spacing w:line="540" w:lineRule="exact"/>
        <w:ind w:firstLine="880" w:firstLineChars="400"/>
        <w:jc w:val="right"/>
        <w:rPr>
          <w:sz w:val="22"/>
          <w:szCs w:val="22"/>
          <w:lang w:val="en-US"/>
        </w:rPr>
      </w:pPr>
      <w:r>
        <w:rPr>
          <w:rFonts w:hint="eastAsia"/>
          <w:sz w:val="22"/>
          <w:szCs w:val="22"/>
          <w:lang w:val="en-US"/>
        </w:rPr>
        <w:t>法定代表</w:t>
      </w:r>
      <w:r>
        <w:rPr>
          <w:rFonts w:hint="eastAsia"/>
          <w:sz w:val="22"/>
          <w:szCs w:val="22"/>
          <w:lang w:val="en-US" w:eastAsia="zh-CN"/>
        </w:rPr>
        <w:t>人</w:t>
      </w:r>
      <w:r>
        <w:rPr>
          <w:rFonts w:hint="eastAsia"/>
          <w:sz w:val="22"/>
          <w:szCs w:val="22"/>
          <w:lang w:val="en-US"/>
        </w:rPr>
        <w:t>或委托代理人：</w:t>
      </w:r>
      <w:r>
        <w:rPr>
          <w:rFonts w:hint="eastAsia"/>
          <w:sz w:val="22"/>
          <w:szCs w:val="22"/>
          <w:u w:val="single"/>
          <w:lang w:val="en-US"/>
        </w:rPr>
        <w:t xml:space="preserve">        </w:t>
      </w:r>
      <w:r>
        <w:rPr>
          <w:rFonts w:hint="eastAsia"/>
          <w:sz w:val="22"/>
          <w:szCs w:val="22"/>
          <w:lang w:val="en-US"/>
        </w:rPr>
        <w:t>（</w:t>
      </w:r>
      <w:r>
        <w:rPr>
          <w:rFonts w:hint="eastAsia"/>
          <w:sz w:val="22"/>
          <w:szCs w:val="22"/>
          <w:lang w:val="en-US" w:eastAsia="zh-CN"/>
        </w:rPr>
        <w:t>按照正确要求签署</w:t>
      </w:r>
      <w:r>
        <w:rPr>
          <w:rFonts w:hint="eastAsia"/>
          <w:sz w:val="22"/>
          <w:szCs w:val="22"/>
          <w:lang w:val="en-US"/>
        </w:rPr>
        <w:t>）</w:t>
      </w:r>
    </w:p>
    <w:p w14:paraId="247F3377">
      <w:pPr>
        <w:pStyle w:val="12"/>
        <w:tabs>
          <w:tab w:val="left" w:pos="6989"/>
          <w:tab w:val="left" w:pos="7829"/>
          <w:tab w:val="left" w:pos="8669"/>
        </w:tabs>
        <w:spacing w:before="70"/>
        <w:ind w:firstLine="5500" w:firstLineChars="2500"/>
        <w:rPr>
          <w:spacing w:val="-106"/>
          <w:sz w:val="22"/>
          <w:szCs w:val="22"/>
          <w:lang w:val="en-US"/>
        </w:rPr>
        <w:sectPr>
          <w:pgSz w:w="12240" w:h="15840"/>
          <w:pgMar w:top="1440" w:right="1080" w:bottom="1440" w:left="1080" w:header="0" w:footer="844" w:gutter="0"/>
          <w:pgNumType w:fmt="decimal"/>
          <w:cols w:space="720" w:num="1"/>
        </w:sectPr>
      </w:pPr>
      <w:r>
        <w:rPr>
          <w:rFonts w:hint="eastAsia"/>
          <w:sz w:val="22"/>
          <w:szCs w:val="22"/>
          <w:lang w:val="en-US"/>
        </w:rPr>
        <w:t xml:space="preserve">               </w:t>
      </w:r>
      <w:r>
        <w:rPr>
          <w:rFonts w:ascii="Times New Roman" w:eastAsia="Times New Roman"/>
          <w:sz w:val="22"/>
          <w:szCs w:val="22"/>
          <w:u w:val="single"/>
        </w:rPr>
        <w:t xml:space="preserve"> </w:t>
      </w:r>
      <w:r>
        <w:rPr>
          <w:rFonts w:hint="eastAsia" w:ascii="Times New Roman"/>
          <w:sz w:val="22"/>
          <w:szCs w:val="22"/>
          <w:u w:val="single"/>
          <w:lang w:val="en-US"/>
        </w:rPr>
        <w:t xml:space="preserve">          </w:t>
      </w:r>
      <w:r>
        <w:rPr>
          <w:sz w:val="22"/>
          <w:szCs w:val="22"/>
        </w:rPr>
        <w:t>年</w:t>
      </w:r>
      <w:r>
        <w:rPr>
          <w:sz w:val="22"/>
          <w:szCs w:val="22"/>
          <w:u w:val="single"/>
        </w:rPr>
        <w:t xml:space="preserve"> </w:t>
      </w:r>
      <w:r>
        <w:rPr>
          <w:rFonts w:hint="eastAsia"/>
          <w:sz w:val="22"/>
          <w:szCs w:val="22"/>
          <w:u w:val="single"/>
          <w:lang w:val="en-US"/>
        </w:rPr>
        <w:t xml:space="preserve">    </w:t>
      </w:r>
      <w:r>
        <w:rPr>
          <w:sz w:val="22"/>
          <w:szCs w:val="22"/>
        </w:rPr>
        <w:t>月</w:t>
      </w:r>
      <w:r>
        <w:rPr>
          <w:sz w:val="22"/>
          <w:szCs w:val="22"/>
          <w:u w:val="single"/>
        </w:rPr>
        <w:t xml:space="preserve"> </w:t>
      </w:r>
      <w:r>
        <w:rPr>
          <w:rFonts w:hint="eastAsia"/>
          <w:sz w:val="22"/>
          <w:szCs w:val="22"/>
          <w:u w:val="single"/>
          <w:lang w:val="en-US"/>
        </w:rPr>
        <w:t xml:space="preserve">    </w:t>
      </w:r>
      <w:r>
        <w:rPr>
          <w:rFonts w:hint="eastAsia"/>
          <w:sz w:val="22"/>
          <w:szCs w:val="22"/>
          <w:lang w:val="en-US"/>
        </w:rPr>
        <w:t>日</w:t>
      </w:r>
    </w:p>
    <w:p w14:paraId="7FD64E69">
      <w:pPr>
        <w:rPr>
          <w:szCs w:val="21"/>
        </w:rPr>
      </w:pPr>
    </w:p>
    <w:p w14:paraId="5BB6436D">
      <w:pPr>
        <w:widowControl/>
        <w:outlineLvl w:val="0"/>
      </w:pPr>
      <w:bookmarkStart w:id="840" w:name="_Toc6552"/>
      <w:bookmarkStart w:id="841" w:name="_Toc24295"/>
      <w:r>
        <w:rPr>
          <w:rFonts w:hint="eastAsia"/>
          <w:b/>
          <w:bCs/>
          <w:sz w:val="32"/>
          <w:szCs w:val="32"/>
        </w:rPr>
        <w:t>附件2 中小微企业声明函</w:t>
      </w:r>
      <w:bookmarkEnd w:id="840"/>
      <w:bookmarkEnd w:id="841"/>
      <w:r>
        <w:rPr>
          <w:rFonts w:hint="eastAsia"/>
          <w:color w:val="000000"/>
          <w:sz w:val="36"/>
          <w:szCs w:val="36"/>
          <w:lang w:bidi="ar"/>
        </w:rPr>
        <w:t xml:space="preserve"> </w:t>
      </w:r>
    </w:p>
    <w:p w14:paraId="7314D6E7">
      <w:pPr>
        <w:widowControl/>
        <w:ind w:firstLine="440" w:firstLineChars="200"/>
        <w:jc w:val="center"/>
      </w:pPr>
    </w:p>
    <w:p w14:paraId="64C98ACD">
      <w:pPr>
        <w:ind w:right="775"/>
        <w:jc w:val="center"/>
        <w:rPr>
          <w:sz w:val="28"/>
          <w:szCs w:val="24"/>
        </w:rPr>
      </w:pPr>
      <w:r>
        <w:rPr>
          <w:sz w:val="28"/>
          <w:szCs w:val="24"/>
        </w:rPr>
        <w:t>中小企业声明函（</w:t>
      </w:r>
      <w:r>
        <w:rPr>
          <w:rFonts w:hint="eastAsia"/>
          <w:sz w:val="28"/>
          <w:szCs w:val="24"/>
        </w:rPr>
        <w:t>工程</w:t>
      </w:r>
      <w:r>
        <w:rPr>
          <w:sz w:val="28"/>
          <w:szCs w:val="24"/>
        </w:rPr>
        <w:t xml:space="preserve">） </w:t>
      </w:r>
    </w:p>
    <w:p w14:paraId="7707F05B">
      <w:pPr>
        <w:spacing w:line="360" w:lineRule="auto"/>
        <w:ind w:firstLine="440" w:firstLineChars="200"/>
        <w:rPr>
          <w:szCs w:val="21"/>
          <w:lang w:val="en-US"/>
        </w:rPr>
      </w:pPr>
    </w:p>
    <w:p w14:paraId="25B00CD0">
      <w:pPr>
        <w:spacing w:line="360" w:lineRule="auto"/>
        <w:ind w:firstLine="440" w:firstLineChars="200"/>
        <w:rPr>
          <w:szCs w:val="21"/>
          <w:lang w:val="en-US"/>
        </w:rPr>
      </w:pPr>
      <w:r>
        <w:rPr>
          <w:rFonts w:hint="eastAsia"/>
          <w:szCs w:val="21"/>
          <w:lang w:val="en-US"/>
        </w:rPr>
        <w:t>本公司（联合体）郑重声明，根据《政府采购促进中小企业发展管理办法》（财库﹝2020﹞46 号）的规定，本公司（联合体）参加</w:t>
      </w:r>
      <w:r>
        <w:rPr>
          <w:rFonts w:hint="eastAsia"/>
          <w:szCs w:val="21"/>
          <w:u w:val="single"/>
          <w:lang w:val="en-US"/>
        </w:rPr>
        <w:t>（单位名称）</w:t>
      </w:r>
      <w:r>
        <w:rPr>
          <w:rFonts w:hint="eastAsia"/>
          <w:szCs w:val="21"/>
          <w:lang w:val="en-US"/>
        </w:rPr>
        <w:t>的</w:t>
      </w:r>
      <w:r>
        <w:rPr>
          <w:rFonts w:hint="eastAsia"/>
          <w:szCs w:val="21"/>
          <w:u w:val="single"/>
          <w:lang w:val="en-US"/>
        </w:rPr>
        <w:t>（项目名称）</w:t>
      </w:r>
      <w:r>
        <w:rPr>
          <w:rFonts w:hint="eastAsia"/>
          <w:szCs w:val="21"/>
          <w:lang w:val="en-US"/>
        </w:rPr>
        <w:t xml:space="preserve">采购活动，工程全部由符合政策要求的中小企业承接。相关企业（含联合体中的中小企业、签订分包意向协议的中小企业）的具体情况如下： </w:t>
      </w:r>
    </w:p>
    <w:p w14:paraId="15CA7971">
      <w:pPr>
        <w:spacing w:line="360" w:lineRule="auto"/>
        <w:ind w:firstLine="440" w:firstLineChars="200"/>
        <w:rPr>
          <w:szCs w:val="21"/>
          <w:lang w:val="en-US"/>
        </w:rPr>
      </w:pPr>
      <w:r>
        <w:rPr>
          <w:rFonts w:hint="eastAsia"/>
          <w:szCs w:val="21"/>
          <w:lang w:val="en-US"/>
        </w:rPr>
        <w:t>1、</w:t>
      </w:r>
      <w:r>
        <w:rPr>
          <w:rFonts w:hint="eastAsia"/>
          <w:szCs w:val="21"/>
          <w:u w:val="single"/>
          <w:lang w:val="en-US"/>
        </w:rPr>
        <w:t>（标的名称）</w:t>
      </w:r>
      <w:r>
        <w:rPr>
          <w:rFonts w:hint="eastAsia"/>
          <w:szCs w:val="21"/>
          <w:lang w:val="en-US"/>
        </w:rPr>
        <w:t>，属于</w:t>
      </w:r>
      <w:r>
        <w:rPr>
          <w:rFonts w:hint="eastAsia"/>
          <w:szCs w:val="21"/>
          <w:u w:val="single"/>
          <w:lang w:val="en-US"/>
        </w:rPr>
        <w:t>（采购文件中明确的所属行业）</w:t>
      </w:r>
      <w:r>
        <w:rPr>
          <w:rFonts w:hint="eastAsia"/>
          <w:szCs w:val="21"/>
          <w:lang w:val="en-US"/>
        </w:rPr>
        <w:t>行业；承接企业为</w:t>
      </w:r>
      <w:r>
        <w:rPr>
          <w:rFonts w:hint="eastAsia"/>
          <w:szCs w:val="21"/>
          <w:u w:val="single"/>
          <w:lang w:val="en-US"/>
        </w:rPr>
        <w:t>（企业名称）</w:t>
      </w:r>
      <w:r>
        <w:rPr>
          <w:rFonts w:hint="eastAsia"/>
          <w:szCs w:val="21"/>
          <w:lang w:val="en-US"/>
        </w:rPr>
        <w:t>，从业人员</w:t>
      </w:r>
      <w:r>
        <w:rPr>
          <w:rFonts w:hint="eastAsia"/>
          <w:szCs w:val="21"/>
          <w:u w:val="single"/>
          <w:lang w:val="en-US"/>
        </w:rPr>
        <w:t xml:space="preserve">   </w:t>
      </w:r>
      <w:r>
        <w:rPr>
          <w:rFonts w:hint="eastAsia"/>
          <w:szCs w:val="21"/>
          <w:lang w:val="en-US"/>
        </w:rPr>
        <w:t>人，营业收入为</w:t>
      </w:r>
      <w:r>
        <w:rPr>
          <w:rFonts w:hint="eastAsia"/>
          <w:szCs w:val="21"/>
          <w:u w:val="single"/>
          <w:lang w:val="en-US"/>
        </w:rPr>
        <w:t xml:space="preserve">   </w:t>
      </w:r>
      <w:r>
        <w:rPr>
          <w:rFonts w:hint="eastAsia"/>
          <w:szCs w:val="21"/>
          <w:lang w:val="en-US"/>
        </w:rPr>
        <w:t>万元，资产总额为</w:t>
      </w:r>
      <w:r>
        <w:rPr>
          <w:rFonts w:hint="eastAsia"/>
          <w:szCs w:val="21"/>
          <w:u w:val="single"/>
          <w:lang w:val="en-US"/>
        </w:rPr>
        <w:t xml:space="preserve">   </w:t>
      </w:r>
      <w:r>
        <w:rPr>
          <w:rFonts w:hint="eastAsia"/>
          <w:szCs w:val="21"/>
          <w:lang w:val="en-US"/>
        </w:rPr>
        <w:t>万元 ，属 于</w:t>
      </w:r>
      <w:r>
        <w:rPr>
          <w:rFonts w:hint="eastAsia"/>
          <w:szCs w:val="21"/>
          <w:u w:val="single"/>
          <w:lang w:val="en-US"/>
        </w:rPr>
        <w:t>（中型企业、小型企业、微型企业）</w:t>
      </w:r>
      <w:r>
        <w:rPr>
          <w:rFonts w:hint="eastAsia"/>
          <w:szCs w:val="21"/>
          <w:lang w:val="en-US"/>
        </w:rPr>
        <w:t xml:space="preserve">； </w:t>
      </w:r>
    </w:p>
    <w:p w14:paraId="7ECF4E4A">
      <w:pPr>
        <w:spacing w:line="360" w:lineRule="auto"/>
        <w:ind w:firstLine="440" w:firstLineChars="200"/>
        <w:rPr>
          <w:szCs w:val="21"/>
          <w:lang w:val="en-US"/>
        </w:rPr>
      </w:pPr>
      <w:r>
        <w:rPr>
          <w:rFonts w:hint="eastAsia"/>
          <w:szCs w:val="21"/>
          <w:lang w:val="en-US"/>
        </w:rPr>
        <w:t>2、</w:t>
      </w:r>
      <w:r>
        <w:rPr>
          <w:rFonts w:hint="eastAsia"/>
          <w:szCs w:val="21"/>
          <w:u w:val="single"/>
          <w:lang w:val="en-US"/>
        </w:rPr>
        <w:t>（标的名称）</w:t>
      </w:r>
      <w:r>
        <w:rPr>
          <w:rFonts w:hint="eastAsia"/>
          <w:szCs w:val="21"/>
          <w:lang w:val="en-US"/>
        </w:rPr>
        <w:t>，属于</w:t>
      </w:r>
      <w:r>
        <w:rPr>
          <w:rFonts w:hint="eastAsia"/>
          <w:szCs w:val="21"/>
          <w:u w:val="single"/>
          <w:lang w:val="en-US"/>
        </w:rPr>
        <w:t>（采购文件中明确的所属行业）</w:t>
      </w:r>
      <w:r>
        <w:rPr>
          <w:rFonts w:hint="eastAsia"/>
          <w:szCs w:val="21"/>
          <w:lang w:val="en-US"/>
        </w:rPr>
        <w:t>行业；制造商为</w:t>
      </w:r>
      <w:r>
        <w:rPr>
          <w:rFonts w:hint="eastAsia"/>
          <w:szCs w:val="21"/>
          <w:u w:val="single"/>
          <w:lang w:val="en-US"/>
        </w:rPr>
        <w:t>（企业名称）</w:t>
      </w:r>
      <w:r>
        <w:rPr>
          <w:rFonts w:hint="eastAsia"/>
          <w:szCs w:val="21"/>
          <w:lang w:val="en-US"/>
        </w:rPr>
        <w:t>，从业人员</w:t>
      </w:r>
      <w:r>
        <w:rPr>
          <w:rFonts w:hint="eastAsia"/>
          <w:szCs w:val="21"/>
          <w:u w:val="single"/>
          <w:lang w:val="en-US"/>
        </w:rPr>
        <w:t xml:space="preserve">   </w:t>
      </w:r>
      <w:r>
        <w:rPr>
          <w:rFonts w:hint="eastAsia"/>
          <w:szCs w:val="21"/>
          <w:lang w:val="en-US"/>
        </w:rPr>
        <w:t>人，营业收入为</w:t>
      </w:r>
      <w:r>
        <w:rPr>
          <w:rFonts w:hint="eastAsia"/>
          <w:szCs w:val="21"/>
          <w:u w:val="single"/>
          <w:lang w:val="en-US"/>
        </w:rPr>
        <w:t xml:space="preserve">   </w:t>
      </w:r>
      <w:r>
        <w:rPr>
          <w:rFonts w:hint="eastAsia"/>
          <w:szCs w:val="21"/>
          <w:lang w:val="en-US"/>
        </w:rPr>
        <w:t>万元，资产总额为</w:t>
      </w:r>
      <w:r>
        <w:rPr>
          <w:rFonts w:hint="eastAsia"/>
          <w:szCs w:val="21"/>
          <w:u w:val="single"/>
          <w:lang w:val="en-US"/>
        </w:rPr>
        <w:t xml:space="preserve">   </w:t>
      </w:r>
      <w:r>
        <w:rPr>
          <w:rFonts w:hint="eastAsia"/>
          <w:szCs w:val="21"/>
          <w:lang w:val="en-US"/>
        </w:rPr>
        <w:t>万元 ，属 于</w:t>
      </w:r>
      <w:r>
        <w:rPr>
          <w:rFonts w:hint="eastAsia"/>
          <w:szCs w:val="21"/>
          <w:u w:val="single"/>
          <w:lang w:val="en-US"/>
        </w:rPr>
        <w:t>（中型企业、小型企业、微型企业）</w:t>
      </w:r>
      <w:r>
        <w:rPr>
          <w:rFonts w:hint="eastAsia"/>
          <w:szCs w:val="21"/>
          <w:lang w:val="en-US"/>
        </w:rPr>
        <w:t xml:space="preserve">；…… </w:t>
      </w:r>
    </w:p>
    <w:p w14:paraId="155B0B9F">
      <w:pPr>
        <w:spacing w:line="360" w:lineRule="auto"/>
        <w:ind w:firstLine="440" w:firstLineChars="200"/>
        <w:rPr>
          <w:szCs w:val="21"/>
          <w:lang w:val="en-US"/>
        </w:rPr>
      </w:pPr>
      <w:r>
        <w:rPr>
          <w:rFonts w:hint="eastAsia"/>
          <w:szCs w:val="21"/>
          <w:lang w:val="en-US"/>
        </w:rPr>
        <w:t xml:space="preserve"> </w:t>
      </w:r>
    </w:p>
    <w:p w14:paraId="70F8DB53">
      <w:pPr>
        <w:spacing w:line="360" w:lineRule="auto"/>
        <w:ind w:firstLine="440" w:firstLineChars="200"/>
        <w:rPr>
          <w:szCs w:val="21"/>
          <w:lang w:val="en-US"/>
        </w:rPr>
      </w:pPr>
      <w:r>
        <w:rPr>
          <w:rFonts w:hint="eastAsia"/>
          <w:szCs w:val="21"/>
          <w:lang w:val="en-US"/>
        </w:rPr>
        <w:t xml:space="preserve">以上企业，不属于大企业的分支机构，不存在控股股东为大企业的情形，也不存在与大企业的负责人为同一人的情形。 </w:t>
      </w:r>
    </w:p>
    <w:p w14:paraId="32F25B41">
      <w:pPr>
        <w:spacing w:line="360" w:lineRule="auto"/>
        <w:ind w:firstLine="440" w:firstLineChars="200"/>
        <w:rPr>
          <w:szCs w:val="21"/>
          <w:lang w:val="en-US"/>
        </w:rPr>
      </w:pPr>
      <w:r>
        <w:rPr>
          <w:rFonts w:hint="eastAsia"/>
          <w:szCs w:val="21"/>
          <w:lang w:val="en-US"/>
        </w:rPr>
        <w:t>本企业对上述声明内容的真实性负责。如有虚假，将依法承担相应责任。</w:t>
      </w:r>
    </w:p>
    <w:p w14:paraId="1A46A139">
      <w:pPr>
        <w:spacing w:line="360" w:lineRule="auto"/>
        <w:ind w:firstLine="440" w:firstLineChars="200"/>
        <w:rPr>
          <w:szCs w:val="21"/>
          <w:lang w:val="en-US"/>
        </w:rPr>
      </w:pPr>
      <w:r>
        <w:rPr>
          <w:rFonts w:hint="eastAsia"/>
          <w:szCs w:val="21"/>
          <w:lang w:val="en-US"/>
        </w:rPr>
        <w:t xml:space="preserve">                                                  </w:t>
      </w:r>
    </w:p>
    <w:p w14:paraId="59DFCDC4">
      <w:pPr>
        <w:spacing w:line="360" w:lineRule="auto"/>
        <w:ind w:firstLine="5940" w:firstLineChars="2700"/>
        <w:rPr>
          <w:szCs w:val="21"/>
          <w:u w:val="single"/>
          <w:lang w:val="en-US"/>
        </w:rPr>
      </w:pPr>
      <w:r>
        <w:rPr>
          <w:rFonts w:hint="eastAsia"/>
          <w:szCs w:val="21"/>
          <w:lang w:val="en-US"/>
        </w:rPr>
        <w:t xml:space="preserve"> 企业名称（盖章）：</w:t>
      </w:r>
      <w:r>
        <w:rPr>
          <w:rFonts w:hint="eastAsia"/>
          <w:szCs w:val="21"/>
          <w:u w:val="single"/>
          <w:lang w:val="en-US"/>
        </w:rPr>
        <w:t xml:space="preserve">      </w:t>
      </w:r>
    </w:p>
    <w:p w14:paraId="006621F8">
      <w:pPr>
        <w:spacing w:line="360" w:lineRule="auto"/>
        <w:ind w:firstLine="440" w:firstLineChars="200"/>
        <w:rPr>
          <w:szCs w:val="21"/>
          <w:lang w:val="en-US"/>
        </w:rPr>
      </w:pPr>
      <w:r>
        <w:rPr>
          <w:rFonts w:hint="eastAsia"/>
          <w:szCs w:val="21"/>
          <w:lang w:val="en-US"/>
        </w:rPr>
        <w:t xml:space="preserve">                                                    </w:t>
      </w:r>
    </w:p>
    <w:p w14:paraId="61263B65">
      <w:pPr>
        <w:spacing w:line="360" w:lineRule="auto"/>
        <w:ind w:firstLine="6160" w:firstLineChars="2800"/>
        <w:rPr>
          <w:szCs w:val="21"/>
          <w:u w:val="single"/>
          <w:lang w:val="en-US"/>
        </w:rPr>
      </w:pPr>
      <w:r>
        <w:rPr>
          <w:rFonts w:hint="eastAsia"/>
          <w:szCs w:val="21"/>
          <w:lang w:val="en-US"/>
        </w:rPr>
        <w:t>日 期：</w:t>
      </w:r>
      <w:r>
        <w:rPr>
          <w:rFonts w:hint="eastAsia"/>
          <w:szCs w:val="21"/>
          <w:u w:val="single"/>
          <w:lang w:val="en-US"/>
        </w:rPr>
        <w:t xml:space="preserve">                 </w:t>
      </w:r>
    </w:p>
    <w:p w14:paraId="4B111516">
      <w:pPr>
        <w:spacing w:line="360" w:lineRule="auto"/>
        <w:ind w:left="-220" w:leftChars="-100" w:firstLine="440" w:firstLineChars="200"/>
        <w:jc w:val="center"/>
        <w:rPr>
          <w:szCs w:val="21"/>
        </w:rPr>
      </w:pPr>
      <w:r>
        <w:rPr>
          <w:rFonts w:hint="eastAsia"/>
          <w:szCs w:val="21"/>
        </w:rPr>
        <w:t xml:space="preserve">  </w:t>
      </w:r>
      <w:r>
        <w:rPr>
          <w:rFonts w:hint="eastAsia"/>
          <w:szCs w:val="21"/>
          <w:lang w:val="en-US"/>
        </w:rPr>
        <w:t xml:space="preserve">                                                </w:t>
      </w:r>
    </w:p>
    <w:p w14:paraId="099DE5B1">
      <w:pPr>
        <w:spacing w:line="360" w:lineRule="auto"/>
        <w:ind w:firstLine="440" w:firstLineChars="200"/>
        <w:rPr>
          <w:szCs w:val="21"/>
          <w:lang w:val="en-US"/>
        </w:rPr>
      </w:pPr>
      <w:r>
        <w:rPr>
          <w:rFonts w:hint="eastAsia"/>
          <w:szCs w:val="21"/>
          <w:lang w:val="en-US"/>
        </w:rPr>
        <w:t xml:space="preserve">从业人员、营业收入、资产总额填报上一年度数据，无上一年度数据的新成立企业可不填报。 </w:t>
      </w:r>
    </w:p>
    <w:p w14:paraId="522645D4">
      <w:pPr>
        <w:pStyle w:val="12"/>
      </w:pPr>
    </w:p>
    <w:p w14:paraId="171DB9B2">
      <w:pPr>
        <w:widowControl/>
        <w:ind w:firstLine="440" w:firstLineChars="200"/>
        <w:rPr>
          <w:szCs w:val="21"/>
        </w:rPr>
      </w:pPr>
      <w:r>
        <w:rPr>
          <w:rFonts w:hint="eastAsia"/>
          <w:szCs w:val="21"/>
        </w:rPr>
        <w:t>注：1、若供应商属于中</w:t>
      </w:r>
      <w:r>
        <w:rPr>
          <w:szCs w:val="21"/>
        </w:rPr>
        <w:t>\</w:t>
      </w:r>
      <w:r>
        <w:rPr>
          <w:rFonts w:hint="eastAsia"/>
          <w:szCs w:val="21"/>
        </w:rPr>
        <w:t>小</w:t>
      </w:r>
      <w:r>
        <w:rPr>
          <w:szCs w:val="21"/>
        </w:rPr>
        <w:t>\</w:t>
      </w:r>
      <w:r>
        <w:rPr>
          <w:rFonts w:hint="eastAsia"/>
          <w:szCs w:val="21"/>
        </w:rPr>
        <w:t xml:space="preserve">微型企业，须提供以上中小微企业声明函；不属于中小微企业，不需提供。 </w:t>
      </w:r>
    </w:p>
    <w:p w14:paraId="6203D74A">
      <w:pPr>
        <w:widowControl/>
        <w:ind w:firstLine="880" w:firstLineChars="400"/>
        <w:rPr>
          <w:szCs w:val="21"/>
        </w:rPr>
      </w:pPr>
      <w:r>
        <w:rPr>
          <w:szCs w:val="21"/>
        </w:rPr>
        <w:t>2</w:t>
      </w:r>
      <w:r>
        <w:rPr>
          <w:rFonts w:hint="eastAsia"/>
          <w:szCs w:val="21"/>
        </w:rPr>
        <w:t>、中小微企业划分标准依据</w:t>
      </w:r>
      <w:r>
        <w:rPr>
          <w:rFonts w:hint="eastAsia"/>
        </w:rPr>
        <w:t>《中小企业划型标准规定》（工信部联企业[2011]300号）执行</w:t>
      </w:r>
      <w:r>
        <w:rPr>
          <w:rFonts w:hint="eastAsia"/>
          <w:szCs w:val="21"/>
        </w:rPr>
        <w:t xml:space="preserve">。 </w:t>
      </w:r>
    </w:p>
    <w:p w14:paraId="72CB3647">
      <w:pPr>
        <w:widowControl/>
        <w:ind w:firstLine="880" w:firstLineChars="400"/>
        <w:rPr>
          <w:szCs w:val="21"/>
        </w:rPr>
      </w:pPr>
      <w:r>
        <w:rPr>
          <w:szCs w:val="21"/>
        </w:rPr>
        <w:t>3</w:t>
      </w:r>
      <w:r>
        <w:rPr>
          <w:rFonts w:hint="eastAsia"/>
          <w:szCs w:val="21"/>
        </w:rPr>
        <w:t>、对于符合财库</w:t>
      </w:r>
      <w:r>
        <w:rPr>
          <w:szCs w:val="21"/>
        </w:rPr>
        <w:t>[</w:t>
      </w:r>
      <w:r>
        <w:rPr>
          <w:rFonts w:hint="eastAsia"/>
          <w:szCs w:val="21"/>
        </w:rPr>
        <w:t>2020</w:t>
      </w:r>
      <w:r>
        <w:rPr>
          <w:szCs w:val="21"/>
        </w:rPr>
        <w:t>]</w:t>
      </w:r>
      <w:r>
        <w:rPr>
          <w:rFonts w:hint="eastAsia"/>
          <w:szCs w:val="21"/>
        </w:rPr>
        <w:t>46号及</w:t>
      </w:r>
      <w:r>
        <w:rPr>
          <w:rFonts w:hint="eastAsia"/>
        </w:rPr>
        <w:t>财库[202</w:t>
      </w:r>
      <w:r>
        <w:rPr>
          <w:rFonts w:hint="eastAsia"/>
          <w:lang w:val="en-US"/>
        </w:rPr>
        <w:t>2</w:t>
      </w:r>
      <w:r>
        <w:rPr>
          <w:rFonts w:hint="eastAsia"/>
        </w:rPr>
        <w:t>]</w:t>
      </w:r>
      <w:r>
        <w:rPr>
          <w:rFonts w:hint="eastAsia"/>
          <w:lang w:val="en-US"/>
        </w:rPr>
        <w:t>19</w:t>
      </w:r>
      <w:r>
        <w:rPr>
          <w:rFonts w:hint="eastAsia"/>
        </w:rPr>
        <w:t>号</w:t>
      </w:r>
      <w:r>
        <w:rPr>
          <w:rFonts w:hint="eastAsia"/>
          <w:szCs w:val="21"/>
        </w:rPr>
        <w:t>文件规定的小型、微型企业报价，给予符合文件要求的</w:t>
      </w:r>
      <w:r>
        <w:rPr>
          <w:rFonts w:hint="eastAsia"/>
          <w:szCs w:val="21"/>
          <w:lang w:val="en-US"/>
        </w:rPr>
        <w:t>5</w:t>
      </w:r>
      <w:r>
        <w:rPr>
          <w:szCs w:val="21"/>
        </w:rPr>
        <w:t>%</w:t>
      </w:r>
      <w:r>
        <w:rPr>
          <w:rFonts w:hint="eastAsia"/>
          <w:szCs w:val="21"/>
        </w:rPr>
        <w:t xml:space="preserve">比列扣除。 </w:t>
      </w:r>
    </w:p>
    <w:p w14:paraId="7B6F75A8">
      <w:pPr>
        <w:widowControl/>
        <w:ind w:firstLine="440" w:firstLineChars="200"/>
      </w:pPr>
    </w:p>
    <w:p w14:paraId="5EB86738">
      <w:pPr>
        <w:pStyle w:val="16"/>
      </w:pPr>
    </w:p>
    <w:p w14:paraId="6E680AC6">
      <w:pPr>
        <w:pStyle w:val="17"/>
      </w:pPr>
    </w:p>
    <w:p w14:paraId="3BB6798D">
      <w:pPr>
        <w:pStyle w:val="18"/>
      </w:pPr>
    </w:p>
    <w:p w14:paraId="26AADF4A"/>
    <w:p w14:paraId="3076A722"/>
    <w:p w14:paraId="76D27BAB">
      <w:pPr>
        <w:pStyle w:val="16"/>
      </w:pPr>
    </w:p>
    <w:p w14:paraId="01FBD602">
      <w:pPr>
        <w:widowControl/>
        <w:outlineLvl w:val="0"/>
        <w:rPr>
          <w:b/>
          <w:bCs/>
          <w:sz w:val="32"/>
          <w:szCs w:val="32"/>
        </w:rPr>
      </w:pPr>
      <w:bookmarkStart w:id="842" w:name="_Toc10717"/>
      <w:bookmarkStart w:id="843" w:name="_Toc19992"/>
      <w:r>
        <w:rPr>
          <w:rFonts w:hint="eastAsia"/>
          <w:b/>
          <w:bCs/>
          <w:sz w:val="32"/>
          <w:szCs w:val="32"/>
        </w:rPr>
        <w:t>附件</w:t>
      </w:r>
      <w:r>
        <w:rPr>
          <w:rFonts w:hint="eastAsia"/>
          <w:b/>
          <w:bCs/>
          <w:sz w:val="32"/>
          <w:szCs w:val="32"/>
          <w:lang w:val="en-US"/>
        </w:rPr>
        <w:t>3</w:t>
      </w:r>
      <w:r>
        <w:rPr>
          <w:rFonts w:hint="eastAsia"/>
          <w:b/>
          <w:bCs/>
          <w:sz w:val="32"/>
          <w:szCs w:val="32"/>
        </w:rPr>
        <w:t xml:space="preserve"> 残疾人福利性单位声明函</w:t>
      </w:r>
      <w:bookmarkEnd w:id="842"/>
      <w:bookmarkEnd w:id="843"/>
      <w:r>
        <w:rPr>
          <w:rFonts w:hint="eastAsia"/>
          <w:b/>
          <w:bCs/>
          <w:sz w:val="32"/>
          <w:szCs w:val="32"/>
        </w:rPr>
        <w:t xml:space="preserve"> </w:t>
      </w:r>
    </w:p>
    <w:p w14:paraId="3B05B095">
      <w:pPr>
        <w:widowControl/>
        <w:ind w:firstLine="440" w:firstLineChars="200"/>
      </w:pPr>
    </w:p>
    <w:p w14:paraId="18DAFF5C">
      <w:pPr>
        <w:pStyle w:val="44"/>
        <w:ind w:firstLine="560"/>
      </w:pPr>
    </w:p>
    <w:p w14:paraId="7A2E2F60">
      <w:pPr>
        <w:ind w:right="775"/>
        <w:jc w:val="center"/>
        <w:rPr>
          <w:sz w:val="28"/>
          <w:szCs w:val="24"/>
        </w:rPr>
      </w:pPr>
      <w:r>
        <w:rPr>
          <w:rFonts w:hint="eastAsia"/>
          <w:sz w:val="28"/>
          <w:szCs w:val="24"/>
        </w:rPr>
        <w:t>残疾人福利性单位声明函</w:t>
      </w:r>
    </w:p>
    <w:p w14:paraId="7CE943B5">
      <w:pPr>
        <w:pStyle w:val="44"/>
        <w:ind w:firstLine="560"/>
      </w:pPr>
    </w:p>
    <w:p w14:paraId="4C3579F2">
      <w:pPr>
        <w:spacing w:line="360" w:lineRule="auto"/>
        <w:ind w:firstLine="440" w:firstLineChars="200"/>
        <w:rPr>
          <w:szCs w:val="21"/>
          <w:lang w:val="en-US"/>
        </w:rPr>
      </w:pPr>
      <w:r>
        <w:rPr>
          <w:rFonts w:hint="eastAsia"/>
          <w:szCs w:val="21"/>
          <w:lang w:val="en-US"/>
        </w:rPr>
        <w:t>本单位郑重声明，根据《财政部、民政部、中国残疾人联合会关于促进残疾人就业政府采购政策的通知》（财库〔2017〕141 号）的规定，本单位为符合条件的残疾人福利性单位，且本单位参加</w:t>
      </w:r>
      <w:r>
        <w:rPr>
          <w:rFonts w:hint="eastAsia"/>
          <w:szCs w:val="21"/>
          <w:u w:val="single"/>
          <w:lang w:val="en-US"/>
        </w:rPr>
        <w:t xml:space="preserve">_（填写采购人名称） </w:t>
      </w:r>
      <w:r>
        <w:rPr>
          <w:rFonts w:hint="eastAsia"/>
          <w:szCs w:val="21"/>
          <w:lang w:val="en-US"/>
        </w:rPr>
        <w:t xml:space="preserve">的 </w:t>
      </w:r>
      <w:r>
        <w:rPr>
          <w:rFonts w:hint="eastAsia"/>
          <w:szCs w:val="21"/>
          <w:u w:val="single"/>
          <w:lang w:val="en-US"/>
        </w:rPr>
        <w:t>（填写本次招标的项目名称）</w:t>
      </w:r>
      <w:r>
        <w:rPr>
          <w:rFonts w:hint="eastAsia"/>
          <w:szCs w:val="21"/>
          <w:lang w:val="en-US"/>
        </w:rPr>
        <w:t xml:space="preserve">采购活动由本单位提供工程施工。 </w:t>
      </w:r>
    </w:p>
    <w:p w14:paraId="26941D2F">
      <w:pPr>
        <w:spacing w:line="360" w:lineRule="auto"/>
        <w:ind w:firstLine="440" w:firstLineChars="200"/>
        <w:rPr>
          <w:szCs w:val="21"/>
        </w:rPr>
      </w:pPr>
      <w:r>
        <w:rPr>
          <w:rFonts w:hint="eastAsia"/>
          <w:szCs w:val="21"/>
          <w:lang w:val="en-US"/>
        </w:rPr>
        <w:t>本单位对上述声明的真实性负责。如有虚假，将依法承担相应责任。</w:t>
      </w:r>
      <w:r>
        <w:rPr>
          <w:rFonts w:hint="eastAsia"/>
          <w:szCs w:val="21"/>
        </w:rPr>
        <w:t xml:space="preserve"> </w:t>
      </w:r>
    </w:p>
    <w:p w14:paraId="62E35090">
      <w:pPr>
        <w:widowControl/>
        <w:ind w:firstLine="440" w:firstLineChars="200"/>
        <w:rPr>
          <w:szCs w:val="21"/>
        </w:rPr>
      </w:pPr>
    </w:p>
    <w:p w14:paraId="7455ABFB">
      <w:pPr>
        <w:widowControl/>
        <w:ind w:firstLine="440" w:firstLineChars="200"/>
        <w:rPr>
          <w:szCs w:val="21"/>
        </w:rPr>
      </w:pPr>
    </w:p>
    <w:p w14:paraId="3F9D2AFD">
      <w:pPr>
        <w:widowControl/>
        <w:ind w:firstLine="440" w:firstLineChars="200"/>
        <w:rPr>
          <w:szCs w:val="21"/>
        </w:rPr>
      </w:pPr>
    </w:p>
    <w:p w14:paraId="3E7DD3C5">
      <w:pPr>
        <w:spacing w:line="360" w:lineRule="auto"/>
        <w:ind w:firstLine="440" w:firstLineChars="200"/>
        <w:jc w:val="right"/>
        <w:rPr>
          <w:szCs w:val="21"/>
        </w:rPr>
      </w:pPr>
    </w:p>
    <w:p w14:paraId="0F115797">
      <w:pPr>
        <w:spacing w:line="360" w:lineRule="auto"/>
        <w:ind w:firstLine="440" w:firstLineChars="200"/>
        <w:jc w:val="right"/>
        <w:rPr>
          <w:szCs w:val="21"/>
        </w:rPr>
      </w:pPr>
    </w:p>
    <w:p w14:paraId="64AACF3E">
      <w:pPr>
        <w:spacing w:line="360" w:lineRule="auto"/>
        <w:ind w:firstLine="440" w:firstLineChars="200"/>
        <w:jc w:val="right"/>
        <w:rPr>
          <w:szCs w:val="21"/>
        </w:rPr>
      </w:pPr>
      <w:r>
        <w:rPr>
          <w:rFonts w:hint="eastAsia"/>
          <w:szCs w:val="21"/>
        </w:rPr>
        <w:t>供应商：</w:t>
      </w:r>
      <w:r>
        <w:rPr>
          <w:rFonts w:hint="eastAsia"/>
          <w:szCs w:val="21"/>
          <w:u w:val="single"/>
        </w:rPr>
        <w:t xml:space="preserve">                      </w:t>
      </w:r>
      <w:r>
        <w:rPr>
          <w:rFonts w:hint="eastAsia"/>
          <w:szCs w:val="21"/>
        </w:rPr>
        <w:t>（</w:t>
      </w:r>
      <w:r>
        <w:rPr>
          <w:rFonts w:hint="eastAsia" w:ascii="宋体" w:hAnsi="宋体" w:cs="宋体"/>
          <w:szCs w:val="21"/>
        </w:rPr>
        <w:t>单位电子CA印章</w:t>
      </w:r>
      <w:r>
        <w:rPr>
          <w:rFonts w:hint="eastAsia"/>
          <w:szCs w:val="21"/>
        </w:rPr>
        <w:t>）</w:t>
      </w:r>
    </w:p>
    <w:p w14:paraId="421CFD18">
      <w:pPr>
        <w:spacing w:line="360" w:lineRule="auto"/>
        <w:ind w:firstLine="440" w:firstLineChars="200"/>
        <w:jc w:val="center"/>
        <w:rPr>
          <w:szCs w:val="21"/>
        </w:rPr>
      </w:pPr>
      <w:r>
        <w:rPr>
          <w:rFonts w:hint="eastAsia"/>
          <w:szCs w:val="21"/>
        </w:rPr>
        <w:t xml:space="preserve">                               法定代表人或其委托代理人：</w:t>
      </w:r>
      <w:r>
        <w:rPr>
          <w:rFonts w:hint="eastAsia"/>
          <w:szCs w:val="21"/>
          <w:u w:val="single"/>
        </w:rPr>
        <w:t xml:space="preserve">  </w:t>
      </w:r>
      <w:r>
        <w:rPr>
          <w:rFonts w:hint="eastAsia"/>
          <w:szCs w:val="21"/>
          <w:u w:val="single"/>
          <w:lang w:val="en-US" w:eastAsia="zh-CN"/>
        </w:rPr>
        <w:t xml:space="preserve">    </w:t>
      </w:r>
      <w:r>
        <w:rPr>
          <w:rFonts w:hint="eastAsia"/>
          <w:szCs w:val="21"/>
        </w:rPr>
        <w:t>（</w:t>
      </w:r>
      <w:r>
        <w:rPr>
          <w:rFonts w:hint="eastAsia"/>
          <w:szCs w:val="21"/>
          <w:lang w:val="en-US" w:eastAsia="zh-CN"/>
        </w:rPr>
        <w:t>按照正确要求签署</w:t>
      </w:r>
      <w:r>
        <w:rPr>
          <w:rFonts w:hint="eastAsia"/>
          <w:szCs w:val="21"/>
        </w:rPr>
        <w:t>）</w:t>
      </w:r>
    </w:p>
    <w:p w14:paraId="071731D5">
      <w:pPr>
        <w:spacing w:line="360" w:lineRule="auto"/>
        <w:ind w:left="-220" w:leftChars="-100" w:firstLine="440" w:firstLineChars="200"/>
        <w:jc w:val="right"/>
        <w:rPr>
          <w:szCs w:val="21"/>
        </w:rPr>
      </w:pP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14:paraId="492D8928">
      <w:pPr>
        <w:widowControl/>
        <w:ind w:firstLine="440" w:firstLineChars="200"/>
        <w:rPr>
          <w:szCs w:val="21"/>
        </w:rPr>
      </w:pPr>
    </w:p>
    <w:p w14:paraId="768124D4">
      <w:pPr>
        <w:widowControl/>
        <w:ind w:firstLine="440" w:firstLineChars="200"/>
        <w:rPr>
          <w:szCs w:val="21"/>
        </w:rPr>
      </w:pPr>
    </w:p>
    <w:p w14:paraId="6847F8BE">
      <w:pPr>
        <w:widowControl/>
        <w:ind w:firstLine="440" w:firstLineChars="200"/>
        <w:rPr>
          <w:szCs w:val="21"/>
        </w:rPr>
      </w:pPr>
    </w:p>
    <w:p w14:paraId="5E2BEA04">
      <w:pPr>
        <w:widowControl/>
        <w:ind w:firstLine="440" w:firstLineChars="200"/>
        <w:rPr>
          <w:szCs w:val="21"/>
        </w:rPr>
      </w:pPr>
    </w:p>
    <w:p w14:paraId="47C99386">
      <w:pPr>
        <w:widowControl/>
        <w:ind w:firstLine="440" w:firstLineChars="200"/>
        <w:rPr>
          <w:szCs w:val="21"/>
        </w:rPr>
      </w:pPr>
    </w:p>
    <w:p w14:paraId="0D2CEEAF">
      <w:pPr>
        <w:widowControl/>
        <w:ind w:firstLine="440" w:firstLineChars="200"/>
        <w:rPr>
          <w:szCs w:val="21"/>
        </w:rPr>
      </w:pPr>
      <w:r>
        <w:rPr>
          <w:rFonts w:hint="eastAsia"/>
          <w:szCs w:val="21"/>
        </w:rPr>
        <w:t>（备注：1、若供应商不属于残疾人福利性单位，可不附此声明函 ；2、</w:t>
      </w:r>
      <w:r>
        <w:rPr>
          <w:rFonts w:hint="eastAsia"/>
        </w:rPr>
        <w:t>残疾人福利性单位视同小、微型企业</w:t>
      </w:r>
      <w:r>
        <w:rPr>
          <w:rFonts w:hint="eastAsia"/>
          <w:szCs w:val="21"/>
        </w:rPr>
        <w:t>）</w:t>
      </w:r>
    </w:p>
    <w:p w14:paraId="59792B11">
      <w:pPr>
        <w:widowControl/>
        <w:ind w:firstLine="440" w:firstLineChars="200"/>
        <w:rPr>
          <w:szCs w:val="21"/>
        </w:rPr>
      </w:pPr>
    </w:p>
    <w:p w14:paraId="04A2F514">
      <w:pPr>
        <w:widowControl/>
        <w:ind w:firstLine="440" w:firstLineChars="200"/>
        <w:rPr>
          <w:szCs w:val="21"/>
        </w:rPr>
      </w:pPr>
    </w:p>
    <w:p w14:paraId="766ADD2F">
      <w:pPr>
        <w:pStyle w:val="25"/>
        <w:ind w:firstLine="210"/>
      </w:pPr>
    </w:p>
    <w:p w14:paraId="176A8F21">
      <w:pPr>
        <w:pStyle w:val="25"/>
        <w:ind w:firstLine="210"/>
      </w:pPr>
    </w:p>
    <w:p w14:paraId="78E94861">
      <w:pPr>
        <w:pStyle w:val="25"/>
        <w:ind w:firstLine="210"/>
      </w:pPr>
    </w:p>
    <w:p w14:paraId="4AAD2B61">
      <w:pPr>
        <w:pStyle w:val="25"/>
        <w:ind w:firstLine="210"/>
      </w:pPr>
    </w:p>
    <w:p w14:paraId="35EC8411">
      <w:pPr>
        <w:pStyle w:val="25"/>
        <w:ind w:firstLine="210"/>
      </w:pPr>
    </w:p>
    <w:p w14:paraId="6B646307">
      <w:pPr>
        <w:pStyle w:val="25"/>
        <w:ind w:firstLine="210"/>
      </w:pPr>
    </w:p>
    <w:p w14:paraId="79CD75CC">
      <w:pPr>
        <w:pStyle w:val="25"/>
        <w:ind w:firstLine="210"/>
      </w:pPr>
    </w:p>
    <w:p w14:paraId="5412D54C">
      <w:pPr>
        <w:pStyle w:val="25"/>
        <w:ind w:firstLine="210"/>
      </w:pPr>
    </w:p>
    <w:p w14:paraId="75962E39">
      <w:pPr>
        <w:pStyle w:val="25"/>
        <w:ind w:firstLine="210"/>
      </w:pPr>
    </w:p>
    <w:p w14:paraId="381A5573">
      <w:pPr>
        <w:pStyle w:val="25"/>
        <w:ind w:firstLine="210"/>
      </w:pPr>
    </w:p>
    <w:p w14:paraId="2EDAD949"/>
    <w:p w14:paraId="15A356FC">
      <w:pPr>
        <w:pStyle w:val="23"/>
      </w:pPr>
    </w:p>
    <w:p w14:paraId="0F5E3E02">
      <w:pPr>
        <w:pStyle w:val="25"/>
        <w:ind w:firstLine="0" w:firstLineChars="0"/>
      </w:pPr>
    </w:p>
    <w:p w14:paraId="0D9D1CC7">
      <w:pPr>
        <w:widowControl/>
        <w:outlineLvl w:val="0"/>
        <w:rPr>
          <w:b/>
          <w:bCs/>
          <w:sz w:val="32"/>
          <w:szCs w:val="32"/>
        </w:rPr>
      </w:pPr>
      <w:bookmarkStart w:id="844" w:name="_Toc1208"/>
      <w:bookmarkStart w:id="845" w:name="_Toc23119"/>
      <w:r>
        <w:rPr>
          <w:rFonts w:hint="eastAsia"/>
          <w:b/>
          <w:bCs/>
          <w:sz w:val="32"/>
          <w:szCs w:val="32"/>
        </w:rPr>
        <w:t>附件4 关于监狱企业证明</w:t>
      </w:r>
      <w:bookmarkEnd w:id="844"/>
      <w:bookmarkEnd w:id="845"/>
    </w:p>
    <w:p w14:paraId="145F8583">
      <w:pPr>
        <w:pStyle w:val="12"/>
        <w:rPr>
          <w:rFonts w:ascii="黑体" w:hAnsi="黑体" w:eastAsia="黑体" w:cs="黑体"/>
          <w:b/>
          <w:bCs/>
          <w:sz w:val="32"/>
          <w:szCs w:val="32"/>
        </w:rPr>
      </w:pPr>
    </w:p>
    <w:p w14:paraId="30764A88">
      <w:pPr>
        <w:pStyle w:val="12"/>
        <w:jc w:val="center"/>
        <w:rPr>
          <w:rFonts w:ascii="黑体" w:hAnsi="黑体" w:eastAsia="黑体" w:cs="黑体"/>
          <w:b/>
          <w:bCs/>
          <w:sz w:val="40"/>
          <w:szCs w:val="40"/>
        </w:rPr>
      </w:pPr>
      <w:r>
        <w:rPr>
          <w:rFonts w:hint="eastAsia"/>
          <w:sz w:val="28"/>
          <w:szCs w:val="24"/>
          <w:lang w:val="en-US"/>
        </w:rPr>
        <w:t>监狱企业声明函</w:t>
      </w:r>
    </w:p>
    <w:p w14:paraId="292897D1">
      <w:pPr>
        <w:spacing w:line="360" w:lineRule="auto"/>
        <w:ind w:firstLine="440" w:firstLineChars="200"/>
        <w:rPr>
          <w:szCs w:val="21"/>
          <w:lang w:val="en-US"/>
        </w:rPr>
      </w:pPr>
    </w:p>
    <w:p w14:paraId="488986BE">
      <w:pPr>
        <w:spacing w:line="360" w:lineRule="auto"/>
        <w:ind w:firstLine="440" w:firstLineChars="200"/>
        <w:rPr>
          <w:szCs w:val="21"/>
          <w:lang w:val="en-US"/>
        </w:rPr>
      </w:pPr>
      <w:r>
        <w:rPr>
          <w:rFonts w:hint="eastAsia"/>
          <w:szCs w:val="21"/>
          <w:lang w:val="en-US"/>
        </w:rPr>
        <w:t xml:space="preserve">根据财政部、司法部关于政府采购支持监狱企业发展有关问题的通知（财库〔2014〕68号）的规定，本企业（单位）郑重声明下列事项（按照实际情况填空）： </w:t>
      </w:r>
    </w:p>
    <w:p w14:paraId="49B33C68">
      <w:pPr>
        <w:spacing w:line="360" w:lineRule="auto"/>
        <w:ind w:firstLine="440" w:firstLineChars="200"/>
        <w:rPr>
          <w:szCs w:val="21"/>
          <w:lang w:val="en-US"/>
        </w:rPr>
      </w:pPr>
      <w:r>
        <w:rPr>
          <w:rFonts w:hint="eastAsia"/>
          <w:szCs w:val="21"/>
          <w:lang w:val="en-US"/>
        </w:rPr>
        <w:t xml:space="preserve">本企业（单位）为直接供应商（投标人），提供本企业（单位）的工程施工。 </w:t>
      </w:r>
    </w:p>
    <w:p w14:paraId="0D7AE87E">
      <w:pPr>
        <w:numPr>
          <w:ilvl w:val="0"/>
          <w:numId w:val="13"/>
        </w:numPr>
        <w:spacing w:line="360" w:lineRule="auto"/>
        <w:ind w:firstLine="440" w:firstLineChars="200"/>
        <w:rPr>
          <w:szCs w:val="21"/>
          <w:lang w:val="en-US"/>
        </w:rPr>
      </w:pPr>
      <w:r>
        <w:rPr>
          <w:rFonts w:hint="eastAsia"/>
          <w:szCs w:val="21"/>
          <w:lang w:val="en-US"/>
        </w:rPr>
        <w:t>本企业（单位）</w:t>
      </w:r>
      <w:r>
        <w:rPr>
          <w:rFonts w:hint="eastAsia"/>
          <w:szCs w:val="21"/>
          <w:u w:val="single"/>
          <w:lang w:val="en-US"/>
        </w:rPr>
        <w:t xml:space="preserve">      </w:t>
      </w:r>
      <w:r>
        <w:rPr>
          <w:rFonts w:hint="eastAsia"/>
          <w:szCs w:val="21"/>
          <w:lang w:val="en-US"/>
        </w:rPr>
        <w:t xml:space="preserve">（请填写：是、不是）监狱企业。后附省级以上监狱管理局、戒毒管理局（含新疆生产建设兵团）出具的属于监狱企业的证明文件。 </w:t>
      </w:r>
    </w:p>
    <w:p w14:paraId="08E9A311">
      <w:pPr>
        <w:pStyle w:val="44"/>
        <w:ind w:firstLine="0" w:firstLineChars="0"/>
      </w:pPr>
    </w:p>
    <w:p w14:paraId="739D34F5">
      <w:pPr>
        <w:spacing w:line="360" w:lineRule="auto"/>
        <w:ind w:firstLine="440" w:firstLineChars="200"/>
      </w:pPr>
      <w:r>
        <w:rPr>
          <w:rFonts w:hint="eastAsia"/>
          <w:szCs w:val="21"/>
          <w:lang w:val="en-US"/>
        </w:rPr>
        <w:t xml:space="preserve"> 本企业（单位）对上述声明的真实性负责。如有虚假，将依法承担相应责任。</w:t>
      </w:r>
      <w:r>
        <w:rPr>
          <w:rFonts w:hint="eastAsia"/>
        </w:rPr>
        <w:t xml:space="preserve"> </w:t>
      </w:r>
    </w:p>
    <w:p w14:paraId="2971E69A">
      <w:pPr>
        <w:pStyle w:val="25"/>
        <w:ind w:firstLineChars="200"/>
      </w:pPr>
    </w:p>
    <w:p w14:paraId="3CD43AC3">
      <w:pPr>
        <w:pStyle w:val="25"/>
        <w:ind w:firstLineChars="200"/>
      </w:pPr>
    </w:p>
    <w:p w14:paraId="578ED7E1">
      <w:pPr>
        <w:pStyle w:val="25"/>
        <w:ind w:firstLineChars="200"/>
      </w:pPr>
    </w:p>
    <w:p w14:paraId="3DD7853E">
      <w:pPr>
        <w:pStyle w:val="25"/>
        <w:ind w:firstLineChars="200"/>
      </w:pPr>
    </w:p>
    <w:p w14:paraId="30D28682">
      <w:pPr>
        <w:spacing w:line="360" w:lineRule="auto"/>
        <w:ind w:firstLine="440" w:firstLineChars="200"/>
        <w:jc w:val="right"/>
        <w:rPr>
          <w:szCs w:val="21"/>
        </w:rPr>
      </w:pPr>
      <w:r>
        <w:rPr>
          <w:rFonts w:hint="eastAsia"/>
          <w:szCs w:val="21"/>
        </w:rPr>
        <w:t>供应商：</w:t>
      </w:r>
      <w:r>
        <w:rPr>
          <w:rFonts w:hint="eastAsia"/>
          <w:szCs w:val="21"/>
          <w:u w:val="single"/>
        </w:rPr>
        <w:t xml:space="preserve">                      </w:t>
      </w:r>
      <w:r>
        <w:rPr>
          <w:rFonts w:hint="eastAsia"/>
          <w:szCs w:val="21"/>
        </w:rPr>
        <w:t>（</w:t>
      </w:r>
      <w:r>
        <w:rPr>
          <w:rFonts w:hint="eastAsia" w:ascii="宋体" w:hAnsi="宋体" w:cs="宋体"/>
          <w:szCs w:val="21"/>
        </w:rPr>
        <w:t>单位电子CA印章</w:t>
      </w:r>
      <w:r>
        <w:rPr>
          <w:rFonts w:hint="eastAsia"/>
          <w:szCs w:val="21"/>
        </w:rPr>
        <w:t>）</w:t>
      </w:r>
    </w:p>
    <w:p w14:paraId="77CF1ACA">
      <w:pPr>
        <w:spacing w:line="360" w:lineRule="auto"/>
        <w:ind w:firstLine="440" w:firstLineChars="200"/>
        <w:jc w:val="center"/>
        <w:rPr>
          <w:szCs w:val="21"/>
        </w:rPr>
      </w:pPr>
      <w:r>
        <w:rPr>
          <w:rFonts w:hint="eastAsia"/>
          <w:szCs w:val="21"/>
        </w:rPr>
        <w:t xml:space="preserve">                             </w:t>
      </w:r>
      <w:r>
        <w:rPr>
          <w:rFonts w:hint="eastAsia"/>
          <w:szCs w:val="21"/>
          <w:lang w:val="en-US" w:eastAsia="zh-CN"/>
        </w:rPr>
        <w:t xml:space="preserve">    </w:t>
      </w:r>
      <w:r>
        <w:rPr>
          <w:rFonts w:hint="eastAsia"/>
          <w:szCs w:val="21"/>
        </w:rPr>
        <w:t>法定代表人或其委托代理人：</w:t>
      </w:r>
      <w:r>
        <w:rPr>
          <w:rFonts w:hint="eastAsia"/>
          <w:szCs w:val="21"/>
          <w:u w:val="single"/>
        </w:rPr>
        <w:t xml:space="preserve">        </w:t>
      </w:r>
      <w:r>
        <w:rPr>
          <w:rFonts w:hint="eastAsia"/>
          <w:szCs w:val="21"/>
        </w:rPr>
        <w:t>（</w:t>
      </w:r>
      <w:r>
        <w:rPr>
          <w:rFonts w:hint="eastAsia"/>
          <w:szCs w:val="21"/>
          <w:lang w:val="en-US" w:eastAsia="zh-CN"/>
        </w:rPr>
        <w:t>按照正确要求签署</w:t>
      </w:r>
      <w:r>
        <w:rPr>
          <w:rFonts w:hint="eastAsia"/>
          <w:szCs w:val="21"/>
        </w:rPr>
        <w:t>）</w:t>
      </w:r>
    </w:p>
    <w:p w14:paraId="1F8C2314">
      <w:pPr>
        <w:pStyle w:val="12"/>
        <w:rPr>
          <w:sz w:val="22"/>
          <w:u w:val="single"/>
          <w:lang w:val="en-US"/>
        </w:rPr>
      </w:pPr>
      <w:r>
        <w:rPr>
          <w:rFonts w:hint="eastAsia"/>
          <w:sz w:val="20"/>
          <w:lang w:val="en-US"/>
        </w:rPr>
        <w:t xml:space="preserve">                                                  </w:t>
      </w:r>
      <w:r>
        <w:rPr>
          <w:rFonts w:hint="eastAsia"/>
          <w:sz w:val="20"/>
          <w:lang w:val="en-US" w:eastAsia="zh-CN"/>
        </w:rPr>
        <w:t xml:space="preserve">       </w:t>
      </w:r>
      <w:r>
        <w:rPr>
          <w:rFonts w:hint="eastAsia"/>
          <w:sz w:val="20"/>
          <w:lang w:val="en-US"/>
        </w:rPr>
        <w:t xml:space="preserve">      </w:t>
      </w:r>
      <w:r>
        <w:rPr>
          <w:rFonts w:hint="eastAsia"/>
          <w:sz w:val="20"/>
          <w:u w:val="single"/>
          <w:lang w:val="en-US"/>
        </w:rPr>
        <w:t xml:space="preserve">       </w:t>
      </w:r>
      <w:r>
        <w:rPr>
          <w:rFonts w:hint="eastAsia"/>
          <w:sz w:val="22"/>
          <w:lang w:val="en-US"/>
        </w:rPr>
        <w:t>年</w:t>
      </w:r>
      <w:r>
        <w:rPr>
          <w:rFonts w:hint="eastAsia"/>
          <w:sz w:val="22"/>
          <w:u w:val="single"/>
          <w:lang w:val="en-US"/>
        </w:rPr>
        <w:t xml:space="preserve">     </w:t>
      </w:r>
      <w:r>
        <w:rPr>
          <w:rFonts w:hint="eastAsia"/>
          <w:sz w:val="22"/>
          <w:lang w:val="en-US"/>
        </w:rPr>
        <w:t xml:space="preserve">月 </w:t>
      </w:r>
      <w:r>
        <w:rPr>
          <w:rFonts w:hint="eastAsia"/>
          <w:sz w:val="22"/>
          <w:u w:val="single"/>
          <w:lang w:val="en-US"/>
        </w:rPr>
        <w:t xml:space="preserve">      </w:t>
      </w:r>
      <w:r>
        <w:rPr>
          <w:rFonts w:hint="eastAsia"/>
          <w:sz w:val="22"/>
          <w:lang w:val="en-US"/>
        </w:rPr>
        <w:t>日</w:t>
      </w:r>
    </w:p>
    <w:p w14:paraId="546FC4A9">
      <w:pPr>
        <w:pStyle w:val="12"/>
        <w:rPr>
          <w:sz w:val="22"/>
          <w:u w:val="single"/>
          <w:lang w:val="en-US"/>
        </w:rPr>
      </w:pPr>
    </w:p>
    <w:p w14:paraId="50751864">
      <w:pPr>
        <w:pStyle w:val="12"/>
        <w:rPr>
          <w:sz w:val="20"/>
        </w:rPr>
      </w:pPr>
    </w:p>
    <w:p w14:paraId="7EBC49BB">
      <w:pPr>
        <w:pStyle w:val="12"/>
        <w:spacing w:before="12"/>
        <w:rPr>
          <w:sz w:val="14"/>
        </w:rPr>
      </w:pPr>
    </w:p>
    <w:p w14:paraId="69A622C6">
      <w:pPr>
        <w:pStyle w:val="25"/>
        <w:ind w:firstLineChars="200"/>
      </w:pPr>
      <w:r>
        <w:rPr>
          <w:rFonts w:hint="eastAsia"/>
        </w:rPr>
        <w:t>（备注：1、若供应商不属于监狱企业，可不附此声明函 ；2、监狱企业视同小、微型企业）</w:t>
      </w:r>
    </w:p>
    <w:p w14:paraId="0C85060C">
      <w:pPr>
        <w:pStyle w:val="25"/>
        <w:ind w:firstLineChars="200"/>
      </w:pPr>
    </w:p>
    <w:p w14:paraId="372B1450">
      <w:pPr>
        <w:pStyle w:val="25"/>
        <w:ind w:firstLineChars="200"/>
      </w:pPr>
    </w:p>
    <w:p w14:paraId="332F801A">
      <w:pPr>
        <w:pStyle w:val="25"/>
        <w:ind w:firstLineChars="200"/>
      </w:pPr>
    </w:p>
    <w:p w14:paraId="41972184">
      <w:pPr>
        <w:pStyle w:val="25"/>
        <w:ind w:firstLineChars="200"/>
      </w:pPr>
    </w:p>
    <w:p w14:paraId="74BA7212">
      <w:pPr>
        <w:pStyle w:val="25"/>
        <w:ind w:firstLineChars="200"/>
      </w:pPr>
    </w:p>
    <w:p w14:paraId="1D5B76C8">
      <w:pPr>
        <w:pStyle w:val="25"/>
        <w:ind w:firstLineChars="200"/>
      </w:pPr>
    </w:p>
    <w:p w14:paraId="737F3528">
      <w:pPr>
        <w:pStyle w:val="25"/>
        <w:ind w:firstLineChars="200"/>
      </w:pPr>
    </w:p>
    <w:p w14:paraId="70FA9488">
      <w:pPr>
        <w:pStyle w:val="25"/>
        <w:ind w:firstLineChars="200"/>
      </w:pPr>
    </w:p>
    <w:p w14:paraId="28E3F32A">
      <w:pPr>
        <w:pStyle w:val="25"/>
        <w:ind w:firstLineChars="200"/>
      </w:pPr>
    </w:p>
    <w:p w14:paraId="7A5576E6">
      <w:pPr>
        <w:pStyle w:val="25"/>
        <w:ind w:firstLineChars="200"/>
      </w:pPr>
    </w:p>
    <w:p w14:paraId="31541AC3">
      <w:pPr>
        <w:pStyle w:val="25"/>
        <w:ind w:firstLineChars="200"/>
      </w:pPr>
    </w:p>
    <w:p w14:paraId="63CEF4AE">
      <w:pPr>
        <w:pStyle w:val="25"/>
        <w:ind w:firstLineChars="200"/>
      </w:pPr>
    </w:p>
    <w:p w14:paraId="59BE99C5">
      <w:pPr>
        <w:pStyle w:val="25"/>
        <w:ind w:firstLineChars="200"/>
      </w:pPr>
    </w:p>
    <w:p w14:paraId="736B735F">
      <w:pPr>
        <w:pStyle w:val="25"/>
        <w:ind w:firstLineChars="200"/>
      </w:pPr>
    </w:p>
    <w:p w14:paraId="0AAC478A">
      <w:pPr>
        <w:pStyle w:val="25"/>
        <w:ind w:firstLineChars="200"/>
      </w:pPr>
    </w:p>
    <w:p w14:paraId="401FF57A">
      <w:pPr>
        <w:pStyle w:val="25"/>
        <w:ind w:firstLineChars="200"/>
      </w:pPr>
    </w:p>
    <w:p w14:paraId="1E0BC4DE">
      <w:pPr>
        <w:pStyle w:val="25"/>
        <w:ind w:firstLineChars="200"/>
      </w:pPr>
    </w:p>
    <w:p w14:paraId="04A9044F">
      <w:pPr>
        <w:pStyle w:val="25"/>
        <w:ind w:firstLine="0" w:firstLineChars="0"/>
      </w:pPr>
    </w:p>
    <w:p w14:paraId="741986F5">
      <w:pPr>
        <w:pStyle w:val="25"/>
        <w:ind w:firstLineChars="200"/>
      </w:pPr>
    </w:p>
    <w:p w14:paraId="02372FE4">
      <w:pPr>
        <w:pStyle w:val="25"/>
        <w:ind w:firstLine="0" w:firstLineChars="0"/>
        <w:outlineLvl w:val="0"/>
        <w:rPr>
          <w:b/>
          <w:bCs/>
          <w:sz w:val="32"/>
          <w:szCs w:val="32"/>
          <w:lang w:val="en-US"/>
        </w:rPr>
      </w:pPr>
      <w:bookmarkStart w:id="846" w:name="_Toc31984"/>
      <w:r>
        <w:rPr>
          <w:rFonts w:hint="eastAsia"/>
          <w:b/>
          <w:bCs/>
          <w:sz w:val="32"/>
          <w:szCs w:val="32"/>
          <w:lang w:val="en-US"/>
        </w:rPr>
        <w:t>附件</w:t>
      </w:r>
      <w:bookmarkStart w:id="847" w:name="_Toc23590"/>
      <w:r>
        <w:rPr>
          <w:rFonts w:hint="eastAsia"/>
          <w:b/>
          <w:bCs/>
          <w:sz w:val="32"/>
          <w:szCs w:val="32"/>
          <w:lang w:val="en-US"/>
        </w:rPr>
        <w:t>5 河南省政府采购合同融资政策告知函</w:t>
      </w:r>
      <w:bookmarkEnd w:id="846"/>
    </w:p>
    <w:p w14:paraId="3CFB758A">
      <w:pPr>
        <w:widowControl/>
        <w:outlineLvl w:val="0"/>
        <w:rPr>
          <w:rFonts w:ascii="黑体" w:hAnsi="黑体" w:eastAsia="黑体" w:cs="黑体"/>
          <w:b/>
          <w:bCs/>
          <w:sz w:val="32"/>
          <w:szCs w:val="32"/>
          <w:lang w:val="en-US"/>
        </w:rPr>
      </w:pPr>
    </w:p>
    <w:p w14:paraId="0E573F65">
      <w:pPr>
        <w:widowControl/>
        <w:rPr>
          <w:rFonts w:ascii="黑体" w:hAnsi="黑体" w:eastAsia="黑体" w:cs="黑体"/>
          <w:b/>
          <w:bCs/>
          <w:sz w:val="32"/>
          <w:szCs w:val="32"/>
          <w:lang w:val="en-US"/>
        </w:rPr>
      </w:pPr>
    </w:p>
    <w:p w14:paraId="4F123CB9">
      <w:pPr>
        <w:widowControl/>
        <w:spacing w:after="140" w:line="360" w:lineRule="auto"/>
        <w:rPr>
          <w:lang w:val="en-US"/>
        </w:rPr>
      </w:pPr>
      <w:r>
        <w:rPr>
          <w:rFonts w:hint="eastAsia"/>
          <w:lang w:val="en-US"/>
        </w:rPr>
        <w:t>各供应商：</w:t>
      </w:r>
    </w:p>
    <w:p w14:paraId="1D315ADE">
      <w:pPr>
        <w:widowControl/>
        <w:spacing w:after="140" w:line="360" w:lineRule="auto"/>
        <w:ind w:firstLine="440" w:firstLineChars="200"/>
        <w:rPr>
          <w:lang w:val="en-US"/>
        </w:rPr>
      </w:pPr>
      <w:r>
        <w:rPr>
          <w:rFonts w:hint="eastAsia"/>
          <w:lang w:val="en-US"/>
        </w:rPr>
        <w:t>欢迎贵公司参与河南省政府采购活动！</w:t>
      </w:r>
    </w:p>
    <w:p w14:paraId="5497A51C">
      <w:pPr>
        <w:widowControl/>
        <w:spacing w:after="140" w:line="360" w:lineRule="auto"/>
        <w:ind w:firstLine="440" w:firstLineChars="200"/>
        <w:rPr>
          <w:lang w:val="en-US"/>
        </w:rPr>
      </w:pPr>
      <w:r>
        <w:rPr>
          <w:rFonts w:hint="eastAsia"/>
          <w:lang w:val="en-US"/>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w:t>
      </w:r>
      <w:r>
        <w:rPr>
          <w:rFonts w:hint="eastAsia" w:ascii="微软雅黑" w:hAnsi="微软雅黑" w:eastAsia="微软雅黑" w:cs="微软雅黑"/>
          <w:lang w:val="en-US"/>
        </w:rPr>
        <w:t>〔</w:t>
      </w:r>
      <w:r>
        <w:rPr>
          <w:rFonts w:hint="eastAsia"/>
          <w:lang w:val="en-US"/>
        </w:rPr>
        <w:t>2017</w:t>
      </w:r>
      <w:r>
        <w:rPr>
          <w:rFonts w:hint="eastAsia" w:ascii="微软雅黑" w:hAnsi="微软雅黑" w:eastAsia="微软雅黑" w:cs="微软雅黑"/>
          <w:lang w:val="en-US"/>
        </w:rPr>
        <w:t>〕</w:t>
      </w:r>
      <w:r>
        <w:rPr>
          <w:rFonts w:hint="eastAsia"/>
          <w:lang w:val="en-US"/>
        </w:rPr>
        <w:t>10号），按照双方自愿的原则提供便捷、优惠的贷款服务。</w:t>
      </w:r>
    </w:p>
    <w:p w14:paraId="0239A096">
      <w:pPr>
        <w:widowControl/>
        <w:spacing w:line="360" w:lineRule="auto"/>
        <w:ind w:firstLine="440" w:firstLineChars="200"/>
        <w:rPr>
          <w:lang w:val="en-US"/>
        </w:rPr>
      </w:pPr>
      <w:r>
        <w:rPr>
          <w:rFonts w:hint="eastAsia"/>
          <w:lang w:val="en-US"/>
        </w:rPr>
        <w:t>贷款渠道和提供贷款的金融机构，可在河南省政府采购网“河南省政府采购合同融资平台”查询联系。</w:t>
      </w:r>
    </w:p>
    <w:bookmarkEnd w:id="847"/>
    <w:p w14:paraId="2B2435D6">
      <w:pPr>
        <w:spacing w:line="360" w:lineRule="auto"/>
        <w:rPr>
          <w:sz w:val="21"/>
          <w:szCs w:val="21"/>
          <w:lang w:val="en-US"/>
        </w:rPr>
      </w:pPr>
    </w:p>
    <w:sectPr>
      <w:pgSz w:w="12240" w:h="15840"/>
      <w:pgMar w:top="1440" w:right="1080" w:bottom="1440" w:left="1080" w:header="0" w:footer="844"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B48B0">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FE14B">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F9FE14B">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E4C44">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3D4E4">
    <w:pPr>
      <w:pStyle w:val="12"/>
      <w:spacing w:line="14" w:lineRule="auto"/>
      <w:rPr>
        <w:sz w:val="12"/>
      </w:rPr>
    </w:pPr>
    <w:r>
      <w:rPr>
        <w:lang w:val="en-US"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7005" cy="1397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67005" cy="139700"/>
                      </a:xfrm>
                      <a:prstGeom prst="rect">
                        <a:avLst/>
                      </a:prstGeom>
                      <a:noFill/>
                      <a:ln w="9525">
                        <a:noFill/>
                      </a:ln>
                    </wps:spPr>
                    <wps:txbx>
                      <w:txbxContent>
                        <w:p w14:paraId="222AE2B6">
                          <w:pPr>
                            <w:spacing w:line="203" w:lineRule="exact"/>
                            <w:ind w:left="40"/>
                            <w:rPr>
                              <w:rFonts w:ascii="Calibri"/>
                              <w:sz w:val="18"/>
                            </w:rPr>
                          </w:pPr>
                          <w:r>
                            <w:fldChar w:fldCharType="begin"/>
                          </w:r>
                          <w:r>
                            <w:rPr>
                              <w:rFonts w:ascii="Calibri"/>
                              <w:sz w:val="18"/>
                            </w:rPr>
                            <w:instrText xml:space="preserve"> PAGE </w:instrText>
                          </w:r>
                          <w:r>
                            <w:fldChar w:fldCharType="separate"/>
                          </w:r>
                          <w:r>
                            <w:rPr>
                              <w:rFonts w:ascii="Calibri"/>
                              <w:sz w:val="18"/>
                            </w:rPr>
                            <w:t>1</w:t>
                          </w:r>
                          <w:r>
                            <w:fldChar w:fldCharType="end"/>
                          </w:r>
                        </w:p>
                      </w:txbxContent>
                    </wps:txbx>
                    <wps:bodyPr lIns="0" tIns="0" rIns="0" bIns="0" upright="1"/>
                  </wps:wsp>
                </a:graphicData>
              </a:graphic>
            </wp:anchor>
          </w:drawing>
        </mc:Choice>
        <mc:Fallback>
          <w:pict>
            <v:shape id="文本框 1" o:spid="_x0000_s1026" o:spt="202" type="#_x0000_t202" style="position:absolute;left:0pt;margin-top:0pt;height:11pt;width:13.15pt;mso-position-horizontal:center;mso-position-horizontal-relative:margin;z-index:251660288;mso-width-relative:page;mso-height-relative:page;" filled="f" stroked="f" coordsize="21600,21600" o:gfxdata="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sk/aNMAAAADAQAADwAAAAAAAAABACAAAAAiAAAAZHJzL2Rvd25yZXYueG1sUEsB&#10;AhQAFAAAAAgAh07iQEkczJ3BAQAAegMAAA4AAAAAAAAAAQAgAAAAIgEAAGRycy9lMm9Eb2MueG1s&#10;UEsFBgAAAAAGAAYAWQEAAFUFAAAAAA==&#10;">
              <v:fill on="f" focussize="0,0"/>
              <v:stroke on="f"/>
              <v:imagedata o:title=""/>
              <o:lock v:ext="edit" aspectratio="f"/>
              <v:textbox inset="0mm,0mm,0mm,0mm">
                <w:txbxContent>
                  <w:p w14:paraId="222AE2B6">
                    <w:pPr>
                      <w:spacing w:line="203" w:lineRule="exact"/>
                      <w:ind w:left="40"/>
                      <w:rPr>
                        <w:rFonts w:ascii="Calibri"/>
                        <w:sz w:val="18"/>
                      </w:rPr>
                    </w:pPr>
                    <w:r>
                      <w:fldChar w:fldCharType="begin"/>
                    </w:r>
                    <w:r>
                      <w:rPr>
                        <w:rFonts w:ascii="Calibri"/>
                        <w:sz w:val="18"/>
                      </w:rPr>
                      <w:instrText xml:space="preserve"> PAGE </w:instrText>
                    </w:r>
                    <w:r>
                      <w:fldChar w:fldCharType="separate"/>
                    </w:r>
                    <w:r>
                      <w:rPr>
                        <w:rFonts w:ascii="Calibri"/>
                        <w:sz w:val="18"/>
                      </w:rP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D74C6">
    <w:pPr>
      <w:pStyle w:val="12"/>
      <w:spacing w:line="14" w:lineRule="auto"/>
      <w:rPr>
        <w:sz w:val="12"/>
      </w:rPr>
    </w:pPr>
    <w:r>
      <w:rPr>
        <w:lang w:val="en-US"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7005" cy="139700"/>
              <wp:effectExtent l="0" t="0" r="0" b="0"/>
              <wp:wrapNone/>
              <wp:docPr id="6" name="文本框 1"/>
              <wp:cNvGraphicFramePr/>
              <a:graphic xmlns:a="http://schemas.openxmlformats.org/drawingml/2006/main">
                <a:graphicData uri="http://schemas.microsoft.com/office/word/2010/wordprocessingShape">
                  <wps:wsp>
                    <wps:cNvSpPr txBox="1"/>
                    <wps:spPr>
                      <a:xfrm>
                        <a:off x="0" y="0"/>
                        <a:ext cx="167005" cy="139700"/>
                      </a:xfrm>
                      <a:prstGeom prst="rect">
                        <a:avLst/>
                      </a:prstGeom>
                      <a:noFill/>
                      <a:ln w="9525">
                        <a:noFill/>
                      </a:ln>
                    </wps:spPr>
                    <wps:txbx>
                      <w:txbxContent>
                        <w:p w14:paraId="54D178E4">
                          <w:pPr>
                            <w:spacing w:line="203" w:lineRule="exact"/>
                            <w:ind w:left="40"/>
                            <w:rPr>
                              <w:rFonts w:ascii="Calibri"/>
                              <w:sz w:val="18"/>
                            </w:rPr>
                          </w:pPr>
                          <w:r>
                            <w:fldChar w:fldCharType="begin"/>
                          </w:r>
                          <w:r>
                            <w:rPr>
                              <w:rFonts w:ascii="Calibri"/>
                              <w:sz w:val="18"/>
                            </w:rPr>
                            <w:instrText xml:space="preserve"> PAGE </w:instrText>
                          </w:r>
                          <w:r>
                            <w:fldChar w:fldCharType="separate"/>
                          </w:r>
                          <w:r>
                            <w:rPr>
                              <w:rFonts w:ascii="Calibri"/>
                              <w:sz w:val="18"/>
                            </w:rPr>
                            <w:t>1</w:t>
                          </w:r>
                          <w:r>
                            <w:fldChar w:fldCharType="end"/>
                          </w:r>
                        </w:p>
                      </w:txbxContent>
                    </wps:txbx>
                    <wps:bodyPr lIns="0" tIns="0" rIns="0" bIns="0" upright="1"/>
                  </wps:wsp>
                </a:graphicData>
              </a:graphic>
            </wp:anchor>
          </w:drawing>
        </mc:Choice>
        <mc:Fallback>
          <w:pict>
            <v:shape id="文本框 1" o:spid="_x0000_s1026" o:spt="202" type="#_x0000_t202" style="position:absolute;left:0pt;margin-top:0pt;height:11pt;width:13.15pt;mso-position-horizontal:center;mso-position-horizontal-relative:margin;z-index:251662336;mso-width-relative:page;mso-height-relative:page;" filled="f" stroked="f" coordsize="21600,21600" o:gfxdata="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myT9o0wAAAAMBAAAPAAAAAAAAAAEAIAAAACIAAABkcnMvZG93bnJldi54bWxQSwEC&#10;FAAUAAAACACHTuJAXBUQQ8ABAAB6AwAADgAAAAAAAAABACAAAAAiAQAAZHJzL2Uyb0RvYy54bWxQ&#10;SwUGAAAAAAYABgBZAQAAVAUAAAAA&#10;">
              <v:fill on="f" focussize="0,0"/>
              <v:stroke on="f"/>
              <v:imagedata o:title=""/>
              <o:lock v:ext="edit" aspectratio="f"/>
              <v:textbox inset="0mm,0mm,0mm,0mm">
                <w:txbxContent>
                  <w:p w14:paraId="54D178E4">
                    <w:pPr>
                      <w:spacing w:line="203" w:lineRule="exact"/>
                      <w:ind w:left="40"/>
                      <w:rPr>
                        <w:rFonts w:ascii="Calibri"/>
                        <w:sz w:val="18"/>
                      </w:rPr>
                    </w:pPr>
                    <w:r>
                      <w:fldChar w:fldCharType="begin"/>
                    </w:r>
                    <w:r>
                      <w:rPr>
                        <w:rFonts w:ascii="Calibri"/>
                        <w:sz w:val="18"/>
                      </w:rPr>
                      <w:instrText xml:space="preserve"> PAGE </w:instrText>
                    </w:r>
                    <w:r>
                      <w:fldChar w:fldCharType="separate"/>
                    </w:r>
                    <w:r>
                      <w:rPr>
                        <w:rFonts w:ascii="Calibri"/>
                        <w:sz w:val="18"/>
                      </w:rP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DD74B">
    <w:pPr>
      <w:pStyle w:val="1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FA1F4">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E8471">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83E8471">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053E6">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40204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340204D">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1A2FB">
    <w:pPr>
      <w:pStyle w:val="16"/>
    </w:pPr>
    <w:r>
      <w:rPr>
        <w:lang w:val="en-US"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D939C1D">
                          <w:pPr>
                            <w:pStyle w:val="16"/>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q6k8jKAQAAlw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FlkmfwWFPVvae6OL6DMZXOcaRgYj12waYv8WGUJ3FPV3HVGJlMl6pVVZWUkpS7OIRTPF73AeN7&#10;BZYlo+GBXi+LKo4fMU6ll5LUzcGdNobiojaODYR6U725yTeuKUI3jpokFtO0yYrjbpwp7KA9EbOB&#10;VqDhjjaeM/PBkcJpWy5GuBi72Ug90b89RBohT5ZQJ6i5Gb1X5jbvVlqIv/1c9fg/bf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GmCS9MAAAAFAQAADwAAAAAAAAABACAAAAAiAAAAZHJzL2Rvd25y&#10;ZXYueG1sUEsBAhQAFAAAAAgAh07iQFq6k8jKAQAAlwMAAA4AAAAAAAAAAQAgAAAAIgEAAGRycy9l&#10;Mm9Eb2MueG1sUEsFBgAAAAAGAAYAWQEAAF4FAAAAAA==&#10;">
              <v:fill on="f" focussize="0,0"/>
              <v:stroke on="f" weight="1.25pt"/>
              <v:imagedata o:title=""/>
              <o:lock v:ext="edit" aspectratio="f"/>
              <v:textbox inset="0mm,0mm,0mm,0mm" style="mso-fit-shape-to-text:t;">
                <w:txbxContent>
                  <w:p w14:paraId="3D939C1D">
                    <w:pPr>
                      <w:pStyle w:val="16"/>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B7920">
    <w:pPr>
      <w:pStyle w:val="17"/>
      <w:rPr>
        <w:i/>
        <w:iCs/>
      </w:rPr>
    </w:pPr>
  </w:p>
  <w:p w14:paraId="2B76CEF6">
    <w:pPr>
      <w:pStyle w:val="17"/>
      <w:ind w:firstLine="6660" w:firstLineChars="3700"/>
      <w:rPr>
        <w:i/>
        <w:iCs/>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9360E">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027D8">
    <w:pPr>
      <w:pStyle w:val="1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31580">
    <w:pPr>
      <w:pStyle w:val="1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CE9CA">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decimal"/>
      <w:lvlText w:val="%1."/>
      <w:lvlJc w:val="left"/>
      <w:pPr>
        <w:ind w:left="639" w:hanging="400"/>
      </w:pPr>
      <w:rPr>
        <w:rFonts w:hint="default" w:ascii="Times New Roman" w:hAnsi="Times New Roman" w:eastAsia="Times New Roman" w:cs="Times New Roman"/>
        <w:b/>
        <w:bCs/>
        <w:spacing w:val="-2"/>
        <w:w w:val="99"/>
        <w:sz w:val="32"/>
        <w:szCs w:val="32"/>
        <w:lang w:val="zh-CN" w:eastAsia="zh-CN" w:bidi="zh-CN"/>
      </w:rPr>
    </w:lvl>
    <w:lvl w:ilvl="1" w:tentative="0">
      <w:start w:val="1"/>
      <w:numFmt w:val="decimal"/>
      <w:lvlText w:val="%1.%2"/>
      <w:lvlJc w:val="left"/>
      <w:pPr>
        <w:ind w:left="866" w:hanging="490"/>
      </w:pPr>
      <w:rPr>
        <w:rFonts w:hint="default" w:ascii="Times New Roman" w:hAnsi="Times New Roman" w:eastAsia="Times New Roman" w:cs="Times New Roman"/>
        <w:spacing w:val="-1"/>
        <w:w w:val="100"/>
        <w:sz w:val="28"/>
        <w:szCs w:val="28"/>
        <w:lang w:val="zh-CN" w:eastAsia="zh-CN" w:bidi="zh-CN"/>
      </w:rPr>
    </w:lvl>
    <w:lvl w:ilvl="2" w:tentative="0">
      <w:start w:val="1"/>
      <w:numFmt w:val="decimal"/>
      <w:lvlText w:val="%1.%2.%3"/>
      <w:lvlJc w:val="left"/>
      <w:pPr>
        <w:ind w:left="1184" w:hanging="525"/>
      </w:pPr>
      <w:rPr>
        <w:rFonts w:hint="default" w:ascii="Times New Roman" w:hAnsi="Times New Roman" w:eastAsia="Times New Roman" w:cs="Times New Roman"/>
        <w:spacing w:val="-2"/>
        <w:w w:val="100"/>
        <w:sz w:val="21"/>
        <w:szCs w:val="21"/>
        <w:lang w:val="zh-CN" w:eastAsia="zh-CN" w:bidi="zh-CN"/>
      </w:rPr>
    </w:lvl>
    <w:lvl w:ilvl="3" w:tentative="0">
      <w:start w:val="0"/>
      <w:numFmt w:val="bullet"/>
      <w:lvlText w:val="•"/>
      <w:lvlJc w:val="left"/>
      <w:pPr>
        <w:ind w:left="1180" w:hanging="525"/>
      </w:pPr>
      <w:rPr>
        <w:rFonts w:hint="default"/>
        <w:lang w:val="zh-CN" w:eastAsia="zh-CN" w:bidi="zh-CN"/>
      </w:rPr>
    </w:lvl>
    <w:lvl w:ilvl="4" w:tentative="0">
      <w:start w:val="0"/>
      <w:numFmt w:val="bullet"/>
      <w:lvlText w:val="•"/>
      <w:lvlJc w:val="left"/>
      <w:pPr>
        <w:ind w:left="2380" w:hanging="525"/>
      </w:pPr>
      <w:rPr>
        <w:rFonts w:hint="default"/>
        <w:lang w:val="zh-CN" w:eastAsia="zh-CN" w:bidi="zh-CN"/>
      </w:rPr>
    </w:lvl>
    <w:lvl w:ilvl="5" w:tentative="0">
      <w:start w:val="0"/>
      <w:numFmt w:val="bullet"/>
      <w:lvlText w:val="•"/>
      <w:lvlJc w:val="left"/>
      <w:pPr>
        <w:ind w:left="3580" w:hanging="525"/>
      </w:pPr>
      <w:rPr>
        <w:rFonts w:hint="default"/>
        <w:lang w:val="zh-CN" w:eastAsia="zh-CN" w:bidi="zh-CN"/>
      </w:rPr>
    </w:lvl>
    <w:lvl w:ilvl="6" w:tentative="0">
      <w:start w:val="0"/>
      <w:numFmt w:val="bullet"/>
      <w:lvlText w:val="•"/>
      <w:lvlJc w:val="left"/>
      <w:pPr>
        <w:ind w:left="4780" w:hanging="525"/>
      </w:pPr>
      <w:rPr>
        <w:rFonts w:hint="default"/>
        <w:lang w:val="zh-CN" w:eastAsia="zh-CN" w:bidi="zh-CN"/>
      </w:rPr>
    </w:lvl>
    <w:lvl w:ilvl="7" w:tentative="0">
      <w:start w:val="0"/>
      <w:numFmt w:val="bullet"/>
      <w:lvlText w:val="•"/>
      <w:lvlJc w:val="left"/>
      <w:pPr>
        <w:ind w:left="5980" w:hanging="525"/>
      </w:pPr>
      <w:rPr>
        <w:rFonts w:hint="default"/>
        <w:lang w:val="zh-CN" w:eastAsia="zh-CN" w:bidi="zh-CN"/>
      </w:rPr>
    </w:lvl>
    <w:lvl w:ilvl="8" w:tentative="0">
      <w:start w:val="0"/>
      <w:numFmt w:val="bullet"/>
      <w:lvlText w:val="•"/>
      <w:lvlJc w:val="left"/>
      <w:pPr>
        <w:ind w:left="7180" w:hanging="525"/>
      </w:pPr>
      <w:rPr>
        <w:rFonts w:hint="default"/>
        <w:lang w:val="zh-CN" w:eastAsia="zh-CN" w:bidi="zh-CN"/>
      </w:rPr>
    </w:lvl>
  </w:abstractNum>
  <w:abstractNum w:abstractNumId="1">
    <w:nsid w:val="B23A94A9"/>
    <w:multiLevelType w:val="multilevel"/>
    <w:tmpl w:val="B23A94A9"/>
    <w:lvl w:ilvl="0" w:tentative="0">
      <w:start w:val="1"/>
      <w:numFmt w:val="decimal"/>
      <w:lvlText w:val="%1."/>
      <w:lvlJc w:val="left"/>
      <w:pPr>
        <w:ind w:left="240" w:hanging="317"/>
      </w:pPr>
      <w:rPr>
        <w:rFonts w:hint="default" w:ascii="Times New Roman" w:hAnsi="Times New Roman" w:eastAsia="Times New Roman" w:cs="Times New Roman"/>
        <w:spacing w:val="-56"/>
        <w:w w:val="100"/>
        <w:sz w:val="19"/>
        <w:szCs w:val="19"/>
        <w:lang w:val="zh-CN" w:eastAsia="zh-CN" w:bidi="zh-CN"/>
      </w:rPr>
    </w:lvl>
    <w:lvl w:ilvl="1" w:tentative="0">
      <w:start w:val="1"/>
      <w:numFmt w:val="decimal"/>
      <w:lvlText w:val="（%2）"/>
      <w:lvlJc w:val="left"/>
      <w:pPr>
        <w:ind w:left="1605" w:hanging="526"/>
      </w:pPr>
      <w:rPr>
        <w:rFonts w:hint="default" w:ascii="宋体" w:hAnsi="宋体" w:eastAsia="宋体" w:cs="宋体"/>
        <w:spacing w:val="-1"/>
        <w:w w:val="100"/>
        <w:sz w:val="19"/>
        <w:szCs w:val="19"/>
        <w:lang w:val="zh-CN" w:eastAsia="zh-CN" w:bidi="zh-CN"/>
      </w:rPr>
    </w:lvl>
    <w:lvl w:ilvl="2" w:tentative="0">
      <w:start w:val="0"/>
      <w:numFmt w:val="bullet"/>
      <w:lvlText w:val="•"/>
      <w:lvlJc w:val="left"/>
      <w:pPr>
        <w:ind w:left="2486" w:hanging="526"/>
      </w:pPr>
      <w:rPr>
        <w:rFonts w:hint="default"/>
        <w:lang w:val="zh-CN" w:eastAsia="zh-CN" w:bidi="zh-CN"/>
      </w:rPr>
    </w:lvl>
    <w:lvl w:ilvl="3" w:tentative="0">
      <w:start w:val="0"/>
      <w:numFmt w:val="bullet"/>
      <w:lvlText w:val="•"/>
      <w:lvlJc w:val="left"/>
      <w:pPr>
        <w:ind w:left="3373" w:hanging="526"/>
      </w:pPr>
      <w:rPr>
        <w:rFonts w:hint="default"/>
        <w:lang w:val="zh-CN" w:eastAsia="zh-CN" w:bidi="zh-CN"/>
      </w:rPr>
    </w:lvl>
    <w:lvl w:ilvl="4" w:tentative="0">
      <w:start w:val="0"/>
      <w:numFmt w:val="bullet"/>
      <w:lvlText w:val="•"/>
      <w:lvlJc w:val="left"/>
      <w:pPr>
        <w:ind w:left="4260" w:hanging="526"/>
      </w:pPr>
      <w:rPr>
        <w:rFonts w:hint="default"/>
        <w:lang w:val="zh-CN" w:eastAsia="zh-CN" w:bidi="zh-CN"/>
      </w:rPr>
    </w:lvl>
    <w:lvl w:ilvl="5" w:tentative="0">
      <w:start w:val="0"/>
      <w:numFmt w:val="bullet"/>
      <w:lvlText w:val="•"/>
      <w:lvlJc w:val="left"/>
      <w:pPr>
        <w:ind w:left="5146" w:hanging="526"/>
      </w:pPr>
      <w:rPr>
        <w:rFonts w:hint="default"/>
        <w:lang w:val="zh-CN" w:eastAsia="zh-CN" w:bidi="zh-CN"/>
      </w:rPr>
    </w:lvl>
    <w:lvl w:ilvl="6" w:tentative="0">
      <w:start w:val="0"/>
      <w:numFmt w:val="bullet"/>
      <w:lvlText w:val="•"/>
      <w:lvlJc w:val="left"/>
      <w:pPr>
        <w:ind w:left="6033" w:hanging="526"/>
      </w:pPr>
      <w:rPr>
        <w:rFonts w:hint="default"/>
        <w:lang w:val="zh-CN" w:eastAsia="zh-CN" w:bidi="zh-CN"/>
      </w:rPr>
    </w:lvl>
    <w:lvl w:ilvl="7" w:tentative="0">
      <w:start w:val="0"/>
      <w:numFmt w:val="bullet"/>
      <w:lvlText w:val="•"/>
      <w:lvlJc w:val="left"/>
      <w:pPr>
        <w:ind w:left="6920" w:hanging="526"/>
      </w:pPr>
      <w:rPr>
        <w:rFonts w:hint="default"/>
        <w:lang w:val="zh-CN" w:eastAsia="zh-CN" w:bidi="zh-CN"/>
      </w:rPr>
    </w:lvl>
    <w:lvl w:ilvl="8" w:tentative="0">
      <w:start w:val="0"/>
      <w:numFmt w:val="bullet"/>
      <w:lvlText w:val="•"/>
      <w:lvlJc w:val="left"/>
      <w:pPr>
        <w:ind w:left="7806" w:hanging="526"/>
      </w:pPr>
      <w:rPr>
        <w:rFonts w:hint="default"/>
        <w:lang w:val="zh-CN" w:eastAsia="zh-CN" w:bidi="zh-CN"/>
      </w:rPr>
    </w:lvl>
  </w:abstractNum>
  <w:abstractNum w:abstractNumId="2">
    <w:nsid w:val="BE923771"/>
    <w:multiLevelType w:val="multilevel"/>
    <w:tmpl w:val="BE923771"/>
    <w:lvl w:ilvl="0" w:tentative="0">
      <w:start w:val="3"/>
      <w:numFmt w:val="decimal"/>
      <w:lvlText w:val="%1"/>
      <w:lvlJc w:val="left"/>
      <w:pPr>
        <w:ind w:left="866" w:hanging="490"/>
      </w:pPr>
      <w:rPr>
        <w:rFonts w:hint="default"/>
        <w:lang w:val="zh-CN" w:eastAsia="zh-CN" w:bidi="zh-CN"/>
      </w:rPr>
    </w:lvl>
    <w:lvl w:ilvl="1" w:tentative="0">
      <w:start w:val="5"/>
      <w:numFmt w:val="decimal"/>
      <w:lvlText w:val="%1.%2"/>
      <w:lvlJc w:val="left"/>
      <w:pPr>
        <w:ind w:left="866" w:hanging="490"/>
      </w:pPr>
      <w:rPr>
        <w:rFonts w:hint="default" w:ascii="Times New Roman" w:hAnsi="Times New Roman" w:eastAsia="Times New Roman" w:cs="Times New Roman"/>
        <w:spacing w:val="-1"/>
        <w:w w:val="100"/>
        <w:sz w:val="28"/>
        <w:szCs w:val="28"/>
        <w:lang w:val="zh-CN" w:eastAsia="zh-CN" w:bidi="zh-CN"/>
      </w:rPr>
    </w:lvl>
    <w:lvl w:ilvl="2" w:tentative="0">
      <w:start w:val="1"/>
      <w:numFmt w:val="decimal"/>
      <w:lvlText w:val="%1.%2.%3"/>
      <w:lvlJc w:val="left"/>
      <w:pPr>
        <w:ind w:left="239" w:hanging="476"/>
      </w:pPr>
      <w:rPr>
        <w:rFonts w:hint="default" w:ascii="Times New Roman" w:hAnsi="Times New Roman" w:eastAsia="Times New Roman" w:cs="Times New Roman"/>
        <w:spacing w:val="-2"/>
        <w:w w:val="100"/>
        <w:sz w:val="21"/>
        <w:szCs w:val="21"/>
        <w:lang w:val="zh-CN" w:eastAsia="zh-CN" w:bidi="zh-CN"/>
      </w:rPr>
    </w:lvl>
    <w:lvl w:ilvl="3" w:tentative="0">
      <w:start w:val="0"/>
      <w:numFmt w:val="bullet"/>
      <w:lvlText w:val="•"/>
      <w:lvlJc w:val="left"/>
      <w:pPr>
        <w:ind w:left="2797" w:hanging="476"/>
      </w:pPr>
      <w:rPr>
        <w:rFonts w:hint="default"/>
        <w:lang w:val="zh-CN" w:eastAsia="zh-CN" w:bidi="zh-CN"/>
      </w:rPr>
    </w:lvl>
    <w:lvl w:ilvl="4" w:tentative="0">
      <w:start w:val="0"/>
      <w:numFmt w:val="bullet"/>
      <w:lvlText w:val="•"/>
      <w:lvlJc w:val="left"/>
      <w:pPr>
        <w:ind w:left="3766" w:hanging="476"/>
      </w:pPr>
      <w:rPr>
        <w:rFonts w:hint="default"/>
        <w:lang w:val="zh-CN" w:eastAsia="zh-CN" w:bidi="zh-CN"/>
      </w:rPr>
    </w:lvl>
    <w:lvl w:ilvl="5" w:tentative="0">
      <w:start w:val="0"/>
      <w:numFmt w:val="bullet"/>
      <w:lvlText w:val="•"/>
      <w:lvlJc w:val="left"/>
      <w:pPr>
        <w:ind w:left="4735" w:hanging="476"/>
      </w:pPr>
      <w:rPr>
        <w:rFonts w:hint="default"/>
        <w:lang w:val="zh-CN" w:eastAsia="zh-CN" w:bidi="zh-CN"/>
      </w:rPr>
    </w:lvl>
    <w:lvl w:ilvl="6" w:tentative="0">
      <w:start w:val="0"/>
      <w:numFmt w:val="bullet"/>
      <w:lvlText w:val="•"/>
      <w:lvlJc w:val="left"/>
      <w:pPr>
        <w:ind w:left="5704" w:hanging="476"/>
      </w:pPr>
      <w:rPr>
        <w:rFonts w:hint="default"/>
        <w:lang w:val="zh-CN" w:eastAsia="zh-CN" w:bidi="zh-CN"/>
      </w:rPr>
    </w:lvl>
    <w:lvl w:ilvl="7" w:tentative="0">
      <w:start w:val="0"/>
      <w:numFmt w:val="bullet"/>
      <w:lvlText w:val="•"/>
      <w:lvlJc w:val="left"/>
      <w:pPr>
        <w:ind w:left="6673" w:hanging="476"/>
      </w:pPr>
      <w:rPr>
        <w:rFonts w:hint="default"/>
        <w:lang w:val="zh-CN" w:eastAsia="zh-CN" w:bidi="zh-CN"/>
      </w:rPr>
    </w:lvl>
    <w:lvl w:ilvl="8" w:tentative="0">
      <w:start w:val="0"/>
      <w:numFmt w:val="bullet"/>
      <w:lvlText w:val="•"/>
      <w:lvlJc w:val="left"/>
      <w:pPr>
        <w:ind w:left="7642" w:hanging="476"/>
      </w:pPr>
      <w:rPr>
        <w:rFonts w:hint="default"/>
        <w:lang w:val="zh-CN" w:eastAsia="zh-CN" w:bidi="zh-CN"/>
      </w:rPr>
    </w:lvl>
  </w:abstractNum>
  <w:abstractNum w:abstractNumId="3">
    <w:nsid w:val="E093A4B0"/>
    <w:multiLevelType w:val="multilevel"/>
    <w:tmpl w:val="E093A4B0"/>
    <w:lvl w:ilvl="0" w:tentative="0">
      <w:start w:val="1"/>
      <w:numFmt w:val="decimal"/>
      <w:lvlText w:val="（%1）"/>
      <w:lvlJc w:val="left"/>
      <w:pPr>
        <w:ind w:left="1185" w:hanging="526"/>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020" w:hanging="526"/>
      </w:pPr>
      <w:rPr>
        <w:rFonts w:hint="default"/>
        <w:lang w:val="zh-CN" w:eastAsia="zh-CN" w:bidi="zh-CN"/>
      </w:rPr>
    </w:lvl>
    <w:lvl w:ilvl="2" w:tentative="0">
      <w:start w:val="0"/>
      <w:numFmt w:val="bullet"/>
      <w:lvlText w:val="•"/>
      <w:lvlJc w:val="left"/>
      <w:pPr>
        <w:ind w:left="2860" w:hanging="526"/>
      </w:pPr>
      <w:rPr>
        <w:rFonts w:hint="default"/>
        <w:lang w:val="zh-CN" w:eastAsia="zh-CN" w:bidi="zh-CN"/>
      </w:rPr>
    </w:lvl>
    <w:lvl w:ilvl="3" w:tentative="0">
      <w:start w:val="0"/>
      <w:numFmt w:val="bullet"/>
      <w:lvlText w:val="•"/>
      <w:lvlJc w:val="left"/>
      <w:pPr>
        <w:ind w:left="3700" w:hanging="526"/>
      </w:pPr>
      <w:rPr>
        <w:rFonts w:hint="default"/>
        <w:lang w:val="zh-CN" w:eastAsia="zh-CN" w:bidi="zh-CN"/>
      </w:rPr>
    </w:lvl>
    <w:lvl w:ilvl="4" w:tentative="0">
      <w:start w:val="0"/>
      <w:numFmt w:val="bullet"/>
      <w:lvlText w:val="•"/>
      <w:lvlJc w:val="left"/>
      <w:pPr>
        <w:ind w:left="4540" w:hanging="526"/>
      </w:pPr>
      <w:rPr>
        <w:rFonts w:hint="default"/>
        <w:lang w:val="zh-CN" w:eastAsia="zh-CN" w:bidi="zh-CN"/>
      </w:rPr>
    </w:lvl>
    <w:lvl w:ilvl="5" w:tentative="0">
      <w:start w:val="0"/>
      <w:numFmt w:val="bullet"/>
      <w:lvlText w:val="•"/>
      <w:lvlJc w:val="left"/>
      <w:pPr>
        <w:ind w:left="5380" w:hanging="526"/>
      </w:pPr>
      <w:rPr>
        <w:rFonts w:hint="default"/>
        <w:lang w:val="zh-CN" w:eastAsia="zh-CN" w:bidi="zh-CN"/>
      </w:rPr>
    </w:lvl>
    <w:lvl w:ilvl="6" w:tentative="0">
      <w:start w:val="0"/>
      <w:numFmt w:val="bullet"/>
      <w:lvlText w:val="•"/>
      <w:lvlJc w:val="left"/>
      <w:pPr>
        <w:ind w:left="6220" w:hanging="526"/>
      </w:pPr>
      <w:rPr>
        <w:rFonts w:hint="default"/>
        <w:lang w:val="zh-CN" w:eastAsia="zh-CN" w:bidi="zh-CN"/>
      </w:rPr>
    </w:lvl>
    <w:lvl w:ilvl="7" w:tentative="0">
      <w:start w:val="0"/>
      <w:numFmt w:val="bullet"/>
      <w:lvlText w:val="•"/>
      <w:lvlJc w:val="left"/>
      <w:pPr>
        <w:ind w:left="7060" w:hanging="526"/>
      </w:pPr>
      <w:rPr>
        <w:rFonts w:hint="default"/>
        <w:lang w:val="zh-CN" w:eastAsia="zh-CN" w:bidi="zh-CN"/>
      </w:rPr>
    </w:lvl>
    <w:lvl w:ilvl="8" w:tentative="0">
      <w:start w:val="0"/>
      <w:numFmt w:val="bullet"/>
      <w:lvlText w:val="•"/>
      <w:lvlJc w:val="left"/>
      <w:pPr>
        <w:ind w:left="7900" w:hanging="526"/>
      </w:pPr>
      <w:rPr>
        <w:rFonts w:hint="default"/>
        <w:lang w:val="zh-CN" w:eastAsia="zh-CN" w:bidi="zh-CN"/>
      </w:rPr>
    </w:lvl>
  </w:abstractNum>
  <w:abstractNum w:abstractNumId="4">
    <w:nsid w:val="E2D60BDA"/>
    <w:multiLevelType w:val="singleLevel"/>
    <w:tmpl w:val="E2D60BDA"/>
    <w:lvl w:ilvl="0" w:tentative="0">
      <w:start w:val="1"/>
      <w:numFmt w:val="decimal"/>
      <w:suff w:val="nothing"/>
      <w:lvlText w:val="（%1）"/>
      <w:lvlJc w:val="left"/>
    </w:lvl>
  </w:abstractNum>
  <w:abstractNum w:abstractNumId="5">
    <w:nsid w:val="FD1F5A5B"/>
    <w:multiLevelType w:val="singleLevel"/>
    <w:tmpl w:val="FD1F5A5B"/>
    <w:lvl w:ilvl="0" w:tentative="0">
      <w:start w:val="1"/>
      <w:numFmt w:val="decimal"/>
      <w:suff w:val="nothing"/>
      <w:lvlText w:val="（%1）"/>
      <w:lvlJc w:val="left"/>
    </w:lvl>
  </w:abstractNum>
  <w:abstractNum w:abstractNumId="6">
    <w:nsid w:val="0D90651B"/>
    <w:multiLevelType w:val="singleLevel"/>
    <w:tmpl w:val="0D90651B"/>
    <w:lvl w:ilvl="0" w:tentative="0">
      <w:start w:val="1"/>
      <w:numFmt w:val="chineseCounting"/>
      <w:suff w:val="nothing"/>
      <w:lvlText w:val="（%1）"/>
      <w:lvlJc w:val="left"/>
      <w:rPr>
        <w:rFonts w:hint="eastAsia"/>
      </w:rPr>
    </w:lvl>
  </w:abstractNum>
  <w:abstractNum w:abstractNumId="7">
    <w:nsid w:val="243FCF68"/>
    <w:multiLevelType w:val="multilevel"/>
    <w:tmpl w:val="243FCF68"/>
    <w:lvl w:ilvl="0" w:tentative="0">
      <w:start w:val="1"/>
      <w:numFmt w:val="decimal"/>
      <w:lvlText w:val="（%1）"/>
      <w:lvlJc w:val="left"/>
      <w:pPr>
        <w:ind w:left="1185" w:hanging="526"/>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020" w:hanging="526"/>
      </w:pPr>
      <w:rPr>
        <w:rFonts w:hint="default"/>
        <w:lang w:val="zh-CN" w:eastAsia="zh-CN" w:bidi="zh-CN"/>
      </w:rPr>
    </w:lvl>
    <w:lvl w:ilvl="2" w:tentative="0">
      <w:start w:val="0"/>
      <w:numFmt w:val="bullet"/>
      <w:lvlText w:val="•"/>
      <w:lvlJc w:val="left"/>
      <w:pPr>
        <w:ind w:left="2860" w:hanging="526"/>
      </w:pPr>
      <w:rPr>
        <w:rFonts w:hint="default"/>
        <w:lang w:val="zh-CN" w:eastAsia="zh-CN" w:bidi="zh-CN"/>
      </w:rPr>
    </w:lvl>
    <w:lvl w:ilvl="3" w:tentative="0">
      <w:start w:val="0"/>
      <w:numFmt w:val="bullet"/>
      <w:lvlText w:val="•"/>
      <w:lvlJc w:val="left"/>
      <w:pPr>
        <w:ind w:left="3700" w:hanging="526"/>
      </w:pPr>
      <w:rPr>
        <w:rFonts w:hint="default"/>
        <w:lang w:val="zh-CN" w:eastAsia="zh-CN" w:bidi="zh-CN"/>
      </w:rPr>
    </w:lvl>
    <w:lvl w:ilvl="4" w:tentative="0">
      <w:start w:val="0"/>
      <w:numFmt w:val="bullet"/>
      <w:lvlText w:val="•"/>
      <w:lvlJc w:val="left"/>
      <w:pPr>
        <w:ind w:left="4540" w:hanging="526"/>
      </w:pPr>
      <w:rPr>
        <w:rFonts w:hint="default"/>
        <w:lang w:val="zh-CN" w:eastAsia="zh-CN" w:bidi="zh-CN"/>
      </w:rPr>
    </w:lvl>
    <w:lvl w:ilvl="5" w:tentative="0">
      <w:start w:val="0"/>
      <w:numFmt w:val="bullet"/>
      <w:lvlText w:val="•"/>
      <w:lvlJc w:val="left"/>
      <w:pPr>
        <w:ind w:left="5380" w:hanging="526"/>
      </w:pPr>
      <w:rPr>
        <w:rFonts w:hint="default"/>
        <w:lang w:val="zh-CN" w:eastAsia="zh-CN" w:bidi="zh-CN"/>
      </w:rPr>
    </w:lvl>
    <w:lvl w:ilvl="6" w:tentative="0">
      <w:start w:val="0"/>
      <w:numFmt w:val="bullet"/>
      <w:lvlText w:val="•"/>
      <w:lvlJc w:val="left"/>
      <w:pPr>
        <w:ind w:left="6220" w:hanging="526"/>
      </w:pPr>
      <w:rPr>
        <w:rFonts w:hint="default"/>
        <w:lang w:val="zh-CN" w:eastAsia="zh-CN" w:bidi="zh-CN"/>
      </w:rPr>
    </w:lvl>
    <w:lvl w:ilvl="7" w:tentative="0">
      <w:start w:val="0"/>
      <w:numFmt w:val="bullet"/>
      <w:lvlText w:val="•"/>
      <w:lvlJc w:val="left"/>
      <w:pPr>
        <w:ind w:left="7060" w:hanging="526"/>
      </w:pPr>
      <w:rPr>
        <w:rFonts w:hint="default"/>
        <w:lang w:val="zh-CN" w:eastAsia="zh-CN" w:bidi="zh-CN"/>
      </w:rPr>
    </w:lvl>
    <w:lvl w:ilvl="8" w:tentative="0">
      <w:start w:val="0"/>
      <w:numFmt w:val="bullet"/>
      <w:lvlText w:val="•"/>
      <w:lvlJc w:val="left"/>
      <w:pPr>
        <w:ind w:left="7900" w:hanging="526"/>
      </w:pPr>
      <w:rPr>
        <w:rFonts w:hint="default"/>
        <w:lang w:val="zh-CN" w:eastAsia="zh-CN" w:bidi="zh-CN"/>
      </w:rPr>
    </w:lvl>
  </w:abstractNum>
  <w:abstractNum w:abstractNumId="8">
    <w:nsid w:val="4C1BAE26"/>
    <w:multiLevelType w:val="multilevel"/>
    <w:tmpl w:val="4C1BAE26"/>
    <w:lvl w:ilvl="0" w:tentative="0">
      <w:start w:val="1"/>
      <w:numFmt w:val="decimal"/>
      <w:lvlText w:val="%1."/>
      <w:lvlJc w:val="left"/>
      <w:pPr>
        <w:ind w:left="639" w:hanging="400"/>
      </w:pPr>
      <w:rPr>
        <w:rFonts w:hint="default" w:cs="Times New Roman" w:asciiTheme="majorEastAsia" w:hAnsiTheme="majorEastAsia" w:eastAsiaTheme="majorEastAsia"/>
        <w:b/>
        <w:bCs/>
        <w:spacing w:val="-2"/>
        <w:w w:val="99"/>
        <w:sz w:val="32"/>
        <w:szCs w:val="32"/>
        <w:lang w:val="zh-CN" w:eastAsia="zh-CN" w:bidi="zh-CN"/>
      </w:rPr>
    </w:lvl>
    <w:lvl w:ilvl="1" w:tentative="0">
      <w:start w:val="1"/>
      <w:numFmt w:val="decimal"/>
      <w:lvlText w:val="%1.%2"/>
      <w:lvlJc w:val="left"/>
      <w:pPr>
        <w:ind w:left="916" w:hanging="490"/>
      </w:pPr>
      <w:rPr>
        <w:rFonts w:hint="default" w:cs="Times New Roman" w:asciiTheme="majorEastAsia" w:hAnsiTheme="majorEastAsia" w:eastAsiaTheme="majorEastAsia"/>
        <w:b/>
        <w:spacing w:val="-1"/>
        <w:w w:val="100"/>
        <w:sz w:val="28"/>
        <w:szCs w:val="28"/>
        <w:lang w:val="zh-CN" w:eastAsia="zh-CN" w:bidi="zh-CN"/>
      </w:rPr>
    </w:lvl>
    <w:lvl w:ilvl="2" w:tentative="0">
      <w:start w:val="1"/>
      <w:numFmt w:val="decimal"/>
      <w:lvlText w:val="%1.%2.%3"/>
      <w:lvlJc w:val="left"/>
      <w:pPr>
        <w:ind w:left="240" w:hanging="472"/>
      </w:pPr>
      <w:rPr>
        <w:rFonts w:hint="default" w:ascii="宋体" w:hAnsi="宋体" w:eastAsia="宋体" w:cs="宋体"/>
        <w:spacing w:val="-2"/>
        <w:w w:val="100"/>
        <w:sz w:val="21"/>
        <w:szCs w:val="21"/>
        <w:lang w:val="zh-CN" w:eastAsia="zh-CN" w:bidi="zh-CN"/>
      </w:rPr>
    </w:lvl>
    <w:lvl w:ilvl="3" w:tentative="0">
      <w:start w:val="1"/>
      <w:numFmt w:val="decimal"/>
      <w:lvlText w:val="（%4）"/>
      <w:lvlJc w:val="left"/>
      <w:pPr>
        <w:ind w:left="1484" w:hanging="527"/>
      </w:pPr>
      <w:rPr>
        <w:rFonts w:hint="default" w:ascii="宋体" w:hAnsi="宋体" w:eastAsia="宋体" w:cs="宋体"/>
        <w:w w:val="100"/>
        <w:sz w:val="19"/>
        <w:szCs w:val="19"/>
        <w:lang w:val="zh-CN" w:eastAsia="zh-CN" w:bidi="zh-CN"/>
      </w:rPr>
    </w:lvl>
    <w:lvl w:ilvl="4" w:tentative="0">
      <w:start w:val="0"/>
      <w:numFmt w:val="bullet"/>
      <w:lvlText w:val="•"/>
      <w:lvlJc w:val="left"/>
      <w:pPr>
        <w:ind w:left="1480" w:hanging="527"/>
      </w:pPr>
      <w:rPr>
        <w:rFonts w:hint="default"/>
        <w:lang w:val="zh-CN" w:eastAsia="zh-CN" w:bidi="zh-CN"/>
      </w:rPr>
    </w:lvl>
    <w:lvl w:ilvl="5" w:tentative="0">
      <w:start w:val="0"/>
      <w:numFmt w:val="bullet"/>
      <w:lvlText w:val="•"/>
      <w:lvlJc w:val="left"/>
      <w:pPr>
        <w:ind w:left="2830" w:hanging="527"/>
      </w:pPr>
      <w:rPr>
        <w:rFonts w:hint="default"/>
        <w:lang w:val="zh-CN" w:eastAsia="zh-CN" w:bidi="zh-CN"/>
      </w:rPr>
    </w:lvl>
    <w:lvl w:ilvl="6" w:tentative="0">
      <w:start w:val="0"/>
      <w:numFmt w:val="bullet"/>
      <w:lvlText w:val="•"/>
      <w:lvlJc w:val="left"/>
      <w:pPr>
        <w:ind w:left="4180" w:hanging="527"/>
      </w:pPr>
      <w:rPr>
        <w:rFonts w:hint="default"/>
        <w:lang w:val="zh-CN" w:eastAsia="zh-CN" w:bidi="zh-CN"/>
      </w:rPr>
    </w:lvl>
    <w:lvl w:ilvl="7" w:tentative="0">
      <w:start w:val="0"/>
      <w:numFmt w:val="bullet"/>
      <w:lvlText w:val="•"/>
      <w:lvlJc w:val="left"/>
      <w:pPr>
        <w:ind w:left="5530" w:hanging="527"/>
      </w:pPr>
      <w:rPr>
        <w:rFonts w:hint="default"/>
        <w:lang w:val="zh-CN" w:eastAsia="zh-CN" w:bidi="zh-CN"/>
      </w:rPr>
    </w:lvl>
    <w:lvl w:ilvl="8" w:tentative="0">
      <w:start w:val="0"/>
      <w:numFmt w:val="bullet"/>
      <w:lvlText w:val="•"/>
      <w:lvlJc w:val="left"/>
      <w:pPr>
        <w:ind w:left="6880" w:hanging="527"/>
      </w:pPr>
      <w:rPr>
        <w:rFonts w:hint="default"/>
        <w:lang w:val="zh-CN" w:eastAsia="zh-CN" w:bidi="zh-CN"/>
      </w:rPr>
    </w:lvl>
  </w:abstractNum>
  <w:abstractNum w:abstractNumId="9">
    <w:nsid w:val="4D94DA66"/>
    <w:multiLevelType w:val="multilevel"/>
    <w:tmpl w:val="4D94DA66"/>
    <w:lvl w:ilvl="0" w:tentative="0">
      <w:start w:val="1"/>
      <w:numFmt w:val="decimal"/>
      <w:lvlText w:val="（%1）"/>
      <w:lvlJc w:val="left"/>
      <w:pPr>
        <w:ind w:left="1185" w:hanging="526"/>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020" w:hanging="526"/>
      </w:pPr>
      <w:rPr>
        <w:rFonts w:hint="default"/>
        <w:lang w:val="zh-CN" w:eastAsia="zh-CN" w:bidi="zh-CN"/>
      </w:rPr>
    </w:lvl>
    <w:lvl w:ilvl="2" w:tentative="0">
      <w:start w:val="0"/>
      <w:numFmt w:val="bullet"/>
      <w:lvlText w:val="•"/>
      <w:lvlJc w:val="left"/>
      <w:pPr>
        <w:ind w:left="2860" w:hanging="526"/>
      </w:pPr>
      <w:rPr>
        <w:rFonts w:hint="default"/>
        <w:lang w:val="zh-CN" w:eastAsia="zh-CN" w:bidi="zh-CN"/>
      </w:rPr>
    </w:lvl>
    <w:lvl w:ilvl="3" w:tentative="0">
      <w:start w:val="0"/>
      <w:numFmt w:val="bullet"/>
      <w:lvlText w:val="•"/>
      <w:lvlJc w:val="left"/>
      <w:pPr>
        <w:ind w:left="3700" w:hanging="526"/>
      </w:pPr>
      <w:rPr>
        <w:rFonts w:hint="default"/>
        <w:lang w:val="zh-CN" w:eastAsia="zh-CN" w:bidi="zh-CN"/>
      </w:rPr>
    </w:lvl>
    <w:lvl w:ilvl="4" w:tentative="0">
      <w:start w:val="0"/>
      <w:numFmt w:val="bullet"/>
      <w:lvlText w:val="•"/>
      <w:lvlJc w:val="left"/>
      <w:pPr>
        <w:ind w:left="4540" w:hanging="526"/>
      </w:pPr>
      <w:rPr>
        <w:rFonts w:hint="default"/>
        <w:lang w:val="zh-CN" w:eastAsia="zh-CN" w:bidi="zh-CN"/>
      </w:rPr>
    </w:lvl>
    <w:lvl w:ilvl="5" w:tentative="0">
      <w:start w:val="0"/>
      <w:numFmt w:val="bullet"/>
      <w:lvlText w:val="•"/>
      <w:lvlJc w:val="left"/>
      <w:pPr>
        <w:ind w:left="5380" w:hanging="526"/>
      </w:pPr>
      <w:rPr>
        <w:rFonts w:hint="default"/>
        <w:lang w:val="zh-CN" w:eastAsia="zh-CN" w:bidi="zh-CN"/>
      </w:rPr>
    </w:lvl>
    <w:lvl w:ilvl="6" w:tentative="0">
      <w:start w:val="0"/>
      <w:numFmt w:val="bullet"/>
      <w:lvlText w:val="•"/>
      <w:lvlJc w:val="left"/>
      <w:pPr>
        <w:ind w:left="6220" w:hanging="526"/>
      </w:pPr>
      <w:rPr>
        <w:rFonts w:hint="default"/>
        <w:lang w:val="zh-CN" w:eastAsia="zh-CN" w:bidi="zh-CN"/>
      </w:rPr>
    </w:lvl>
    <w:lvl w:ilvl="7" w:tentative="0">
      <w:start w:val="0"/>
      <w:numFmt w:val="bullet"/>
      <w:lvlText w:val="•"/>
      <w:lvlJc w:val="left"/>
      <w:pPr>
        <w:ind w:left="7060" w:hanging="526"/>
      </w:pPr>
      <w:rPr>
        <w:rFonts w:hint="default"/>
        <w:lang w:val="zh-CN" w:eastAsia="zh-CN" w:bidi="zh-CN"/>
      </w:rPr>
    </w:lvl>
    <w:lvl w:ilvl="8" w:tentative="0">
      <w:start w:val="0"/>
      <w:numFmt w:val="bullet"/>
      <w:lvlText w:val="•"/>
      <w:lvlJc w:val="left"/>
      <w:pPr>
        <w:ind w:left="7900" w:hanging="526"/>
      </w:pPr>
      <w:rPr>
        <w:rFonts w:hint="default"/>
        <w:lang w:val="zh-CN" w:eastAsia="zh-CN" w:bidi="zh-CN"/>
      </w:rPr>
    </w:lvl>
  </w:abstractNum>
  <w:abstractNum w:abstractNumId="10">
    <w:nsid w:val="553060F4"/>
    <w:multiLevelType w:val="singleLevel"/>
    <w:tmpl w:val="553060F4"/>
    <w:lvl w:ilvl="0" w:tentative="0">
      <w:start w:val="1"/>
      <w:numFmt w:val="decimal"/>
      <w:suff w:val="nothing"/>
      <w:lvlText w:val="（%1）"/>
      <w:lvlJc w:val="left"/>
    </w:lvl>
  </w:abstractNum>
  <w:abstractNum w:abstractNumId="11">
    <w:nsid w:val="79D6344B"/>
    <w:multiLevelType w:val="singleLevel"/>
    <w:tmpl w:val="79D6344B"/>
    <w:lvl w:ilvl="0" w:tentative="0">
      <w:start w:val="1"/>
      <w:numFmt w:val="chineseCounting"/>
      <w:suff w:val="nothing"/>
      <w:lvlText w:val="（%1）"/>
      <w:lvlJc w:val="left"/>
      <w:rPr>
        <w:rFonts w:hint="eastAsia"/>
      </w:rPr>
    </w:lvl>
  </w:abstractNum>
  <w:abstractNum w:abstractNumId="12">
    <w:nsid w:val="7B98FFF8"/>
    <w:multiLevelType w:val="singleLevel"/>
    <w:tmpl w:val="7B98FFF8"/>
    <w:lvl w:ilvl="0" w:tentative="0">
      <w:start w:val="1"/>
      <w:numFmt w:val="decimal"/>
      <w:suff w:val="nothing"/>
      <w:lvlText w:val="（%1）"/>
      <w:lvlJc w:val="left"/>
    </w:lvl>
  </w:abstractNum>
  <w:num w:numId="1">
    <w:abstractNumId w:val="4"/>
  </w:num>
  <w:num w:numId="2">
    <w:abstractNumId w:val="8"/>
  </w:num>
  <w:num w:numId="3">
    <w:abstractNumId w:val="2"/>
  </w:num>
  <w:num w:numId="4">
    <w:abstractNumId w:val="12"/>
  </w:num>
  <w:num w:numId="5">
    <w:abstractNumId w:val="0"/>
  </w:num>
  <w:num w:numId="6">
    <w:abstractNumId w:val="7"/>
  </w:num>
  <w:num w:numId="7">
    <w:abstractNumId w:val="9"/>
  </w:num>
  <w:num w:numId="8">
    <w:abstractNumId w:val="3"/>
  </w:num>
  <w:num w:numId="9">
    <w:abstractNumId w:val="10"/>
  </w:num>
  <w:num w:numId="10">
    <w:abstractNumId w:val="1"/>
  </w:num>
  <w:num w:numId="11">
    <w:abstractNumId w:val="6"/>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3MThjMjliMjljMWFhYzM3MDBlODFjYmM1NDg0NDcifQ=="/>
  </w:docVars>
  <w:rsids>
    <w:rsidRoot w:val="0022208C"/>
    <w:rsid w:val="0001304D"/>
    <w:rsid w:val="0002117A"/>
    <w:rsid w:val="000273CC"/>
    <w:rsid w:val="000A3DBA"/>
    <w:rsid w:val="000A7169"/>
    <w:rsid w:val="000C51DE"/>
    <w:rsid w:val="000E536E"/>
    <w:rsid w:val="000F1358"/>
    <w:rsid w:val="00130723"/>
    <w:rsid w:val="00136B5C"/>
    <w:rsid w:val="00137BF5"/>
    <w:rsid w:val="00161931"/>
    <w:rsid w:val="00165967"/>
    <w:rsid w:val="00186BF4"/>
    <w:rsid w:val="00193F04"/>
    <w:rsid w:val="001A4716"/>
    <w:rsid w:val="001C72C7"/>
    <w:rsid w:val="001F71D6"/>
    <w:rsid w:val="0022208C"/>
    <w:rsid w:val="00272B7E"/>
    <w:rsid w:val="00287D55"/>
    <w:rsid w:val="00292BAB"/>
    <w:rsid w:val="00292D0C"/>
    <w:rsid w:val="002B1D75"/>
    <w:rsid w:val="002C32E8"/>
    <w:rsid w:val="0032563C"/>
    <w:rsid w:val="00340950"/>
    <w:rsid w:val="0034245C"/>
    <w:rsid w:val="00364EA1"/>
    <w:rsid w:val="003654BE"/>
    <w:rsid w:val="003E7F84"/>
    <w:rsid w:val="003F774C"/>
    <w:rsid w:val="0040158D"/>
    <w:rsid w:val="00432E30"/>
    <w:rsid w:val="004350C5"/>
    <w:rsid w:val="004A590F"/>
    <w:rsid w:val="004B1B20"/>
    <w:rsid w:val="004B2B21"/>
    <w:rsid w:val="0052352E"/>
    <w:rsid w:val="00535E7A"/>
    <w:rsid w:val="00563274"/>
    <w:rsid w:val="0057729A"/>
    <w:rsid w:val="00580828"/>
    <w:rsid w:val="00597CC6"/>
    <w:rsid w:val="005A7574"/>
    <w:rsid w:val="005C3AB2"/>
    <w:rsid w:val="005C4CC9"/>
    <w:rsid w:val="006064D7"/>
    <w:rsid w:val="00637E3E"/>
    <w:rsid w:val="00642830"/>
    <w:rsid w:val="006A4922"/>
    <w:rsid w:val="006D4D9A"/>
    <w:rsid w:val="006F3FE8"/>
    <w:rsid w:val="007272C6"/>
    <w:rsid w:val="00740305"/>
    <w:rsid w:val="0075158A"/>
    <w:rsid w:val="007607B1"/>
    <w:rsid w:val="00773AB3"/>
    <w:rsid w:val="00785161"/>
    <w:rsid w:val="007A51B4"/>
    <w:rsid w:val="007A5A6B"/>
    <w:rsid w:val="007B0FD4"/>
    <w:rsid w:val="007C4939"/>
    <w:rsid w:val="007D6A53"/>
    <w:rsid w:val="007F0A1D"/>
    <w:rsid w:val="0081602F"/>
    <w:rsid w:val="00822D1E"/>
    <w:rsid w:val="00841E53"/>
    <w:rsid w:val="008937B2"/>
    <w:rsid w:val="009366EB"/>
    <w:rsid w:val="00986AF8"/>
    <w:rsid w:val="00987769"/>
    <w:rsid w:val="009955AD"/>
    <w:rsid w:val="00997698"/>
    <w:rsid w:val="009A133F"/>
    <w:rsid w:val="009A2C14"/>
    <w:rsid w:val="009C0102"/>
    <w:rsid w:val="009E18D1"/>
    <w:rsid w:val="009E5347"/>
    <w:rsid w:val="009F5A1B"/>
    <w:rsid w:val="00A10993"/>
    <w:rsid w:val="00A731AE"/>
    <w:rsid w:val="00AB1560"/>
    <w:rsid w:val="00AE4B79"/>
    <w:rsid w:val="00B16A98"/>
    <w:rsid w:val="00B3439B"/>
    <w:rsid w:val="00B52663"/>
    <w:rsid w:val="00B840F5"/>
    <w:rsid w:val="00B90171"/>
    <w:rsid w:val="00BA6066"/>
    <w:rsid w:val="00BB10A0"/>
    <w:rsid w:val="00BC0BCD"/>
    <w:rsid w:val="00BD3C89"/>
    <w:rsid w:val="00C07621"/>
    <w:rsid w:val="00C114D0"/>
    <w:rsid w:val="00C24CEC"/>
    <w:rsid w:val="00C710F7"/>
    <w:rsid w:val="00C9117D"/>
    <w:rsid w:val="00CA115C"/>
    <w:rsid w:val="00CA3699"/>
    <w:rsid w:val="00CE50E3"/>
    <w:rsid w:val="00D03026"/>
    <w:rsid w:val="00D14815"/>
    <w:rsid w:val="00D676D8"/>
    <w:rsid w:val="00D70859"/>
    <w:rsid w:val="00D77370"/>
    <w:rsid w:val="00D9230D"/>
    <w:rsid w:val="00DA486E"/>
    <w:rsid w:val="00DA570C"/>
    <w:rsid w:val="00E11C3F"/>
    <w:rsid w:val="00E509FC"/>
    <w:rsid w:val="00E5292B"/>
    <w:rsid w:val="00E55922"/>
    <w:rsid w:val="00E56084"/>
    <w:rsid w:val="00E60FB4"/>
    <w:rsid w:val="00E75C8D"/>
    <w:rsid w:val="00EA27BC"/>
    <w:rsid w:val="00EC317D"/>
    <w:rsid w:val="00EC5F5C"/>
    <w:rsid w:val="00ED02FD"/>
    <w:rsid w:val="00EE0148"/>
    <w:rsid w:val="00EE7ECC"/>
    <w:rsid w:val="00F065EB"/>
    <w:rsid w:val="00F66B62"/>
    <w:rsid w:val="00F70D44"/>
    <w:rsid w:val="00F808CE"/>
    <w:rsid w:val="00F85126"/>
    <w:rsid w:val="00F95F33"/>
    <w:rsid w:val="00FA2F8E"/>
    <w:rsid w:val="00FB46B7"/>
    <w:rsid w:val="00FC38DC"/>
    <w:rsid w:val="00FD3452"/>
    <w:rsid w:val="00FE7A85"/>
    <w:rsid w:val="01023241"/>
    <w:rsid w:val="010A478A"/>
    <w:rsid w:val="011A311B"/>
    <w:rsid w:val="011C626C"/>
    <w:rsid w:val="01203FAE"/>
    <w:rsid w:val="01207B0A"/>
    <w:rsid w:val="012612A2"/>
    <w:rsid w:val="01323CE1"/>
    <w:rsid w:val="01543145"/>
    <w:rsid w:val="01580AE6"/>
    <w:rsid w:val="015A3D54"/>
    <w:rsid w:val="015D4813"/>
    <w:rsid w:val="01635F32"/>
    <w:rsid w:val="01643D99"/>
    <w:rsid w:val="0166054A"/>
    <w:rsid w:val="016D410D"/>
    <w:rsid w:val="016E48DC"/>
    <w:rsid w:val="0177504D"/>
    <w:rsid w:val="01786034"/>
    <w:rsid w:val="017D4F5C"/>
    <w:rsid w:val="018C519F"/>
    <w:rsid w:val="0192579C"/>
    <w:rsid w:val="019422A6"/>
    <w:rsid w:val="019C2A3A"/>
    <w:rsid w:val="01A324E9"/>
    <w:rsid w:val="01CA673B"/>
    <w:rsid w:val="01CE3A0A"/>
    <w:rsid w:val="01D778EE"/>
    <w:rsid w:val="01E0663B"/>
    <w:rsid w:val="01F13685"/>
    <w:rsid w:val="01F14589"/>
    <w:rsid w:val="01F20AAB"/>
    <w:rsid w:val="01F349DF"/>
    <w:rsid w:val="0200708F"/>
    <w:rsid w:val="020234C8"/>
    <w:rsid w:val="020952FF"/>
    <w:rsid w:val="020D5A42"/>
    <w:rsid w:val="02145303"/>
    <w:rsid w:val="021F4265"/>
    <w:rsid w:val="02295B37"/>
    <w:rsid w:val="022E14F7"/>
    <w:rsid w:val="023231CB"/>
    <w:rsid w:val="02351CEA"/>
    <w:rsid w:val="02443CCC"/>
    <w:rsid w:val="024567D6"/>
    <w:rsid w:val="025603A5"/>
    <w:rsid w:val="02601300"/>
    <w:rsid w:val="0263189E"/>
    <w:rsid w:val="02647ECA"/>
    <w:rsid w:val="0270565B"/>
    <w:rsid w:val="02740DB6"/>
    <w:rsid w:val="02763CD4"/>
    <w:rsid w:val="027C3466"/>
    <w:rsid w:val="028B5457"/>
    <w:rsid w:val="028B5BB2"/>
    <w:rsid w:val="028F6402"/>
    <w:rsid w:val="02930F82"/>
    <w:rsid w:val="02A95179"/>
    <w:rsid w:val="02AB78A7"/>
    <w:rsid w:val="02B06584"/>
    <w:rsid w:val="02B13986"/>
    <w:rsid w:val="02BB27B9"/>
    <w:rsid w:val="02C36680"/>
    <w:rsid w:val="02CC2212"/>
    <w:rsid w:val="02D21198"/>
    <w:rsid w:val="02D82B35"/>
    <w:rsid w:val="02DE25B6"/>
    <w:rsid w:val="02E60F54"/>
    <w:rsid w:val="02EB4962"/>
    <w:rsid w:val="02ED5335"/>
    <w:rsid w:val="02F0470E"/>
    <w:rsid w:val="02F079B0"/>
    <w:rsid w:val="02F54FC6"/>
    <w:rsid w:val="031003D6"/>
    <w:rsid w:val="031146CD"/>
    <w:rsid w:val="0312279A"/>
    <w:rsid w:val="031511C4"/>
    <w:rsid w:val="031776D6"/>
    <w:rsid w:val="032B4A8E"/>
    <w:rsid w:val="032B6966"/>
    <w:rsid w:val="032D331F"/>
    <w:rsid w:val="03360590"/>
    <w:rsid w:val="034258CD"/>
    <w:rsid w:val="03516D8E"/>
    <w:rsid w:val="03573405"/>
    <w:rsid w:val="035E1AFD"/>
    <w:rsid w:val="03655EBE"/>
    <w:rsid w:val="03657676"/>
    <w:rsid w:val="036A3AD7"/>
    <w:rsid w:val="036A4B87"/>
    <w:rsid w:val="03724869"/>
    <w:rsid w:val="03726FE6"/>
    <w:rsid w:val="037D6D07"/>
    <w:rsid w:val="037F7490"/>
    <w:rsid w:val="03824CF1"/>
    <w:rsid w:val="03864EFF"/>
    <w:rsid w:val="038C2F5F"/>
    <w:rsid w:val="038C76D9"/>
    <w:rsid w:val="0392446E"/>
    <w:rsid w:val="039407DF"/>
    <w:rsid w:val="03962104"/>
    <w:rsid w:val="0397607D"/>
    <w:rsid w:val="039C2F96"/>
    <w:rsid w:val="03A21606"/>
    <w:rsid w:val="03AD08B4"/>
    <w:rsid w:val="03B24415"/>
    <w:rsid w:val="03B42CD2"/>
    <w:rsid w:val="03B629A7"/>
    <w:rsid w:val="03CC7CB2"/>
    <w:rsid w:val="03CD07DC"/>
    <w:rsid w:val="03D63908"/>
    <w:rsid w:val="03F95A31"/>
    <w:rsid w:val="03FD05D6"/>
    <w:rsid w:val="03FE4FA5"/>
    <w:rsid w:val="0404204E"/>
    <w:rsid w:val="040A4C24"/>
    <w:rsid w:val="040E21DF"/>
    <w:rsid w:val="0412316B"/>
    <w:rsid w:val="041358D0"/>
    <w:rsid w:val="0417389F"/>
    <w:rsid w:val="041A2F36"/>
    <w:rsid w:val="04206073"/>
    <w:rsid w:val="042518DB"/>
    <w:rsid w:val="042A271A"/>
    <w:rsid w:val="0447061D"/>
    <w:rsid w:val="0450023A"/>
    <w:rsid w:val="04570FC5"/>
    <w:rsid w:val="04602913"/>
    <w:rsid w:val="04632F0C"/>
    <w:rsid w:val="046E5030"/>
    <w:rsid w:val="04811EE3"/>
    <w:rsid w:val="0484448A"/>
    <w:rsid w:val="048B674F"/>
    <w:rsid w:val="049B3BAF"/>
    <w:rsid w:val="04A42800"/>
    <w:rsid w:val="04AC1BEE"/>
    <w:rsid w:val="04AC5B58"/>
    <w:rsid w:val="04B4617F"/>
    <w:rsid w:val="04BC223F"/>
    <w:rsid w:val="04C80BE4"/>
    <w:rsid w:val="04CE3D21"/>
    <w:rsid w:val="04D01847"/>
    <w:rsid w:val="04EA3B16"/>
    <w:rsid w:val="04FF3B88"/>
    <w:rsid w:val="05027533"/>
    <w:rsid w:val="05170018"/>
    <w:rsid w:val="051A3982"/>
    <w:rsid w:val="05204B6C"/>
    <w:rsid w:val="052A53FB"/>
    <w:rsid w:val="052B5979"/>
    <w:rsid w:val="052D6E06"/>
    <w:rsid w:val="05305D29"/>
    <w:rsid w:val="05341DD6"/>
    <w:rsid w:val="054630DB"/>
    <w:rsid w:val="054773B2"/>
    <w:rsid w:val="054C4D12"/>
    <w:rsid w:val="05527C12"/>
    <w:rsid w:val="055D517C"/>
    <w:rsid w:val="055E6D1B"/>
    <w:rsid w:val="055F7374"/>
    <w:rsid w:val="05627095"/>
    <w:rsid w:val="05834FFD"/>
    <w:rsid w:val="058764B6"/>
    <w:rsid w:val="059472ED"/>
    <w:rsid w:val="059705B7"/>
    <w:rsid w:val="05A3152E"/>
    <w:rsid w:val="05A87784"/>
    <w:rsid w:val="05AC1954"/>
    <w:rsid w:val="05AD769C"/>
    <w:rsid w:val="05B84311"/>
    <w:rsid w:val="05C25634"/>
    <w:rsid w:val="05C7469B"/>
    <w:rsid w:val="05CA69A0"/>
    <w:rsid w:val="05CD4A2A"/>
    <w:rsid w:val="05D0594C"/>
    <w:rsid w:val="05D15C22"/>
    <w:rsid w:val="05DE2052"/>
    <w:rsid w:val="05E01CD1"/>
    <w:rsid w:val="05E544D9"/>
    <w:rsid w:val="05E71968"/>
    <w:rsid w:val="05E86BCB"/>
    <w:rsid w:val="05E95A3A"/>
    <w:rsid w:val="05EA2DDC"/>
    <w:rsid w:val="05F57960"/>
    <w:rsid w:val="0603173B"/>
    <w:rsid w:val="060E4A68"/>
    <w:rsid w:val="060F1786"/>
    <w:rsid w:val="060F45F1"/>
    <w:rsid w:val="06267246"/>
    <w:rsid w:val="062C215C"/>
    <w:rsid w:val="062F6A41"/>
    <w:rsid w:val="063A6B0D"/>
    <w:rsid w:val="064121E4"/>
    <w:rsid w:val="06456ED6"/>
    <w:rsid w:val="064A747D"/>
    <w:rsid w:val="064F49ED"/>
    <w:rsid w:val="06521956"/>
    <w:rsid w:val="0652494B"/>
    <w:rsid w:val="065342FE"/>
    <w:rsid w:val="06574371"/>
    <w:rsid w:val="0659586C"/>
    <w:rsid w:val="06606F47"/>
    <w:rsid w:val="0661309E"/>
    <w:rsid w:val="06614FF0"/>
    <w:rsid w:val="06624E55"/>
    <w:rsid w:val="067D0773"/>
    <w:rsid w:val="0680729D"/>
    <w:rsid w:val="068A77B5"/>
    <w:rsid w:val="069E10A1"/>
    <w:rsid w:val="069F7F12"/>
    <w:rsid w:val="06A97C11"/>
    <w:rsid w:val="06AE7966"/>
    <w:rsid w:val="06BA72CE"/>
    <w:rsid w:val="06BB6E80"/>
    <w:rsid w:val="06BD7EC9"/>
    <w:rsid w:val="06BF617E"/>
    <w:rsid w:val="06D41458"/>
    <w:rsid w:val="06DB3482"/>
    <w:rsid w:val="06DF51E9"/>
    <w:rsid w:val="06E31B8C"/>
    <w:rsid w:val="06E5323F"/>
    <w:rsid w:val="06E72DEB"/>
    <w:rsid w:val="06F0165A"/>
    <w:rsid w:val="06F55595"/>
    <w:rsid w:val="06F618AA"/>
    <w:rsid w:val="06FC194E"/>
    <w:rsid w:val="07072AE5"/>
    <w:rsid w:val="071F3FCA"/>
    <w:rsid w:val="073D7BA3"/>
    <w:rsid w:val="0747189B"/>
    <w:rsid w:val="07584529"/>
    <w:rsid w:val="07610C28"/>
    <w:rsid w:val="076206B6"/>
    <w:rsid w:val="07634BF4"/>
    <w:rsid w:val="0766450F"/>
    <w:rsid w:val="076D7821"/>
    <w:rsid w:val="07706F45"/>
    <w:rsid w:val="07717B1C"/>
    <w:rsid w:val="077566D6"/>
    <w:rsid w:val="077E026A"/>
    <w:rsid w:val="07812412"/>
    <w:rsid w:val="0784418D"/>
    <w:rsid w:val="079640AD"/>
    <w:rsid w:val="079D4DA0"/>
    <w:rsid w:val="07A72655"/>
    <w:rsid w:val="07AA5497"/>
    <w:rsid w:val="07AC3BB5"/>
    <w:rsid w:val="07AD3CCE"/>
    <w:rsid w:val="07B82332"/>
    <w:rsid w:val="07BF5BA9"/>
    <w:rsid w:val="07CF4BDD"/>
    <w:rsid w:val="07D35B90"/>
    <w:rsid w:val="07DF2F7F"/>
    <w:rsid w:val="07E12406"/>
    <w:rsid w:val="07E27279"/>
    <w:rsid w:val="07F03732"/>
    <w:rsid w:val="07F204CB"/>
    <w:rsid w:val="07F97307"/>
    <w:rsid w:val="0801329D"/>
    <w:rsid w:val="0802280B"/>
    <w:rsid w:val="08053EFD"/>
    <w:rsid w:val="08137707"/>
    <w:rsid w:val="082223BA"/>
    <w:rsid w:val="082A3286"/>
    <w:rsid w:val="082D4113"/>
    <w:rsid w:val="08392B80"/>
    <w:rsid w:val="083A18F6"/>
    <w:rsid w:val="083D4D63"/>
    <w:rsid w:val="08404D23"/>
    <w:rsid w:val="0844423C"/>
    <w:rsid w:val="084478F2"/>
    <w:rsid w:val="08490811"/>
    <w:rsid w:val="084C5688"/>
    <w:rsid w:val="08650FD7"/>
    <w:rsid w:val="08654FA7"/>
    <w:rsid w:val="08712F9C"/>
    <w:rsid w:val="08717C69"/>
    <w:rsid w:val="08747BDA"/>
    <w:rsid w:val="087B74A4"/>
    <w:rsid w:val="087C078D"/>
    <w:rsid w:val="087E1FB8"/>
    <w:rsid w:val="08856DEC"/>
    <w:rsid w:val="08876877"/>
    <w:rsid w:val="08A26D30"/>
    <w:rsid w:val="08A4572A"/>
    <w:rsid w:val="08A61E1F"/>
    <w:rsid w:val="08B3156A"/>
    <w:rsid w:val="08B45905"/>
    <w:rsid w:val="08B576D2"/>
    <w:rsid w:val="08BE5F32"/>
    <w:rsid w:val="08C32365"/>
    <w:rsid w:val="08CD48F8"/>
    <w:rsid w:val="08D00067"/>
    <w:rsid w:val="08D217C4"/>
    <w:rsid w:val="08D53638"/>
    <w:rsid w:val="08D60B73"/>
    <w:rsid w:val="08DE3AC6"/>
    <w:rsid w:val="08E515E1"/>
    <w:rsid w:val="08EA43A2"/>
    <w:rsid w:val="08EC0C19"/>
    <w:rsid w:val="08EE4992"/>
    <w:rsid w:val="08F5187C"/>
    <w:rsid w:val="08FD398E"/>
    <w:rsid w:val="08FF26FB"/>
    <w:rsid w:val="09016473"/>
    <w:rsid w:val="09063813"/>
    <w:rsid w:val="090E5CB8"/>
    <w:rsid w:val="09214CAF"/>
    <w:rsid w:val="092940E2"/>
    <w:rsid w:val="092D0A40"/>
    <w:rsid w:val="092E729E"/>
    <w:rsid w:val="093F2387"/>
    <w:rsid w:val="095F5146"/>
    <w:rsid w:val="096B1B3E"/>
    <w:rsid w:val="098159AC"/>
    <w:rsid w:val="09846270"/>
    <w:rsid w:val="09864BCA"/>
    <w:rsid w:val="09887C60"/>
    <w:rsid w:val="099112F0"/>
    <w:rsid w:val="09917656"/>
    <w:rsid w:val="09B5725D"/>
    <w:rsid w:val="09B64D85"/>
    <w:rsid w:val="09B73C82"/>
    <w:rsid w:val="09B90AFC"/>
    <w:rsid w:val="09B93888"/>
    <w:rsid w:val="09B97C54"/>
    <w:rsid w:val="09D267DC"/>
    <w:rsid w:val="09D973F0"/>
    <w:rsid w:val="09DF42DA"/>
    <w:rsid w:val="09E50C1E"/>
    <w:rsid w:val="09E93CD0"/>
    <w:rsid w:val="09ED74E9"/>
    <w:rsid w:val="09F1278B"/>
    <w:rsid w:val="09F1486A"/>
    <w:rsid w:val="09F409C5"/>
    <w:rsid w:val="09F74AE2"/>
    <w:rsid w:val="09FD34E6"/>
    <w:rsid w:val="0A0326FF"/>
    <w:rsid w:val="0A0F6460"/>
    <w:rsid w:val="0A27015B"/>
    <w:rsid w:val="0A2A19F9"/>
    <w:rsid w:val="0A2A37A7"/>
    <w:rsid w:val="0A307FC2"/>
    <w:rsid w:val="0A3301BC"/>
    <w:rsid w:val="0A347E36"/>
    <w:rsid w:val="0A3C6325"/>
    <w:rsid w:val="0A466107"/>
    <w:rsid w:val="0A533D23"/>
    <w:rsid w:val="0A5353BA"/>
    <w:rsid w:val="0A537B96"/>
    <w:rsid w:val="0A593CD0"/>
    <w:rsid w:val="0A596F03"/>
    <w:rsid w:val="0A6A4B8D"/>
    <w:rsid w:val="0A7669ED"/>
    <w:rsid w:val="0A7B7EAC"/>
    <w:rsid w:val="0A7F2321"/>
    <w:rsid w:val="0A822F89"/>
    <w:rsid w:val="0A870BFA"/>
    <w:rsid w:val="0A87148B"/>
    <w:rsid w:val="0A9048E9"/>
    <w:rsid w:val="0AA243D7"/>
    <w:rsid w:val="0AAA619A"/>
    <w:rsid w:val="0AAA7FB2"/>
    <w:rsid w:val="0AB77F1B"/>
    <w:rsid w:val="0ABE2142"/>
    <w:rsid w:val="0ABE3BED"/>
    <w:rsid w:val="0AC46F6A"/>
    <w:rsid w:val="0ACB616E"/>
    <w:rsid w:val="0AD025A1"/>
    <w:rsid w:val="0AD3027B"/>
    <w:rsid w:val="0AD61B81"/>
    <w:rsid w:val="0AD71172"/>
    <w:rsid w:val="0AEC1584"/>
    <w:rsid w:val="0AF049F1"/>
    <w:rsid w:val="0AFB4D3A"/>
    <w:rsid w:val="0AFD497E"/>
    <w:rsid w:val="0AFF2E86"/>
    <w:rsid w:val="0B1D4236"/>
    <w:rsid w:val="0B2B5CA4"/>
    <w:rsid w:val="0B315B13"/>
    <w:rsid w:val="0B3208EE"/>
    <w:rsid w:val="0B346787"/>
    <w:rsid w:val="0B381EF4"/>
    <w:rsid w:val="0B392AF9"/>
    <w:rsid w:val="0B392D7E"/>
    <w:rsid w:val="0B4C33AC"/>
    <w:rsid w:val="0B5331D2"/>
    <w:rsid w:val="0B5739A4"/>
    <w:rsid w:val="0B582596"/>
    <w:rsid w:val="0B6A4E01"/>
    <w:rsid w:val="0B73117E"/>
    <w:rsid w:val="0B773179"/>
    <w:rsid w:val="0B7A1018"/>
    <w:rsid w:val="0B7D5652"/>
    <w:rsid w:val="0B8511AD"/>
    <w:rsid w:val="0B86108C"/>
    <w:rsid w:val="0B901C93"/>
    <w:rsid w:val="0B9B5090"/>
    <w:rsid w:val="0B9C2483"/>
    <w:rsid w:val="0BB35A1E"/>
    <w:rsid w:val="0BBC1373"/>
    <w:rsid w:val="0BC814CA"/>
    <w:rsid w:val="0BCB70B5"/>
    <w:rsid w:val="0BD20D28"/>
    <w:rsid w:val="0BD670AC"/>
    <w:rsid w:val="0BE060C4"/>
    <w:rsid w:val="0BE37ED6"/>
    <w:rsid w:val="0BED41F9"/>
    <w:rsid w:val="0BF00280"/>
    <w:rsid w:val="0BF54830"/>
    <w:rsid w:val="0BFC1F32"/>
    <w:rsid w:val="0C002901"/>
    <w:rsid w:val="0C04105C"/>
    <w:rsid w:val="0C063DA5"/>
    <w:rsid w:val="0C066D95"/>
    <w:rsid w:val="0C0D64AE"/>
    <w:rsid w:val="0C111D0B"/>
    <w:rsid w:val="0C11247A"/>
    <w:rsid w:val="0C150BC0"/>
    <w:rsid w:val="0C194B85"/>
    <w:rsid w:val="0C1B49E3"/>
    <w:rsid w:val="0C2A044F"/>
    <w:rsid w:val="0C354A82"/>
    <w:rsid w:val="0C3B0D9E"/>
    <w:rsid w:val="0C566B21"/>
    <w:rsid w:val="0C5933F7"/>
    <w:rsid w:val="0C6066E5"/>
    <w:rsid w:val="0C7D4B83"/>
    <w:rsid w:val="0C865D73"/>
    <w:rsid w:val="0C8E2713"/>
    <w:rsid w:val="0C95583B"/>
    <w:rsid w:val="0CA248BC"/>
    <w:rsid w:val="0CAF268A"/>
    <w:rsid w:val="0CAF7268"/>
    <w:rsid w:val="0CC5432E"/>
    <w:rsid w:val="0CC7769F"/>
    <w:rsid w:val="0CE20CE3"/>
    <w:rsid w:val="0CE42333"/>
    <w:rsid w:val="0CE510F6"/>
    <w:rsid w:val="0CE86F95"/>
    <w:rsid w:val="0CF00EEA"/>
    <w:rsid w:val="0CF84092"/>
    <w:rsid w:val="0CFA1B57"/>
    <w:rsid w:val="0D006A41"/>
    <w:rsid w:val="0D0C4E7D"/>
    <w:rsid w:val="0D0C7DE2"/>
    <w:rsid w:val="0D116407"/>
    <w:rsid w:val="0D156222"/>
    <w:rsid w:val="0D171B9E"/>
    <w:rsid w:val="0D177D3A"/>
    <w:rsid w:val="0D1E696A"/>
    <w:rsid w:val="0D1F15BD"/>
    <w:rsid w:val="0D244E26"/>
    <w:rsid w:val="0D252141"/>
    <w:rsid w:val="0D275A7B"/>
    <w:rsid w:val="0D3B3F1D"/>
    <w:rsid w:val="0D3F061B"/>
    <w:rsid w:val="0D4706BC"/>
    <w:rsid w:val="0D5360BB"/>
    <w:rsid w:val="0D632F62"/>
    <w:rsid w:val="0D65270D"/>
    <w:rsid w:val="0D6D15B0"/>
    <w:rsid w:val="0D6D75C1"/>
    <w:rsid w:val="0D6E6B91"/>
    <w:rsid w:val="0D722B98"/>
    <w:rsid w:val="0D775A6B"/>
    <w:rsid w:val="0D7F3EE2"/>
    <w:rsid w:val="0D876C17"/>
    <w:rsid w:val="0D8C4F49"/>
    <w:rsid w:val="0D8D2681"/>
    <w:rsid w:val="0D9A6E96"/>
    <w:rsid w:val="0D9E5E07"/>
    <w:rsid w:val="0DA9532B"/>
    <w:rsid w:val="0DC20432"/>
    <w:rsid w:val="0DC573BC"/>
    <w:rsid w:val="0DC9493F"/>
    <w:rsid w:val="0DCC2B0D"/>
    <w:rsid w:val="0DDF31B7"/>
    <w:rsid w:val="0DE325EB"/>
    <w:rsid w:val="0DE44797"/>
    <w:rsid w:val="0DF40D41"/>
    <w:rsid w:val="0DF50134"/>
    <w:rsid w:val="0DF657B2"/>
    <w:rsid w:val="0E123C6D"/>
    <w:rsid w:val="0E172A1E"/>
    <w:rsid w:val="0E192BAD"/>
    <w:rsid w:val="0E1B50AF"/>
    <w:rsid w:val="0E1F2DEA"/>
    <w:rsid w:val="0E205550"/>
    <w:rsid w:val="0E244FFD"/>
    <w:rsid w:val="0E24538F"/>
    <w:rsid w:val="0E276EBE"/>
    <w:rsid w:val="0E2848C9"/>
    <w:rsid w:val="0E2C21E4"/>
    <w:rsid w:val="0E2D76D7"/>
    <w:rsid w:val="0E337636"/>
    <w:rsid w:val="0E40385D"/>
    <w:rsid w:val="0E4562EE"/>
    <w:rsid w:val="0E46094D"/>
    <w:rsid w:val="0E4C17A2"/>
    <w:rsid w:val="0E4F5ED2"/>
    <w:rsid w:val="0E6219AF"/>
    <w:rsid w:val="0E666D78"/>
    <w:rsid w:val="0E680D42"/>
    <w:rsid w:val="0E6E1A94"/>
    <w:rsid w:val="0E793376"/>
    <w:rsid w:val="0E7E65B8"/>
    <w:rsid w:val="0E8A3EE6"/>
    <w:rsid w:val="0E9B2814"/>
    <w:rsid w:val="0EA620C0"/>
    <w:rsid w:val="0EAF24CD"/>
    <w:rsid w:val="0EB261BC"/>
    <w:rsid w:val="0EC02BF5"/>
    <w:rsid w:val="0EC3241C"/>
    <w:rsid w:val="0EDB7DAF"/>
    <w:rsid w:val="0EE641A7"/>
    <w:rsid w:val="0EF75EA0"/>
    <w:rsid w:val="0EFE190B"/>
    <w:rsid w:val="0F0C036F"/>
    <w:rsid w:val="0F130858"/>
    <w:rsid w:val="0F227143"/>
    <w:rsid w:val="0F2274BD"/>
    <w:rsid w:val="0F3B5EC7"/>
    <w:rsid w:val="0F3F7CF5"/>
    <w:rsid w:val="0F41646F"/>
    <w:rsid w:val="0F435009"/>
    <w:rsid w:val="0F4D0F62"/>
    <w:rsid w:val="0F5372FC"/>
    <w:rsid w:val="0F620D35"/>
    <w:rsid w:val="0F62589C"/>
    <w:rsid w:val="0F6479CE"/>
    <w:rsid w:val="0F705DEB"/>
    <w:rsid w:val="0F7814B7"/>
    <w:rsid w:val="0F7A6F7F"/>
    <w:rsid w:val="0F7C1818"/>
    <w:rsid w:val="0F84602C"/>
    <w:rsid w:val="0F855DDC"/>
    <w:rsid w:val="0F8B0B46"/>
    <w:rsid w:val="0F984369"/>
    <w:rsid w:val="0F9B2B6D"/>
    <w:rsid w:val="0F9F0794"/>
    <w:rsid w:val="0FA16657"/>
    <w:rsid w:val="0FC96626"/>
    <w:rsid w:val="0FCB1589"/>
    <w:rsid w:val="0FD94F65"/>
    <w:rsid w:val="0FE16FFE"/>
    <w:rsid w:val="0FE60171"/>
    <w:rsid w:val="0FE84694"/>
    <w:rsid w:val="0FEE34C9"/>
    <w:rsid w:val="0FF07241"/>
    <w:rsid w:val="0FF2521C"/>
    <w:rsid w:val="0FFC0449"/>
    <w:rsid w:val="10030D22"/>
    <w:rsid w:val="101051ED"/>
    <w:rsid w:val="101346DB"/>
    <w:rsid w:val="10172A20"/>
    <w:rsid w:val="101D10F5"/>
    <w:rsid w:val="101D161F"/>
    <w:rsid w:val="102130C5"/>
    <w:rsid w:val="10240AFA"/>
    <w:rsid w:val="10264098"/>
    <w:rsid w:val="102E3ADC"/>
    <w:rsid w:val="103B6656"/>
    <w:rsid w:val="103F6FF5"/>
    <w:rsid w:val="10410821"/>
    <w:rsid w:val="104650B3"/>
    <w:rsid w:val="104A50E4"/>
    <w:rsid w:val="10525806"/>
    <w:rsid w:val="10542267"/>
    <w:rsid w:val="10571038"/>
    <w:rsid w:val="10572E1C"/>
    <w:rsid w:val="10671FD8"/>
    <w:rsid w:val="106D0892"/>
    <w:rsid w:val="107657E1"/>
    <w:rsid w:val="10795489"/>
    <w:rsid w:val="107A7F31"/>
    <w:rsid w:val="108160EB"/>
    <w:rsid w:val="10827977"/>
    <w:rsid w:val="108B4147"/>
    <w:rsid w:val="10902B18"/>
    <w:rsid w:val="109F7C7C"/>
    <w:rsid w:val="10A61749"/>
    <w:rsid w:val="10B44557"/>
    <w:rsid w:val="10B67122"/>
    <w:rsid w:val="10C14D04"/>
    <w:rsid w:val="10DA2908"/>
    <w:rsid w:val="10E072B6"/>
    <w:rsid w:val="10E20DC6"/>
    <w:rsid w:val="10E2302E"/>
    <w:rsid w:val="10F13271"/>
    <w:rsid w:val="1102276E"/>
    <w:rsid w:val="11203729"/>
    <w:rsid w:val="11305211"/>
    <w:rsid w:val="11356B11"/>
    <w:rsid w:val="11377130"/>
    <w:rsid w:val="11382C4E"/>
    <w:rsid w:val="11493CD2"/>
    <w:rsid w:val="114C494B"/>
    <w:rsid w:val="115868FA"/>
    <w:rsid w:val="115B06EA"/>
    <w:rsid w:val="11693ADF"/>
    <w:rsid w:val="116A09AA"/>
    <w:rsid w:val="116B7054"/>
    <w:rsid w:val="116C2562"/>
    <w:rsid w:val="11740E1F"/>
    <w:rsid w:val="11934328"/>
    <w:rsid w:val="119511B5"/>
    <w:rsid w:val="119834F1"/>
    <w:rsid w:val="119E03E2"/>
    <w:rsid w:val="119F353F"/>
    <w:rsid w:val="119F7250"/>
    <w:rsid w:val="11A04864"/>
    <w:rsid w:val="11A84903"/>
    <w:rsid w:val="11A976A8"/>
    <w:rsid w:val="11B624E6"/>
    <w:rsid w:val="11BD71AA"/>
    <w:rsid w:val="11C049F1"/>
    <w:rsid w:val="11C86EDF"/>
    <w:rsid w:val="11C93E04"/>
    <w:rsid w:val="11CE7988"/>
    <w:rsid w:val="11D02752"/>
    <w:rsid w:val="11D07F14"/>
    <w:rsid w:val="11D86F90"/>
    <w:rsid w:val="11E3563B"/>
    <w:rsid w:val="11E64458"/>
    <w:rsid w:val="11EB574E"/>
    <w:rsid w:val="11EC3A38"/>
    <w:rsid w:val="11ED50D8"/>
    <w:rsid w:val="11FE7F19"/>
    <w:rsid w:val="12000396"/>
    <w:rsid w:val="120365F8"/>
    <w:rsid w:val="12075FB8"/>
    <w:rsid w:val="1215465A"/>
    <w:rsid w:val="121B260B"/>
    <w:rsid w:val="1224683B"/>
    <w:rsid w:val="122979BD"/>
    <w:rsid w:val="122B695B"/>
    <w:rsid w:val="12317FFB"/>
    <w:rsid w:val="123314AD"/>
    <w:rsid w:val="12374CB3"/>
    <w:rsid w:val="123B738E"/>
    <w:rsid w:val="123D6D4C"/>
    <w:rsid w:val="123E24E6"/>
    <w:rsid w:val="12414FAB"/>
    <w:rsid w:val="124318AA"/>
    <w:rsid w:val="12434366"/>
    <w:rsid w:val="124F624D"/>
    <w:rsid w:val="12597320"/>
    <w:rsid w:val="125E2044"/>
    <w:rsid w:val="125E4936"/>
    <w:rsid w:val="126B3B2F"/>
    <w:rsid w:val="127F38DA"/>
    <w:rsid w:val="1280745C"/>
    <w:rsid w:val="12825C1A"/>
    <w:rsid w:val="12885980"/>
    <w:rsid w:val="12924263"/>
    <w:rsid w:val="12954856"/>
    <w:rsid w:val="129F06C7"/>
    <w:rsid w:val="12A20852"/>
    <w:rsid w:val="12A226BF"/>
    <w:rsid w:val="12A310A3"/>
    <w:rsid w:val="12A8062A"/>
    <w:rsid w:val="12A90054"/>
    <w:rsid w:val="12B502CE"/>
    <w:rsid w:val="12CD73C6"/>
    <w:rsid w:val="12D0005E"/>
    <w:rsid w:val="12DD3496"/>
    <w:rsid w:val="12DE5A77"/>
    <w:rsid w:val="12DF2C84"/>
    <w:rsid w:val="12E739D4"/>
    <w:rsid w:val="12E81B6E"/>
    <w:rsid w:val="12E9712C"/>
    <w:rsid w:val="12EA3DDF"/>
    <w:rsid w:val="12F226AB"/>
    <w:rsid w:val="12F72E11"/>
    <w:rsid w:val="12F804EE"/>
    <w:rsid w:val="12FF1AD8"/>
    <w:rsid w:val="130B2F73"/>
    <w:rsid w:val="131D07A9"/>
    <w:rsid w:val="13217712"/>
    <w:rsid w:val="13257202"/>
    <w:rsid w:val="132C3833"/>
    <w:rsid w:val="132E3939"/>
    <w:rsid w:val="13331F4C"/>
    <w:rsid w:val="133E02C4"/>
    <w:rsid w:val="13413888"/>
    <w:rsid w:val="134578A4"/>
    <w:rsid w:val="134640D0"/>
    <w:rsid w:val="134B1BB8"/>
    <w:rsid w:val="1357295F"/>
    <w:rsid w:val="13590C10"/>
    <w:rsid w:val="135A1EF6"/>
    <w:rsid w:val="135B0E75"/>
    <w:rsid w:val="13645F7C"/>
    <w:rsid w:val="13785F55"/>
    <w:rsid w:val="1383210B"/>
    <w:rsid w:val="138E3A63"/>
    <w:rsid w:val="13954387"/>
    <w:rsid w:val="13AE738A"/>
    <w:rsid w:val="13B81E24"/>
    <w:rsid w:val="13CD29F7"/>
    <w:rsid w:val="13E012B4"/>
    <w:rsid w:val="13EB3FA7"/>
    <w:rsid w:val="13F01954"/>
    <w:rsid w:val="13F217DA"/>
    <w:rsid w:val="13F26706"/>
    <w:rsid w:val="13FE50E2"/>
    <w:rsid w:val="140C03C2"/>
    <w:rsid w:val="140E1A37"/>
    <w:rsid w:val="14152B76"/>
    <w:rsid w:val="141F1639"/>
    <w:rsid w:val="14233C30"/>
    <w:rsid w:val="14245ADD"/>
    <w:rsid w:val="1425481C"/>
    <w:rsid w:val="142F2DDA"/>
    <w:rsid w:val="143828BC"/>
    <w:rsid w:val="14383DC6"/>
    <w:rsid w:val="143F26EA"/>
    <w:rsid w:val="144A164F"/>
    <w:rsid w:val="144E12F2"/>
    <w:rsid w:val="14522CBA"/>
    <w:rsid w:val="145C7369"/>
    <w:rsid w:val="1462453F"/>
    <w:rsid w:val="1475504B"/>
    <w:rsid w:val="14755F67"/>
    <w:rsid w:val="147E306D"/>
    <w:rsid w:val="14830684"/>
    <w:rsid w:val="148A7590"/>
    <w:rsid w:val="1497412F"/>
    <w:rsid w:val="149B635D"/>
    <w:rsid w:val="149D01E0"/>
    <w:rsid w:val="14AA05DB"/>
    <w:rsid w:val="14AF1479"/>
    <w:rsid w:val="14B21696"/>
    <w:rsid w:val="14B42C5C"/>
    <w:rsid w:val="14BE70C2"/>
    <w:rsid w:val="14C667C2"/>
    <w:rsid w:val="14C87D2C"/>
    <w:rsid w:val="14CC6549"/>
    <w:rsid w:val="14CC7BF3"/>
    <w:rsid w:val="14CD38D7"/>
    <w:rsid w:val="14CF79C4"/>
    <w:rsid w:val="14D16011"/>
    <w:rsid w:val="14D802A3"/>
    <w:rsid w:val="14DE10B7"/>
    <w:rsid w:val="14E40640"/>
    <w:rsid w:val="14E96C7D"/>
    <w:rsid w:val="14FB1AC4"/>
    <w:rsid w:val="14FF76DF"/>
    <w:rsid w:val="15045F61"/>
    <w:rsid w:val="15050126"/>
    <w:rsid w:val="1509559A"/>
    <w:rsid w:val="150A424C"/>
    <w:rsid w:val="15162FE5"/>
    <w:rsid w:val="151A266A"/>
    <w:rsid w:val="15200131"/>
    <w:rsid w:val="152D239E"/>
    <w:rsid w:val="152D6FBB"/>
    <w:rsid w:val="153428F6"/>
    <w:rsid w:val="153951E6"/>
    <w:rsid w:val="153A0334"/>
    <w:rsid w:val="153F31B9"/>
    <w:rsid w:val="15522F33"/>
    <w:rsid w:val="156C736A"/>
    <w:rsid w:val="157F4168"/>
    <w:rsid w:val="157F4D49"/>
    <w:rsid w:val="1580104F"/>
    <w:rsid w:val="15806DD9"/>
    <w:rsid w:val="1585121E"/>
    <w:rsid w:val="15942511"/>
    <w:rsid w:val="15997A33"/>
    <w:rsid w:val="159C43CA"/>
    <w:rsid w:val="159E2551"/>
    <w:rsid w:val="15A45017"/>
    <w:rsid w:val="15AD4A65"/>
    <w:rsid w:val="15AE6B97"/>
    <w:rsid w:val="15AF54A9"/>
    <w:rsid w:val="15B10F4A"/>
    <w:rsid w:val="15BC34BA"/>
    <w:rsid w:val="15C731A2"/>
    <w:rsid w:val="15C77AF5"/>
    <w:rsid w:val="15CD7943"/>
    <w:rsid w:val="15D51C2F"/>
    <w:rsid w:val="15E84FA5"/>
    <w:rsid w:val="15F1075A"/>
    <w:rsid w:val="15F25550"/>
    <w:rsid w:val="16037773"/>
    <w:rsid w:val="16100554"/>
    <w:rsid w:val="161D648D"/>
    <w:rsid w:val="162B2D81"/>
    <w:rsid w:val="162D1C21"/>
    <w:rsid w:val="162F3B23"/>
    <w:rsid w:val="163335F1"/>
    <w:rsid w:val="163517E1"/>
    <w:rsid w:val="163A6938"/>
    <w:rsid w:val="1642048F"/>
    <w:rsid w:val="16420ABD"/>
    <w:rsid w:val="164976AB"/>
    <w:rsid w:val="165B032F"/>
    <w:rsid w:val="165F0C7D"/>
    <w:rsid w:val="1666200B"/>
    <w:rsid w:val="167438B0"/>
    <w:rsid w:val="167969DD"/>
    <w:rsid w:val="168941D4"/>
    <w:rsid w:val="16896AFE"/>
    <w:rsid w:val="168B7297"/>
    <w:rsid w:val="16A86B1E"/>
    <w:rsid w:val="16AB417C"/>
    <w:rsid w:val="16B748FE"/>
    <w:rsid w:val="16B80CEF"/>
    <w:rsid w:val="16BD4F7D"/>
    <w:rsid w:val="16BF7480"/>
    <w:rsid w:val="16C60CFC"/>
    <w:rsid w:val="16D50C74"/>
    <w:rsid w:val="16D74CB7"/>
    <w:rsid w:val="16E82A20"/>
    <w:rsid w:val="16ED0036"/>
    <w:rsid w:val="16EE0C2A"/>
    <w:rsid w:val="16EF1E82"/>
    <w:rsid w:val="16F75C3B"/>
    <w:rsid w:val="16F773BF"/>
    <w:rsid w:val="16FA58EE"/>
    <w:rsid w:val="171A0B34"/>
    <w:rsid w:val="171B0CF4"/>
    <w:rsid w:val="171E28E6"/>
    <w:rsid w:val="1735240F"/>
    <w:rsid w:val="17380B3E"/>
    <w:rsid w:val="17403977"/>
    <w:rsid w:val="174435F7"/>
    <w:rsid w:val="174573ED"/>
    <w:rsid w:val="17486966"/>
    <w:rsid w:val="174D4904"/>
    <w:rsid w:val="174D4F79"/>
    <w:rsid w:val="17501602"/>
    <w:rsid w:val="175320D1"/>
    <w:rsid w:val="17542226"/>
    <w:rsid w:val="17560493"/>
    <w:rsid w:val="17572719"/>
    <w:rsid w:val="17595D9A"/>
    <w:rsid w:val="175E6B6A"/>
    <w:rsid w:val="17605DBB"/>
    <w:rsid w:val="17766337"/>
    <w:rsid w:val="177E1F95"/>
    <w:rsid w:val="177E3850"/>
    <w:rsid w:val="17872971"/>
    <w:rsid w:val="17895AE7"/>
    <w:rsid w:val="178A6928"/>
    <w:rsid w:val="178A7F7B"/>
    <w:rsid w:val="178B42DF"/>
    <w:rsid w:val="179E7583"/>
    <w:rsid w:val="17A34B99"/>
    <w:rsid w:val="17B4365D"/>
    <w:rsid w:val="17B60E9D"/>
    <w:rsid w:val="17BB1EE3"/>
    <w:rsid w:val="17C224A6"/>
    <w:rsid w:val="17CD4ED1"/>
    <w:rsid w:val="17CE7E68"/>
    <w:rsid w:val="17D3547E"/>
    <w:rsid w:val="17E01949"/>
    <w:rsid w:val="17E55D5D"/>
    <w:rsid w:val="17F02393"/>
    <w:rsid w:val="17F11DA8"/>
    <w:rsid w:val="17F70810"/>
    <w:rsid w:val="18033F7E"/>
    <w:rsid w:val="18080BC9"/>
    <w:rsid w:val="18326F55"/>
    <w:rsid w:val="183A32FC"/>
    <w:rsid w:val="18506ACF"/>
    <w:rsid w:val="18535E18"/>
    <w:rsid w:val="185813A7"/>
    <w:rsid w:val="185F3FF8"/>
    <w:rsid w:val="18604E41"/>
    <w:rsid w:val="1862271F"/>
    <w:rsid w:val="18622CA6"/>
    <w:rsid w:val="18636D79"/>
    <w:rsid w:val="18665B8D"/>
    <w:rsid w:val="18716A45"/>
    <w:rsid w:val="18742D33"/>
    <w:rsid w:val="187878FB"/>
    <w:rsid w:val="18857024"/>
    <w:rsid w:val="18A225C2"/>
    <w:rsid w:val="18AB63FB"/>
    <w:rsid w:val="18B53731"/>
    <w:rsid w:val="18B72C9A"/>
    <w:rsid w:val="18B74DA0"/>
    <w:rsid w:val="18B76F8E"/>
    <w:rsid w:val="18BB08B6"/>
    <w:rsid w:val="18C13F1E"/>
    <w:rsid w:val="18CB084B"/>
    <w:rsid w:val="18D33E08"/>
    <w:rsid w:val="18D47700"/>
    <w:rsid w:val="18DF60A5"/>
    <w:rsid w:val="18E63CEA"/>
    <w:rsid w:val="190C3AEF"/>
    <w:rsid w:val="190E2369"/>
    <w:rsid w:val="191222D0"/>
    <w:rsid w:val="19184035"/>
    <w:rsid w:val="191A0E8B"/>
    <w:rsid w:val="191D7C7C"/>
    <w:rsid w:val="191E6BCD"/>
    <w:rsid w:val="191F31C3"/>
    <w:rsid w:val="19242A6E"/>
    <w:rsid w:val="192449E3"/>
    <w:rsid w:val="192817FA"/>
    <w:rsid w:val="19284D6C"/>
    <w:rsid w:val="192A34CB"/>
    <w:rsid w:val="193E0532"/>
    <w:rsid w:val="1941466A"/>
    <w:rsid w:val="194C43A3"/>
    <w:rsid w:val="19510D51"/>
    <w:rsid w:val="19541224"/>
    <w:rsid w:val="195E3D50"/>
    <w:rsid w:val="195E6496"/>
    <w:rsid w:val="19616ABA"/>
    <w:rsid w:val="1968609A"/>
    <w:rsid w:val="196906FB"/>
    <w:rsid w:val="196E1DD9"/>
    <w:rsid w:val="198A4263"/>
    <w:rsid w:val="198C1788"/>
    <w:rsid w:val="199467B4"/>
    <w:rsid w:val="199E2BFC"/>
    <w:rsid w:val="199E6E66"/>
    <w:rsid w:val="19A8293B"/>
    <w:rsid w:val="19AF7825"/>
    <w:rsid w:val="19B3105B"/>
    <w:rsid w:val="19B906A4"/>
    <w:rsid w:val="19BD1684"/>
    <w:rsid w:val="19C534ED"/>
    <w:rsid w:val="19C81D6C"/>
    <w:rsid w:val="19CC636C"/>
    <w:rsid w:val="19E35721"/>
    <w:rsid w:val="19E866D5"/>
    <w:rsid w:val="19EC0510"/>
    <w:rsid w:val="19ED659F"/>
    <w:rsid w:val="19EF056A"/>
    <w:rsid w:val="19F15CC9"/>
    <w:rsid w:val="1A00298E"/>
    <w:rsid w:val="1A0062D3"/>
    <w:rsid w:val="1A042911"/>
    <w:rsid w:val="1A0A7188"/>
    <w:rsid w:val="1A0E0C1A"/>
    <w:rsid w:val="1A156192"/>
    <w:rsid w:val="1A246507"/>
    <w:rsid w:val="1A2C2B71"/>
    <w:rsid w:val="1A313604"/>
    <w:rsid w:val="1A315201"/>
    <w:rsid w:val="1A333C6B"/>
    <w:rsid w:val="1A415C9A"/>
    <w:rsid w:val="1A4A567E"/>
    <w:rsid w:val="1A5F02FE"/>
    <w:rsid w:val="1A603A33"/>
    <w:rsid w:val="1A6E020F"/>
    <w:rsid w:val="1A701A29"/>
    <w:rsid w:val="1A7907FB"/>
    <w:rsid w:val="1A7D5284"/>
    <w:rsid w:val="1A8117A2"/>
    <w:rsid w:val="1A89445D"/>
    <w:rsid w:val="1A9C2D54"/>
    <w:rsid w:val="1AAF4D68"/>
    <w:rsid w:val="1AB01AA7"/>
    <w:rsid w:val="1AB42BE0"/>
    <w:rsid w:val="1AB84DFF"/>
    <w:rsid w:val="1ABC7EFA"/>
    <w:rsid w:val="1AC35C7E"/>
    <w:rsid w:val="1AD05C2C"/>
    <w:rsid w:val="1AD25EC1"/>
    <w:rsid w:val="1AD4469E"/>
    <w:rsid w:val="1AD52489"/>
    <w:rsid w:val="1AEB325C"/>
    <w:rsid w:val="1AF53561"/>
    <w:rsid w:val="1AFF01CC"/>
    <w:rsid w:val="1B043BA1"/>
    <w:rsid w:val="1B0831E6"/>
    <w:rsid w:val="1B0911B7"/>
    <w:rsid w:val="1B0B1772"/>
    <w:rsid w:val="1B1134E7"/>
    <w:rsid w:val="1B183C16"/>
    <w:rsid w:val="1B197FCE"/>
    <w:rsid w:val="1B1F494C"/>
    <w:rsid w:val="1B2002AF"/>
    <w:rsid w:val="1B2453AC"/>
    <w:rsid w:val="1B312C47"/>
    <w:rsid w:val="1B322C3E"/>
    <w:rsid w:val="1B44769F"/>
    <w:rsid w:val="1B4E28F9"/>
    <w:rsid w:val="1B5466A5"/>
    <w:rsid w:val="1B5508A0"/>
    <w:rsid w:val="1B560717"/>
    <w:rsid w:val="1B5E7755"/>
    <w:rsid w:val="1B6034CD"/>
    <w:rsid w:val="1B610FF3"/>
    <w:rsid w:val="1B6617D2"/>
    <w:rsid w:val="1B78173E"/>
    <w:rsid w:val="1B8A2D9B"/>
    <w:rsid w:val="1B924B4D"/>
    <w:rsid w:val="1B935DCC"/>
    <w:rsid w:val="1B9E5DA3"/>
    <w:rsid w:val="1BB35C05"/>
    <w:rsid w:val="1BCB2B72"/>
    <w:rsid w:val="1BCD0CAE"/>
    <w:rsid w:val="1BCE4C98"/>
    <w:rsid w:val="1BD705F4"/>
    <w:rsid w:val="1BF2581B"/>
    <w:rsid w:val="1BFD6F6E"/>
    <w:rsid w:val="1C0320AA"/>
    <w:rsid w:val="1C0550FA"/>
    <w:rsid w:val="1C153F26"/>
    <w:rsid w:val="1C161DDD"/>
    <w:rsid w:val="1C1A2326"/>
    <w:rsid w:val="1C236DF9"/>
    <w:rsid w:val="1C3F61A8"/>
    <w:rsid w:val="1C443D43"/>
    <w:rsid w:val="1C47643B"/>
    <w:rsid w:val="1C57043D"/>
    <w:rsid w:val="1C71061C"/>
    <w:rsid w:val="1C79679F"/>
    <w:rsid w:val="1C7F3E27"/>
    <w:rsid w:val="1C81112B"/>
    <w:rsid w:val="1C89530B"/>
    <w:rsid w:val="1C8E406A"/>
    <w:rsid w:val="1C980A44"/>
    <w:rsid w:val="1C9D22FA"/>
    <w:rsid w:val="1CA80D13"/>
    <w:rsid w:val="1CAF444A"/>
    <w:rsid w:val="1CC4590F"/>
    <w:rsid w:val="1CD25B38"/>
    <w:rsid w:val="1D0874A7"/>
    <w:rsid w:val="1D1C3021"/>
    <w:rsid w:val="1D1C4535"/>
    <w:rsid w:val="1D444728"/>
    <w:rsid w:val="1D4961E3"/>
    <w:rsid w:val="1D4B5AB7"/>
    <w:rsid w:val="1D5949E3"/>
    <w:rsid w:val="1D660B43"/>
    <w:rsid w:val="1D737132"/>
    <w:rsid w:val="1D7444D6"/>
    <w:rsid w:val="1D765B1B"/>
    <w:rsid w:val="1D7E6280"/>
    <w:rsid w:val="1D8C4BB6"/>
    <w:rsid w:val="1DA337DA"/>
    <w:rsid w:val="1DB85631"/>
    <w:rsid w:val="1DC15114"/>
    <w:rsid w:val="1DC84E33"/>
    <w:rsid w:val="1DD2442A"/>
    <w:rsid w:val="1DD8272A"/>
    <w:rsid w:val="1DDF232F"/>
    <w:rsid w:val="1DE000E4"/>
    <w:rsid w:val="1DE77DF3"/>
    <w:rsid w:val="1DEA2BE4"/>
    <w:rsid w:val="1DEB1048"/>
    <w:rsid w:val="1DED1B58"/>
    <w:rsid w:val="1E0A2700"/>
    <w:rsid w:val="1E0D45C4"/>
    <w:rsid w:val="1E1013DE"/>
    <w:rsid w:val="1E2D23DC"/>
    <w:rsid w:val="1E311151"/>
    <w:rsid w:val="1E3118C2"/>
    <w:rsid w:val="1E312EFF"/>
    <w:rsid w:val="1E4B4A06"/>
    <w:rsid w:val="1E554BE5"/>
    <w:rsid w:val="1E5A1623"/>
    <w:rsid w:val="1E5F001A"/>
    <w:rsid w:val="1E5F490F"/>
    <w:rsid w:val="1E6D7CAF"/>
    <w:rsid w:val="1E750F0A"/>
    <w:rsid w:val="1E7A7117"/>
    <w:rsid w:val="1E930B91"/>
    <w:rsid w:val="1E966E04"/>
    <w:rsid w:val="1E9F5123"/>
    <w:rsid w:val="1E9F7937"/>
    <w:rsid w:val="1EA15FBE"/>
    <w:rsid w:val="1EA347B2"/>
    <w:rsid w:val="1EA735AB"/>
    <w:rsid w:val="1EA877B0"/>
    <w:rsid w:val="1EBB62B3"/>
    <w:rsid w:val="1EC06FF8"/>
    <w:rsid w:val="1EC27BAC"/>
    <w:rsid w:val="1EC73863"/>
    <w:rsid w:val="1ECB5101"/>
    <w:rsid w:val="1ECD7BD2"/>
    <w:rsid w:val="1ECE5C70"/>
    <w:rsid w:val="1ECF23C9"/>
    <w:rsid w:val="1EEB57A3"/>
    <w:rsid w:val="1EF83A1C"/>
    <w:rsid w:val="1EF85027"/>
    <w:rsid w:val="1EFA3929"/>
    <w:rsid w:val="1F05089E"/>
    <w:rsid w:val="1F076379"/>
    <w:rsid w:val="1F0D5AB1"/>
    <w:rsid w:val="1F17367A"/>
    <w:rsid w:val="1F187D84"/>
    <w:rsid w:val="1F312C07"/>
    <w:rsid w:val="1F3535E1"/>
    <w:rsid w:val="1F363DB7"/>
    <w:rsid w:val="1F374545"/>
    <w:rsid w:val="1F3E6BA6"/>
    <w:rsid w:val="1F402607"/>
    <w:rsid w:val="1F49217B"/>
    <w:rsid w:val="1F534032"/>
    <w:rsid w:val="1F5B78B4"/>
    <w:rsid w:val="1F685A76"/>
    <w:rsid w:val="1F6C56DA"/>
    <w:rsid w:val="1F7A6B27"/>
    <w:rsid w:val="1F7B3047"/>
    <w:rsid w:val="1F7C5362"/>
    <w:rsid w:val="1F897B12"/>
    <w:rsid w:val="1F8B4890"/>
    <w:rsid w:val="1F8B663F"/>
    <w:rsid w:val="1F8E612F"/>
    <w:rsid w:val="1F971A08"/>
    <w:rsid w:val="1F99495C"/>
    <w:rsid w:val="1FA15336"/>
    <w:rsid w:val="1FA31DAF"/>
    <w:rsid w:val="1FA755FE"/>
    <w:rsid w:val="1FAA71D6"/>
    <w:rsid w:val="1FAB0A8F"/>
    <w:rsid w:val="1FB4569D"/>
    <w:rsid w:val="1FC25F9C"/>
    <w:rsid w:val="1FC41B50"/>
    <w:rsid w:val="1FC43AEE"/>
    <w:rsid w:val="1FD06747"/>
    <w:rsid w:val="1FD102F0"/>
    <w:rsid w:val="1FD5061F"/>
    <w:rsid w:val="1FD9727A"/>
    <w:rsid w:val="1FE04BDC"/>
    <w:rsid w:val="1FE10954"/>
    <w:rsid w:val="1FED3EC4"/>
    <w:rsid w:val="1FFB07AA"/>
    <w:rsid w:val="20005844"/>
    <w:rsid w:val="200A7EAB"/>
    <w:rsid w:val="200E0DCE"/>
    <w:rsid w:val="20106B2C"/>
    <w:rsid w:val="20142AD8"/>
    <w:rsid w:val="20176124"/>
    <w:rsid w:val="201E01D5"/>
    <w:rsid w:val="202D5948"/>
    <w:rsid w:val="20326929"/>
    <w:rsid w:val="203F21DF"/>
    <w:rsid w:val="20490B50"/>
    <w:rsid w:val="204B160A"/>
    <w:rsid w:val="204C04C4"/>
    <w:rsid w:val="20564E9E"/>
    <w:rsid w:val="205837F9"/>
    <w:rsid w:val="205B0BC5"/>
    <w:rsid w:val="2063712B"/>
    <w:rsid w:val="20640F94"/>
    <w:rsid w:val="20650642"/>
    <w:rsid w:val="206854FA"/>
    <w:rsid w:val="207140D8"/>
    <w:rsid w:val="20735A50"/>
    <w:rsid w:val="207F2C4A"/>
    <w:rsid w:val="20877C12"/>
    <w:rsid w:val="208B76F5"/>
    <w:rsid w:val="208F40C4"/>
    <w:rsid w:val="20983709"/>
    <w:rsid w:val="20A33CD1"/>
    <w:rsid w:val="20AD7E2C"/>
    <w:rsid w:val="20B23465"/>
    <w:rsid w:val="20BA04EF"/>
    <w:rsid w:val="20BC47EC"/>
    <w:rsid w:val="20C54B49"/>
    <w:rsid w:val="20C91B14"/>
    <w:rsid w:val="20CA1088"/>
    <w:rsid w:val="20CA6034"/>
    <w:rsid w:val="20CC5161"/>
    <w:rsid w:val="20D61B3B"/>
    <w:rsid w:val="20D9797B"/>
    <w:rsid w:val="20E155F3"/>
    <w:rsid w:val="20E637ED"/>
    <w:rsid w:val="20EE3329"/>
    <w:rsid w:val="20F03160"/>
    <w:rsid w:val="20F17A3F"/>
    <w:rsid w:val="20F51E5F"/>
    <w:rsid w:val="2105419D"/>
    <w:rsid w:val="210733B3"/>
    <w:rsid w:val="21077FF2"/>
    <w:rsid w:val="211230DD"/>
    <w:rsid w:val="21162880"/>
    <w:rsid w:val="21182154"/>
    <w:rsid w:val="21185C53"/>
    <w:rsid w:val="211B39F2"/>
    <w:rsid w:val="212810DF"/>
    <w:rsid w:val="21324EBE"/>
    <w:rsid w:val="21344D1D"/>
    <w:rsid w:val="21354AB4"/>
    <w:rsid w:val="214B126C"/>
    <w:rsid w:val="214D6F33"/>
    <w:rsid w:val="21537BF4"/>
    <w:rsid w:val="21585109"/>
    <w:rsid w:val="215A7923"/>
    <w:rsid w:val="216335B5"/>
    <w:rsid w:val="216715CE"/>
    <w:rsid w:val="216A24B8"/>
    <w:rsid w:val="216A380D"/>
    <w:rsid w:val="216C24A0"/>
    <w:rsid w:val="216F7E3E"/>
    <w:rsid w:val="2170260C"/>
    <w:rsid w:val="21720BD8"/>
    <w:rsid w:val="21792B5A"/>
    <w:rsid w:val="217C000C"/>
    <w:rsid w:val="218617B3"/>
    <w:rsid w:val="218C03BB"/>
    <w:rsid w:val="219B7726"/>
    <w:rsid w:val="21A029A0"/>
    <w:rsid w:val="21A36392"/>
    <w:rsid w:val="21A63FCB"/>
    <w:rsid w:val="21AC6F20"/>
    <w:rsid w:val="21B27DBC"/>
    <w:rsid w:val="21BE2944"/>
    <w:rsid w:val="21C34068"/>
    <w:rsid w:val="21C80E3C"/>
    <w:rsid w:val="21CE0BA5"/>
    <w:rsid w:val="21E404FB"/>
    <w:rsid w:val="21E61441"/>
    <w:rsid w:val="21EA5F61"/>
    <w:rsid w:val="21EB4C9C"/>
    <w:rsid w:val="21FA6431"/>
    <w:rsid w:val="21FC27FC"/>
    <w:rsid w:val="22077127"/>
    <w:rsid w:val="220A0BA1"/>
    <w:rsid w:val="220A5336"/>
    <w:rsid w:val="22122768"/>
    <w:rsid w:val="22132AF7"/>
    <w:rsid w:val="221B0E79"/>
    <w:rsid w:val="22265B0E"/>
    <w:rsid w:val="22277688"/>
    <w:rsid w:val="222F59A7"/>
    <w:rsid w:val="22311B7D"/>
    <w:rsid w:val="22344730"/>
    <w:rsid w:val="223552C7"/>
    <w:rsid w:val="22356D36"/>
    <w:rsid w:val="225B3C5A"/>
    <w:rsid w:val="2264094C"/>
    <w:rsid w:val="22654AE2"/>
    <w:rsid w:val="22665FD9"/>
    <w:rsid w:val="226D64CF"/>
    <w:rsid w:val="227A2217"/>
    <w:rsid w:val="227C4B63"/>
    <w:rsid w:val="229B128E"/>
    <w:rsid w:val="22A60458"/>
    <w:rsid w:val="22A65EFE"/>
    <w:rsid w:val="22AB2B2A"/>
    <w:rsid w:val="22AD54B1"/>
    <w:rsid w:val="22C75BE0"/>
    <w:rsid w:val="22D33697"/>
    <w:rsid w:val="22D402FC"/>
    <w:rsid w:val="22DB168B"/>
    <w:rsid w:val="22EE13BE"/>
    <w:rsid w:val="22EF45DC"/>
    <w:rsid w:val="22FB331B"/>
    <w:rsid w:val="22FE73F4"/>
    <w:rsid w:val="23015AB9"/>
    <w:rsid w:val="23111551"/>
    <w:rsid w:val="23241284"/>
    <w:rsid w:val="232C482D"/>
    <w:rsid w:val="233468C5"/>
    <w:rsid w:val="23362BAC"/>
    <w:rsid w:val="233A7A96"/>
    <w:rsid w:val="234611FA"/>
    <w:rsid w:val="23532829"/>
    <w:rsid w:val="23574C5C"/>
    <w:rsid w:val="23586F31"/>
    <w:rsid w:val="235B4D33"/>
    <w:rsid w:val="23641680"/>
    <w:rsid w:val="236B42A9"/>
    <w:rsid w:val="236C6787"/>
    <w:rsid w:val="23746094"/>
    <w:rsid w:val="239E31E8"/>
    <w:rsid w:val="23A81EB5"/>
    <w:rsid w:val="23AC3027"/>
    <w:rsid w:val="23B02B18"/>
    <w:rsid w:val="23B32610"/>
    <w:rsid w:val="23B87C1E"/>
    <w:rsid w:val="23BA1BE8"/>
    <w:rsid w:val="23C56FDF"/>
    <w:rsid w:val="23C669D1"/>
    <w:rsid w:val="23CB5BA3"/>
    <w:rsid w:val="23CD70CB"/>
    <w:rsid w:val="23CE2F9E"/>
    <w:rsid w:val="23D52D0B"/>
    <w:rsid w:val="23E23267"/>
    <w:rsid w:val="23ED6FB2"/>
    <w:rsid w:val="23EE51BE"/>
    <w:rsid w:val="23F01166"/>
    <w:rsid w:val="23F50F64"/>
    <w:rsid w:val="23F549E7"/>
    <w:rsid w:val="23F726D0"/>
    <w:rsid w:val="23FA1FE5"/>
    <w:rsid w:val="23FA4C57"/>
    <w:rsid w:val="240116C6"/>
    <w:rsid w:val="24013373"/>
    <w:rsid w:val="24054BDB"/>
    <w:rsid w:val="24066A94"/>
    <w:rsid w:val="240F6B13"/>
    <w:rsid w:val="240F79BB"/>
    <w:rsid w:val="241114A7"/>
    <w:rsid w:val="24134E54"/>
    <w:rsid w:val="24145F73"/>
    <w:rsid w:val="24205829"/>
    <w:rsid w:val="24326B1E"/>
    <w:rsid w:val="24327B11"/>
    <w:rsid w:val="24343749"/>
    <w:rsid w:val="24521E21"/>
    <w:rsid w:val="24540501"/>
    <w:rsid w:val="24620921"/>
    <w:rsid w:val="246B4024"/>
    <w:rsid w:val="246C3AD0"/>
    <w:rsid w:val="24707475"/>
    <w:rsid w:val="24783137"/>
    <w:rsid w:val="247C0C4C"/>
    <w:rsid w:val="247C510A"/>
    <w:rsid w:val="247E49C4"/>
    <w:rsid w:val="24941B17"/>
    <w:rsid w:val="24AB1AE4"/>
    <w:rsid w:val="24C0322E"/>
    <w:rsid w:val="24C820E3"/>
    <w:rsid w:val="24CD0508"/>
    <w:rsid w:val="24CF3471"/>
    <w:rsid w:val="24DB07E4"/>
    <w:rsid w:val="24EC65C3"/>
    <w:rsid w:val="24F521A7"/>
    <w:rsid w:val="24FA09BF"/>
    <w:rsid w:val="25180D5F"/>
    <w:rsid w:val="25183F18"/>
    <w:rsid w:val="25190BDD"/>
    <w:rsid w:val="2530729E"/>
    <w:rsid w:val="25307D19"/>
    <w:rsid w:val="25360E3E"/>
    <w:rsid w:val="253B1F59"/>
    <w:rsid w:val="253E0FBC"/>
    <w:rsid w:val="25414B89"/>
    <w:rsid w:val="25415145"/>
    <w:rsid w:val="254B265C"/>
    <w:rsid w:val="255120D8"/>
    <w:rsid w:val="25545725"/>
    <w:rsid w:val="2554664E"/>
    <w:rsid w:val="255524CF"/>
    <w:rsid w:val="25581738"/>
    <w:rsid w:val="25585FFC"/>
    <w:rsid w:val="2559556F"/>
    <w:rsid w:val="255B0738"/>
    <w:rsid w:val="255B3898"/>
    <w:rsid w:val="255B4F59"/>
    <w:rsid w:val="255E0351"/>
    <w:rsid w:val="25727847"/>
    <w:rsid w:val="25740088"/>
    <w:rsid w:val="25807839"/>
    <w:rsid w:val="25837281"/>
    <w:rsid w:val="258450D8"/>
    <w:rsid w:val="25864F36"/>
    <w:rsid w:val="258652F2"/>
    <w:rsid w:val="25977A1B"/>
    <w:rsid w:val="259A436E"/>
    <w:rsid w:val="25AF254F"/>
    <w:rsid w:val="25B05051"/>
    <w:rsid w:val="25B34E35"/>
    <w:rsid w:val="25B72E26"/>
    <w:rsid w:val="25B822D0"/>
    <w:rsid w:val="25C26B32"/>
    <w:rsid w:val="25C40F37"/>
    <w:rsid w:val="25C47A28"/>
    <w:rsid w:val="25CB3167"/>
    <w:rsid w:val="25CE0D7A"/>
    <w:rsid w:val="25D6438C"/>
    <w:rsid w:val="25E00F87"/>
    <w:rsid w:val="25E56074"/>
    <w:rsid w:val="25F455D0"/>
    <w:rsid w:val="25F72072"/>
    <w:rsid w:val="25FE56BD"/>
    <w:rsid w:val="26050350"/>
    <w:rsid w:val="260605C5"/>
    <w:rsid w:val="26070470"/>
    <w:rsid w:val="26086C3B"/>
    <w:rsid w:val="26121868"/>
    <w:rsid w:val="26154EB4"/>
    <w:rsid w:val="2617063D"/>
    <w:rsid w:val="26177BD2"/>
    <w:rsid w:val="262120BE"/>
    <w:rsid w:val="26253F43"/>
    <w:rsid w:val="262E76AF"/>
    <w:rsid w:val="263446A9"/>
    <w:rsid w:val="26367514"/>
    <w:rsid w:val="26426772"/>
    <w:rsid w:val="26463BED"/>
    <w:rsid w:val="264F0370"/>
    <w:rsid w:val="26526108"/>
    <w:rsid w:val="265754CC"/>
    <w:rsid w:val="265E5BDD"/>
    <w:rsid w:val="266F2356"/>
    <w:rsid w:val="2677426D"/>
    <w:rsid w:val="267E42B6"/>
    <w:rsid w:val="268527C2"/>
    <w:rsid w:val="268838D8"/>
    <w:rsid w:val="268C609A"/>
    <w:rsid w:val="268F550F"/>
    <w:rsid w:val="2697672D"/>
    <w:rsid w:val="269821F1"/>
    <w:rsid w:val="269E3A6B"/>
    <w:rsid w:val="26A00302"/>
    <w:rsid w:val="26A54E2B"/>
    <w:rsid w:val="26A71299"/>
    <w:rsid w:val="26B11081"/>
    <w:rsid w:val="26B44D8B"/>
    <w:rsid w:val="26B612F4"/>
    <w:rsid w:val="26CE1AD7"/>
    <w:rsid w:val="26D172F5"/>
    <w:rsid w:val="26D337B2"/>
    <w:rsid w:val="26D62D6C"/>
    <w:rsid w:val="26EF0035"/>
    <w:rsid w:val="26F41264"/>
    <w:rsid w:val="26F41564"/>
    <w:rsid w:val="26F64CE5"/>
    <w:rsid w:val="26F75B42"/>
    <w:rsid w:val="2701709D"/>
    <w:rsid w:val="27022286"/>
    <w:rsid w:val="270267F3"/>
    <w:rsid w:val="270D0E13"/>
    <w:rsid w:val="271108F1"/>
    <w:rsid w:val="271120A3"/>
    <w:rsid w:val="2714160F"/>
    <w:rsid w:val="27163ABD"/>
    <w:rsid w:val="27163B3B"/>
    <w:rsid w:val="272B394C"/>
    <w:rsid w:val="273206EA"/>
    <w:rsid w:val="273932D9"/>
    <w:rsid w:val="273E53F2"/>
    <w:rsid w:val="27457B64"/>
    <w:rsid w:val="274F2647"/>
    <w:rsid w:val="27511310"/>
    <w:rsid w:val="27566D09"/>
    <w:rsid w:val="27677DFF"/>
    <w:rsid w:val="276A122F"/>
    <w:rsid w:val="279462AC"/>
    <w:rsid w:val="279553FF"/>
    <w:rsid w:val="2798209D"/>
    <w:rsid w:val="27A43BEC"/>
    <w:rsid w:val="27B07F6F"/>
    <w:rsid w:val="27BD3C21"/>
    <w:rsid w:val="27C3415F"/>
    <w:rsid w:val="27C547D0"/>
    <w:rsid w:val="27E234BC"/>
    <w:rsid w:val="27EA6428"/>
    <w:rsid w:val="27F31225"/>
    <w:rsid w:val="27F356C9"/>
    <w:rsid w:val="27FE6547"/>
    <w:rsid w:val="2805656C"/>
    <w:rsid w:val="28133675"/>
    <w:rsid w:val="2815563F"/>
    <w:rsid w:val="281C0B48"/>
    <w:rsid w:val="281C2F99"/>
    <w:rsid w:val="2823358F"/>
    <w:rsid w:val="282D0BDB"/>
    <w:rsid w:val="283202DD"/>
    <w:rsid w:val="283261F1"/>
    <w:rsid w:val="283366BC"/>
    <w:rsid w:val="2837470D"/>
    <w:rsid w:val="283D6B59"/>
    <w:rsid w:val="28494F94"/>
    <w:rsid w:val="28520016"/>
    <w:rsid w:val="286448F6"/>
    <w:rsid w:val="286710CE"/>
    <w:rsid w:val="286F11F3"/>
    <w:rsid w:val="287A365C"/>
    <w:rsid w:val="288A1B89"/>
    <w:rsid w:val="288D09FB"/>
    <w:rsid w:val="289349BA"/>
    <w:rsid w:val="28940C5A"/>
    <w:rsid w:val="289635B2"/>
    <w:rsid w:val="289C7B0E"/>
    <w:rsid w:val="28A2194C"/>
    <w:rsid w:val="28AE58E2"/>
    <w:rsid w:val="28B17364"/>
    <w:rsid w:val="28B44E58"/>
    <w:rsid w:val="28D27BC2"/>
    <w:rsid w:val="28D93414"/>
    <w:rsid w:val="28DB74FC"/>
    <w:rsid w:val="28DC0708"/>
    <w:rsid w:val="28E50F07"/>
    <w:rsid w:val="28ED20A8"/>
    <w:rsid w:val="290A1ADA"/>
    <w:rsid w:val="290E63B7"/>
    <w:rsid w:val="291256B4"/>
    <w:rsid w:val="29156E4E"/>
    <w:rsid w:val="29232DD0"/>
    <w:rsid w:val="29253FF8"/>
    <w:rsid w:val="292841F8"/>
    <w:rsid w:val="292B3187"/>
    <w:rsid w:val="292E2B17"/>
    <w:rsid w:val="292F7005"/>
    <w:rsid w:val="29316E59"/>
    <w:rsid w:val="29345905"/>
    <w:rsid w:val="293B2DF7"/>
    <w:rsid w:val="293C1021"/>
    <w:rsid w:val="294108C5"/>
    <w:rsid w:val="294126BF"/>
    <w:rsid w:val="294E4CE5"/>
    <w:rsid w:val="29550849"/>
    <w:rsid w:val="295A7F16"/>
    <w:rsid w:val="2969691B"/>
    <w:rsid w:val="296B56CD"/>
    <w:rsid w:val="296E14AB"/>
    <w:rsid w:val="297134F1"/>
    <w:rsid w:val="29792332"/>
    <w:rsid w:val="297A1906"/>
    <w:rsid w:val="29802A2D"/>
    <w:rsid w:val="29871CB4"/>
    <w:rsid w:val="29915199"/>
    <w:rsid w:val="299E745D"/>
    <w:rsid w:val="29A378DB"/>
    <w:rsid w:val="29B21767"/>
    <w:rsid w:val="29B64EF9"/>
    <w:rsid w:val="29BC3586"/>
    <w:rsid w:val="29C64C71"/>
    <w:rsid w:val="29C84645"/>
    <w:rsid w:val="29D16F76"/>
    <w:rsid w:val="29D357B2"/>
    <w:rsid w:val="29DA08EE"/>
    <w:rsid w:val="29DA3A69"/>
    <w:rsid w:val="29E55E19"/>
    <w:rsid w:val="29FD638B"/>
    <w:rsid w:val="29FF76F1"/>
    <w:rsid w:val="2A06431C"/>
    <w:rsid w:val="2A08048B"/>
    <w:rsid w:val="2A0A3686"/>
    <w:rsid w:val="2A0B0AA8"/>
    <w:rsid w:val="2A105311"/>
    <w:rsid w:val="2A1D07DB"/>
    <w:rsid w:val="2A1E196F"/>
    <w:rsid w:val="2A2C5300"/>
    <w:rsid w:val="2A2D395E"/>
    <w:rsid w:val="2A3B08F0"/>
    <w:rsid w:val="2A407518"/>
    <w:rsid w:val="2A4315F2"/>
    <w:rsid w:val="2A584173"/>
    <w:rsid w:val="2A587A65"/>
    <w:rsid w:val="2A5B3BCA"/>
    <w:rsid w:val="2A636B36"/>
    <w:rsid w:val="2A64661D"/>
    <w:rsid w:val="2A6E27A8"/>
    <w:rsid w:val="2A727BBC"/>
    <w:rsid w:val="2A740444"/>
    <w:rsid w:val="2A7600BE"/>
    <w:rsid w:val="2A7E77BA"/>
    <w:rsid w:val="2A7F7BFB"/>
    <w:rsid w:val="2A8E4BFE"/>
    <w:rsid w:val="2A8F792B"/>
    <w:rsid w:val="2A97338A"/>
    <w:rsid w:val="2A97531C"/>
    <w:rsid w:val="2A9E1E98"/>
    <w:rsid w:val="2A9F5694"/>
    <w:rsid w:val="2AA60FC8"/>
    <w:rsid w:val="2AAC51DC"/>
    <w:rsid w:val="2AB56C66"/>
    <w:rsid w:val="2ABA22C5"/>
    <w:rsid w:val="2ABE3D6C"/>
    <w:rsid w:val="2AC1385C"/>
    <w:rsid w:val="2AC96BEE"/>
    <w:rsid w:val="2AD8607D"/>
    <w:rsid w:val="2AE43147"/>
    <w:rsid w:val="2AE8703B"/>
    <w:rsid w:val="2AF57787"/>
    <w:rsid w:val="2B0937DA"/>
    <w:rsid w:val="2B0D4CF3"/>
    <w:rsid w:val="2B1362BA"/>
    <w:rsid w:val="2B1E291C"/>
    <w:rsid w:val="2B2253B5"/>
    <w:rsid w:val="2B29158E"/>
    <w:rsid w:val="2B2D7144"/>
    <w:rsid w:val="2B3053FE"/>
    <w:rsid w:val="2B33131F"/>
    <w:rsid w:val="2B376BFA"/>
    <w:rsid w:val="2B3C3E8E"/>
    <w:rsid w:val="2B3E1934"/>
    <w:rsid w:val="2B410523"/>
    <w:rsid w:val="2B416DDF"/>
    <w:rsid w:val="2B4246BA"/>
    <w:rsid w:val="2B4F2786"/>
    <w:rsid w:val="2B5A4A57"/>
    <w:rsid w:val="2B5F06F6"/>
    <w:rsid w:val="2B611E21"/>
    <w:rsid w:val="2B655533"/>
    <w:rsid w:val="2B737F03"/>
    <w:rsid w:val="2B7A6A57"/>
    <w:rsid w:val="2BA07916"/>
    <w:rsid w:val="2BAB503A"/>
    <w:rsid w:val="2BB346BE"/>
    <w:rsid w:val="2BB659FF"/>
    <w:rsid w:val="2BB94533"/>
    <w:rsid w:val="2BC10702"/>
    <w:rsid w:val="2BD36810"/>
    <w:rsid w:val="2BD870AF"/>
    <w:rsid w:val="2BE14D93"/>
    <w:rsid w:val="2BE84EAB"/>
    <w:rsid w:val="2BF27DF5"/>
    <w:rsid w:val="2BFC681E"/>
    <w:rsid w:val="2BFF4BDE"/>
    <w:rsid w:val="2C0940D4"/>
    <w:rsid w:val="2C260730"/>
    <w:rsid w:val="2C3C1031"/>
    <w:rsid w:val="2C423E6E"/>
    <w:rsid w:val="2C4D456A"/>
    <w:rsid w:val="2C5443A6"/>
    <w:rsid w:val="2C596FAE"/>
    <w:rsid w:val="2C6820E3"/>
    <w:rsid w:val="2C6B167B"/>
    <w:rsid w:val="2C6E53F6"/>
    <w:rsid w:val="2C732934"/>
    <w:rsid w:val="2C7843EE"/>
    <w:rsid w:val="2C873163"/>
    <w:rsid w:val="2C8A3D20"/>
    <w:rsid w:val="2C8D122A"/>
    <w:rsid w:val="2C901BFA"/>
    <w:rsid w:val="2C996184"/>
    <w:rsid w:val="2C9A76DB"/>
    <w:rsid w:val="2CA04A8C"/>
    <w:rsid w:val="2CAC0ECF"/>
    <w:rsid w:val="2CC93756"/>
    <w:rsid w:val="2CD560E9"/>
    <w:rsid w:val="2CD77FC3"/>
    <w:rsid w:val="2CE076BD"/>
    <w:rsid w:val="2CE23C1B"/>
    <w:rsid w:val="2CEC5FE7"/>
    <w:rsid w:val="2CF27769"/>
    <w:rsid w:val="2CF609C7"/>
    <w:rsid w:val="2CF73565"/>
    <w:rsid w:val="2CF73E3B"/>
    <w:rsid w:val="2D1660E1"/>
    <w:rsid w:val="2D1C2FCC"/>
    <w:rsid w:val="2D237CB5"/>
    <w:rsid w:val="2D346567"/>
    <w:rsid w:val="2D5312C3"/>
    <w:rsid w:val="2D532616"/>
    <w:rsid w:val="2D59278C"/>
    <w:rsid w:val="2D642578"/>
    <w:rsid w:val="2D681CC2"/>
    <w:rsid w:val="2D6D19E4"/>
    <w:rsid w:val="2D760184"/>
    <w:rsid w:val="2D7744B8"/>
    <w:rsid w:val="2D834DF9"/>
    <w:rsid w:val="2D84187C"/>
    <w:rsid w:val="2D887D10"/>
    <w:rsid w:val="2D927424"/>
    <w:rsid w:val="2D9C3B95"/>
    <w:rsid w:val="2DAD0405"/>
    <w:rsid w:val="2DBD4397"/>
    <w:rsid w:val="2DC9012A"/>
    <w:rsid w:val="2DCE6F11"/>
    <w:rsid w:val="2DE36243"/>
    <w:rsid w:val="2DE42B33"/>
    <w:rsid w:val="2DE92081"/>
    <w:rsid w:val="2DEE6D24"/>
    <w:rsid w:val="2DEF7FEC"/>
    <w:rsid w:val="2DF16DC8"/>
    <w:rsid w:val="2DF31F69"/>
    <w:rsid w:val="2DF47EEC"/>
    <w:rsid w:val="2DF83A39"/>
    <w:rsid w:val="2DF92BFB"/>
    <w:rsid w:val="2DFE302A"/>
    <w:rsid w:val="2DFF635D"/>
    <w:rsid w:val="2E000B2A"/>
    <w:rsid w:val="2E00469C"/>
    <w:rsid w:val="2E065893"/>
    <w:rsid w:val="2E0B3540"/>
    <w:rsid w:val="2E0B740F"/>
    <w:rsid w:val="2E0E3F0C"/>
    <w:rsid w:val="2E0F712F"/>
    <w:rsid w:val="2E1223F6"/>
    <w:rsid w:val="2E1D0330"/>
    <w:rsid w:val="2E271D7E"/>
    <w:rsid w:val="2E2D2280"/>
    <w:rsid w:val="2E2E211E"/>
    <w:rsid w:val="2E331856"/>
    <w:rsid w:val="2E366395"/>
    <w:rsid w:val="2E460F2B"/>
    <w:rsid w:val="2E484E32"/>
    <w:rsid w:val="2E4C0A30"/>
    <w:rsid w:val="2E4C1680"/>
    <w:rsid w:val="2E503828"/>
    <w:rsid w:val="2E506CF9"/>
    <w:rsid w:val="2E5077D3"/>
    <w:rsid w:val="2E550606"/>
    <w:rsid w:val="2E620EB2"/>
    <w:rsid w:val="2E627BB7"/>
    <w:rsid w:val="2E76670C"/>
    <w:rsid w:val="2E7C2715"/>
    <w:rsid w:val="2E812568"/>
    <w:rsid w:val="2E8A2F4F"/>
    <w:rsid w:val="2E8B665B"/>
    <w:rsid w:val="2EA17C2D"/>
    <w:rsid w:val="2EAC50BD"/>
    <w:rsid w:val="2EAF501F"/>
    <w:rsid w:val="2EC15BD9"/>
    <w:rsid w:val="2EC7434B"/>
    <w:rsid w:val="2ECA285C"/>
    <w:rsid w:val="2ECC580E"/>
    <w:rsid w:val="2ECE79E1"/>
    <w:rsid w:val="2ED83560"/>
    <w:rsid w:val="2EDC6426"/>
    <w:rsid w:val="2EE87609"/>
    <w:rsid w:val="2EED1EEA"/>
    <w:rsid w:val="2EED69CE"/>
    <w:rsid w:val="2EF13DA1"/>
    <w:rsid w:val="2EF15BE8"/>
    <w:rsid w:val="2EF54EC6"/>
    <w:rsid w:val="2EFB50DB"/>
    <w:rsid w:val="2F005049"/>
    <w:rsid w:val="2F075B14"/>
    <w:rsid w:val="2F23594F"/>
    <w:rsid w:val="2F272DE9"/>
    <w:rsid w:val="2F322629"/>
    <w:rsid w:val="2F3D569E"/>
    <w:rsid w:val="2F5051AF"/>
    <w:rsid w:val="2F5A2A85"/>
    <w:rsid w:val="2F623B9D"/>
    <w:rsid w:val="2F644280"/>
    <w:rsid w:val="2F664B30"/>
    <w:rsid w:val="2F6A1ADD"/>
    <w:rsid w:val="2F6A62BA"/>
    <w:rsid w:val="2F6B6643"/>
    <w:rsid w:val="2F6E17C3"/>
    <w:rsid w:val="2F7751C3"/>
    <w:rsid w:val="2F864740"/>
    <w:rsid w:val="2FA36F70"/>
    <w:rsid w:val="2FBA647E"/>
    <w:rsid w:val="2FBB4D1E"/>
    <w:rsid w:val="2FC92430"/>
    <w:rsid w:val="2FCA6DE3"/>
    <w:rsid w:val="2FD933F6"/>
    <w:rsid w:val="2FDD779E"/>
    <w:rsid w:val="2FDE7EF3"/>
    <w:rsid w:val="2FE346AB"/>
    <w:rsid w:val="2FE72FF0"/>
    <w:rsid w:val="2FE91118"/>
    <w:rsid w:val="2FF60529"/>
    <w:rsid w:val="2FF90B3C"/>
    <w:rsid w:val="30055F99"/>
    <w:rsid w:val="300E30A0"/>
    <w:rsid w:val="30191A45"/>
    <w:rsid w:val="30193204"/>
    <w:rsid w:val="301B0D0D"/>
    <w:rsid w:val="30241CF5"/>
    <w:rsid w:val="302548CA"/>
    <w:rsid w:val="3038432C"/>
    <w:rsid w:val="303A0C79"/>
    <w:rsid w:val="304B42F4"/>
    <w:rsid w:val="3052132F"/>
    <w:rsid w:val="30531729"/>
    <w:rsid w:val="305C5A62"/>
    <w:rsid w:val="30635B1E"/>
    <w:rsid w:val="306A22A0"/>
    <w:rsid w:val="306C4751"/>
    <w:rsid w:val="307625AB"/>
    <w:rsid w:val="307F5D4C"/>
    <w:rsid w:val="30887CAB"/>
    <w:rsid w:val="308D0A0B"/>
    <w:rsid w:val="309C7E50"/>
    <w:rsid w:val="30BC133D"/>
    <w:rsid w:val="30C145B6"/>
    <w:rsid w:val="30C55E1F"/>
    <w:rsid w:val="30D36097"/>
    <w:rsid w:val="30DD0CC4"/>
    <w:rsid w:val="30E237FA"/>
    <w:rsid w:val="30ED7159"/>
    <w:rsid w:val="30FF2362"/>
    <w:rsid w:val="310A1B26"/>
    <w:rsid w:val="31197B48"/>
    <w:rsid w:val="311B7876"/>
    <w:rsid w:val="3134629F"/>
    <w:rsid w:val="313B289C"/>
    <w:rsid w:val="31456F95"/>
    <w:rsid w:val="314676E4"/>
    <w:rsid w:val="314D1A41"/>
    <w:rsid w:val="314E2B54"/>
    <w:rsid w:val="314F46DD"/>
    <w:rsid w:val="31550136"/>
    <w:rsid w:val="31604EB6"/>
    <w:rsid w:val="316136A3"/>
    <w:rsid w:val="316A2ED3"/>
    <w:rsid w:val="316E283D"/>
    <w:rsid w:val="31831B9A"/>
    <w:rsid w:val="31932DE8"/>
    <w:rsid w:val="319907FD"/>
    <w:rsid w:val="319B79A8"/>
    <w:rsid w:val="319E48F7"/>
    <w:rsid w:val="31A43590"/>
    <w:rsid w:val="31AB72B1"/>
    <w:rsid w:val="31B53C8E"/>
    <w:rsid w:val="31BB325D"/>
    <w:rsid w:val="31C12394"/>
    <w:rsid w:val="31C74EA3"/>
    <w:rsid w:val="31CE0986"/>
    <w:rsid w:val="31DE7B18"/>
    <w:rsid w:val="31E67155"/>
    <w:rsid w:val="31EB3907"/>
    <w:rsid w:val="31F41AC9"/>
    <w:rsid w:val="31F938DC"/>
    <w:rsid w:val="31FB7BC5"/>
    <w:rsid w:val="32005F94"/>
    <w:rsid w:val="32091686"/>
    <w:rsid w:val="321F320E"/>
    <w:rsid w:val="32244DFC"/>
    <w:rsid w:val="32314F8B"/>
    <w:rsid w:val="32337CC9"/>
    <w:rsid w:val="323A5948"/>
    <w:rsid w:val="323E5B9E"/>
    <w:rsid w:val="32496D61"/>
    <w:rsid w:val="324A7BFC"/>
    <w:rsid w:val="324B1648"/>
    <w:rsid w:val="324F5D9D"/>
    <w:rsid w:val="325060E5"/>
    <w:rsid w:val="32607DFF"/>
    <w:rsid w:val="326276D3"/>
    <w:rsid w:val="32650551"/>
    <w:rsid w:val="326B1CB7"/>
    <w:rsid w:val="326E0542"/>
    <w:rsid w:val="326E0571"/>
    <w:rsid w:val="3272244E"/>
    <w:rsid w:val="32836624"/>
    <w:rsid w:val="328E450B"/>
    <w:rsid w:val="329031DC"/>
    <w:rsid w:val="329A1673"/>
    <w:rsid w:val="32B1085F"/>
    <w:rsid w:val="32B24E16"/>
    <w:rsid w:val="32B947E6"/>
    <w:rsid w:val="32B947EE"/>
    <w:rsid w:val="32BA12BD"/>
    <w:rsid w:val="32BF4784"/>
    <w:rsid w:val="32C24615"/>
    <w:rsid w:val="32C5395D"/>
    <w:rsid w:val="32D5075B"/>
    <w:rsid w:val="32D81743"/>
    <w:rsid w:val="32DD369D"/>
    <w:rsid w:val="32E370CD"/>
    <w:rsid w:val="32E72DFF"/>
    <w:rsid w:val="32FD5F81"/>
    <w:rsid w:val="32FF2AD1"/>
    <w:rsid w:val="330620B1"/>
    <w:rsid w:val="33064502"/>
    <w:rsid w:val="330C3D52"/>
    <w:rsid w:val="330F7115"/>
    <w:rsid w:val="33185900"/>
    <w:rsid w:val="331E4F5D"/>
    <w:rsid w:val="332773F4"/>
    <w:rsid w:val="332A009A"/>
    <w:rsid w:val="3330450A"/>
    <w:rsid w:val="333237AE"/>
    <w:rsid w:val="33365027"/>
    <w:rsid w:val="333D588F"/>
    <w:rsid w:val="334A1FDC"/>
    <w:rsid w:val="334C38CD"/>
    <w:rsid w:val="3350577D"/>
    <w:rsid w:val="335867A0"/>
    <w:rsid w:val="335B3D3B"/>
    <w:rsid w:val="335F00B6"/>
    <w:rsid w:val="33694A91"/>
    <w:rsid w:val="33734E1A"/>
    <w:rsid w:val="338453B7"/>
    <w:rsid w:val="33945FB2"/>
    <w:rsid w:val="33A0727C"/>
    <w:rsid w:val="33A361F5"/>
    <w:rsid w:val="33A641EC"/>
    <w:rsid w:val="33B1078B"/>
    <w:rsid w:val="33BC16CD"/>
    <w:rsid w:val="33BE60F4"/>
    <w:rsid w:val="33BF2903"/>
    <w:rsid w:val="33C537D4"/>
    <w:rsid w:val="33DE722D"/>
    <w:rsid w:val="33FA13F3"/>
    <w:rsid w:val="34000D04"/>
    <w:rsid w:val="34014CC9"/>
    <w:rsid w:val="3406743E"/>
    <w:rsid w:val="340A0022"/>
    <w:rsid w:val="34180E01"/>
    <w:rsid w:val="34181E7A"/>
    <w:rsid w:val="341F143A"/>
    <w:rsid w:val="34212E8D"/>
    <w:rsid w:val="342828EB"/>
    <w:rsid w:val="342A40BF"/>
    <w:rsid w:val="342B1D46"/>
    <w:rsid w:val="342E19DF"/>
    <w:rsid w:val="342F1837"/>
    <w:rsid w:val="34447B01"/>
    <w:rsid w:val="344552CB"/>
    <w:rsid w:val="345319C9"/>
    <w:rsid w:val="345474EF"/>
    <w:rsid w:val="34567D57"/>
    <w:rsid w:val="346314E0"/>
    <w:rsid w:val="34631CB7"/>
    <w:rsid w:val="346447C8"/>
    <w:rsid w:val="346E116A"/>
    <w:rsid w:val="347C6460"/>
    <w:rsid w:val="347E6C81"/>
    <w:rsid w:val="3486031C"/>
    <w:rsid w:val="348C3DE6"/>
    <w:rsid w:val="34953712"/>
    <w:rsid w:val="34A22FE8"/>
    <w:rsid w:val="34A56E7E"/>
    <w:rsid w:val="34B1049E"/>
    <w:rsid w:val="34B34216"/>
    <w:rsid w:val="34B5259C"/>
    <w:rsid w:val="34B7580F"/>
    <w:rsid w:val="34B77502"/>
    <w:rsid w:val="34C3296F"/>
    <w:rsid w:val="34C75F13"/>
    <w:rsid w:val="34C957E7"/>
    <w:rsid w:val="34CC2CF9"/>
    <w:rsid w:val="34D54656"/>
    <w:rsid w:val="34DB092D"/>
    <w:rsid w:val="34DF095C"/>
    <w:rsid w:val="34E46272"/>
    <w:rsid w:val="34E60573"/>
    <w:rsid w:val="34FD7FFD"/>
    <w:rsid w:val="350316BB"/>
    <w:rsid w:val="35243365"/>
    <w:rsid w:val="352B4487"/>
    <w:rsid w:val="35451B86"/>
    <w:rsid w:val="35457A65"/>
    <w:rsid w:val="35493FFC"/>
    <w:rsid w:val="35506076"/>
    <w:rsid w:val="355441DC"/>
    <w:rsid w:val="355E55B1"/>
    <w:rsid w:val="35611409"/>
    <w:rsid w:val="35635C3C"/>
    <w:rsid w:val="356D39A7"/>
    <w:rsid w:val="357009C7"/>
    <w:rsid w:val="3572123D"/>
    <w:rsid w:val="357363B7"/>
    <w:rsid w:val="3575771D"/>
    <w:rsid w:val="357D215C"/>
    <w:rsid w:val="358B5193"/>
    <w:rsid w:val="358D66E3"/>
    <w:rsid w:val="359719CB"/>
    <w:rsid w:val="359A61FD"/>
    <w:rsid w:val="35A02B5B"/>
    <w:rsid w:val="35A06AF4"/>
    <w:rsid w:val="35A40002"/>
    <w:rsid w:val="35B44B56"/>
    <w:rsid w:val="35C5645C"/>
    <w:rsid w:val="35C64D3D"/>
    <w:rsid w:val="35CD2F4C"/>
    <w:rsid w:val="35CD57AB"/>
    <w:rsid w:val="35D261C4"/>
    <w:rsid w:val="35E541B0"/>
    <w:rsid w:val="35EA388B"/>
    <w:rsid w:val="35EE6C9F"/>
    <w:rsid w:val="35EE7B6B"/>
    <w:rsid w:val="35F0115E"/>
    <w:rsid w:val="35F05C07"/>
    <w:rsid w:val="36081CD7"/>
    <w:rsid w:val="360867E3"/>
    <w:rsid w:val="36247C86"/>
    <w:rsid w:val="36252EF1"/>
    <w:rsid w:val="362D7FF8"/>
    <w:rsid w:val="3634385A"/>
    <w:rsid w:val="36363350"/>
    <w:rsid w:val="36377440"/>
    <w:rsid w:val="364563CA"/>
    <w:rsid w:val="36472D0C"/>
    <w:rsid w:val="36540051"/>
    <w:rsid w:val="36631C6B"/>
    <w:rsid w:val="366A4DD3"/>
    <w:rsid w:val="366C7523"/>
    <w:rsid w:val="36766372"/>
    <w:rsid w:val="367E2097"/>
    <w:rsid w:val="368810A6"/>
    <w:rsid w:val="368E012F"/>
    <w:rsid w:val="368E7F7A"/>
    <w:rsid w:val="36935486"/>
    <w:rsid w:val="36985017"/>
    <w:rsid w:val="36AF44F4"/>
    <w:rsid w:val="36B14785"/>
    <w:rsid w:val="36B52F00"/>
    <w:rsid w:val="36BA1BE7"/>
    <w:rsid w:val="36BD137C"/>
    <w:rsid w:val="36C25E0D"/>
    <w:rsid w:val="36D015CF"/>
    <w:rsid w:val="36D81F3F"/>
    <w:rsid w:val="36DF3DEF"/>
    <w:rsid w:val="36E7464B"/>
    <w:rsid w:val="36EA1963"/>
    <w:rsid w:val="36EB0875"/>
    <w:rsid w:val="36F6048D"/>
    <w:rsid w:val="36FB2151"/>
    <w:rsid w:val="3705333B"/>
    <w:rsid w:val="371057FC"/>
    <w:rsid w:val="3710594F"/>
    <w:rsid w:val="37211590"/>
    <w:rsid w:val="372E2279"/>
    <w:rsid w:val="37321E99"/>
    <w:rsid w:val="374C235E"/>
    <w:rsid w:val="37512EDF"/>
    <w:rsid w:val="3757727E"/>
    <w:rsid w:val="37580762"/>
    <w:rsid w:val="375D66BB"/>
    <w:rsid w:val="375F732B"/>
    <w:rsid w:val="376441E1"/>
    <w:rsid w:val="37645C9B"/>
    <w:rsid w:val="3777792C"/>
    <w:rsid w:val="378E3B51"/>
    <w:rsid w:val="37924E27"/>
    <w:rsid w:val="37A46F67"/>
    <w:rsid w:val="37B1747A"/>
    <w:rsid w:val="37B86434"/>
    <w:rsid w:val="37CD33BF"/>
    <w:rsid w:val="37CF580A"/>
    <w:rsid w:val="37D42E21"/>
    <w:rsid w:val="37D5365B"/>
    <w:rsid w:val="37D63692"/>
    <w:rsid w:val="37D86712"/>
    <w:rsid w:val="37EF3F6F"/>
    <w:rsid w:val="380410D2"/>
    <w:rsid w:val="38160EB4"/>
    <w:rsid w:val="38177537"/>
    <w:rsid w:val="38180EA8"/>
    <w:rsid w:val="381D4113"/>
    <w:rsid w:val="38215B5C"/>
    <w:rsid w:val="383D2C4A"/>
    <w:rsid w:val="38413D34"/>
    <w:rsid w:val="384237A4"/>
    <w:rsid w:val="384D508A"/>
    <w:rsid w:val="38501740"/>
    <w:rsid w:val="38586A28"/>
    <w:rsid w:val="385D27B2"/>
    <w:rsid w:val="386B06E6"/>
    <w:rsid w:val="38745EA9"/>
    <w:rsid w:val="387C0DC3"/>
    <w:rsid w:val="38836A60"/>
    <w:rsid w:val="38911FA4"/>
    <w:rsid w:val="38AA1DD4"/>
    <w:rsid w:val="38AF73EA"/>
    <w:rsid w:val="38B83695"/>
    <w:rsid w:val="38CF77D3"/>
    <w:rsid w:val="38D66725"/>
    <w:rsid w:val="38DF7213"/>
    <w:rsid w:val="390401C5"/>
    <w:rsid w:val="3909657F"/>
    <w:rsid w:val="392450AB"/>
    <w:rsid w:val="39251513"/>
    <w:rsid w:val="39286BBB"/>
    <w:rsid w:val="392B65B6"/>
    <w:rsid w:val="392C41C6"/>
    <w:rsid w:val="393022D9"/>
    <w:rsid w:val="39355B41"/>
    <w:rsid w:val="393B30CD"/>
    <w:rsid w:val="39440483"/>
    <w:rsid w:val="39467513"/>
    <w:rsid w:val="394A2C6F"/>
    <w:rsid w:val="394B6D9C"/>
    <w:rsid w:val="394E47D6"/>
    <w:rsid w:val="3956108E"/>
    <w:rsid w:val="396C329B"/>
    <w:rsid w:val="39703D6E"/>
    <w:rsid w:val="397A17A6"/>
    <w:rsid w:val="39A405D1"/>
    <w:rsid w:val="39B01BCD"/>
    <w:rsid w:val="39B62177"/>
    <w:rsid w:val="39BD498A"/>
    <w:rsid w:val="39C437A7"/>
    <w:rsid w:val="39C73BC2"/>
    <w:rsid w:val="39CC0E4A"/>
    <w:rsid w:val="39DA25F7"/>
    <w:rsid w:val="39F36D23"/>
    <w:rsid w:val="39F4518D"/>
    <w:rsid w:val="39F64059"/>
    <w:rsid w:val="39F6731B"/>
    <w:rsid w:val="39FA4695"/>
    <w:rsid w:val="3A070A38"/>
    <w:rsid w:val="3A086DB2"/>
    <w:rsid w:val="3A0A5877"/>
    <w:rsid w:val="3A205C77"/>
    <w:rsid w:val="3A207A36"/>
    <w:rsid w:val="3A222913"/>
    <w:rsid w:val="3A314357"/>
    <w:rsid w:val="3A322B97"/>
    <w:rsid w:val="3A3E7718"/>
    <w:rsid w:val="3A423EC1"/>
    <w:rsid w:val="3A4B6C9E"/>
    <w:rsid w:val="3A4F1B36"/>
    <w:rsid w:val="3A5C70FE"/>
    <w:rsid w:val="3A66529F"/>
    <w:rsid w:val="3A695CD5"/>
    <w:rsid w:val="3A6B27EE"/>
    <w:rsid w:val="3A6C02FE"/>
    <w:rsid w:val="3A777906"/>
    <w:rsid w:val="3A7D6A1C"/>
    <w:rsid w:val="3A8B2AA6"/>
    <w:rsid w:val="3A8F459D"/>
    <w:rsid w:val="3A96589A"/>
    <w:rsid w:val="3A970136"/>
    <w:rsid w:val="3A992817"/>
    <w:rsid w:val="3A9A0576"/>
    <w:rsid w:val="3AA0798A"/>
    <w:rsid w:val="3AA716FF"/>
    <w:rsid w:val="3AA94F18"/>
    <w:rsid w:val="3AB37714"/>
    <w:rsid w:val="3ABA0A79"/>
    <w:rsid w:val="3ABA1A5F"/>
    <w:rsid w:val="3AC32F25"/>
    <w:rsid w:val="3AC469CD"/>
    <w:rsid w:val="3AD17ED5"/>
    <w:rsid w:val="3AD35612"/>
    <w:rsid w:val="3ADA08DC"/>
    <w:rsid w:val="3ADC19B2"/>
    <w:rsid w:val="3AE66D8B"/>
    <w:rsid w:val="3AE74FD8"/>
    <w:rsid w:val="3AF063E4"/>
    <w:rsid w:val="3AF227FC"/>
    <w:rsid w:val="3AF55FFB"/>
    <w:rsid w:val="3B0532F1"/>
    <w:rsid w:val="3B13764F"/>
    <w:rsid w:val="3B1667A9"/>
    <w:rsid w:val="3B190B4B"/>
    <w:rsid w:val="3B2111BD"/>
    <w:rsid w:val="3B22643A"/>
    <w:rsid w:val="3B363165"/>
    <w:rsid w:val="3B4413D5"/>
    <w:rsid w:val="3B4A51A8"/>
    <w:rsid w:val="3B4D2121"/>
    <w:rsid w:val="3B524103"/>
    <w:rsid w:val="3B524EBE"/>
    <w:rsid w:val="3B533A42"/>
    <w:rsid w:val="3B5F299E"/>
    <w:rsid w:val="3B6932E5"/>
    <w:rsid w:val="3B6A289E"/>
    <w:rsid w:val="3B7F5B64"/>
    <w:rsid w:val="3B8A2CAF"/>
    <w:rsid w:val="3B997104"/>
    <w:rsid w:val="3B9D4529"/>
    <w:rsid w:val="3BA23D7E"/>
    <w:rsid w:val="3BA53279"/>
    <w:rsid w:val="3BA55BF5"/>
    <w:rsid w:val="3BA63EEC"/>
    <w:rsid w:val="3BAF01E0"/>
    <w:rsid w:val="3BB344CE"/>
    <w:rsid w:val="3BB45D23"/>
    <w:rsid w:val="3BB47230"/>
    <w:rsid w:val="3BB472A5"/>
    <w:rsid w:val="3BC675BE"/>
    <w:rsid w:val="3BD67B74"/>
    <w:rsid w:val="3BDB3DCB"/>
    <w:rsid w:val="3BDD0F2F"/>
    <w:rsid w:val="3BE64ED1"/>
    <w:rsid w:val="3BF84C04"/>
    <w:rsid w:val="3C025A83"/>
    <w:rsid w:val="3C057A34"/>
    <w:rsid w:val="3C096E11"/>
    <w:rsid w:val="3C0F54C5"/>
    <w:rsid w:val="3C1934F8"/>
    <w:rsid w:val="3C2141F1"/>
    <w:rsid w:val="3C2926D0"/>
    <w:rsid w:val="3C3333C6"/>
    <w:rsid w:val="3C3F74D1"/>
    <w:rsid w:val="3C4542ED"/>
    <w:rsid w:val="3C485B8B"/>
    <w:rsid w:val="3C5109F8"/>
    <w:rsid w:val="3C59645F"/>
    <w:rsid w:val="3C5A14B4"/>
    <w:rsid w:val="3C5C33E5"/>
    <w:rsid w:val="3C670AB3"/>
    <w:rsid w:val="3C6C2039"/>
    <w:rsid w:val="3C793C13"/>
    <w:rsid w:val="3C8745DF"/>
    <w:rsid w:val="3C8E614E"/>
    <w:rsid w:val="3C940DD1"/>
    <w:rsid w:val="3CA90B73"/>
    <w:rsid w:val="3CB17F3E"/>
    <w:rsid w:val="3CB27FE6"/>
    <w:rsid w:val="3CB66D5B"/>
    <w:rsid w:val="3CBE2425"/>
    <w:rsid w:val="3CC11060"/>
    <w:rsid w:val="3CC625E4"/>
    <w:rsid w:val="3CD64824"/>
    <w:rsid w:val="3CE71BFE"/>
    <w:rsid w:val="3CE73F4A"/>
    <w:rsid w:val="3CEA279F"/>
    <w:rsid w:val="3CFE624A"/>
    <w:rsid w:val="3D044973"/>
    <w:rsid w:val="3D1E069A"/>
    <w:rsid w:val="3D2A0220"/>
    <w:rsid w:val="3D2B7534"/>
    <w:rsid w:val="3D3642F4"/>
    <w:rsid w:val="3D583BAC"/>
    <w:rsid w:val="3D6D3551"/>
    <w:rsid w:val="3D77680D"/>
    <w:rsid w:val="3D8972BD"/>
    <w:rsid w:val="3D8C5F4C"/>
    <w:rsid w:val="3D907164"/>
    <w:rsid w:val="3D934BE4"/>
    <w:rsid w:val="3D966E41"/>
    <w:rsid w:val="3DB646B6"/>
    <w:rsid w:val="3DB8426A"/>
    <w:rsid w:val="3DCB64AD"/>
    <w:rsid w:val="3DCB7A12"/>
    <w:rsid w:val="3DDB6000"/>
    <w:rsid w:val="3DDF1093"/>
    <w:rsid w:val="3DE80951"/>
    <w:rsid w:val="3DE90CA8"/>
    <w:rsid w:val="3DED6F46"/>
    <w:rsid w:val="3DF159DC"/>
    <w:rsid w:val="3DF33521"/>
    <w:rsid w:val="3DF51A15"/>
    <w:rsid w:val="3DFA4320"/>
    <w:rsid w:val="3DFC190D"/>
    <w:rsid w:val="3E0438DF"/>
    <w:rsid w:val="3E1A6989"/>
    <w:rsid w:val="3E1D7CAF"/>
    <w:rsid w:val="3E2E02D7"/>
    <w:rsid w:val="3E337F1C"/>
    <w:rsid w:val="3E392B1B"/>
    <w:rsid w:val="3E3930ED"/>
    <w:rsid w:val="3E4D56DB"/>
    <w:rsid w:val="3E4E6EB9"/>
    <w:rsid w:val="3E502AD5"/>
    <w:rsid w:val="3E5B11AC"/>
    <w:rsid w:val="3E732A5A"/>
    <w:rsid w:val="3E7510C2"/>
    <w:rsid w:val="3E781704"/>
    <w:rsid w:val="3E7A38D9"/>
    <w:rsid w:val="3E7C1B1C"/>
    <w:rsid w:val="3E8409D1"/>
    <w:rsid w:val="3E88068E"/>
    <w:rsid w:val="3EA341E1"/>
    <w:rsid w:val="3EA63771"/>
    <w:rsid w:val="3EB6242B"/>
    <w:rsid w:val="3EBF755F"/>
    <w:rsid w:val="3EC11C25"/>
    <w:rsid w:val="3ED311AA"/>
    <w:rsid w:val="3ED40365"/>
    <w:rsid w:val="3ED72FCD"/>
    <w:rsid w:val="3ED9069A"/>
    <w:rsid w:val="3EDF4E5E"/>
    <w:rsid w:val="3EE30C0C"/>
    <w:rsid w:val="3EE8498D"/>
    <w:rsid w:val="3EF4259E"/>
    <w:rsid w:val="3EF71EE6"/>
    <w:rsid w:val="3F042695"/>
    <w:rsid w:val="3F162672"/>
    <w:rsid w:val="3F185CE9"/>
    <w:rsid w:val="3F1E0E25"/>
    <w:rsid w:val="3F1E2270"/>
    <w:rsid w:val="3F2C6DAB"/>
    <w:rsid w:val="3F3135B7"/>
    <w:rsid w:val="3F317A9F"/>
    <w:rsid w:val="3F487DC2"/>
    <w:rsid w:val="3F492F3D"/>
    <w:rsid w:val="3F4F0FDF"/>
    <w:rsid w:val="3F536E83"/>
    <w:rsid w:val="3F56610E"/>
    <w:rsid w:val="3F5B2373"/>
    <w:rsid w:val="3F5E0B97"/>
    <w:rsid w:val="3F6472D6"/>
    <w:rsid w:val="3F6C393F"/>
    <w:rsid w:val="3F6D7C85"/>
    <w:rsid w:val="3F71028B"/>
    <w:rsid w:val="3F740A45"/>
    <w:rsid w:val="3F8C2D2C"/>
    <w:rsid w:val="3F8E52A1"/>
    <w:rsid w:val="3F905FD2"/>
    <w:rsid w:val="3F966B9F"/>
    <w:rsid w:val="3FA73CFD"/>
    <w:rsid w:val="3FAA4467"/>
    <w:rsid w:val="3FB771C5"/>
    <w:rsid w:val="3FBB0422"/>
    <w:rsid w:val="3FC0607A"/>
    <w:rsid w:val="3FCE0DE9"/>
    <w:rsid w:val="3FD102EF"/>
    <w:rsid w:val="3FD2690F"/>
    <w:rsid w:val="3FD775DB"/>
    <w:rsid w:val="3FE30DFC"/>
    <w:rsid w:val="3FEA775D"/>
    <w:rsid w:val="3FEC0F24"/>
    <w:rsid w:val="3FEC554E"/>
    <w:rsid w:val="3FF04408"/>
    <w:rsid w:val="3FF73B50"/>
    <w:rsid w:val="3FFC55A9"/>
    <w:rsid w:val="400915E7"/>
    <w:rsid w:val="400C087C"/>
    <w:rsid w:val="400E2C48"/>
    <w:rsid w:val="400E421E"/>
    <w:rsid w:val="40155529"/>
    <w:rsid w:val="40231B54"/>
    <w:rsid w:val="40302EF2"/>
    <w:rsid w:val="4031549D"/>
    <w:rsid w:val="4033445D"/>
    <w:rsid w:val="40352A30"/>
    <w:rsid w:val="403B0949"/>
    <w:rsid w:val="403D1138"/>
    <w:rsid w:val="404B3255"/>
    <w:rsid w:val="404E2B89"/>
    <w:rsid w:val="40536959"/>
    <w:rsid w:val="405F778E"/>
    <w:rsid w:val="40611A4E"/>
    <w:rsid w:val="40626C71"/>
    <w:rsid w:val="40693BA9"/>
    <w:rsid w:val="40791AE0"/>
    <w:rsid w:val="40890521"/>
    <w:rsid w:val="40947DEA"/>
    <w:rsid w:val="409B0419"/>
    <w:rsid w:val="409D0FBF"/>
    <w:rsid w:val="40B4368C"/>
    <w:rsid w:val="40B5596D"/>
    <w:rsid w:val="40B620A9"/>
    <w:rsid w:val="40BF5B73"/>
    <w:rsid w:val="40C420E7"/>
    <w:rsid w:val="40C82318"/>
    <w:rsid w:val="40D10B26"/>
    <w:rsid w:val="40DC03C8"/>
    <w:rsid w:val="40E2671E"/>
    <w:rsid w:val="40EA6148"/>
    <w:rsid w:val="40F462E2"/>
    <w:rsid w:val="410172A5"/>
    <w:rsid w:val="411665ED"/>
    <w:rsid w:val="41171FD0"/>
    <w:rsid w:val="412478AA"/>
    <w:rsid w:val="413F0CA0"/>
    <w:rsid w:val="414957F3"/>
    <w:rsid w:val="415026AD"/>
    <w:rsid w:val="415123FF"/>
    <w:rsid w:val="41597F76"/>
    <w:rsid w:val="41652D3C"/>
    <w:rsid w:val="41667D8F"/>
    <w:rsid w:val="416B4849"/>
    <w:rsid w:val="416C64E0"/>
    <w:rsid w:val="417B02A3"/>
    <w:rsid w:val="41803CE5"/>
    <w:rsid w:val="41870F04"/>
    <w:rsid w:val="4192688E"/>
    <w:rsid w:val="41961115"/>
    <w:rsid w:val="41A575DC"/>
    <w:rsid w:val="41B079AE"/>
    <w:rsid w:val="41B8730F"/>
    <w:rsid w:val="41BB6A91"/>
    <w:rsid w:val="41C22B22"/>
    <w:rsid w:val="41C264B6"/>
    <w:rsid w:val="41DE664A"/>
    <w:rsid w:val="41DF2FC9"/>
    <w:rsid w:val="41F526CF"/>
    <w:rsid w:val="41F654C8"/>
    <w:rsid w:val="4204756A"/>
    <w:rsid w:val="420A5691"/>
    <w:rsid w:val="42256024"/>
    <w:rsid w:val="42291FBB"/>
    <w:rsid w:val="422D4CB8"/>
    <w:rsid w:val="42522836"/>
    <w:rsid w:val="42555D59"/>
    <w:rsid w:val="425C413F"/>
    <w:rsid w:val="427E2307"/>
    <w:rsid w:val="4283793E"/>
    <w:rsid w:val="42886C9F"/>
    <w:rsid w:val="428B1A7F"/>
    <w:rsid w:val="42900072"/>
    <w:rsid w:val="42945406"/>
    <w:rsid w:val="42963C82"/>
    <w:rsid w:val="42A61C68"/>
    <w:rsid w:val="42A802AB"/>
    <w:rsid w:val="42AC75BC"/>
    <w:rsid w:val="42AE1A00"/>
    <w:rsid w:val="42AF6908"/>
    <w:rsid w:val="42B2629D"/>
    <w:rsid w:val="42B45B36"/>
    <w:rsid w:val="42D8053A"/>
    <w:rsid w:val="42E2028A"/>
    <w:rsid w:val="42EE532C"/>
    <w:rsid w:val="42EF0B42"/>
    <w:rsid w:val="43030A5E"/>
    <w:rsid w:val="43032966"/>
    <w:rsid w:val="430976F7"/>
    <w:rsid w:val="430C4F04"/>
    <w:rsid w:val="43195FE8"/>
    <w:rsid w:val="431C1B20"/>
    <w:rsid w:val="43246412"/>
    <w:rsid w:val="432B4202"/>
    <w:rsid w:val="43381DD8"/>
    <w:rsid w:val="433F2C86"/>
    <w:rsid w:val="43430E5B"/>
    <w:rsid w:val="43432C09"/>
    <w:rsid w:val="43461616"/>
    <w:rsid w:val="434B7B60"/>
    <w:rsid w:val="43704724"/>
    <w:rsid w:val="43760047"/>
    <w:rsid w:val="43776274"/>
    <w:rsid w:val="437E6E43"/>
    <w:rsid w:val="438173B7"/>
    <w:rsid w:val="4384719D"/>
    <w:rsid w:val="4386524D"/>
    <w:rsid w:val="43974EAF"/>
    <w:rsid w:val="439C7EBC"/>
    <w:rsid w:val="43A246D6"/>
    <w:rsid w:val="43A54DA8"/>
    <w:rsid w:val="43AB586C"/>
    <w:rsid w:val="43BE6733"/>
    <w:rsid w:val="43BF1118"/>
    <w:rsid w:val="43BF2AD2"/>
    <w:rsid w:val="43C27FD1"/>
    <w:rsid w:val="43C537B7"/>
    <w:rsid w:val="43C67E87"/>
    <w:rsid w:val="43D06EC3"/>
    <w:rsid w:val="43E443EC"/>
    <w:rsid w:val="43F607EB"/>
    <w:rsid w:val="44063C5F"/>
    <w:rsid w:val="440E24B2"/>
    <w:rsid w:val="440F6F8F"/>
    <w:rsid w:val="441B7B05"/>
    <w:rsid w:val="443A21D6"/>
    <w:rsid w:val="44403E82"/>
    <w:rsid w:val="44464BAB"/>
    <w:rsid w:val="444F51D3"/>
    <w:rsid w:val="44507CD3"/>
    <w:rsid w:val="445E6CBF"/>
    <w:rsid w:val="446026EF"/>
    <w:rsid w:val="44782C22"/>
    <w:rsid w:val="447C4B22"/>
    <w:rsid w:val="447F694D"/>
    <w:rsid w:val="447F7D93"/>
    <w:rsid w:val="448C6831"/>
    <w:rsid w:val="44916F19"/>
    <w:rsid w:val="44953EE4"/>
    <w:rsid w:val="449556E6"/>
    <w:rsid w:val="44983428"/>
    <w:rsid w:val="44992323"/>
    <w:rsid w:val="4499452F"/>
    <w:rsid w:val="44A035C3"/>
    <w:rsid w:val="44A15587"/>
    <w:rsid w:val="44A21798"/>
    <w:rsid w:val="44B139E6"/>
    <w:rsid w:val="44B3209C"/>
    <w:rsid w:val="44B66578"/>
    <w:rsid w:val="44BE5756"/>
    <w:rsid w:val="44BF653D"/>
    <w:rsid w:val="44C22D7E"/>
    <w:rsid w:val="44C77869"/>
    <w:rsid w:val="44CE29A6"/>
    <w:rsid w:val="44D93123"/>
    <w:rsid w:val="44D95194"/>
    <w:rsid w:val="44DF1057"/>
    <w:rsid w:val="44E4041B"/>
    <w:rsid w:val="44E97B2F"/>
    <w:rsid w:val="44EB42FC"/>
    <w:rsid w:val="44F30ACC"/>
    <w:rsid w:val="44F64AD5"/>
    <w:rsid w:val="45006828"/>
    <w:rsid w:val="450B1E4C"/>
    <w:rsid w:val="4510363B"/>
    <w:rsid w:val="45173EE8"/>
    <w:rsid w:val="451747CE"/>
    <w:rsid w:val="4521585A"/>
    <w:rsid w:val="45216F7A"/>
    <w:rsid w:val="45253C9E"/>
    <w:rsid w:val="45265D7D"/>
    <w:rsid w:val="452C0442"/>
    <w:rsid w:val="452D50E8"/>
    <w:rsid w:val="453846F8"/>
    <w:rsid w:val="4540175D"/>
    <w:rsid w:val="4549114A"/>
    <w:rsid w:val="454B6458"/>
    <w:rsid w:val="455235D7"/>
    <w:rsid w:val="4577128F"/>
    <w:rsid w:val="457924CE"/>
    <w:rsid w:val="45813665"/>
    <w:rsid w:val="45905EAD"/>
    <w:rsid w:val="4594599D"/>
    <w:rsid w:val="4596384F"/>
    <w:rsid w:val="45972879"/>
    <w:rsid w:val="459D6A2A"/>
    <w:rsid w:val="459E280E"/>
    <w:rsid w:val="45AF146A"/>
    <w:rsid w:val="45AF6E3B"/>
    <w:rsid w:val="45B140E3"/>
    <w:rsid w:val="45B561E1"/>
    <w:rsid w:val="45BB73CE"/>
    <w:rsid w:val="45C60F2C"/>
    <w:rsid w:val="45D00F95"/>
    <w:rsid w:val="45E2495B"/>
    <w:rsid w:val="45E25C06"/>
    <w:rsid w:val="461F2F49"/>
    <w:rsid w:val="462222CD"/>
    <w:rsid w:val="46225CC8"/>
    <w:rsid w:val="4625172D"/>
    <w:rsid w:val="462A6302"/>
    <w:rsid w:val="462D2DCA"/>
    <w:rsid w:val="464078D3"/>
    <w:rsid w:val="4641393F"/>
    <w:rsid w:val="4651388E"/>
    <w:rsid w:val="46545915"/>
    <w:rsid w:val="46585C31"/>
    <w:rsid w:val="465E2789"/>
    <w:rsid w:val="467823AC"/>
    <w:rsid w:val="467D4DB8"/>
    <w:rsid w:val="46802661"/>
    <w:rsid w:val="46837C5D"/>
    <w:rsid w:val="46853538"/>
    <w:rsid w:val="469A6FE4"/>
    <w:rsid w:val="469D0882"/>
    <w:rsid w:val="46BD0AC3"/>
    <w:rsid w:val="46C364AD"/>
    <w:rsid w:val="46C40504"/>
    <w:rsid w:val="46C91677"/>
    <w:rsid w:val="46D00C57"/>
    <w:rsid w:val="46D02360"/>
    <w:rsid w:val="46DD5122"/>
    <w:rsid w:val="46F8008E"/>
    <w:rsid w:val="47031878"/>
    <w:rsid w:val="47046B53"/>
    <w:rsid w:val="47084895"/>
    <w:rsid w:val="470E7719"/>
    <w:rsid w:val="47151754"/>
    <w:rsid w:val="471F3783"/>
    <w:rsid w:val="471F7235"/>
    <w:rsid w:val="47255429"/>
    <w:rsid w:val="472B59B2"/>
    <w:rsid w:val="47375A0B"/>
    <w:rsid w:val="4741461C"/>
    <w:rsid w:val="47421CC9"/>
    <w:rsid w:val="474D3116"/>
    <w:rsid w:val="475054E3"/>
    <w:rsid w:val="4768675F"/>
    <w:rsid w:val="476C200D"/>
    <w:rsid w:val="47703222"/>
    <w:rsid w:val="47721D0E"/>
    <w:rsid w:val="477E06B3"/>
    <w:rsid w:val="47852065"/>
    <w:rsid w:val="478A34FC"/>
    <w:rsid w:val="478B3352"/>
    <w:rsid w:val="479776EF"/>
    <w:rsid w:val="4798521F"/>
    <w:rsid w:val="479B113C"/>
    <w:rsid w:val="47B6193F"/>
    <w:rsid w:val="47B73BC5"/>
    <w:rsid w:val="47B91BBA"/>
    <w:rsid w:val="47BA253D"/>
    <w:rsid w:val="47C307BC"/>
    <w:rsid w:val="47C31F13"/>
    <w:rsid w:val="47D24F43"/>
    <w:rsid w:val="47EC1AC1"/>
    <w:rsid w:val="47F15F2F"/>
    <w:rsid w:val="47F210A1"/>
    <w:rsid w:val="47F76747"/>
    <w:rsid w:val="48093805"/>
    <w:rsid w:val="480F57AF"/>
    <w:rsid w:val="481C0957"/>
    <w:rsid w:val="48230955"/>
    <w:rsid w:val="482374AD"/>
    <w:rsid w:val="482962E3"/>
    <w:rsid w:val="482A43EC"/>
    <w:rsid w:val="482C5529"/>
    <w:rsid w:val="48313978"/>
    <w:rsid w:val="48325ABE"/>
    <w:rsid w:val="483954EF"/>
    <w:rsid w:val="483B0352"/>
    <w:rsid w:val="4842448C"/>
    <w:rsid w:val="48460AC1"/>
    <w:rsid w:val="485E283A"/>
    <w:rsid w:val="48666C91"/>
    <w:rsid w:val="486804E9"/>
    <w:rsid w:val="4869465C"/>
    <w:rsid w:val="486F19DD"/>
    <w:rsid w:val="486F26F2"/>
    <w:rsid w:val="48735D76"/>
    <w:rsid w:val="487815A6"/>
    <w:rsid w:val="487B2E45"/>
    <w:rsid w:val="488227D5"/>
    <w:rsid w:val="48847F4B"/>
    <w:rsid w:val="488733F3"/>
    <w:rsid w:val="488B6447"/>
    <w:rsid w:val="488F7506"/>
    <w:rsid w:val="489E4FBE"/>
    <w:rsid w:val="48A759E8"/>
    <w:rsid w:val="48B2443A"/>
    <w:rsid w:val="48C53686"/>
    <w:rsid w:val="48CB055D"/>
    <w:rsid w:val="48CD6AEB"/>
    <w:rsid w:val="48D33BA8"/>
    <w:rsid w:val="48D93D7E"/>
    <w:rsid w:val="48DE71DF"/>
    <w:rsid w:val="48E2724B"/>
    <w:rsid w:val="48E5260D"/>
    <w:rsid w:val="48F343AA"/>
    <w:rsid w:val="49023072"/>
    <w:rsid w:val="49070EE5"/>
    <w:rsid w:val="490D1CA5"/>
    <w:rsid w:val="490F2FB1"/>
    <w:rsid w:val="490F71D8"/>
    <w:rsid w:val="4913307D"/>
    <w:rsid w:val="491B72ED"/>
    <w:rsid w:val="492928A1"/>
    <w:rsid w:val="49303C2F"/>
    <w:rsid w:val="4930630F"/>
    <w:rsid w:val="49327C27"/>
    <w:rsid w:val="493965E9"/>
    <w:rsid w:val="493E459E"/>
    <w:rsid w:val="49421FD1"/>
    <w:rsid w:val="494447F5"/>
    <w:rsid w:val="49492A9D"/>
    <w:rsid w:val="4962490E"/>
    <w:rsid w:val="49704D39"/>
    <w:rsid w:val="497C203B"/>
    <w:rsid w:val="497C4022"/>
    <w:rsid w:val="49881E39"/>
    <w:rsid w:val="49912A81"/>
    <w:rsid w:val="4996669C"/>
    <w:rsid w:val="49B4559A"/>
    <w:rsid w:val="49B83BF0"/>
    <w:rsid w:val="49BE3D9F"/>
    <w:rsid w:val="49C32A1B"/>
    <w:rsid w:val="49CA310C"/>
    <w:rsid w:val="49D10591"/>
    <w:rsid w:val="49DB3090"/>
    <w:rsid w:val="49DB3447"/>
    <w:rsid w:val="49DC6804"/>
    <w:rsid w:val="49DE1D04"/>
    <w:rsid w:val="49E07403"/>
    <w:rsid w:val="49E520FD"/>
    <w:rsid w:val="49EF7646"/>
    <w:rsid w:val="4A0733E0"/>
    <w:rsid w:val="4A11580F"/>
    <w:rsid w:val="4A13086C"/>
    <w:rsid w:val="4A1E74C3"/>
    <w:rsid w:val="4A387122"/>
    <w:rsid w:val="4A39029E"/>
    <w:rsid w:val="4A484FA8"/>
    <w:rsid w:val="4A622BA7"/>
    <w:rsid w:val="4A6D52C2"/>
    <w:rsid w:val="4A6E1E87"/>
    <w:rsid w:val="4A77763C"/>
    <w:rsid w:val="4A7A11AB"/>
    <w:rsid w:val="4A7C2E7D"/>
    <w:rsid w:val="4A800D01"/>
    <w:rsid w:val="4A807F48"/>
    <w:rsid w:val="4A8B0BDC"/>
    <w:rsid w:val="4A8F1072"/>
    <w:rsid w:val="4A916DD7"/>
    <w:rsid w:val="4A9B332A"/>
    <w:rsid w:val="4AB31D2A"/>
    <w:rsid w:val="4ABF170F"/>
    <w:rsid w:val="4AC26B09"/>
    <w:rsid w:val="4AC72371"/>
    <w:rsid w:val="4ACB00B3"/>
    <w:rsid w:val="4AD20B7B"/>
    <w:rsid w:val="4ADF573B"/>
    <w:rsid w:val="4AE64E73"/>
    <w:rsid w:val="4AEA4ACB"/>
    <w:rsid w:val="4AEE78FE"/>
    <w:rsid w:val="4AF44553"/>
    <w:rsid w:val="4AF869CF"/>
    <w:rsid w:val="4B014C01"/>
    <w:rsid w:val="4B10019E"/>
    <w:rsid w:val="4B1663D2"/>
    <w:rsid w:val="4B1E4BCF"/>
    <w:rsid w:val="4B260469"/>
    <w:rsid w:val="4B2E419E"/>
    <w:rsid w:val="4B320132"/>
    <w:rsid w:val="4B363BE7"/>
    <w:rsid w:val="4B412124"/>
    <w:rsid w:val="4B413ED2"/>
    <w:rsid w:val="4B441C14"/>
    <w:rsid w:val="4B453263"/>
    <w:rsid w:val="4B49722A"/>
    <w:rsid w:val="4B4A3E61"/>
    <w:rsid w:val="4B4C00A9"/>
    <w:rsid w:val="4B4C531D"/>
    <w:rsid w:val="4B4D0FE8"/>
    <w:rsid w:val="4B4E0C41"/>
    <w:rsid w:val="4B511919"/>
    <w:rsid w:val="4B5E775D"/>
    <w:rsid w:val="4B7122DD"/>
    <w:rsid w:val="4B7368FE"/>
    <w:rsid w:val="4B7E4CBE"/>
    <w:rsid w:val="4B8A5F6A"/>
    <w:rsid w:val="4B9F1D5F"/>
    <w:rsid w:val="4BA91FE8"/>
    <w:rsid w:val="4BAD7DDD"/>
    <w:rsid w:val="4BAF05D0"/>
    <w:rsid w:val="4BB54622"/>
    <w:rsid w:val="4BB74243"/>
    <w:rsid w:val="4BBD63BA"/>
    <w:rsid w:val="4BC13264"/>
    <w:rsid w:val="4BC82934"/>
    <w:rsid w:val="4BCA70A1"/>
    <w:rsid w:val="4BCC651E"/>
    <w:rsid w:val="4BEA1320"/>
    <w:rsid w:val="4BF9512C"/>
    <w:rsid w:val="4BFA0E77"/>
    <w:rsid w:val="4C0047C4"/>
    <w:rsid w:val="4C0C0983"/>
    <w:rsid w:val="4C0F5D7E"/>
    <w:rsid w:val="4C163B57"/>
    <w:rsid w:val="4C2630C7"/>
    <w:rsid w:val="4C2706D5"/>
    <w:rsid w:val="4C2F109B"/>
    <w:rsid w:val="4C353C27"/>
    <w:rsid w:val="4C3A0F8E"/>
    <w:rsid w:val="4C3D04BC"/>
    <w:rsid w:val="4C4D4AF8"/>
    <w:rsid w:val="4C522087"/>
    <w:rsid w:val="4C54077A"/>
    <w:rsid w:val="4C61062F"/>
    <w:rsid w:val="4C794D07"/>
    <w:rsid w:val="4C7B1FC6"/>
    <w:rsid w:val="4C804ECE"/>
    <w:rsid w:val="4C854292"/>
    <w:rsid w:val="4C8A1993"/>
    <w:rsid w:val="4C8D420E"/>
    <w:rsid w:val="4C9269AF"/>
    <w:rsid w:val="4C98416E"/>
    <w:rsid w:val="4CA02E7A"/>
    <w:rsid w:val="4CA566E2"/>
    <w:rsid w:val="4CA9370F"/>
    <w:rsid w:val="4CAA3CAE"/>
    <w:rsid w:val="4CAB378C"/>
    <w:rsid w:val="4CB37051"/>
    <w:rsid w:val="4CC12920"/>
    <w:rsid w:val="4CCA607B"/>
    <w:rsid w:val="4CD60186"/>
    <w:rsid w:val="4CD6460E"/>
    <w:rsid w:val="4CF21667"/>
    <w:rsid w:val="4CF82CFA"/>
    <w:rsid w:val="4D0239A5"/>
    <w:rsid w:val="4D062165"/>
    <w:rsid w:val="4D122BF3"/>
    <w:rsid w:val="4D141C64"/>
    <w:rsid w:val="4D2A669C"/>
    <w:rsid w:val="4D384359"/>
    <w:rsid w:val="4D397978"/>
    <w:rsid w:val="4D3C7046"/>
    <w:rsid w:val="4D422183"/>
    <w:rsid w:val="4D497541"/>
    <w:rsid w:val="4D525772"/>
    <w:rsid w:val="4D551EB6"/>
    <w:rsid w:val="4D5651F7"/>
    <w:rsid w:val="4D61085B"/>
    <w:rsid w:val="4D6D2243"/>
    <w:rsid w:val="4D6F609D"/>
    <w:rsid w:val="4D7058E4"/>
    <w:rsid w:val="4D7209BF"/>
    <w:rsid w:val="4D7604DD"/>
    <w:rsid w:val="4D8961C7"/>
    <w:rsid w:val="4D9548A4"/>
    <w:rsid w:val="4D9E0E10"/>
    <w:rsid w:val="4DA5175A"/>
    <w:rsid w:val="4DAF7614"/>
    <w:rsid w:val="4DB02A48"/>
    <w:rsid w:val="4DB12E65"/>
    <w:rsid w:val="4DB24E6F"/>
    <w:rsid w:val="4DC01594"/>
    <w:rsid w:val="4DC3798F"/>
    <w:rsid w:val="4DD21676"/>
    <w:rsid w:val="4DE17BEE"/>
    <w:rsid w:val="4DE90EEB"/>
    <w:rsid w:val="4DED1C36"/>
    <w:rsid w:val="4DF06083"/>
    <w:rsid w:val="4DF12FF3"/>
    <w:rsid w:val="4DFD475D"/>
    <w:rsid w:val="4E01710C"/>
    <w:rsid w:val="4E031B30"/>
    <w:rsid w:val="4E0D09E3"/>
    <w:rsid w:val="4E132513"/>
    <w:rsid w:val="4E134F67"/>
    <w:rsid w:val="4E1E499E"/>
    <w:rsid w:val="4E267D1F"/>
    <w:rsid w:val="4E2A3343"/>
    <w:rsid w:val="4E345A5A"/>
    <w:rsid w:val="4E4361B3"/>
    <w:rsid w:val="4E4B6488"/>
    <w:rsid w:val="4E522561"/>
    <w:rsid w:val="4E5403C0"/>
    <w:rsid w:val="4E65437B"/>
    <w:rsid w:val="4E6E4957"/>
    <w:rsid w:val="4E787354"/>
    <w:rsid w:val="4E7D1C38"/>
    <w:rsid w:val="4E8D38D2"/>
    <w:rsid w:val="4EA57A38"/>
    <w:rsid w:val="4EAA3618"/>
    <w:rsid w:val="4EAF1886"/>
    <w:rsid w:val="4EB7287C"/>
    <w:rsid w:val="4EC71C29"/>
    <w:rsid w:val="4ECA2B92"/>
    <w:rsid w:val="4ED24B5E"/>
    <w:rsid w:val="4EE07675"/>
    <w:rsid w:val="4EF622F9"/>
    <w:rsid w:val="4EF63225"/>
    <w:rsid w:val="4F093280"/>
    <w:rsid w:val="4F0E7B99"/>
    <w:rsid w:val="4F0F14A5"/>
    <w:rsid w:val="4F13456D"/>
    <w:rsid w:val="4F1A562F"/>
    <w:rsid w:val="4F2F51F3"/>
    <w:rsid w:val="4F335342"/>
    <w:rsid w:val="4F3B1580"/>
    <w:rsid w:val="4F3B50DC"/>
    <w:rsid w:val="4F3F77D3"/>
    <w:rsid w:val="4F41400A"/>
    <w:rsid w:val="4F455BB8"/>
    <w:rsid w:val="4F48636A"/>
    <w:rsid w:val="4F49323F"/>
    <w:rsid w:val="4F4A4021"/>
    <w:rsid w:val="4F4D21C5"/>
    <w:rsid w:val="4F4E7B44"/>
    <w:rsid w:val="4F565CD9"/>
    <w:rsid w:val="4F652E88"/>
    <w:rsid w:val="4F6E69D8"/>
    <w:rsid w:val="4F7524EE"/>
    <w:rsid w:val="4F7725B8"/>
    <w:rsid w:val="4F7B197C"/>
    <w:rsid w:val="4F80215F"/>
    <w:rsid w:val="4F8B6387"/>
    <w:rsid w:val="4F8C6ABC"/>
    <w:rsid w:val="4F901A87"/>
    <w:rsid w:val="4F9071D6"/>
    <w:rsid w:val="4F931308"/>
    <w:rsid w:val="4F962459"/>
    <w:rsid w:val="4F9C1607"/>
    <w:rsid w:val="4FA17635"/>
    <w:rsid w:val="4FB91958"/>
    <w:rsid w:val="4FBC1E42"/>
    <w:rsid w:val="4FC45F60"/>
    <w:rsid w:val="4FC96B8B"/>
    <w:rsid w:val="4FD1669A"/>
    <w:rsid w:val="4FDC372C"/>
    <w:rsid w:val="4FE42840"/>
    <w:rsid w:val="4FE439C5"/>
    <w:rsid w:val="4FE536B5"/>
    <w:rsid w:val="4FEA437E"/>
    <w:rsid w:val="4FEE65F2"/>
    <w:rsid w:val="4FF82FC7"/>
    <w:rsid w:val="5000489C"/>
    <w:rsid w:val="5006338F"/>
    <w:rsid w:val="501A7138"/>
    <w:rsid w:val="501C3E30"/>
    <w:rsid w:val="50321509"/>
    <w:rsid w:val="5033366D"/>
    <w:rsid w:val="503404A9"/>
    <w:rsid w:val="50370FB3"/>
    <w:rsid w:val="503B6CBE"/>
    <w:rsid w:val="503D66B3"/>
    <w:rsid w:val="5051784B"/>
    <w:rsid w:val="505E7A91"/>
    <w:rsid w:val="50762654"/>
    <w:rsid w:val="5079480F"/>
    <w:rsid w:val="507A2059"/>
    <w:rsid w:val="507A6A26"/>
    <w:rsid w:val="507E00A1"/>
    <w:rsid w:val="507E3E25"/>
    <w:rsid w:val="50813C9D"/>
    <w:rsid w:val="50902FD6"/>
    <w:rsid w:val="509375E7"/>
    <w:rsid w:val="50955D6D"/>
    <w:rsid w:val="509D2FDB"/>
    <w:rsid w:val="50A10A98"/>
    <w:rsid w:val="50AC6291"/>
    <w:rsid w:val="50AF7B2F"/>
    <w:rsid w:val="50B270C8"/>
    <w:rsid w:val="50B60EBE"/>
    <w:rsid w:val="50C22303"/>
    <w:rsid w:val="50C26B21"/>
    <w:rsid w:val="50C4066B"/>
    <w:rsid w:val="50C466FC"/>
    <w:rsid w:val="50CE52C2"/>
    <w:rsid w:val="50D933CE"/>
    <w:rsid w:val="50DB3E7A"/>
    <w:rsid w:val="50E74F76"/>
    <w:rsid w:val="50F10294"/>
    <w:rsid w:val="50F77088"/>
    <w:rsid w:val="50FB1DD3"/>
    <w:rsid w:val="50FC51C0"/>
    <w:rsid w:val="51045751"/>
    <w:rsid w:val="51095C3F"/>
    <w:rsid w:val="51257808"/>
    <w:rsid w:val="51273ADE"/>
    <w:rsid w:val="512800D2"/>
    <w:rsid w:val="513242BC"/>
    <w:rsid w:val="513A3AD6"/>
    <w:rsid w:val="51580970"/>
    <w:rsid w:val="515E1472"/>
    <w:rsid w:val="515F72D3"/>
    <w:rsid w:val="51660401"/>
    <w:rsid w:val="516C5A20"/>
    <w:rsid w:val="51890A05"/>
    <w:rsid w:val="518B46CC"/>
    <w:rsid w:val="51905BB3"/>
    <w:rsid w:val="5195068C"/>
    <w:rsid w:val="51981E3E"/>
    <w:rsid w:val="519A7565"/>
    <w:rsid w:val="51AC22C1"/>
    <w:rsid w:val="51BC000A"/>
    <w:rsid w:val="51BD4899"/>
    <w:rsid w:val="51BE3790"/>
    <w:rsid w:val="51BE3B83"/>
    <w:rsid w:val="51C07B1A"/>
    <w:rsid w:val="51D2584A"/>
    <w:rsid w:val="51E11732"/>
    <w:rsid w:val="51EE4BBC"/>
    <w:rsid w:val="521A547C"/>
    <w:rsid w:val="52241732"/>
    <w:rsid w:val="52306A4E"/>
    <w:rsid w:val="52333893"/>
    <w:rsid w:val="524236E5"/>
    <w:rsid w:val="52430D79"/>
    <w:rsid w:val="52457583"/>
    <w:rsid w:val="524B67F9"/>
    <w:rsid w:val="5250161C"/>
    <w:rsid w:val="52505342"/>
    <w:rsid w:val="52541296"/>
    <w:rsid w:val="525C089F"/>
    <w:rsid w:val="525D711B"/>
    <w:rsid w:val="527500BB"/>
    <w:rsid w:val="52762D5A"/>
    <w:rsid w:val="52792DB0"/>
    <w:rsid w:val="527E3EBA"/>
    <w:rsid w:val="52801545"/>
    <w:rsid w:val="52804EC4"/>
    <w:rsid w:val="52820A65"/>
    <w:rsid w:val="52863192"/>
    <w:rsid w:val="528F643E"/>
    <w:rsid w:val="52900FD8"/>
    <w:rsid w:val="5294522F"/>
    <w:rsid w:val="5295485C"/>
    <w:rsid w:val="52A07FDE"/>
    <w:rsid w:val="52B13E66"/>
    <w:rsid w:val="52B546E1"/>
    <w:rsid w:val="52BF272A"/>
    <w:rsid w:val="52D239F4"/>
    <w:rsid w:val="52DB47D0"/>
    <w:rsid w:val="52E94E16"/>
    <w:rsid w:val="52EF06B7"/>
    <w:rsid w:val="52F11167"/>
    <w:rsid w:val="52F71068"/>
    <w:rsid w:val="53143C3D"/>
    <w:rsid w:val="53155517"/>
    <w:rsid w:val="53214213"/>
    <w:rsid w:val="53242C67"/>
    <w:rsid w:val="533279E6"/>
    <w:rsid w:val="53492025"/>
    <w:rsid w:val="534D7144"/>
    <w:rsid w:val="535350EA"/>
    <w:rsid w:val="53557342"/>
    <w:rsid w:val="5358598C"/>
    <w:rsid w:val="53670A40"/>
    <w:rsid w:val="536E5A80"/>
    <w:rsid w:val="53746E0E"/>
    <w:rsid w:val="53A56D6A"/>
    <w:rsid w:val="53A96820"/>
    <w:rsid w:val="53B027F5"/>
    <w:rsid w:val="53BB61C2"/>
    <w:rsid w:val="53BC0691"/>
    <w:rsid w:val="53BE7992"/>
    <w:rsid w:val="53C152C7"/>
    <w:rsid w:val="53CA4C80"/>
    <w:rsid w:val="53D161A7"/>
    <w:rsid w:val="53D81839"/>
    <w:rsid w:val="53EA7000"/>
    <w:rsid w:val="53EA7F06"/>
    <w:rsid w:val="53FD0BB2"/>
    <w:rsid w:val="53FF6E82"/>
    <w:rsid w:val="540819F4"/>
    <w:rsid w:val="540D34EB"/>
    <w:rsid w:val="541648CE"/>
    <w:rsid w:val="541F551C"/>
    <w:rsid w:val="542108F1"/>
    <w:rsid w:val="54291B52"/>
    <w:rsid w:val="542A7DCB"/>
    <w:rsid w:val="543547EF"/>
    <w:rsid w:val="54383D98"/>
    <w:rsid w:val="543B61D3"/>
    <w:rsid w:val="543F5235"/>
    <w:rsid w:val="544344AC"/>
    <w:rsid w:val="544B2A1C"/>
    <w:rsid w:val="544B514D"/>
    <w:rsid w:val="544E7F1D"/>
    <w:rsid w:val="54556C40"/>
    <w:rsid w:val="545E6E88"/>
    <w:rsid w:val="547F5B17"/>
    <w:rsid w:val="5480668C"/>
    <w:rsid w:val="54827916"/>
    <w:rsid w:val="54861F0F"/>
    <w:rsid w:val="548A2784"/>
    <w:rsid w:val="548D462B"/>
    <w:rsid w:val="548D63DA"/>
    <w:rsid w:val="54901A26"/>
    <w:rsid w:val="5492566E"/>
    <w:rsid w:val="54976A47"/>
    <w:rsid w:val="549D2E7C"/>
    <w:rsid w:val="549F7EBB"/>
    <w:rsid w:val="54A1725F"/>
    <w:rsid w:val="54AC0BCE"/>
    <w:rsid w:val="54B123EC"/>
    <w:rsid w:val="54BD402C"/>
    <w:rsid w:val="54BF40B9"/>
    <w:rsid w:val="54CE0E4A"/>
    <w:rsid w:val="54D04518"/>
    <w:rsid w:val="54D251EC"/>
    <w:rsid w:val="54E04B50"/>
    <w:rsid w:val="54E14E56"/>
    <w:rsid w:val="54F278A9"/>
    <w:rsid w:val="55057811"/>
    <w:rsid w:val="550621BA"/>
    <w:rsid w:val="550A4CA0"/>
    <w:rsid w:val="550B00F4"/>
    <w:rsid w:val="550F758F"/>
    <w:rsid w:val="55247349"/>
    <w:rsid w:val="55264138"/>
    <w:rsid w:val="552738AA"/>
    <w:rsid w:val="552F1F20"/>
    <w:rsid w:val="552F5CAA"/>
    <w:rsid w:val="55332BBA"/>
    <w:rsid w:val="55357D5D"/>
    <w:rsid w:val="5539620F"/>
    <w:rsid w:val="553D1282"/>
    <w:rsid w:val="553D561D"/>
    <w:rsid w:val="55405C23"/>
    <w:rsid w:val="55493571"/>
    <w:rsid w:val="554F1C62"/>
    <w:rsid w:val="555344A4"/>
    <w:rsid w:val="555E7D76"/>
    <w:rsid w:val="556C5FEF"/>
    <w:rsid w:val="55731C65"/>
    <w:rsid w:val="55775D97"/>
    <w:rsid w:val="5578017C"/>
    <w:rsid w:val="558477DD"/>
    <w:rsid w:val="558546DD"/>
    <w:rsid w:val="558966B8"/>
    <w:rsid w:val="55A637E1"/>
    <w:rsid w:val="55AA0DEE"/>
    <w:rsid w:val="55AF05D2"/>
    <w:rsid w:val="55B00767"/>
    <w:rsid w:val="55BF6A67"/>
    <w:rsid w:val="55C14036"/>
    <w:rsid w:val="55C33E05"/>
    <w:rsid w:val="55CA669A"/>
    <w:rsid w:val="55CE6CAA"/>
    <w:rsid w:val="55D0264F"/>
    <w:rsid w:val="55D24DB4"/>
    <w:rsid w:val="55E80968"/>
    <w:rsid w:val="55F85AD5"/>
    <w:rsid w:val="560869E9"/>
    <w:rsid w:val="56156C5D"/>
    <w:rsid w:val="561D553B"/>
    <w:rsid w:val="561F70F0"/>
    <w:rsid w:val="56270168"/>
    <w:rsid w:val="562E2DA7"/>
    <w:rsid w:val="56320D50"/>
    <w:rsid w:val="56336A0C"/>
    <w:rsid w:val="5635674C"/>
    <w:rsid w:val="564105EA"/>
    <w:rsid w:val="564300DA"/>
    <w:rsid w:val="56446FA3"/>
    <w:rsid w:val="564E1E68"/>
    <w:rsid w:val="564F0866"/>
    <w:rsid w:val="565440E1"/>
    <w:rsid w:val="565F27F7"/>
    <w:rsid w:val="56643336"/>
    <w:rsid w:val="56744A78"/>
    <w:rsid w:val="568F200E"/>
    <w:rsid w:val="5692418E"/>
    <w:rsid w:val="56925F29"/>
    <w:rsid w:val="569B0BFA"/>
    <w:rsid w:val="56A240A8"/>
    <w:rsid w:val="56A61210"/>
    <w:rsid w:val="56AB714E"/>
    <w:rsid w:val="56AF0BB9"/>
    <w:rsid w:val="56C572C9"/>
    <w:rsid w:val="56CE4218"/>
    <w:rsid w:val="56D31424"/>
    <w:rsid w:val="56D95906"/>
    <w:rsid w:val="56DF4E63"/>
    <w:rsid w:val="56E11927"/>
    <w:rsid w:val="56E60023"/>
    <w:rsid w:val="57041ED1"/>
    <w:rsid w:val="57095DAC"/>
    <w:rsid w:val="570A285C"/>
    <w:rsid w:val="570F19AB"/>
    <w:rsid w:val="57193349"/>
    <w:rsid w:val="572649F9"/>
    <w:rsid w:val="5727612F"/>
    <w:rsid w:val="572D08E5"/>
    <w:rsid w:val="572D203D"/>
    <w:rsid w:val="5742087F"/>
    <w:rsid w:val="574A75B3"/>
    <w:rsid w:val="5754207D"/>
    <w:rsid w:val="575925A3"/>
    <w:rsid w:val="57621BDB"/>
    <w:rsid w:val="57623B4D"/>
    <w:rsid w:val="577C77AC"/>
    <w:rsid w:val="57804C78"/>
    <w:rsid w:val="5782715E"/>
    <w:rsid w:val="578A30A4"/>
    <w:rsid w:val="578A657F"/>
    <w:rsid w:val="57937274"/>
    <w:rsid w:val="57A11A2C"/>
    <w:rsid w:val="57A1201E"/>
    <w:rsid w:val="57AC26C4"/>
    <w:rsid w:val="57B90DBA"/>
    <w:rsid w:val="57BB4460"/>
    <w:rsid w:val="57BB500C"/>
    <w:rsid w:val="57DD3777"/>
    <w:rsid w:val="57E57E05"/>
    <w:rsid w:val="57EA6687"/>
    <w:rsid w:val="57EF6021"/>
    <w:rsid w:val="57F549C2"/>
    <w:rsid w:val="58014310"/>
    <w:rsid w:val="58041334"/>
    <w:rsid w:val="5806097D"/>
    <w:rsid w:val="580E5A83"/>
    <w:rsid w:val="58125FE4"/>
    <w:rsid w:val="5813467D"/>
    <w:rsid w:val="58134E48"/>
    <w:rsid w:val="581543E4"/>
    <w:rsid w:val="581A678F"/>
    <w:rsid w:val="582351B0"/>
    <w:rsid w:val="58242BB1"/>
    <w:rsid w:val="582C2FCB"/>
    <w:rsid w:val="58337298"/>
    <w:rsid w:val="584433F6"/>
    <w:rsid w:val="5852346C"/>
    <w:rsid w:val="5859271C"/>
    <w:rsid w:val="58593965"/>
    <w:rsid w:val="586E1A8C"/>
    <w:rsid w:val="5871679C"/>
    <w:rsid w:val="58762698"/>
    <w:rsid w:val="58790966"/>
    <w:rsid w:val="587B52E1"/>
    <w:rsid w:val="588F7DA8"/>
    <w:rsid w:val="58935BC7"/>
    <w:rsid w:val="589A7BA4"/>
    <w:rsid w:val="589E6946"/>
    <w:rsid w:val="58A36ACF"/>
    <w:rsid w:val="58AE3380"/>
    <w:rsid w:val="58B879A7"/>
    <w:rsid w:val="58BF28DA"/>
    <w:rsid w:val="58D114DD"/>
    <w:rsid w:val="58D164B8"/>
    <w:rsid w:val="58D32861"/>
    <w:rsid w:val="58D44859"/>
    <w:rsid w:val="58E74284"/>
    <w:rsid w:val="58EC5423"/>
    <w:rsid w:val="58F5279F"/>
    <w:rsid w:val="58F66044"/>
    <w:rsid w:val="58FE2A06"/>
    <w:rsid w:val="59017396"/>
    <w:rsid w:val="5903310E"/>
    <w:rsid w:val="59034EBC"/>
    <w:rsid w:val="590459DA"/>
    <w:rsid w:val="59123351"/>
    <w:rsid w:val="591B69BB"/>
    <w:rsid w:val="591F241D"/>
    <w:rsid w:val="59212B72"/>
    <w:rsid w:val="592D009D"/>
    <w:rsid w:val="592D2B83"/>
    <w:rsid w:val="59367959"/>
    <w:rsid w:val="594E2DE0"/>
    <w:rsid w:val="59545CFE"/>
    <w:rsid w:val="59611D5D"/>
    <w:rsid w:val="59637709"/>
    <w:rsid w:val="596428C0"/>
    <w:rsid w:val="59665248"/>
    <w:rsid w:val="59671267"/>
    <w:rsid w:val="59722042"/>
    <w:rsid w:val="5980475F"/>
    <w:rsid w:val="59826BBD"/>
    <w:rsid w:val="598558D1"/>
    <w:rsid w:val="59872D9A"/>
    <w:rsid w:val="598D69D2"/>
    <w:rsid w:val="59931B03"/>
    <w:rsid w:val="59993D66"/>
    <w:rsid w:val="59A064F7"/>
    <w:rsid w:val="59A51F92"/>
    <w:rsid w:val="59AB7335"/>
    <w:rsid w:val="59AE472E"/>
    <w:rsid w:val="59B408A1"/>
    <w:rsid w:val="59BF136C"/>
    <w:rsid w:val="59C15FB6"/>
    <w:rsid w:val="59D6437F"/>
    <w:rsid w:val="59D800F7"/>
    <w:rsid w:val="59E577A1"/>
    <w:rsid w:val="59EE3910"/>
    <w:rsid w:val="59EF0FB1"/>
    <w:rsid w:val="59F569CD"/>
    <w:rsid w:val="59FA29D7"/>
    <w:rsid w:val="59FC12BD"/>
    <w:rsid w:val="59FD0046"/>
    <w:rsid w:val="5A006908"/>
    <w:rsid w:val="5A064B07"/>
    <w:rsid w:val="5A084C52"/>
    <w:rsid w:val="5A0B095C"/>
    <w:rsid w:val="5A12217C"/>
    <w:rsid w:val="5A1B77C5"/>
    <w:rsid w:val="5A1E1882"/>
    <w:rsid w:val="5A1F2459"/>
    <w:rsid w:val="5A1F56FD"/>
    <w:rsid w:val="5A345171"/>
    <w:rsid w:val="5A355A2A"/>
    <w:rsid w:val="5A397D2C"/>
    <w:rsid w:val="5A3B4D0D"/>
    <w:rsid w:val="5A3E2C7D"/>
    <w:rsid w:val="5A4100F5"/>
    <w:rsid w:val="5A482587"/>
    <w:rsid w:val="5A4C6202"/>
    <w:rsid w:val="5A4F7C8D"/>
    <w:rsid w:val="5A504131"/>
    <w:rsid w:val="5A51282A"/>
    <w:rsid w:val="5A573C85"/>
    <w:rsid w:val="5A726F31"/>
    <w:rsid w:val="5A740190"/>
    <w:rsid w:val="5A7A7685"/>
    <w:rsid w:val="5A814396"/>
    <w:rsid w:val="5A8738CB"/>
    <w:rsid w:val="5A88653D"/>
    <w:rsid w:val="5A8C2848"/>
    <w:rsid w:val="5A9C3109"/>
    <w:rsid w:val="5AB450FF"/>
    <w:rsid w:val="5AB84CE2"/>
    <w:rsid w:val="5ABB110C"/>
    <w:rsid w:val="5ABD2C11"/>
    <w:rsid w:val="5ABD32FD"/>
    <w:rsid w:val="5ACD7B5E"/>
    <w:rsid w:val="5AD14855"/>
    <w:rsid w:val="5AD84127"/>
    <w:rsid w:val="5B0275CA"/>
    <w:rsid w:val="5B04498E"/>
    <w:rsid w:val="5B13515F"/>
    <w:rsid w:val="5B173BEB"/>
    <w:rsid w:val="5B1C0283"/>
    <w:rsid w:val="5B2F3BAE"/>
    <w:rsid w:val="5B325DD8"/>
    <w:rsid w:val="5B3A119C"/>
    <w:rsid w:val="5B3C6463"/>
    <w:rsid w:val="5B400E82"/>
    <w:rsid w:val="5B452D4F"/>
    <w:rsid w:val="5B495010"/>
    <w:rsid w:val="5B5C7DA0"/>
    <w:rsid w:val="5B627885"/>
    <w:rsid w:val="5B742F8D"/>
    <w:rsid w:val="5B746BCD"/>
    <w:rsid w:val="5B785B7A"/>
    <w:rsid w:val="5B7D5550"/>
    <w:rsid w:val="5B8162FC"/>
    <w:rsid w:val="5B8322E4"/>
    <w:rsid w:val="5B83735B"/>
    <w:rsid w:val="5B871DD5"/>
    <w:rsid w:val="5B8D147B"/>
    <w:rsid w:val="5B8E6F3F"/>
    <w:rsid w:val="5B8F7161"/>
    <w:rsid w:val="5B900F1C"/>
    <w:rsid w:val="5B9D0937"/>
    <w:rsid w:val="5B9D1B1E"/>
    <w:rsid w:val="5BA23024"/>
    <w:rsid w:val="5BAC7599"/>
    <w:rsid w:val="5BB16E51"/>
    <w:rsid w:val="5BBA1A35"/>
    <w:rsid w:val="5BC81CFD"/>
    <w:rsid w:val="5BCC577C"/>
    <w:rsid w:val="5BCF0961"/>
    <w:rsid w:val="5BD657E0"/>
    <w:rsid w:val="5BD668B8"/>
    <w:rsid w:val="5BDD3349"/>
    <w:rsid w:val="5BE52C9D"/>
    <w:rsid w:val="5BE64271"/>
    <w:rsid w:val="5BE933D4"/>
    <w:rsid w:val="5BEF4EE0"/>
    <w:rsid w:val="5BF962EE"/>
    <w:rsid w:val="5BFA7542"/>
    <w:rsid w:val="5C0F0540"/>
    <w:rsid w:val="5C1462F7"/>
    <w:rsid w:val="5C2468D2"/>
    <w:rsid w:val="5C266A5B"/>
    <w:rsid w:val="5C277114"/>
    <w:rsid w:val="5C2943B8"/>
    <w:rsid w:val="5C2F41C9"/>
    <w:rsid w:val="5C3243E7"/>
    <w:rsid w:val="5C3957C3"/>
    <w:rsid w:val="5C4203AA"/>
    <w:rsid w:val="5C43695A"/>
    <w:rsid w:val="5C4B5798"/>
    <w:rsid w:val="5C4D6D27"/>
    <w:rsid w:val="5C514191"/>
    <w:rsid w:val="5C5A4845"/>
    <w:rsid w:val="5C5E4EA9"/>
    <w:rsid w:val="5C64550C"/>
    <w:rsid w:val="5C653798"/>
    <w:rsid w:val="5C6F106F"/>
    <w:rsid w:val="5C775843"/>
    <w:rsid w:val="5C854BF1"/>
    <w:rsid w:val="5C855BE8"/>
    <w:rsid w:val="5C85644A"/>
    <w:rsid w:val="5C8674A7"/>
    <w:rsid w:val="5C873EA7"/>
    <w:rsid w:val="5C903F19"/>
    <w:rsid w:val="5CA40764"/>
    <w:rsid w:val="5CA97894"/>
    <w:rsid w:val="5CAC321B"/>
    <w:rsid w:val="5CB93149"/>
    <w:rsid w:val="5CBA2DA2"/>
    <w:rsid w:val="5CBB35E9"/>
    <w:rsid w:val="5CBB7D93"/>
    <w:rsid w:val="5CBC022B"/>
    <w:rsid w:val="5CBC04CE"/>
    <w:rsid w:val="5CBC5F65"/>
    <w:rsid w:val="5CCE29DF"/>
    <w:rsid w:val="5CCF58A0"/>
    <w:rsid w:val="5CD51278"/>
    <w:rsid w:val="5CDA2FE7"/>
    <w:rsid w:val="5CDF3B5B"/>
    <w:rsid w:val="5D080CF3"/>
    <w:rsid w:val="5D145E59"/>
    <w:rsid w:val="5D3C36F1"/>
    <w:rsid w:val="5D502044"/>
    <w:rsid w:val="5D521D7D"/>
    <w:rsid w:val="5D6254E1"/>
    <w:rsid w:val="5D6B07C2"/>
    <w:rsid w:val="5D746572"/>
    <w:rsid w:val="5D777C27"/>
    <w:rsid w:val="5D7F38AB"/>
    <w:rsid w:val="5D867E6A"/>
    <w:rsid w:val="5D8773E6"/>
    <w:rsid w:val="5D911B55"/>
    <w:rsid w:val="5D9A56C3"/>
    <w:rsid w:val="5DA30A1C"/>
    <w:rsid w:val="5DB15F4A"/>
    <w:rsid w:val="5DB37184"/>
    <w:rsid w:val="5DB55D56"/>
    <w:rsid w:val="5DB72EC5"/>
    <w:rsid w:val="5DBB6C79"/>
    <w:rsid w:val="5DC0337C"/>
    <w:rsid w:val="5DD768C6"/>
    <w:rsid w:val="5DE30F9A"/>
    <w:rsid w:val="5DEE2416"/>
    <w:rsid w:val="5DF67964"/>
    <w:rsid w:val="5DFB4449"/>
    <w:rsid w:val="5E093529"/>
    <w:rsid w:val="5E0B036F"/>
    <w:rsid w:val="5E1654B0"/>
    <w:rsid w:val="5E184C53"/>
    <w:rsid w:val="5E191E8F"/>
    <w:rsid w:val="5E1B529B"/>
    <w:rsid w:val="5E256BE1"/>
    <w:rsid w:val="5E2C1E54"/>
    <w:rsid w:val="5E2D7C7D"/>
    <w:rsid w:val="5E323079"/>
    <w:rsid w:val="5E386DD9"/>
    <w:rsid w:val="5E450C0A"/>
    <w:rsid w:val="5E474019"/>
    <w:rsid w:val="5E4D42C9"/>
    <w:rsid w:val="5E520605"/>
    <w:rsid w:val="5E543EDB"/>
    <w:rsid w:val="5E5B4E53"/>
    <w:rsid w:val="5E5E7957"/>
    <w:rsid w:val="5E665CF5"/>
    <w:rsid w:val="5E6B3A25"/>
    <w:rsid w:val="5E744166"/>
    <w:rsid w:val="5E7932C2"/>
    <w:rsid w:val="5E844104"/>
    <w:rsid w:val="5E844A27"/>
    <w:rsid w:val="5E8720EC"/>
    <w:rsid w:val="5E8B40C5"/>
    <w:rsid w:val="5E8E6FD6"/>
    <w:rsid w:val="5E9034CA"/>
    <w:rsid w:val="5E9138A2"/>
    <w:rsid w:val="5E965D66"/>
    <w:rsid w:val="5E980273"/>
    <w:rsid w:val="5E9A67A7"/>
    <w:rsid w:val="5EA76E81"/>
    <w:rsid w:val="5EAA0D56"/>
    <w:rsid w:val="5EAC1CDD"/>
    <w:rsid w:val="5EB81C90"/>
    <w:rsid w:val="5EB822A5"/>
    <w:rsid w:val="5ECA46BE"/>
    <w:rsid w:val="5EDA7DA7"/>
    <w:rsid w:val="5EDE1F3E"/>
    <w:rsid w:val="5EE2182F"/>
    <w:rsid w:val="5EEA43E8"/>
    <w:rsid w:val="5EF61384"/>
    <w:rsid w:val="5EF62DCD"/>
    <w:rsid w:val="5EF7467F"/>
    <w:rsid w:val="5EFD5F0A"/>
    <w:rsid w:val="5F0755BE"/>
    <w:rsid w:val="5F087B48"/>
    <w:rsid w:val="5F0C514E"/>
    <w:rsid w:val="5F1E2B04"/>
    <w:rsid w:val="5F1E433A"/>
    <w:rsid w:val="5F2416E8"/>
    <w:rsid w:val="5F357D99"/>
    <w:rsid w:val="5F411464"/>
    <w:rsid w:val="5F420423"/>
    <w:rsid w:val="5F4B136B"/>
    <w:rsid w:val="5F506981"/>
    <w:rsid w:val="5F5E58F8"/>
    <w:rsid w:val="5F635C1A"/>
    <w:rsid w:val="5F685A79"/>
    <w:rsid w:val="5FA02694"/>
    <w:rsid w:val="5FA10F8B"/>
    <w:rsid w:val="5FAD7930"/>
    <w:rsid w:val="5FB13BC4"/>
    <w:rsid w:val="5FB52C88"/>
    <w:rsid w:val="5FB5640C"/>
    <w:rsid w:val="5FBC0045"/>
    <w:rsid w:val="5FC618AB"/>
    <w:rsid w:val="5FCB425A"/>
    <w:rsid w:val="5FD562ED"/>
    <w:rsid w:val="5FD96977"/>
    <w:rsid w:val="5FDD7EC3"/>
    <w:rsid w:val="5FDF7887"/>
    <w:rsid w:val="5FE65D50"/>
    <w:rsid w:val="5FEA2932"/>
    <w:rsid w:val="5FF13AB0"/>
    <w:rsid w:val="60042281"/>
    <w:rsid w:val="6008017A"/>
    <w:rsid w:val="60080B59"/>
    <w:rsid w:val="600F3CB2"/>
    <w:rsid w:val="601C5ADF"/>
    <w:rsid w:val="6023337D"/>
    <w:rsid w:val="60234096"/>
    <w:rsid w:val="602502F3"/>
    <w:rsid w:val="602A5424"/>
    <w:rsid w:val="60331883"/>
    <w:rsid w:val="604007A4"/>
    <w:rsid w:val="6042451C"/>
    <w:rsid w:val="60432042"/>
    <w:rsid w:val="604C0CDD"/>
    <w:rsid w:val="60593614"/>
    <w:rsid w:val="606049A2"/>
    <w:rsid w:val="606B7746"/>
    <w:rsid w:val="606E670A"/>
    <w:rsid w:val="60755C65"/>
    <w:rsid w:val="60771CEC"/>
    <w:rsid w:val="608F4C41"/>
    <w:rsid w:val="609D4E01"/>
    <w:rsid w:val="60A52614"/>
    <w:rsid w:val="60B40B16"/>
    <w:rsid w:val="60B8670B"/>
    <w:rsid w:val="60BC7438"/>
    <w:rsid w:val="60C22C9F"/>
    <w:rsid w:val="60C2345E"/>
    <w:rsid w:val="60C2740B"/>
    <w:rsid w:val="60CA793C"/>
    <w:rsid w:val="60CB25F0"/>
    <w:rsid w:val="60CC227B"/>
    <w:rsid w:val="60D01E8A"/>
    <w:rsid w:val="60D33423"/>
    <w:rsid w:val="60D40CFA"/>
    <w:rsid w:val="60D94755"/>
    <w:rsid w:val="60D96503"/>
    <w:rsid w:val="60E3046B"/>
    <w:rsid w:val="60E455D3"/>
    <w:rsid w:val="60ED31D3"/>
    <w:rsid w:val="60F31885"/>
    <w:rsid w:val="60F7139B"/>
    <w:rsid w:val="60FE1268"/>
    <w:rsid w:val="61016699"/>
    <w:rsid w:val="61087BC8"/>
    <w:rsid w:val="610C1560"/>
    <w:rsid w:val="610D42D6"/>
    <w:rsid w:val="610D4CAD"/>
    <w:rsid w:val="610E08A2"/>
    <w:rsid w:val="61100C9D"/>
    <w:rsid w:val="61161505"/>
    <w:rsid w:val="612250E9"/>
    <w:rsid w:val="612B7D0E"/>
    <w:rsid w:val="6131633F"/>
    <w:rsid w:val="614C59CC"/>
    <w:rsid w:val="616A3388"/>
    <w:rsid w:val="616B35FF"/>
    <w:rsid w:val="616C51C2"/>
    <w:rsid w:val="617364D9"/>
    <w:rsid w:val="617563D2"/>
    <w:rsid w:val="61785D1C"/>
    <w:rsid w:val="617A557B"/>
    <w:rsid w:val="61875FDB"/>
    <w:rsid w:val="61957B3E"/>
    <w:rsid w:val="61970898"/>
    <w:rsid w:val="619A79FE"/>
    <w:rsid w:val="61AA545A"/>
    <w:rsid w:val="61B80B35"/>
    <w:rsid w:val="61B96BE4"/>
    <w:rsid w:val="61BC4A56"/>
    <w:rsid w:val="61CE74E2"/>
    <w:rsid w:val="61D92C5E"/>
    <w:rsid w:val="61E1479E"/>
    <w:rsid w:val="61EF075A"/>
    <w:rsid w:val="61F266C2"/>
    <w:rsid w:val="61F43761"/>
    <w:rsid w:val="61FE547A"/>
    <w:rsid w:val="61FF55CB"/>
    <w:rsid w:val="620C4965"/>
    <w:rsid w:val="620E7187"/>
    <w:rsid w:val="62121CE0"/>
    <w:rsid w:val="62145C49"/>
    <w:rsid w:val="62170003"/>
    <w:rsid w:val="621C5C01"/>
    <w:rsid w:val="621F5F8E"/>
    <w:rsid w:val="6220408E"/>
    <w:rsid w:val="62284B60"/>
    <w:rsid w:val="622C7097"/>
    <w:rsid w:val="62354793"/>
    <w:rsid w:val="6245683D"/>
    <w:rsid w:val="624D71A8"/>
    <w:rsid w:val="625C563D"/>
    <w:rsid w:val="6260547F"/>
    <w:rsid w:val="626A1B08"/>
    <w:rsid w:val="627110E9"/>
    <w:rsid w:val="62764951"/>
    <w:rsid w:val="62782477"/>
    <w:rsid w:val="628537A8"/>
    <w:rsid w:val="62862754"/>
    <w:rsid w:val="628D57F7"/>
    <w:rsid w:val="62A132AA"/>
    <w:rsid w:val="62A80882"/>
    <w:rsid w:val="62AA2D05"/>
    <w:rsid w:val="62AB1C02"/>
    <w:rsid w:val="62AB3FA6"/>
    <w:rsid w:val="62B9654C"/>
    <w:rsid w:val="62C16803"/>
    <w:rsid w:val="62D4591C"/>
    <w:rsid w:val="62EA6CA3"/>
    <w:rsid w:val="62EC7D5F"/>
    <w:rsid w:val="62EF16F0"/>
    <w:rsid w:val="62F13FD7"/>
    <w:rsid w:val="62F70B6E"/>
    <w:rsid w:val="63041F5D"/>
    <w:rsid w:val="63097573"/>
    <w:rsid w:val="630B2F08"/>
    <w:rsid w:val="630B76D4"/>
    <w:rsid w:val="630C7A2F"/>
    <w:rsid w:val="63100901"/>
    <w:rsid w:val="631B5451"/>
    <w:rsid w:val="631C5496"/>
    <w:rsid w:val="631E5519"/>
    <w:rsid w:val="63216475"/>
    <w:rsid w:val="63233987"/>
    <w:rsid w:val="63242D2C"/>
    <w:rsid w:val="63247F09"/>
    <w:rsid w:val="63253C81"/>
    <w:rsid w:val="632B08DB"/>
    <w:rsid w:val="632D459B"/>
    <w:rsid w:val="632F5B3E"/>
    <w:rsid w:val="63352116"/>
    <w:rsid w:val="633C7EC3"/>
    <w:rsid w:val="634379A6"/>
    <w:rsid w:val="63476C53"/>
    <w:rsid w:val="63514A76"/>
    <w:rsid w:val="635217CD"/>
    <w:rsid w:val="635455C7"/>
    <w:rsid w:val="63573F85"/>
    <w:rsid w:val="635B1239"/>
    <w:rsid w:val="635B3144"/>
    <w:rsid w:val="63604CB9"/>
    <w:rsid w:val="63625137"/>
    <w:rsid w:val="63640C4D"/>
    <w:rsid w:val="636521DE"/>
    <w:rsid w:val="63716CBB"/>
    <w:rsid w:val="63864290"/>
    <w:rsid w:val="639037F0"/>
    <w:rsid w:val="639257BA"/>
    <w:rsid w:val="639617AB"/>
    <w:rsid w:val="63A47070"/>
    <w:rsid w:val="63A6732A"/>
    <w:rsid w:val="63AC75CC"/>
    <w:rsid w:val="63B10847"/>
    <w:rsid w:val="63BC45E5"/>
    <w:rsid w:val="63C031FC"/>
    <w:rsid w:val="63C06D8F"/>
    <w:rsid w:val="63CC6444"/>
    <w:rsid w:val="63D27965"/>
    <w:rsid w:val="63DC07E4"/>
    <w:rsid w:val="63E13877"/>
    <w:rsid w:val="63E1580B"/>
    <w:rsid w:val="63E43B3C"/>
    <w:rsid w:val="63E458EA"/>
    <w:rsid w:val="63EF029F"/>
    <w:rsid w:val="63EF2B48"/>
    <w:rsid w:val="63F26259"/>
    <w:rsid w:val="64027839"/>
    <w:rsid w:val="6403278E"/>
    <w:rsid w:val="640B6963"/>
    <w:rsid w:val="640C4D20"/>
    <w:rsid w:val="641352B1"/>
    <w:rsid w:val="641E3A7F"/>
    <w:rsid w:val="64275913"/>
    <w:rsid w:val="6429154F"/>
    <w:rsid w:val="642A5891"/>
    <w:rsid w:val="642F2387"/>
    <w:rsid w:val="642F582D"/>
    <w:rsid w:val="64364023"/>
    <w:rsid w:val="64440F06"/>
    <w:rsid w:val="644C31B0"/>
    <w:rsid w:val="644D16E1"/>
    <w:rsid w:val="644F4695"/>
    <w:rsid w:val="645B0AEF"/>
    <w:rsid w:val="646A44A8"/>
    <w:rsid w:val="64750D1E"/>
    <w:rsid w:val="647543D6"/>
    <w:rsid w:val="64762699"/>
    <w:rsid w:val="64792557"/>
    <w:rsid w:val="649267A6"/>
    <w:rsid w:val="649318CB"/>
    <w:rsid w:val="649F32B4"/>
    <w:rsid w:val="64A17191"/>
    <w:rsid w:val="64A92881"/>
    <w:rsid w:val="64AA3F8A"/>
    <w:rsid w:val="64C6646E"/>
    <w:rsid w:val="64CD111C"/>
    <w:rsid w:val="64E42046"/>
    <w:rsid w:val="64E85BA5"/>
    <w:rsid w:val="64EF6482"/>
    <w:rsid w:val="64F25DE5"/>
    <w:rsid w:val="64FA21FB"/>
    <w:rsid w:val="64FC234E"/>
    <w:rsid w:val="650173D8"/>
    <w:rsid w:val="65030151"/>
    <w:rsid w:val="650E5912"/>
    <w:rsid w:val="651C3A9A"/>
    <w:rsid w:val="651F61E5"/>
    <w:rsid w:val="65203215"/>
    <w:rsid w:val="654E1184"/>
    <w:rsid w:val="65570B42"/>
    <w:rsid w:val="657607C4"/>
    <w:rsid w:val="65780FAF"/>
    <w:rsid w:val="657D45EA"/>
    <w:rsid w:val="658622CA"/>
    <w:rsid w:val="658F3F98"/>
    <w:rsid w:val="65A546B6"/>
    <w:rsid w:val="65A663F2"/>
    <w:rsid w:val="65A90B99"/>
    <w:rsid w:val="65AC2438"/>
    <w:rsid w:val="65B0286D"/>
    <w:rsid w:val="65BC0C01"/>
    <w:rsid w:val="65C66429"/>
    <w:rsid w:val="65D14ED4"/>
    <w:rsid w:val="65D55AB7"/>
    <w:rsid w:val="65DA6FA5"/>
    <w:rsid w:val="65E14E87"/>
    <w:rsid w:val="65E30D3D"/>
    <w:rsid w:val="65E90C48"/>
    <w:rsid w:val="65EC6408"/>
    <w:rsid w:val="65EE3011"/>
    <w:rsid w:val="660215E3"/>
    <w:rsid w:val="66065CBD"/>
    <w:rsid w:val="660C31F8"/>
    <w:rsid w:val="660E5045"/>
    <w:rsid w:val="661258C9"/>
    <w:rsid w:val="661A0099"/>
    <w:rsid w:val="662460E9"/>
    <w:rsid w:val="66263F98"/>
    <w:rsid w:val="662B18C9"/>
    <w:rsid w:val="662D3525"/>
    <w:rsid w:val="662F2D7B"/>
    <w:rsid w:val="6638443F"/>
    <w:rsid w:val="663C2EC3"/>
    <w:rsid w:val="66446405"/>
    <w:rsid w:val="6653618A"/>
    <w:rsid w:val="6663087F"/>
    <w:rsid w:val="66652D12"/>
    <w:rsid w:val="66682892"/>
    <w:rsid w:val="666A3866"/>
    <w:rsid w:val="66807DA0"/>
    <w:rsid w:val="668343BA"/>
    <w:rsid w:val="66855163"/>
    <w:rsid w:val="668A5492"/>
    <w:rsid w:val="668C66A0"/>
    <w:rsid w:val="66A67750"/>
    <w:rsid w:val="66AA1936"/>
    <w:rsid w:val="66B711E7"/>
    <w:rsid w:val="66C133A7"/>
    <w:rsid w:val="66C91397"/>
    <w:rsid w:val="66CB34BD"/>
    <w:rsid w:val="66CC7F45"/>
    <w:rsid w:val="66D9725C"/>
    <w:rsid w:val="66E062C2"/>
    <w:rsid w:val="66E7104E"/>
    <w:rsid w:val="66EB5525"/>
    <w:rsid w:val="66F978FF"/>
    <w:rsid w:val="67021AFE"/>
    <w:rsid w:val="67073DC9"/>
    <w:rsid w:val="670D5158"/>
    <w:rsid w:val="670F2C7E"/>
    <w:rsid w:val="671930A7"/>
    <w:rsid w:val="671C1780"/>
    <w:rsid w:val="673274B6"/>
    <w:rsid w:val="67397CFB"/>
    <w:rsid w:val="67407092"/>
    <w:rsid w:val="67520AD9"/>
    <w:rsid w:val="67544120"/>
    <w:rsid w:val="67556E8D"/>
    <w:rsid w:val="67576D11"/>
    <w:rsid w:val="67597F9A"/>
    <w:rsid w:val="675D1C3B"/>
    <w:rsid w:val="6760797E"/>
    <w:rsid w:val="67655A66"/>
    <w:rsid w:val="67743771"/>
    <w:rsid w:val="677B7F40"/>
    <w:rsid w:val="678216A2"/>
    <w:rsid w:val="6787487A"/>
    <w:rsid w:val="678860B5"/>
    <w:rsid w:val="67901C4F"/>
    <w:rsid w:val="67980EC5"/>
    <w:rsid w:val="679D500D"/>
    <w:rsid w:val="67A4407E"/>
    <w:rsid w:val="67B51197"/>
    <w:rsid w:val="67B53825"/>
    <w:rsid w:val="67B62FAE"/>
    <w:rsid w:val="67B7724A"/>
    <w:rsid w:val="67C24AEE"/>
    <w:rsid w:val="67C64042"/>
    <w:rsid w:val="67C779FD"/>
    <w:rsid w:val="67D0208B"/>
    <w:rsid w:val="67D334FF"/>
    <w:rsid w:val="67D363A2"/>
    <w:rsid w:val="67DF4FF2"/>
    <w:rsid w:val="67EF250F"/>
    <w:rsid w:val="67FB0559"/>
    <w:rsid w:val="680B366B"/>
    <w:rsid w:val="6811140F"/>
    <w:rsid w:val="68152C2F"/>
    <w:rsid w:val="68190625"/>
    <w:rsid w:val="682633A7"/>
    <w:rsid w:val="68280381"/>
    <w:rsid w:val="68314A39"/>
    <w:rsid w:val="683B74A5"/>
    <w:rsid w:val="68412571"/>
    <w:rsid w:val="6841330B"/>
    <w:rsid w:val="68491E44"/>
    <w:rsid w:val="68495E94"/>
    <w:rsid w:val="685A261F"/>
    <w:rsid w:val="685A3172"/>
    <w:rsid w:val="685A53A4"/>
    <w:rsid w:val="68642551"/>
    <w:rsid w:val="68680A3E"/>
    <w:rsid w:val="686A6654"/>
    <w:rsid w:val="68757841"/>
    <w:rsid w:val="68791A65"/>
    <w:rsid w:val="68816826"/>
    <w:rsid w:val="68880FC6"/>
    <w:rsid w:val="68895C71"/>
    <w:rsid w:val="68897EA5"/>
    <w:rsid w:val="688C3102"/>
    <w:rsid w:val="68921917"/>
    <w:rsid w:val="68921CAA"/>
    <w:rsid w:val="689373DA"/>
    <w:rsid w:val="68975621"/>
    <w:rsid w:val="689B26ED"/>
    <w:rsid w:val="68AE4CBA"/>
    <w:rsid w:val="68B8353A"/>
    <w:rsid w:val="68C63810"/>
    <w:rsid w:val="68CE2233"/>
    <w:rsid w:val="68D575AA"/>
    <w:rsid w:val="68DD0272"/>
    <w:rsid w:val="68E048D2"/>
    <w:rsid w:val="68E94D60"/>
    <w:rsid w:val="68ED6C78"/>
    <w:rsid w:val="69020CEC"/>
    <w:rsid w:val="6909721C"/>
    <w:rsid w:val="690E13DB"/>
    <w:rsid w:val="691C5563"/>
    <w:rsid w:val="691C6632"/>
    <w:rsid w:val="692630EF"/>
    <w:rsid w:val="692A50BF"/>
    <w:rsid w:val="693F4AAD"/>
    <w:rsid w:val="6944113A"/>
    <w:rsid w:val="6945582E"/>
    <w:rsid w:val="695B2B24"/>
    <w:rsid w:val="6962765F"/>
    <w:rsid w:val="69690131"/>
    <w:rsid w:val="69744D32"/>
    <w:rsid w:val="697D7EDA"/>
    <w:rsid w:val="698336F8"/>
    <w:rsid w:val="69844FC9"/>
    <w:rsid w:val="698747BA"/>
    <w:rsid w:val="698F7CD9"/>
    <w:rsid w:val="69A127AA"/>
    <w:rsid w:val="69A25BE0"/>
    <w:rsid w:val="69A43B52"/>
    <w:rsid w:val="69A515C6"/>
    <w:rsid w:val="69B163DC"/>
    <w:rsid w:val="69B51495"/>
    <w:rsid w:val="69B55D5F"/>
    <w:rsid w:val="69B560BB"/>
    <w:rsid w:val="69BF6AD3"/>
    <w:rsid w:val="69C257A3"/>
    <w:rsid w:val="69C73CE4"/>
    <w:rsid w:val="69CC3E49"/>
    <w:rsid w:val="69D00DEB"/>
    <w:rsid w:val="69D23D59"/>
    <w:rsid w:val="69D47669"/>
    <w:rsid w:val="69E2598A"/>
    <w:rsid w:val="69E44896"/>
    <w:rsid w:val="69EF3C1E"/>
    <w:rsid w:val="69F0022E"/>
    <w:rsid w:val="69FD3262"/>
    <w:rsid w:val="6A021E59"/>
    <w:rsid w:val="6A051DF1"/>
    <w:rsid w:val="6A053A11"/>
    <w:rsid w:val="6A060785"/>
    <w:rsid w:val="6A0A4AA3"/>
    <w:rsid w:val="6A0D369A"/>
    <w:rsid w:val="6A102F95"/>
    <w:rsid w:val="6A203821"/>
    <w:rsid w:val="6A213766"/>
    <w:rsid w:val="6A274783"/>
    <w:rsid w:val="6A2931E3"/>
    <w:rsid w:val="6A2C1D99"/>
    <w:rsid w:val="6A3D5AF7"/>
    <w:rsid w:val="6A416FD8"/>
    <w:rsid w:val="6A4756C3"/>
    <w:rsid w:val="6A5669C1"/>
    <w:rsid w:val="6A5A4D6F"/>
    <w:rsid w:val="6A65302A"/>
    <w:rsid w:val="6A683CE3"/>
    <w:rsid w:val="6A6B301F"/>
    <w:rsid w:val="6A6E2A0F"/>
    <w:rsid w:val="6A6F25EB"/>
    <w:rsid w:val="6A745C1A"/>
    <w:rsid w:val="6A816635"/>
    <w:rsid w:val="6A8500A5"/>
    <w:rsid w:val="6A880F37"/>
    <w:rsid w:val="6A886CE9"/>
    <w:rsid w:val="6A8C22D6"/>
    <w:rsid w:val="6A91754E"/>
    <w:rsid w:val="6AA534DD"/>
    <w:rsid w:val="6AAC00A7"/>
    <w:rsid w:val="6AB037D3"/>
    <w:rsid w:val="6AB41CCE"/>
    <w:rsid w:val="6AB77C26"/>
    <w:rsid w:val="6AB9469D"/>
    <w:rsid w:val="6AC05C45"/>
    <w:rsid w:val="6ACB7804"/>
    <w:rsid w:val="6ACD0E86"/>
    <w:rsid w:val="6AD61598"/>
    <w:rsid w:val="6AE23D39"/>
    <w:rsid w:val="6AE65ADE"/>
    <w:rsid w:val="6AEC1E8B"/>
    <w:rsid w:val="6AED32D6"/>
    <w:rsid w:val="6AF338EE"/>
    <w:rsid w:val="6AFC79BD"/>
    <w:rsid w:val="6B005520"/>
    <w:rsid w:val="6B024FA4"/>
    <w:rsid w:val="6B165932"/>
    <w:rsid w:val="6B1747F7"/>
    <w:rsid w:val="6B201BA6"/>
    <w:rsid w:val="6B221D8A"/>
    <w:rsid w:val="6B262CC2"/>
    <w:rsid w:val="6B2C0F84"/>
    <w:rsid w:val="6B2F1B41"/>
    <w:rsid w:val="6B30171F"/>
    <w:rsid w:val="6B3D3955"/>
    <w:rsid w:val="6B3F0991"/>
    <w:rsid w:val="6B3F56BA"/>
    <w:rsid w:val="6B4A67FC"/>
    <w:rsid w:val="6B6B55DF"/>
    <w:rsid w:val="6B6F49D6"/>
    <w:rsid w:val="6B7F1EC3"/>
    <w:rsid w:val="6B7F692B"/>
    <w:rsid w:val="6B823570"/>
    <w:rsid w:val="6B8D02D9"/>
    <w:rsid w:val="6B8F4CA4"/>
    <w:rsid w:val="6B9B02AA"/>
    <w:rsid w:val="6BA02A3F"/>
    <w:rsid w:val="6BA50055"/>
    <w:rsid w:val="6BBC39C3"/>
    <w:rsid w:val="6BC900B2"/>
    <w:rsid w:val="6BCB7ABB"/>
    <w:rsid w:val="6BCC55E2"/>
    <w:rsid w:val="6BD5759F"/>
    <w:rsid w:val="6BD72F65"/>
    <w:rsid w:val="6BE54A0F"/>
    <w:rsid w:val="6BEC4DFC"/>
    <w:rsid w:val="6BF24A56"/>
    <w:rsid w:val="6BF30DC0"/>
    <w:rsid w:val="6BF33E69"/>
    <w:rsid w:val="6BF66731"/>
    <w:rsid w:val="6C0D7919"/>
    <w:rsid w:val="6C124896"/>
    <w:rsid w:val="6C125700"/>
    <w:rsid w:val="6C210424"/>
    <w:rsid w:val="6C256223"/>
    <w:rsid w:val="6C2D4D28"/>
    <w:rsid w:val="6C302088"/>
    <w:rsid w:val="6C3D128E"/>
    <w:rsid w:val="6C407483"/>
    <w:rsid w:val="6C4566C9"/>
    <w:rsid w:val="6C4730C5"/>
    <w:rsid w:val="6C551355"/>
    <w:rsid w:val="6C565650"/>
    <w:rsid w:val="6C590BA3"/>
    <w:rsid w:val="6C5F1FB2"/>
    <w:rsid w:val="6C724D07"/>
    <w:rsid w:val="6C7B6F72"/>
    <w:rsid w:val="6C811D9D"/>
    <w:rsid w:val="6C835656"/>
    <w:rsid w:val="6C90660F"/>
    <w:rsid w:val="6C9E37EA"/>
    <w:rsid w:val="6CA66DF6"/>
    <w:rsid w:val="6CAB51F7"/>
    <w:rsid w:val="6CAE2F39"/>
    <w:rsid w:val="6CB82824"/>
    <w:rsid w:val="6CC63F02"/>
    <w:rsid w:val="6CC86E1B"/>
    <w:rsid w:val="6CC938CF"/>
    <w:rsid w:val="6CCF3736"/>
    <w:rsid w:val="6CD77C77"/>
    <w:rsid w:val="6CDC3213"/>
    <w:rsid w:val="6CE71982"/>
    <w:rsid w:val="6CF144CC"/>
    <w:rsid w:val="6CF512A0"/>
    <w:rsid w:val="6D0530A8"/>
    <w:rsid w:val="6D10303F"/>
    <w:rsid w:val="6D12337C"/>
    <w:rsid w:val="6D154D66"/>
    <w:rsid w:val="6D1747DB"/>
    <w:rsid w:val="6D214F56"/>
    <w:rsid w:val="6D2B163D"/>
    <w:rsid w:val="6D382D6C"/>
    <w:rsid w:val="6D38471A"/>
    <w:rsid w:val="6D3A0E0E"/>
    <w:rsid w:val="6D4348C6"/>
    <w:rsid w:val="6D4573FA"/>
    <w:rsid w:val="6D604233"/>
    <w:rsid w:val="6D647520"/>
    <w:rsid w:val="6D6B4F77"/>
    <w:rsid w:val="6D6D7982"/>
    <w:rsid w:val="6D761CA9"/>
    <w:rsid w:val="6D873B76"/>
    <w:rsid w:val="6D8C2A4B"/>
    <w:rsid w:val="6D90501D"/>
    <w:rsid w:val="6D907630"/>
    <w:rsid w:val="6DA34120"/>
    <w:rsid w:val="6DA6397D"/>
    <w:rsid w:val="6DA77587"/>
    <w:rsid w:val="6DA928CD"/>
    <w:rsid w:val="6DB45D68"/>
    <w:rsid w:val="6DB8202B"/>
    <w:rsid w:val="6DB86735"/>
    <w:rsid w:val="6DB91336"/>
    <w:rsid w:val="6DC03751"/>
    <w:rsid w:val="6DC32A08"/>
    <w:rsid w:val="6DCA3DA3"/>
    <w:rsid w:val="6DCE3893"/>
    <w:rsid w:val="6DD52A3B"/>
    <w:rsid w:val="6DDA1287"/>
    <w:rsid w:val="6DE210EC"/>
    <w:rsid w:val="6DE25F19"/>
    <w:rsid w:val="6DE9247B"/>
    <w:rsid w:val="6DF558B0"/>
    <w:rsid w:val="6DFA6436"/>
    <w:rsid w:val="6DFB79AE"/>
    <w:rsid w:val="6E0451D9"/>
    <w:rsid w:val="6E0B607F"/>
    <w:rsid w:val="6E25722B"/>
    <w:rsid w:val="6E2824B4"/>
    <w:rsid w:val="6E4B5340"/>
    <w:rsid w:val="6E4C3583"/>
    <w:rsid w:val="6E62222D"/>
    <w:rsid w:val="6E645F47"/>
    <w:rsid w:val="6E7272EE"/>
    <w:rsid w:val="6E731356"/>
    <w:rsid w:val="6E8B3532"/>
    <w:rsid w:val="6E8B52E0"/>
    <w:rsid w:val="6E8D4415"/>
    <w:rsid w:val="6E8E47FA"/>
    <w:rsid w:val="6E967F87"/>
    <w:rsid w:val="6E9D3265"/>
    <w:rsid w:val="6EB763FE"/>
    <w:rsid w:val="6EBA7973"/>
    <w:rsid w:val="6EBE55A8"/>
    <w:rsid w:val="6ECC3BF2"/>
    <w:rsid w:val="6ECE19F3"/>
    <w:rsid w:val="6ED27FA8"/>
    <w:rsid w:val="6ED4010A"/>
    <w:rsid w:val="6EDA1DC4"/>
    <w:rsid w:val="6EE074AC"/>
    <w:rsid w:val="6EE643A3"/>
    <w:rsid w:val="6EE64C0C"/>
    <w:rsid w:val="6EEB3704"/>
    <w:rsid w:val="6EEF626A"/>
    <w:rsid w:val="6EF3746B"/>
    <w:rsid w:val="6EFA411B"/>
    <w:rsid w:val="6EFA7104"/>
    <w:rsid w:val="6F094D63"/>
    <w:rsid w:val="6F0B7655"/>
    <w:rsid w:val="6F0D65D8"/>
    <w:rsid w:val="6F115901"/>
    <w:rsid w:val="6F2968A7"/>
    <w:rsid w:val="6F33250C"/>
    <w:rsid w:val="6F4D6A39"/>
    <w:rsid w:val="6F5201CB"/>
    <w:rsid w:val="6F5E6BA6"/>
    <w:rsid w:val="6F610C44"/>
    <w:rsid w:val="6F694002"/>
    <w:rsid w:val="6F7B4469"/>
    <w:rsid w:val="6F822070"/>
    <w:rsid w:val="6F8A33A0"/>
    <w:rsid w:val="6FA10687"/>
    <w:rsid w:val="6FA53F56"/>
    <w:rsid w:val="6FA7217A"/>
    <w:rsid w:val="6FA8684E"/>
    <w:rsid w:val="6FB726E5"/>
    <w:rsid w:val="6FBC3BC4"/>
    <w:rsid w:val="6FBD596D"/>
    <w:rsid w:val="6FC201CF"/>
    <w:rsid w:val="6FC30C8C"/>
    <w:rsid w:val="6FDA39A3"/>
    <w:rsid w:val="6FE76AA8"/>
    <w:rsid w:val="6FE86762"/>
    <w:rsid w:val="6FF34E3C"/>
    <w:rsid w:val="6FFB46E7"/>
    <w:rsid w:val="7015346D"/>
    <w:rsid w:val="70251764"/>
    <w:rsid w:val="70273C3A"/>
    <w:rsid w:val="70293ADF"/>
    <w:rsid w:val="702B7E39"/>
    <w:rsid w:val="70384FF4"/>
    <w:rsid w:val="703A3875"/>
    <w:rsid w:val="703C6ADE"/>
    <w:rsid w:val="703E6382"/>
    <w:rsid w:val="704377CC"/>
    <w:rsid w:val="70445BC3"/>
    <w:rsid w:val="70507CF7"/>
    <w:rsid w:val="70511F66"/>
    <w:rsid w:val="70561576"/>
    <w:rsid w:val="706C1141"/>
    <w:rsid w:val="707B4806"/>
    <w:rsid w:val="707D2D28"/>
    <w:rsid w:val="707F2DB7"/>
    <w:rsid w:val="70853FB1"/>
    <w:rsid w:val="70875060"/>
    <w:rsid w:val="70892EDC"/>
    <w:rsid w:val="709530A6"/>
    <w:rsid w:val="70A17009"/>
    <w:rsid w:val="70B27006"/>
    <w:rsid w:val="70B7089E"/>
    <w:rsid w:val="70C60851"/>
    <w:rsid w:val="70C60E15"/>
    <w:rsid w:val="70C6263D"/>
    <w:rsid w:val="70D0709D"/>
    <w:rsid w:val="70D23E4B"/>
    <w:rsid w:val="70E40FE3"/>
    <w:rsid w:val="70EE59DA"/>
    <w:rsid w:val="70F01D72"/>
    <w:rsid w:val="71045C90"/>
    <w:rsid w:val="710E12BD"/>
    <w:rsid w:val="71132FF6"/>
    <w:rsid w:val="71171814"/>
    <w:rsid w:val="711C2643"/>
    <w:rsid w:val="711D07E7"/>
    <w:rsid w:val="71213CDA"/>
    <w:rsid w:val="71220DD1"/>
    <w:rsid w:val="712255AA"/>
    <w:rsid w:val="71300CA7"/>
    <w:rsid w:val="7130216F"/>
    <w:rsid w:val="7144328C"/>
    <w:rsid w:val="714E68A6"/>
    <w:rsid w:val="714F4CEB"/>
    <w:rsid w:val="714F52D6"/>
    <w:rsid w:val="71521756"/>
    <w:rsid w:val="715A46E4"/>
    <w:rsid w:val="715E4F2E"/>
    <w:rsid w:val="716A2EAE"/>
    <w:rsid w:val="716A3A5B"/>
    <w:rsid w:val="71863777"/>
    <w:rsid w:val="718D57B2"/>
    <w:rsid w:val="719C5D09"/>
    <w:rsid w:val="71A33D23"/>
    <w:rsid w:val="71A562FD"/>
    <w:rsid w:val="71A566B9"/>
    <w:rsid w:val="71AC6A5E"/>
    <w:rsid w:val="71AF12E6"/>
    <w:rsid w:val="71AF1C10"/>
    <w:rsid w:val="71B23578"/>
    <w:rsid w:val="71BC0D55"/>
    <w:rsid w:val="71C147A0"/>
    <w:rsid w:val="71C508F4"/>
    <w:rsid w:val="71CF467F"/>
    <w:rsid w:val="71D05FEA"/>
    <w:rsid w:val="71E847F7"/>
    <w:rsid w:val="71EA1927"/>
    <w:rsid w:val="71F02493"/>
    <w:rsid w:val="71F14665"/>
    <w:rsid w:val="71FA3835"/>
    <w:rsid w:val="720A6FB7"/>
    <w:rsid w:val="721B2E22"/>
    <w:rsid w:val="72204DBA"/>
    <w:rsid w:val="72231CD3"/>
    <w:rsid w:val="722C317C"/>
    <w:rsid w:val="722C6DDA"/>
    <w:rsid w:val="722E7E2D"/>
    <w:rsid w:val="723A6382"/>
    <w:rsid w:val="724553E1"/>
    <w:rsid w:val="72467BCE"/>
    <w:rsid w:val="724C2DCE"/>
    <w:rsid w:val="724C4766"/>
    <w:rsid w:val="724E4D6A"/>
    <w:rsid w:val="725B068D"/>
    <w:rsid w:val="725B48E8"/>
    <w:rsid w:val="725F0F5E"/>
    <w:rsid w:val="72730BA8"/>
    <w:rsid w:val="72750781"/>
    <w:rsid w:val="72762C30"/>
    <w:rsid w:val="727D695B"/>
    <w:rsid w:val="72873ADA"/>
    <w:rsid w:val="72883477"/>
    <w:rsid w:val="728A5FD2"/>
    <w:rsid w:val="728E35F1"/>
    <w:rsid w:val="729328F7"/>
    <w:rsid w:val="72960421"/>
    <w:rsid w:val="729A4B65"/>
    <w:rsid w:val="729C5A75"/>
    <w:rsid w:val="72A40C46"/>
    <w:rsid w:val="72A526E9"/>
    <w:rsid w:val="72AC0BBA"/>
    <w:rsid w:val="72AE161C"/>
    <w:rsid w:val="72B312A9"/>
    <w:rsid w:val="72BA03CC"/>
    <w:rsid w:val="72C2329A"/>
    <w:rsid w:val="72CA214F"/>
    <w:rsid w:val="72D068FA"/>
    <w:rsid w:val="72D66DF2"/>
    <w:rsid w:val="72D77E5A"/>
    <w:rsid w:val="72DA2021"/>
    <w:rsid w:val="72DD2713"/>
    <w:rsid w:val="72E16410"/>
    <w:rsid w:val="72E273F6"/>
    <w:rsid w:val="72E73FA4"/>
    <w:rsid w:val="72E74BE4"/>
    <w:rsid w:val="72F21DD2"/>
    <w:rsid w:val="72F35B4A"/>
    <w:rsid w:val="73032BA5"/>
    <w:rsid w:val="730413D4"/>
    <w:rsid w:val="730B4885"/>
    <w:rsid w:val="73101FF9"/>
    <w:rsid w:val="7318735E"/>
    <w:rsid w:val="731E6FB5"/>
    <w:rsid w:val="732A253C"/>
    <w:rsid w:val="732C5270"/>
    <w:rsid w:val="73305598"/>
    <w:rsid w:val="73353133"/>
    <w:rsid w:val="73437A49"/>
    <w:rsid w:val="73450ED5"/>
    <w:rsid w:val="73452837"/>
    <w:rsid w:val="73595538"/>
    <w:rsid w:val="735A06DB"/>
    <w:rsid w:val="735C4EED"/>
    <w:rsid w:val="735E4FEB"/>
    <w:rsid w:val="736A0282"/>
    <w:rsid w:val="73823ABB"/>
    <w:rsid w:val="73837473"/>
    <w:rsid w:val="738642C8"/>
    <w:rsid w:val="738C21DC"/>
    <w:rsid w:val="73905147"/>
    <w:rsid w:val="73942975"/>
    <w:rsid w:val="73967526"/>
    <w:rsid w:val="739A2F54"/>
    <w:rsid w:val="739B0A58"/>
    <w:rsid w:val="73A04410"/>
    <w:rsid w:val="73A14FBF"/>
    <w:rsid w:val="73A155A6"/>
    <w:rsid w:val="73A34807"/>
    <w:rsid w:val="73A5524C"/>
    <w:rsid w:val="73BA3871"/>
    <w:rsid w:val="73C02E99"/>
    <w:rsid w:val="73C35D72"/>
    <w:rsid w:val="73D4723F"/>
    <w:rsid w:val="73D969E4"/>
    <w:rsid w:val="73DD40C5"/>
    <w:rsid w:val="73E223A7"/>
    <w:rsid w:val="73E57241"/>
    <w:rsid w:val="740A6CA7"/>
    <w:rsid w:val="740E3416"/>
    <w:rsid w:val="74192FA3"/>
    <w:rsid w:val="741E751A"/>
    <w:rsid w:val="7428118D"/>
    <w:rsid w:val="7428668E"/>
    <w:rsid w:val="742C4160"/>
    <w:rsid w:val="743278DA"/>
    <w:rsid w:val="74422EB3"/>
    <w:rsid w:val="7446300D"/>
    <w:rsid w:val="744F6C29"/>
    <w:rsid w:val="74536AB7"/>
    <w:rsid w:val="74550C10"/>
    <w:rsid w:val="7455169C"/>
    <w:rsid w:val="745E10CF"/>
    <w:rsid w:val="746016AF"/>
    <w:rsid w:val="746A197A"/>
    <w:rsid w:val="7475188D"/>
    <w:rsid w:val="747B5DF7"/>
    <w:rsid w:val="74884617"/>
    <w:rsid w:val="74895A9B"/>
    <w:rsid w:val="748C590E"/>
    <w:rsid w:val="748D7072"/>
    <w:rsid w:val="749437B1"/>
    <w:rsid w:val="74980757"/>
    <w:rsid w:val="74987347"/>
    <w:rsid w:val="749923C8"/>
    <w:rsid w:val="74B606FE"/>
    <w:rsid w:val="74BB2697"/>
    <w:rsid w:val="74BE09FC"/>
    <w:rsid w:val="74C26A20"/>
    <w:rsid w:val="74CD4480"/>
    <w:rsid w:val="74CD7C12"/>
    <w:rsid w:val="74D03A09"/>
    <w:rsid w:val="74D13C69"/>
    <w:rsid w:val="74D14CE7"/>
    <w:rsid w:val="74D70381"/>
    <w:rsid w:val="74DF1380"/>
    <w:rsid w:val="74E12E70"/>
    <w:rsid w:val="74EF723C"/>
    <w:rsid w:val="74F231CF"/>
    <w:rsid w:val="74F31E6B"/>
    <w:rsid w:val="74F96D96"/>
    <w:rsid w:val="74FA0A9A"/>
    <w:rsid w:val="750758DC"/>
    <w:rsid w:val="751E44F0"/>
    <w:rsid w:val="752107CF"/>
    <w:rsid w:val="752B248D"/>
    <w:rsid w:val="752D61F4"/>
    <w:rsid w:val="753007A1"/>
    <w:rsid w:val="75343B04"/>
    <w:rsid w:val="753541F8"/>
    <w:rsid w:val="7548217D"/>
    <w:rsid w:val="754A3656"/>
    <w:rsid w:val="754A7580"/>
    <w:rsid w:val="754B0035"/>
    <w:rsid w:val="75556162"/>
    <w:rsid w:val="756415D6"/>
    <w:rsid w:val="7569039A"/>
    <w:rsid w:val="756B5E6B"/>
    <w:rsid w:val="756C480D"/>
    <w:rsid w:val="756D507B"/>
    <w:rsid w:val="757B6C99"/>
    <w:rsid w:val="757D2729"/>
    <w:rsid w:val="757D7F68"/>
    <w:rsid w:val="75897E1A"/>
    <w:rsid w:val="759A04FF"/>
    <w:rsid w:val="75A46D83"/>
    <w:rsid w:val="75B016EC"/>
    <w:rsid w:val="75B0387E"/>
    <w:rsid w:val="75B24FE1"/>
    <w:rsid w:val="75BC0475"/>
    <w:rsid w:val="75BC5640"/>
    <w:rsid w:val="75C12F48"/>
    <w:rsid w:val="75D03A43"/>
    <w:rsid w:val="75E11C8A"/>
    <w:rsid w:val="75ED27DF"/>
    <w:rsid w:val="75F334EB"/>
    <w:rsid w:val="75F35C9C"/>
    <w:rsid w:val="75F70C06"/>
    <w:rsid w:val="76050756"/>
    <w:rsid w:val="760E3661"/>
    <w:rsid w:val="762279FF"/>
    <w:rsid w:val="7625358F"/>
    <w:rsid w:val="762F61F3"/>
    <w:rsid w:val="7639058E"/>
    <w:rsid w:val="764E56E5"/>
    <w:rsid w:val="76500BBD"/>
    <w:rsid w:val="76634D94"/>
    <w:rsid w:val="7664327A"/>
    <w:rsid w:val="766509C4"/>
    <w:rsid w:val="76654669"/>
    <w:rsid w:val="76687158"/>
    <w:rsid w:val="766E17DB"/>
    <w:rsid w:val="767238D5"/>
    <w:rsid w:val="7678494B"/>
    <w:rsid w:val="767B56D5"/>
    <w:rsid w:val="76845F00"/>
    <w:rsid w:val="76870C1F"/>
    <w:rsid w:val="768D2AD3"/>
    <w:rsid w:val="76933D8B"/>
    <w:rsid w:val="76A92556"/>
    <w:rsid w:val="76A96C4B"/>
    <w:rsid w:val="76A97BBF"/>
    <w:rsid w:val="76AE45B5"/>
    <w:rsid w:val="76B30B63"/>
    <w:rsid w:val="76B35130"/>
    <w:rsid w:val="76C44A56"/>
    <w:rsid w:val="76C75323"/>
    <w:rsid w:val="76E81DF5"/>
    <w:rsid w:val="76F44F1D"/>
    <w:rsid w:val="76FB2034"/>
    <w:rsid w:val="76FE5804"/>
    <w:rsid w:val="770025E3"/>
    <w:rsid w:val="77060E56"/>
    <w:rsid w:val="77083846"/>
    <w:rsid w:val="771C6122"/>
    <w:rsid w:val="77212C85"/>
    <w:rsid w:val="7725204A"/>
    <w:rsid w:val="773225D3"/>
    <w:rsid w:val="77376294"/>
    <w:rsid w:val="773944F6"/>
    <w:rsid w:val="775066F0"/>
    <w:rsid w:val="77513FF1"/>
    <w:rsid w:val="775C44FD"/>
    <w:rsid w:val="77604AD9"/>
    <w:rsid w:val="776B3146"/>
    <w:rsid w:val="776E17F3"/>
    <w:rsid w:val="777059BB"/>
    <w:rsid w:val="778838AF"/>
    <w:rsid w:val="778951D5"/>
    <w:rsid w:val="778A68C1"/>
    <w:rsid w:val="778B4487"/>
    <w:rsid w:val="779C40BA"/>
    <w:rsid w:val="77A66B0C"/>
    <w:rsid w:val="77CB2240"/>
    <w:rsid w:val="77D1082D"/>
    <w:rsid w:val="77D22493"/>
    <w:rsid w:val="77DC48AE"/>
    <w:rsid w:val="77DC6BAC"/>
    <w:rsid w:val="77ED4572"/>
    <w:rsid w:val="77F526A6"/>
    <w:rsid w:val="77FC3849"/>
    <w:rsid w:val="77FC724F"/>
    <w:rsid w:val="780103C1"/>
    <w:rsid w:val="780501C5"/>
    <w:rsid w:val="78090B8F"/>
    <w:rsid w:val="780F4588"/>
    <w:rsid w:val="781C51FB"/>
    <w:rsid w:val="781D3556"/>
    <w:rsid w:val="782A7918"/>
    <w:rsid w:val="782F507F"/>
    <w:rsid w:val="78391850"/>
    <w:rsid w:val="7842472A"/>
    <w:rsid w:val="784277C4"/>
    <w:rsid w:val="784529A4"/>
    <w:rsid w:val="784A620C"/>
    <w:rsid w:val="784B778C"/>
    <w:rsid w:val="7856093A"/>
    <w:rsid w:val="7859644F"/>
    <w:rsid w:val="78635159"/>
    <w:rsid w:val="78647517"/>
    <w:rsid w:val="786C3F3B"/>
    <w:rsid w:val="786E3308"/>
    <w:rsid w:val="786F6357"/>
    <w:rsid w:val="7873071F"/>
    <w:rsid w:val="7876591C"/>
    <w:rsid w:val="787A50A2"/>
    <w:rsid w:val="78857244"/>
    <w:rsid w:val="78931549"/>
    <w:rsid w:val="78A07BDA"/>
    <w:rsid w:val="78A307BD"/>
    <w:rsid w:val="78AB0354"/>
    <w:rsid w:val="78AF42C1"/>
    <w:rsid w:val="78BC74A4"/>
    <w:rsid w:val="78C80EDF"/>
    <w:rsid w:val="78D942EC"/>
    <w:rsid w:val="78FB6E19"/>
    <w:rsid w:val="79063F5C"/>
    <w:rsid w:val="790F0B16"/>
    <w:rsid w:val="791258F3"/>
    <w:rsid w:val="79273DEA"/>
    <w:rsid w:val="793F5B99"/>
    <w:rsid w:val="79417355"/>
    <w:rsid w:val="794D4867"/>
    <w:rsid w:val="794E3ADA"/>
    <w:rsid w:val="795A422D"/>
    <w:rsid w:val="795D01D2"/>
    <w:rsid w:val="79632206"/>
    <w:rsid w:val="796C5D0E"/>
    <w:rsid w:val="796E7CD8"/>
    <w:rsid w:val="7975259B"/>
    <w:rsid w:val="797543CC"/>
    <w:rsid w:val="797975E0"/>
    <w:rsid w:val="798814DC"/>
    <w:rsid w:val="799113F5"/>
    <w:rsid w:val="79995DEE"/>
    <w:rsid w:val="799D05BD"/>
    <w:rsid w:val="79A72E4B"/>
    <w:rsid w:val="79AE34D0"/>
    <w:rsid w:val="79B54D83"/>
    <w:rsid w:val="79B96839"/>
    <w:rsid w:val="79BD2A0E"/>
    <w:rsid w:val="79C36276"/>
    <w:rsid w:val="79C525FE"/>
    <w:rsid w:val="79DD555E"/>
    <w:rsid w:val="79E07405"/>
    <w:rsid w:val="79E12638"/>
    <w:rsid w:val="79E2150A"/>
    <w:rsid w:val="79F73C00"/>
    <w:rsid w:val="79FF4C1E"/>
    <w:rsid w:val="7A0422C1"/>
    <w:rsid w:val="7A046CA8"/>
    <w:rsid w:val="7A0F14BB"/>
    <w:rsid w:val="7A210F69"/>
    <w:rsid w:val="7A275EDC"/>
    <w:rsid w:val="7A37369C"/>
    <w:rsid w:val="7A3C1B84"/>
    <w:rsid w:val="7A43447D"/>
    <w:rsid w:val="7A446EC2"/>
    <w:rsid w:val="7A45049D"/>
    <w:rsid w:val="7A48494A"/>
    <w:rsid w:val="7A501BE3"/>
    <w:rsid w:val="7A507565"/>
    <w:rsid w:val="7A52393A"/>
    <w:rsid w:val="7A595073"/>
    <w:rsid w:val="7A631B0F"/>
    <w:rsid w:val="7A636B0E"/>
    <w:rsid w:val="7A64559D"/>
    <w:rsid w:val="7A65732D"/>
    <w:rsid w:val="7A684727"/>
    <w:rsid w:val="7A6A0A25"/>
    <w:rsid w:val="7A6F3B8C"/>
    <w:rsid w:val="7A75390A"/>
    <w:rsid w:val="7A7B6B83"/>
    <w:rsid w:val="7A872310"/>
    <w:rsid w:val="7A8C2A1A"/>
    <w:rsid w:val="7A8D01CA"/>
    <w:rsid w:val="7A990D85"/>
    <w:rsid w:val="7A9F64A0"/>
    <w:rsid w:val="7AAE6DDD"/>
    <w:rsid w:val="7AB931D5"/>
    <w:rsid w:val="7AB97212"/>
    <w:rsid w:val="7AC457E3"/>
    <w:rsid w:val="7AC769AB"/>
    <w:rsid w:val="7ACB2206"/>
    <w:rsid w:val="7AD53E01"/>
    <w:rsid w:val="7AE00762"/>
    <w:rsid w:val="7AF05192"/>
    <w:rsid w:val="7AFD2755"/>
    <w:rsid w:val="7B004C67"/>
    <w:rsid w:val="7B0D680E"/>
    <w:rsid w:val="7B18614D"/>
    <w:rsid w:val="7B1B5E98"/>
    <w:rsid w:val="7B1D254B"/>
    <w:rsid w:val="7B270A53"/>
    <w:rsid w:val="7B275503"/>
    <w:rsid w:val="7B42651B"/>
    <w:rsid w:val="7B4A301E"/>
    <w:rsid w:val="7B550571"/>
    <w:rsid w:val="7B5F74AA"/>
    <w:rsid w:val="7B690757"/>
    <w:rsid w:val="7B7E3E42"/>
    <w:rsid w:val="7B87407B"/>
    <w:rsid w:val="7B933A26"/>
    <w:rsid w:val="7B9B38C2"/>
    <w:rsid w:val="7B9D5C41"/>
    <w:rsid w:val="7BA155A7"/>
    <w:rsid w:val="7BA47E64"/>
    <w:rsid w:val="7BAE2BFB"/>
    <w:rsid w:val="7BB37B6D"/>
    <w:rsid w:val="7BB43953"/>
    <w:rsid w:val="7BB84911"/>
    <w:rsid w:val="7BBA3C40"/>
    <w:rsid w:val="7BC83FE4"/>
    <w:rsid w:val="7BCA3710"/>
    <w:rsid w:val="7BCE4A5E"/>
    <w:rsid w:val="7BCE4F02"/>
    <w:rsid w:val="7BCE614C"/>
    <w:rsid w:val="7BDA02FF"/>
    <w:rsid w:val="7BDA3403"/>
    <w:rsid w:val="7BDC73E5"/>
    <w:rsid w:val="7BE11F63"/>
    <w:rsid w:val="7BE337EC"/>
    <w:rsid w:val="7BF56441"/>
    <w:rsid w:val="7BF74E7D"/>
    <w:rsid w:val="7BF81ADB"/>
    <w:rsid w:val="7BFE5940"/>
    <w:rsid w:val="7C076305"/>
    <w:rsid w:val="7C1032C9"/>
    <w:rsid w:val="7C2D79D7"/>
    <w:rsid w:val="7C334AE0"/>
    <w:rsid w:val="7C344F24"/>
    <w:rsid w:val="7C364237"/>
    <w:rsid w:val="7C3B6127"/>
    <w:rsid w:val="7C437885"/>
    <w:rsid w:val="7C4B5318"/>
    <w:rsid w:val="7C5244E1"/>
    <w:rsid w:val="7C58394A"/>
    <w:rsid w:val="7C615D82"/>
    <w:rsid w:val="7C6B5498"/>
    <w:rsid w:val="7C6C3967"/>
    <w:rsid w:val="7C887A04"/>
    <w:rsid w:val="7C8C6AB1"/>
    <w:rsid w:val="7C926498"/>
    <w:rsid w:val="7C9743B5"/>
    <w:rsid w:val="7CA103C5"/>
    <w:rsid w:val="7CAD0B17"/>
    <w:rsid w:val="7CB10879"/>
    <w:rsid w:val="7CB2612E"/>
    <w:rsid w:val="7CB9570E"/>
    <w:rsid w:val="7CC3434F"/>
    <w:rsid w:val="7CC57B2F"/>
    <w:rsid w:val="7CC9350F"/>
    <w:rsid w:val="7CCB4E00"/>
    <w:rsid w:val="7CCD740C"/>
    <w:rsid w:val="7CD460A4"/>
    <w:rsid w:val="7CE02C9B"/>
    <w:rsid w:val="7CEB51B3"/>
    <w:rsid w:val="7CFE13CF"/>
    <w:rsid w:val="7D004DD7"/>
    <w:rsid w:val="7D035681"/>
    <w:rsid w:val="7D165977"/>
    <w:rsid w:val="7D204D6F"/>
    <w:rsid w:val="7D2708CA"/>
    <w:rsid w:val="7D2B70C2"/>
    <w:rsid w:val="7D2F389F"/>
    <w:rsid w:val="7D3B5203"/>
    <w:rsid w:val="7D3E6A2D"/>
    <w:rsid w:val="7D451740"/>
    <w:rsid w:val="7D4A5812"/>
    <w:rsid w:val="7D511F69"/>
    <w:rsid w:val="7D584F27"/>
    <w:rsid w:val="7D5C1067"/>
    <w:rsid w:val="7D623829"/>
    <w:rsid w:val="7D697134"/>
    <w:rsid w:val="7D705C9F"/>
    <w:rsid w:val="7D706944"/>
    <w:rsid w:val="7D800FE6"/>
    <w:rsid w:val="7D823D52"/>
    <w:rsid w:val="7D8F646F"/>
    <w:rsid w:val="7DA32B5C"/>
    <w:rsid w:val="7DC51E91"/>
    <w:rsid w:val="7DC9675A"/>
    <w:rsid w:val="7DCC657A"/>
    <w:rsid w:val="7DCC76C3"/>
    <w:rsid w:val="7DD520D4"/>
    <w:rsid w:val="7DDA465F"/>
    <w:rsid w:val="7DDE6E38"/>
    <w:rsid w:val="7DEB41A6"/>
    <w:rsid w:val="7DF079AB"/>
    <w:rsid w:val="7DF6029C"/>
    <w:rsid w:val="7E255A1B"/>
    <w:rsid w:val="7E31502E"/>
    <w:rsid w:val="7E330C50"/>
    <w:rsid w:val="7E337317"/>
    <w:rsid w:val="7E3674B6"/>
    <w:rsid w:val="7E394D59"/>
    <w:rsid w:val="7E3A2DB6"/>
    <w:rsid w:val="7E430A17"/>
    <w:rsid w:val="7E4432CA"/>
    <w:rsid w:val="7E4B05E8"/>
    <w:rsid w:val="7E520667"/>
    <w:rsid w:val="7E5318B6"/>
    <w:rsid w:val="7E57754D"/>
    <w:rsid w:val="7E6028D7"/>
    <w:rsid w:val="7E6E7587"/>
    <w:rsid w:val="7E785296"/>
    <w:rsid w:val="7E7E35F7"/>
    <w:rsid w:val="7E7F629A"/>
    <w:rsid w:val="7E810C6C"/>
    <w:rsid w:val="7E837D82"/>
    <w:rsid w:val="7E85560B"/>
    <w:rsid w:val="7E937DE0"/>
    <w:rsid w:val="7E965D7C"/>
    <w:rsid w:val="7EB95A74"/>
    <w:rsid w:val="7ED20D09"/>
    <w:rsid w:val="7ED542EB"/>
    <w:rsid w:val="7EDB5B40"/>
    <w:rsid w:val="7EDD4D8B"/>
    <w:rsid w:val="7EE54876"/>
    <w:rsid w:val="7EE822DB"/>
    <w:rsid w:val="7EED5B43"/>
    <w:rsid w:val="7EEE3DBE"/>
    <w:rsid w:val="7EEF090F"/>
    <w:rsid w:val="7EEF4135"/>
    <w:rsid w:val="7EF70770"/>
    <w:rsid w:val="7F003B84"/>
    <w:rsid w:val="7F0221E5"/>
    <w:rsid w:val="7F123F75"/>
    <w:rsid w:val="7F183085"/>
    <w:rsid w:val="7F1C738E"/>
    <w:rsid w:val="7F1E3A75"/>
    <w:rsid w:val="7F2E5934"/>
    <w:rsid w:val="7F3E200E"/>
    <w:rsid w:val="7F452087"/>
    <w:rsid w:val="7F4C6B20"/>
    <w:rsid w:val="7F54171E"/>
    <w:rsid w:val="7F5C550A"/>
    <w:rsid w:val="7F6B4D0B"/>
    <w:rsid w:val="7F78666D"/>
    <w:rsid w:val="7F9873CA"/>
    <w:rsid w:val="7FA51F7A"/>
    <w:rsid w:val="7FAE7080"/>
    <w:rsid w:val="7FB77FA8"/>
    <w:rsid w:val="7FC02065"/>
    <w:rsid w:val="7FC84D90"/>
    <w:rsid w:val="7FD8191E"/>
    <w:rsid w:val="7FD85EAB"/>
    <w:rsid w:val="7FDD7966"/>
    <w:rsid w:val="7FDE12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spacing w:before="39"/>
      <w:outlineLvl w:val="0"/>
    </w:pPr>
    <w:rPr>
      <w:b/>
      <w:bCs/>
      <w:sz w:val="44"/>
      <w:szCs w:val="44"/>
    </w:rPr>
  </w:style>
  <w:style w:type="paragraph" w:styleId="3">
    <w:name w:val="heading 2"/>
    <w:basedOn w:val="1"/>
    <w:next w:val="1"/>
    <w:qFormat/>
    <w:uiPriority w:val="1"/>
    <w:pPr>
      <w:ind w:left="639" w:hanging="399"/>
      <w:outlineLvl w:val="1"/>
    </w:pPr>
    <w:rPr>
      <w:rFonts w:ascii="黑体" w:hAnsi="黑体" w:eastAsia="黑体" w:cs="黑体"/>
      <w:b/>
      <w:bCs/>
      <w:sz w:val="32"/>
      <w:szCs w:val="32"/>
    </w:rPr>
  </w:style>
  <w:style w:type="paragraph" w:styleId="4">
    <w:name w:val="heading 3"/>
    <w:basedOn w:val="1"/>
    <w:next w:val="1"/>
    <w:qFormat/>
    <w:uiPriority w:val="1"/>
    <w:pPr>
      <w:ind w:left="866" w:hanging="490"/>
      <w:outlineLvl w:val="2"/>
    </w:pPr>
    <w:rPr>
      <w:rFonts w:ascii="黑体" w:hAnsi="黑体" w:eastAsia="黑体" w:cs="黑体"/>
      <w:sz w:val="28"/>
      <w:szCs w:val="28"/>
    </w:rPr>
  </w:style>
  <w:style w:type="paragraph" w:styleId="5">
    <w:name w:val="heading 4"/>
    <w:basedOn w:val="1"/>
    <w:next w:val="1"/>
    <w:qFormat/>
    <w:uiPriority w:val="1"/>
    <w:pPr>
      <w:ind w:left="239" w:right="699" w:firstLine="480"/>
      <w:jc w:val="both"/>
      <w:outlineLvl w:val="3"/>
    </w:pPr>
    <w:rPr>
      <w:sz w:val="24"/>
      <w:szCs w:val="24"/>
    </w:rPr>
  </w:style>
  <w:style w:type="paragraph" w:styleId="6">
    <w:name w:val="heading 5"/>
    <w:basedOn w:val="1"/>
    <w:next w:val="1"/>
    <w:qFormat/>
    <w:uiPriority w:val="1"/>
    <w:pPr>
      <w:ind w:left="1184" w:hanging="524"/>
      <w:outlineLvl w:val="4"/>
    </w:pPr>
    <w:rPr>
      <w:b/>
      <w:bCs/>
      <w:sz w:val="21"/>
      <w:szCs w:val="21"/>
    </w:rPr>
  </w:style>
  <w:style w:type="paragraph" w:styleId="7">
    <w:name w:val="heading 6"/>
    <w:basedOn w:val="1"/>
    <w:next w:val="1"/>
    <w:qFormat/>
    <w:uiPriority w:val="1"/>
    <w:pPr>
      <w:spacing w:before="63"/>
      <w:ind w:left="1142"/>
      <w:outlineLvl w:val="5"/>
    </w:pPr>
    <w:rPr>
      <w:b/>
      <w:bCs/>
      <w:sz w:val="27"/>
      <w:szCs w:val="27"/>
    </w:rPr>
  </w:style>
  <w:style w:type="paragraph" w:styleId="8">
    <w:name w:val="heading 7"/>
    <w:basedOn w:val="1"/>
    <w:next w:val="1"/>
    <w:qFormat/>
    <w:uiPriority w:val="0"/>
    <w:pPr>
      <w:keepNext/>
      <w:keepLines/>
      <w:spacing w:before="240" w:after="64" w:line="320" w:lineRule="auto"/>
      <w:outlineLvl w:val="6"/>
    </w:pPr>
    <w:rPr>
      <w:b/>
      <w:bCs/>
      <w:sz w:val="24"/>
    </w:rPr>
  </w:style>
  <w:style w:type="paragraph" w:styleId="9">
    <w:name w:val="heading 9"/>
    <w:basedOn w:val="1"/>
    <w:next w:val="1"/>
    <w:semiHidden/>
    <w:unhideWhenUsed/>
    <w:qFormat/>
    <w:uiPriority w:val="0"/>
    <w:pPr>
      <w:keepNext/>
      <w:keepLines/>
      <w:spacing w:before="240" w:after="64" w:line="317" w:lineRule="auto"/>
      <w:outlineLvl w:val="8"/>
    </w:pPr>
    <w:rPr>
      <w:rFonts w:ascii="Arial" w:hAnsi="Arial" w:eastAsia="黑体"/>
      <w:sz w:val="21"/>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0">
    <w:name w:val="toa heading"/>
    <w:basedOn w:val="1"/>
    <w:next w:val="1"/>
    <w:qFormat/>
    <w:uiPriority w:val="0"/>
    <w:pPr>
      <w:spacing w:before="120"/>
    </w:pPr>
    <w:rPr>
      <w:rFonts w:ascii="Cambria" w:hAnsi="Cambria"/>
      <w:color w:val="000000"/>
      <w:sz w:val="24"/>
    </w:rPr>
  </w:style>
  <w:style w:type="paragraph" w:styleId="11">
    <w:name w:val="Body Text 3"/>
    <w:basedOn w:val="1"/>
    <w:qFormat/>
    <w:uiPriority w:val="0"/>
    <w:pPr>
      <w:spacing w:after="120"/>
    </w:pPr>
    <w:rPr>
      <w:sz w:val="16"/>
      <w:szCs w:val="16"/>
    </w:rPr>
  </w:style>
  <w:style w:type="paragraph" w:styleId="12">
    <w:name w:val="Body Text"/>
    <w:basedOn w:val="1"/>
    <w:next w:val="1"/>
    <w:qFormat/>
    <w:uiPriority w:val="1"/>
    <w:rPr>
      <w:sz w:val="21"/>
      <w:szCs w:val="21"/>
    </w:rPr>
  </w:style>
  <w:style w:type="paragraph" w:styleId="13">
    <w:name w:val="Body Text Indent"/>
    <w:basedOn w:val="1"/>
    <w:qFormat/>
    <w:uiPriority w:val="0"/>
    <w:pPr>
      <w:spacing w:line="312" w:lineRule="auto"/>
      <w:ind w:firstLine="735" w:firstLineChars="245"/>
    </w:pPr>
    <w:rPr>
      <w:sz w:val="30"/>
      <w:szCs w:val="20"/>
    </w:rPr>
  </w:style>
  <w:style w:type="paragraph" w:styleId="14">
    <w:name w:val="toc 3"/>
    <w:basedOn w:val="1"/>
    <w:next w:val="1"/>
    <w:qFormat/>
    <w:uiPriority w:val="1"/>
    <w:pPr>
      <w:spacing w:before="3"/>
      <w:ind w:left="1447" w:hanging="367"/>
    </w:pPr>
    <w:rPr>
      <w:sz w:val="21"/>
      <w:szCs w:val="21"/>
    </w:rPr>
  </w:style>
  <w:style w:type="paragraph" w:styleId="15">
    <w:name w:val="Plain Text"/>
    <w:basedOn w:val="1"/>
    <w:next w:val="16"/>
    <w:qFormat/>
    <w:uiPriority w:val="0"/>
    <w:rPr>
      <w:rFonts w:ascii="宋体" w:hAnsi="Courier New"/>
      <w:szCs w:val="20"/>
    </w:rPr>
  </w:style>
  <w:style w:type="paragraph" w:styleId="16">
    <w:name w:val="footer"/>
    <w:basedOn w:val="1"/>
    <w:next w:val="17"/>
    <w:qFormat/>
    <w:uiPriority w:val="0"/>
    <w:pPr>
      <w:tabs>
        <w:tab w:val="center" w:pos="4153"/>
        <w:tab w:val="right" w:pos="8306"/>
      </w:tabs>
      <w:snapToGrid w:val="0"/>
    </w:pPr>
    <w:rPr>
      <w:sz w:val="18"/>
    </w:rPr>
  </w:style>
  <w:style w:type="paragraph" w:styleId="17">
    <w:name w:val="header"/>
    <w:basedOn w:val="1"/>
    <w:next w:val="1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8">
    <w:name w:val="toc 2"/>
    <w:basedOn w:val="1"/>
    <w:next w:val="1"/>
    <w:qFormat/>
    <w:uiPriority w:val="1"/>
    <w:pPr>
      <w:spacing w:before="3"/>
      <w:ind w:left="921"/>
    </w:pPr>
    <w:rPr>
      <w:sz w:val="21"/>
      <w:szCs w:val="21"/>
    </w:rPr>
  </w:style>
  <w:style w:type="paragraph" w:styleId="19">
    <w:name w:val="Balloon Text"/>
    <w:basedOn w:val="1"/>
    <w:link w:val="42"/>
    <w:qFormat/>
    <w:uiPriority w:val="0"/>
    <w:rPr>
      <w:sz w:val="18"/>
      <w:szCs w:val="18"/>
    </w:rPr>
  </w:style>
  <w:style w:type="paragraph" w:styleId="20">
    <w:name w:val="envelope return"/>
    <w:basedOn w:val="1"/>
    <w:qFormat/>
    <w:uiPriority w:val="99"/>
    <w:pPr>
      <w:snapToGrid w:val="0"/>
    </w:pPr>
    <w:rPr>
      <w:rFonts w:ascii="Arial" w:hAnsi="Arial" w:cs="Arial"/>
    </w:rPr>
  </w:style>
  <w:style w:type="paragraph" w:styleId="21">
    <w:name w:val="toc 1"/>
    <w:basedOn w:val="1"/>
    <w:next w:val="1"/>
    <w:qFormat/>
    <w:uiPriority w:val="1"/>
    <w:pPr>
      <w:spacing w:before="3"/>
      <w:ind w:left="240"/>
    </w:pPr>
    <w:rPr>
      <w:sz w:val="21"/>
      <w:szCs w:val="21"/>
    </w:rPr>
  </w:style>
  <w:style w:type="paragraph" w:styleId="22">
    <w:name w:val="Body Text 2"/>
    <w:basedOn w:val="1"/>
    <w:next w:val="15"/>
    <w:qFormat/>
    <w:uiPriority w:val="0"/>
    <w:rPr>
      <w:rFonts w:eastAsia="仿宋_GB2312"/>
      <w:sz w:val="24"/>
    </w:rPr>
  </w:style>
  <w:style w:type="paragraph" w:styleId="23">
    <w:name w:val="HTML Preformatted"/>
    <w:basedOn w:val="1"/>
    <w:qFormat/>
    <w:uiPriority w:val="0"/>
    <w:rPr>
      <w:rFonts w:ascii="Courier New" w:hAnsi="Courier New"/>
      <w:sz w:val="20"/>
    </w:rPr>
  </w:style>
  <w:style w:type="paragraph" w:styleId="24">
    <w:name w:val="Normal (Web)"/>
    <w:basedOn w:val="1"/>
    <w:next w:val="22"/>
    <w:qFormat/>
    <w:uiPriority w:val="0"/>
    <w:pPr>
      <w:spacing w:beforeAutospacing="1" w:afterAutospacing="1"/>
    </w:pPr>
    <w:rPr>
      <w:rFonts w:cs="Times New Roman"/>
      <w:sz w:val="24"/>
      <w:lang w:val="en-US" w:bidi="ar-SA"/>
    </w:rPr>
  </w:style>
  <w:style w:type="paragraph" w:styleId="25">
    <w:name w:val="Body Text First Indent"/>
    <w:basedOn w:val="12"/>
    <w:next w:val="26"/>
    <w:qFormat/>
    <w:uiPriority w:val="0"/>
    <w:pPr>
      <w:ind w:firstLine="420" w:firstLineChars="100"/>
    </w:pPr>
  </w:style>
  <w:style w:type="paragraph" w:styleId="26">
    <w:name w:val="Body Text First Indent 2"/>
    <w:basedOn w:val="13"/>
    <w:qFormat/>
    <w:uiPriority w:val="0"/>
    <w:pPr>
      <w:spacing w:after="120" w:line="240" w:lineRule="auto"/>
      <w:ind w:left="420" w:leftChars="200" w:firstLine="420" w:firstLineChars="200"/>
    </w:pPr>
    <w:rPr>
      <w:rFonts w:ascii="Times New Roman" w:hAnsi="Times New Roman"/>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0"/>
    <w:rPr>
      <w:b/>
    </w:rPr>
  </w:style>
  <w:style w:type="character" w:styleId="31">
    <w:name w:val="FollowedHyperlink"/>
    <w:basedOn w:val="29"/>
    <w:qFormat/>
    <w:uiPriority w:val="0"/>
    <w:rPr>
      <w:color w:val="333333"/>
      <w:sz w:val="18"/>
      <w:szCs w:val="18"/>
      <w:u w:val="none"/>
    </w:rPr>
  </w:style>
  <w:style w:type="character" w:styleId="32">
    <w:name w:val="Hyperlink"/>
    <w:basedOn w:val="29"/>
    <w:qFormat/>
    <w:uiPriority w:val="0"/>
    <w:rPr>
      <w:color w:val="333333"/>
      <w:sz w:val="18"/>
      <w:szCs w:val="18"/>
      <w:u w:val="none"/>
    </w:rPr>
  </w:style>
  <w:style w:type="paragraph" w:customStyle="1" w:styleId="33">
    <w:name w:val="Default"/>
    <w:qFormat/>
    <w:uiPriority w:val="0"/>
    <w:pPr>
      <w:widowControl w:val="0"/>
      <w:autoSpaceDE w:val="0"/>
      <w:autoSpaceDN w:val="0"/>
      <w:adjustRightInd w:val="0"/>
    </w:pPr>
    <w:rPr>
      <w:rFonts w:ascii="宋体" w:hAnsi="Calibri" w:eastAsia="微软雅黑" w:cs="Times New Roman"/>
      <w:color w:val="000000"/>
      <w:sz w:val="24"/>
      <w:szCs w:val="24"/>
      <w:lang w:val="en-US" w:eastAsia="zh-CN" w:bidi="ar-SA"/>
    </w:rPr>
  </w:style>
  <w:style w:type="paragraph" w:customStyle="1" w:styleId="34">
    <w:name w:val="大标题"/>
    <w:basedOn w:val="1"/>
    <w:next w:val="26"/>
    <w:qFormat/>
    <w:uiPriority w:val="0"/>
    <w:pPr>
      <w:jc w:val="center"/>
    </w:pPr>
    <w:rPr>
      <w:rFonts w:ascii="Arial" w:hAnsi="Arial"/>
      <w:b/>
      <w:sz w:val="28"/>
      <w:szCs w:val="24"/>
    </w:rPr>
  </w:style>
  <w:style w:type="paragraph" w:customStyle="1" w:styleId="35">
    <w:name w:val="无间隔1"/>
    <w:basedOn w:val="1"/>
    <w:qFormat/>
    <w:uiPriority w:val="1"/>
    <w:pPr>
      <w:spacing w:line="400" w:lineRule="exact"/>
    </w:pPr>
    <w:rPr>
      <w:sz w:val="24"/>
    </w:rPr>
  </w:style>
  <w:style w:type="table" w:customStyle="1" w:styleId="36">
    <w:name w:val="Table Normal"/>
    <w:semiHidden/>
    <w:unhideWhenUsed/>
    <w:qFormat/>
    <w:uiPriority w:val="2"/>
    <w:tblPr>
      <w:tblCellMar>
        <w:top w:w="0" w:type="dxa"/>
        <w:left w:w="0" w:type="dxa"/>
        <w:bottom w:w="0" w:type="dxa"/>
        <w:right w:w="0" w:type="dxa"/>
      </w:tblCellMar>
    </w:tblPr>
  </w:style>
  <w:style w:type="paragraph" w:styleId="37">
    <w:name w:val="List Paragraph"/>
    <w:basedOn w:val="1"/>
    <w:qFormat/>
    <w:uiPriority w:val="1"/>
    <w:pPr>
      <w:ind w:left="240" w:firstLine="420"/>
    </w:pPr>
  </w:style>
  <w:style w:type="paragraph" w:customStyle="1" w:styleId="38">
    <w:name w:val="Table Paragraph"/>
    <w:basedOn w:val="1"/>
    <w:qFormat/>
    <w:uiPriority w:val="1"/>
  </w:style>
  <w:style w:type="paragraph" w:customStyle="1" w:styleId="39">
    <w:name w:val="p0"/>
    <w:basedOn w:val="1"/>
    <w:qFormat/>
    <w:uiPriority w:val="0"/>
    <w:pPr>
      <w:widowControl/>
    </w:pPr>
    <w:rPr>
      <w:bCs/>
      <w:sz w:val="24"/>
      <w:szCs w:val="21"/>
    </w:rPr>
  </w:style>
  <w:style w:type="paragraph" w:customStyle="1" w:styleId="40">
    <w:name w:val="WPSOffice手动目录 1"/>
    <w:qFormat/>
    <w:uiPriority w:val="0"/>
    <w:rPr>
      <w:rFonts w:ascii="Times New Roman" w:hAnsi="Times New Roman" w:eastAsia="宋体" w:cs="Times New Roman"/>
      <w:lang w:val="en-US" w:eastAsia="zh-CN" w:bidi="ar-SA"/>
    </w:rPr>
  </w:style>
  <w:style w:type="paragraph" w:customStyle="1" w:styleId="41">
    <w:name w:val="列出段落2"/>
    <w:basedOn w:val="1"/>
    <w:qFormat/>
    <w:uiPriority w:val="99"/>
    <w:pPr>
      <w:ind w:firstLine="420" w:firstLineChars="200"/>
    </w:pPr>
  </w:style>
  <w:style w:type="character" w:customStyle="1" w:styleId="42">
    <w:name w:val="批注框文本 Char"/>
    <w:basedOn w:val="29"/>
    <w:link w:val="19"/>
    <w:qFormat/>
    <w:uiPriority w:val="0"/>
    <w:rPr>
      <w:rFonts w:ascii="宋体" w:hAnsi="宋体" w:cs="宋体"/>
      <w:sz w:val="18"/>
      <w:szCs w:val="18"/>
      <w:lang w:val="zh-CN" w:bidi="zh-CN"/>
    </w:rPr>
  </w:style>
  <w:style w:type="paragraph" w:customStyle="1" w:styleId="43">
    <w:name w:val="样式 标题 3 + (中文) 黑体 小四 非加粗 段前: 7.8 磅 段后: 0 磅 行距: 固定值 20 磅"/>
    <w:basedOn w:val="4"/>
    <w:next w:val="1"/>
    <w:qFormat/>
    <w:uiPriority w:val="0"/>
    <w:pPr>
      <w:spacing w:line="400" w:lineRule="exact"/>
    </w:pPr>
    <w:rPr>
      <w:rFonts w:cs="宋体"/>
      <w:sz w:val="24"/>
      <w:szCs w:val="20"/>
    </w:rPr>
  </w:style>
  <w:style w:type="paragraph" w:customStyle="1" w:styleId="44">
    <w:name w:val="正文格式"/>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paragraph" w:customStyle="1" w:styleId="4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93</Pages>
  <Words>21405</Words>
  <Characters>22932</Characters>
  <Lines>355</Lines>
  <Paragraphs>100</Paragraphs>
  <TotalTime>45</TotalTime>
  <ScaleCrop>false</ScaleCrop>
  <LinksUpToDate>false</LinksUpToDate>
  <CharactersWithSpaces>23780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2018-03-25T08:46:00Z</dcterms:created>
  <dc:creator>lenovo</dc:creator>
  <cp:lastModifiedBy>WPS_1649818741</cp:lastModifiedBy>
  <cp:lastPrinted>2023-04-21T08:14:00Z</cp:lastPrinted>
  <dcterms:modified xsi:type="dcterms:W3CDTF">2026-08-13T12:02:48Z</dcterms:modified>
  <dc:title>&lt;433A5C55736572735C6C656E6F766F5C4465736B746F705CB8BDBCFE342DB1EAD7BCC9E8BCC6D5D0B1EACEC4BCFEB3F6B0E62E777073&gt;</dc:title>
  <cp:revision>209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2017-10-24T00:00:00Z</vt:filetime>
  </property>
  <property fmtid="{D5CDD505-2E9C-101B-9397-08002B2CF9AE}" pid="3" name="Creator">
    <vt:lpwstr>PScript5.dll Version 5.2.2</vt:lpwstr>
  </property>
  <property fmtid="{D5CDD505-2E9C-101B-9397-08002B2CF9AE}" pid="4" name="LastSaved">
    <vt:filetime>2018-03-25T00:00:00Z</vt:filetime>
  </property>
  <property fmtid="{D5CDD505-2E9C-101B-9397-08002B2CF9AE}" pid="5" name="KSOProductBuildVer">
    <vt:lpwstr>2052-12.1.0.26895</vt:lpwstr>
  </property>
  <property fmtid="{D5CDD505-2E9C-101B-9397-08002B2CF9AE}" pid="6" name="ICV">
    <vt:lpwstr>AB88801D0B4C48B4BECEC33047730E02</vt:lpwstr>
  </property>
  <property fmtid="{D5CDD505-2E9C-101B-9397-08002B2CF9AE}" pid="7" name="KSOTemplateDocerSaveRecord">
    <vt:lpwstr>eyJoZGlkIjoiNTU0ZmIwYTQ3NzlmZGUxZmU3Zjk0M2IyZTNmM2IxNjAiLCJ1c2VySWQiOiIxMzYwNTIwOTgzIn0=</vt:lpwstr>
  </property>
</Properties>
</file>