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D5019">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未通过及原因</w:t>
      </w:r>
    </w:p>
    <w:p w14:paraId="46F90EE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rPr>
        <w:t>资格审查情况：磋商小组严格按照磋商文件规定的程序和方法分别对供应商进行了资格性审查，其中洛阳宇思商贸有限责任公司、山东接力机器人科技有限公司因中小企业声明函标的物填错导致磋商无效，剩余所有供应商均通过了资格性审查。</w:t>
      </w:r>
    </w:p>
    <w:p w14:paraId="5AA7CA4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lang w:val="en-US" w:eastAsia="zh-CN"/>
        </w:rPr>
        <w:t>六</w:t>
      </w:r>
      <w:r>
        <w:rPr>
          <w:rFonts w:hint="eastAsia" w:ascii="仿宋" w:hAnsi="仿宋" w:eastAsia="仿宋" w:cs="仿宋"/>
          <w:i w:val="0"/>
          <w:iCs w:val="0"/>
          <w:caps w:val="0"/>
          <w:color w:val="333333"/>
          <w:spacing w:val="0"/>
          <w:sz w:val="32"/>
          <w:szCs w:val="32"/>
          <w:shd w:val="clear" w:fill="FFFFFF"/>
        </w:rPr>
        <w:t>、供应商得分情况</w:t>
      </w:r>
    </w:p>
    <w:p w14:paraId="4137E94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1、投标单位：江西赣东钢木制品有限公司；主观因素评分(明标)：5分；客观因素评分：41分；投标报价算分：47.92分；最终得分：93.92分</w:t>
      </w:r>
    </w:p>
    <w:p w14:paraId="13FFE00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2、投标单位：浙江业远教学设备有限公司；主观因素评分(明标)：6分；客观因素评分：41分；投标报价算分：42.91分；最终得分：89.91分</w:t>
      </w:r>
    </w:p>
    <w:p w14:paraId="2ED271A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rPr>
        <w:t>3、投标单位：商丘玲稳商贸有限公司；主观因素评分(明标)：3.66分；客观因素评分：29分；投标报价算分：50分；最终得分：82.66分</w:t>
      </w:r>
    </w:p>
    <w:p w14:paraId="08EF529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E4627E"/>
    <w:multiLevelType w:val="singleLevel"/>
    <w:tmpl w:val="8CE4627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FD6732"/>
    <w:rsid w:val="3EFD6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99"/>
    <w:pPr>
      <w:ind w:left="-540" w:leftChars="-257" w:right="-334" w:rightChars="-159" w:firstLine="540" w:firstLineChars="180"/>
    </w:pPr>
    <w:rPr>
      <w:sz w:val="30"/>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2026-07-16T02:21:00Z</dcterms:created>
  <dc:creator>非鱼</dc:creator>
  <cp:lastModifiedBy>非鱼</cp:lastModifiedBy>
  <dcterms:modified xsi:type="dcterms:W3CDTF">2026-07-16T02:22:49Z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737113B1995946B7AFEEB96E96DCEE68_11</vt:lpwstr>
  </property>
  <property fmtid="{D5CDD505-2E9C-101B-9397-08002B2CF9AE}" pid="4" name="KSOTemplateDocerSaveRecord">
    <vt:lpwstr>eyJoZGlkIjoiYTEzYzRkZTBlMzQ1NjUyOTQyMGFjODQ3ZDkyZjQ5YzQiLCJ1c2VySWQiOiI2NTc1NTQ0MDgifQ==</vt:lpwstr>
  </property>
</Properties>
</file>