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146B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0" w:firstLineChars="20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供应商得分情况</w:t>
      </w:r>
    </w:p>
    <w:p w14:paraId="581C75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1、投标单位：商丘市阳光物业管理有限公司；主观因素评分：34.33分；客观因素评分：29分；投标报价算分：28.97分；最终得分：92.3分</w:t>
      </w:r>
    </w:p>
    <w:p w14:paraId="694E25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2、投标单位：河南联盛物业服务集团有限公司；主观因素评分：31.66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ab/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分；客观因素评分：29分；投标报价算分：30分；最终得分：90.66分</w:t>
      </w:r>
    </w:p>
    <w:p w14:paraId="317BE1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3、投标单位：商丘金管家物业管理有限公司；主观因素评分：29.01分；客观因素评分：29分；投标报价算分：28.84分；最终得分：86.85分</w:t>
      </w:r>
    </w:p>
    <w:p w14:paraId="5D2B6AA7">
      <w:pPr>
        <w:ind w:firstLine="640" w:firstLineChars="200"/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4、投标单位：商丘鼎强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-SA"/>
        </w:rPr>
        <w:t>物业管理有限公司；主观因素评分：28.35分；客观因素评分：29分；投标报价算分：29.05分；最终得分：86.4分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7A264A"/>
    <w:rsid w:val="0D7A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2026-08-26T08:20:00Z</dcterms:created>
  <dc:creator>非鱼</dc:creator>
  <cp:lastModifiedBy>非鱼</cp:lastModifiedBy>
  <dcterms:modified xsi:type="dcterms:W3CDTF">2026-08-26T08:20:48Z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0EB0539BB1574307880F596A205D358F_11</vt:lpwstr>
  </property>
  <property fmtid="{D5CDD505-2E9C-101B-9397-08002B2CF9AE}" pid="4" name="KSOTemplateDocerSaveRecord">
    <vt:lpwstr>eyJoZGlkIjoiYWIxMTEwNmY2ZjY4Y2M3MDRkMDIzYjIwNTU5NTY1ZDkiLCJ1c2VySWQiOiI2NTc1NTQ0MDgifQ==</vt:lpwstr>
  </property>
</Properties>
</file>