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9006D">
      <w:pPr>
        <w:jc w:val="center"/>
        <w:rPr>
          <w:rFonts w:ascii="微软雅黑" w:hAnsi="微软雅黑" w:eastAsia="微软雅黑" w:cs="微软雅黑"/>
          <w:b/>
          <w:bCs/>
          <w:color w:val="auto"/>
          <w:sz w:val="52"/>
          <w:szCs w:val="52"/>
          <w:highlight w:val="none"/>
        </w:rPr>
      </w:pPr>
      <w:r>
        <w:rPr>
          <w:rFonts w:hint="eastAsia" w:ascii="微软雅黑" w:hAnsi="微软雅黑" w:eastAsia="微软雅黑" w:cs="微软雅黑"/>
          <w:b/>
          <w:bCs/>
          <w:color w:val="auto"/>
          <w:sz w:val="52"/>
          <w:szCs w:val="52"/>
          <w:highlight w:val="none"/>
        </w:rPr>
        <w:t>荥阳市自然资源和规划局</w:t>
      </w:r>
    </w:p>
    <w:p w14:paraId="7AB20D7E">
      <w:pPr>
        <w:jc w:val="center"/>
        <w:rPr>
          <w:rFonts w:hint="eastAsia" w:ascii="微软雅黑" w:hAnsi="微软雅黑" w:eastAsia="微软雅黑" w:cs="微软雅黑"/>
          <w:b/>
          <w:bCs/>
          <w:color w:val="auto"/>
          <w:sz w:val="52"/>
          <w:szCs w:val="52"/>
          <w:highlight w:val="none"/>
          <w:lang w:eastAsia="zh-CN"/>
        </w:rPr>
      </w:pPr>
      <w:r>
        <w:rPr>
          <w:rFonts w:hint="eastAsia" w:ascii="微软雅黑" w:hAnsi="微软雅黑" w:eastAsia="微软雅黑" w:cs="微软雅黑"/>
          <w:b/>
          <w:bCs/>
          <w:color w:val="auto"/>
          <w:sz w:val="52"/>
          <w:szCs w:val="52"/>
          <w:highlight w:val="none"/>
        </w:rPr>
        <w:t>2026年度荥阳市国土空间总体规划动态调整完善方案项目</w:t>
      </w:r>
      <w:r>
        <w:rPr>
          <w:rFonts w:hint="eastAsia" w:ascii="微软雅黑" w:hAnsi="微软雅黑" w:eastAsia="微软雅黑" w:cs="微软雅黑"/>
          <w:b/>
          <w:bCs/>
          <w:color w:val="auto"/>
          <w:sz w:val="52"/>
          <w:szCs w:val="52"/>
          <w:highlight w:val="none"/>
          <w:lang w:eastAsia="zh-CN"/>
        </w:rPr>
        <w:t>（二次）</w:t>
      </w:r>
    </w:p>
    <w:p w14:paraId="1BBC87F2">
      <w:pPr>
        <w:pStyle w:val="23"/>
        <w:ind w:left="420" w:firstLine="420"/>
        <w:rPr>
          <w:color w:val="auto"/>
          <w:highlight w:val="none"/>
        </w:rPr>
      </w:pPr>
    </w:p>
    <w:p w14:paraId="2AB81B6B">
      <w:pPr>
        <w:pStyle w:val="44"/>
        <w:ind w:firstLine="420"/>
        <w:rPr>
          <w:color w:val="auto"/>
          <w:highlight w:val="none"/>
        </w:rPr>
      </w:pPr>
    </w:p>
    <w:p w14:paraId="74009CCD">
      <w:pPr>
        <w:jc w:val="center"/>
        <w:rPr>
          <w:rFonts w:ascii="宋体" w:hAnsi="宋体" w:cs="宋体"/>
          <w:b/>
          <w:bCs/>
          <w:color w:val="auto"/>
          <w:sz w:val="52"/>
          <w:szCs w:val="52"/>
          <w:highlight w:val="none"/>
        </w:rPr>
      </w:pPr>
      <w:r>
        <w:rPr>
          <w:rFonts w:hint="eastAsia" w:ascii="宋体" w:hAnsi="宋体" w:cs="宋体"/>
          <w:b/>
          <w:bCs/>
          <w:color w:val="auto"/>
          <w:sz w:val="84"/>
          <w:szCs w:val="84"/>
          <w:highlight w:val="none"/>
        </w:rPr>
        <w:t>竞争性磋商文件</w:t>
      </w:r>
    </w:p>
    <w:p w14:paraId="568C68DF">
      <w:pPr>
        <w:jc w:val="center"/>
        <w:rPr>
          <w:rFonts w:ascii="微软雅黑" w:hAnsi="微软雅黑" w:eastAsia="微软雅黑" w:cs="微软雅黑"/>
          <w:b/>
          <w:color w:val="auto"/>
          <w:sz w:val="24"/>
          <w:highlight w:val="none"/>
        </w:rPr>
      </w:pPr>
    </w:p>
    <w:p w14:paraId="63A00B5A">
      <w:pPr>
        <w:pStyle w:val="9"/>
        <w:rPr>
          <w:rFonts w:ascii="微软雅黑" w:hAnsi="微软雅黑" w:eastAsia="微软雅黑" w:cs="微软雅黑"/>
          <w:color w:val="auto"/>
          <w:highlight w:val="none"/>
        </w:rPr>
      </w:pPr>
    </w:p>
    <w:p w14:paraId="0DE05B75">
      <w:pPr>
        <w:pStyle w:val="9"/>
        <w:rPr>
          <w:rFonts w:ascii="微软雅黑" w:hAnsi="微软雅黑" w:eastAsia="微软雅黑" w:cs="微软雅黑"/>
          <w:color w:val="auto"/>
          <w:highlight w:val="none"/>
        </w:rPr>
      </w:pPr>
    </w:p>
    <w:p w14:paraId="73215039">
      <w:pPr>
        <w:ind w:firstLine="2641" w:firstLineChars="1100"/>
        <w:rPr>
          <w:rFonts w:ascii="黑体" w:hAnsi="黑体" w:eastAsia="黑体" w:cs="黑体"/>
          <w:color w:val="auto"/>
          <w:sz w:val="84"/>
          <w:szCs w:val="84"/>
          <w:highlight w:val="none"/>
        </w:rPr>
      </w:pPr>
      <w:r>
        <w:rPr>
          <w:rFonts w:hint="eastAsia" w:ascii="微软雅黑" w:hAnsi="微软雅黑" w:eastAsia="微软雅黑" w:cs="微软雅黑"/>
          <w:b/>
          <w:color w:val="auto"/>
          <w:sz w:val="24"/>
          <w:highlight w:val="none"/>
        </w:rPr>
        <w:t>项目编号：荥财磋商-2026-11</w:t>
      </w:r>
    </w:p>
    <w:p w14:paraId="600F87CD">
      <w:pPr>
        <w:pStyle w:val="22"/>
        <w:spacing w:line="240" w:lineRule="auto"/>
        <w:ind w:firstLine="0" w:firstLineChars="0"/>
        <w:rPr>
          <w:rFonts w:ascii="黑体" w:hAnsi="黑体" w:eastAsia="黑体" w:cs="黑体"/>
          <w:color w:val="auto"/>
          <w:sz w:val="84"/>
          <w:szCs w:val="84"/>
          <w:highlight w:val="none"/>
        </w:rPr>
      </w:pPr>
      <w:r>
        <w:rPr>
          <w:rFonts w:hint="eastAsia" w:ascii="宋体" w:hAnsi="宋体" w:cs="宋体"/>
          <w:b/>
          <w:bCs/>
          <w:color w:val="auto"/>
          <w:sz w:val="30"/>
          <w:szCs w:val="30"/>
          <w:highlight w:val="none"/>
        </w:rPr>
        <w:drawing>
          <wp:anchor distT="0" distB="0" distL="114300" distR="114300" simplePos="0" relativeHeight="251662336" behindDoc="0" locked="0" layoutInCell="1" allowOverlap="1">
            <wp:simplePos x="0" y="0"/>
            <wp:positionH relativeFrom="column">
              <wp:posOffset>1289685</wp:posOffset>
            </wp:positionH>
            <wp:positionV relativeFrom="paragraph">
              <wp:posOffset>385445</wp:posOffset>
            </wp:positionV>
            <wp:extent cx="2369820" cy="2369820"/>
            <wp:effectExtent l="0" t="0" r="11430" b="1143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2369820" cy="2369820"/>
                    </a:xfrm>
                    <a:prstGeom prst="rect">
                      <a:avLst/>
                    </a:prstGeom>
                    <a:noFill/>
                    <a:ln>
                      <a:noFill/>
                    </a:ln>
                  </pic:spPr>
                </pic:pic>
              </a:graphicData>
            </a:graphic>
          </wp:anchor>
        </w:drawing>
      </w:r>
      <w:r>
        <w:rPr>
          <w:rFonts w:hint="eastAsia" w:ascii="黑体" w:hAnsi="黑体" w:eastAsia="黑体" w:cs="黑体"/>
          <w:color w:val="auto"/>
          <w:sz w:val="84"/>
          <w:szCs w:val="84"/>
          <w:highlight w:val="none"/>
        </w:rPr>
        <w:t xml:space="preserve">      </w:t>
      </w:r>
    </w:p>
    <w:p w14:paraId="4ED9AF4B">
      <w:pPr>
        <w:pStyle w:val="22"/>
        <w:spacing w:line="240" w:lineRule="auto"/>
        <w:ind w:firstLine="0" w:firstLineChars="0"/>
        <w:rPr>
          <w:rFonts w:ascii="黑体" w:hAnsi="黑体" w:eastAsia="黑体" w:cs="黑体"/>
          <w:color w:val="auto"/>
          <w:sz w:val="84"/>
          <w:szCs w:val="84"/>
          <w:highlight w:val="none"/>
        </w:rPr>
      </w:pPr>
    </w:p>
    <w:p w14:paraId="1026B8B3">
      <w:pPr>
        <w:pStyle w:val="23"/>
        <w:ind w:left="0" w:leftChars="0" w:firstLine="0" w:firstLineChars="0"/>
        <w:rPr>
          <w:rFonts w:ascii="黑体" w:hAnsi="黑体" w:eastAsia="黑体" w:cs="黑体"/>
          <w:color w:val="auto"/>
          <w:sz w:val="84"/>
          <w:szCs w:val="84"/>
          <w:highlight w:val="none"/>
        </w:rPr>
      </w:pPr>
    </w:p>
    <w:p w14:paraId="38886672">
      <w:pPr>
        <w:spacing w:line="360" w:lineRule="auto"/>
        <w:ind w:firstLine="1807" w:firstLineChars="600"/>
        <w:rPr>
          <w:b/>
          <w:color w:val="auto"/>
          <w:sz w:val="30"/>
          <w:szCs w:val="30"/>
          <w:highlight w:val="none"/>
        </w:rPr>
      </w:pPr>
    </w:p>
    <w:p w14:paraId="63CEFED3">
      <w:pPr>
        <w:spacing w:line="360" w:lineRule="auto"/>
        <w:ind w:firstLine="1807" w:firstLineChars="600"/>
        <w:rPr>
          <w:b/>
          <w:color w:val="auto"/>
          <w:sz w:val="30"/>
          <w:szCs w:val="30"/>
          <w:highlight w:val="none"/>
        </w:rPr>
      </w:pPr>
    </w:p>
    <w:p w14:paraId="1712D592">
      <w:pPr>
        <w:spacing w:line="360" w:lineRule="auto"/>
        <w:ind w:firstLine="1807" w:firstLineChars="600"/>
        <w:rPr>
          <w:b/>
          <w:color w:val="auto"/>
          <w:sz w:val="30"/>
          <w:szCs w:val="30"/>
          <w:highlight w:val="none"/>
        </w:rPr>
      </w:pPr>
    </w:p>
    <w:p w14:paraId="4898119D">
      <w:pPr>
        <w:spacing w:line="360" w:lineRule="auto"/>
        <w:rPr>
          <w:b/>
          <w:color w:val="auto"/>
          <w:sz w:val="30"/>
          <w:szCs w:val="30"/>
          <w:highlight w:val="none"/>
        </w:rPr>
      </w:pPr>
    </w:p>
    <w:p w14:paraId="0CE88A22">
      <w:pPr>
        <w:spacing w:line="360" w:lineRule="auto"/>
        <w:ind w:firstLine="1807" w:firstLineChars="600"/>
        <w:rPr>
          <w:b/>
          <w:color w:val="auto"/>
          <w:sz w:val="30"/>
          <w:szCs w:val="30"/>
          <w:highlight w:val="none"/>
        </w:rPr>
      </w:pPr>
      <w:r>
        <w:rPr>
          <w:rFonts w:hint="eastAsia"/>
          <w:b/>
          <w:color w:val="auto"/>
          <w:sz w:val="30"/>
          <w:szCs w:val="30"/>
          <w:highlight w:val="none"/>
        </w:rPr>
        <w:t>采 购 人：荥阳市自然资源和规划局</w:t>
      </w:r>
    </w:p>
    <w:p w14:paraId="5007E283">
      <w:pPr>
        <w:spacing w:line="360" w:lineRule="auto"/>
        <w:ind w:firstLine="1807" w:firstLineChars="600"/>
        <w:rPr>
          <w:b/>
          <w:color w:val="auto"/>
          <w:sz w:val="30"/>
          <w:szCs w:val="30"/>
          <w:highlight w:val="none"/>
        </w:rPr>
      </w:pPr>
      <w:r>
        <w:rPr>
          <w:rFonts w:hint="eastAsia"/>
          <w:b/>
          <w:color w:val="auto"/>
          <w:sz w:val="30"/>
          <w:szCs w:val="30"/>
          <w:highlight w:val="none"/>
        </w:rPr>
        <w:t xml:space="preserve">采购代理：河南德旭项目管理有限公司 </w:t>
      </w:r>
    </w:p>
    <w:p w14:paraId="5989A337">
      <w:pPr>
        <w:spacing w:line="360" w:lineRule="auto"/>
        <w:ind w:firstLine="1807" w:firstLineChars="600"/>
        <w:rPr>
          <w:b/>
          <w:color w:val="auto"/>
          <w:sz w:val="30"/>
          <w:szCs w:val="30"/>
          <w:highlight w:val="none"/>
        </w:rPr>
      </w:pPr>
      <w:r>
        <w:rPr>
          <w:rFonts w:hint="eastAsia"/>
          <w:b/>
          <w:color w:val="auto"/>
          <w:sz w:val="30"/>
          <w:szCs w:val="30"/>
          <w:highlight w:val="none"/>
        </w:rPr>
        <w:t>编制日期：二〇二六年</w:t>
      </w:r>
      <w:r>
        <w:rPr>
          <w:rFonts w:hint="eastAsia"/>
          <w:b/>
          <w:color w:val="auto"/>
          <w:sz w:val="30"/>
          <w:szCs w:val="30"/>
          <w:highlight w:val="none"/>
          <w:lang w:eastAsia="zh-CN"/>
        </w:rPr>
        <w:t>五</w:t>
      </w:r>
      <w:r>
        <w:rPr>
          <w:rFonts w:hint="eastAsia"/>
          <w:b/>
          <w:color w:val="auto"/>
          <w:sz w:val="30"/>
          <w:szCs w:val="30"/>
          <w:highlight w:val="none"/>
        </w:rPr>
        <w:t>月</w:t>
      </w:r>
    </w:p>
    <w:p w14:paraId="104756D7">
      <w:pPr>
        <w:jc w:val="center"/>
        <w:rPr>
          <w:b/>
          <w:color w:val="auto"/>
          <w:sz w:val="30"/>
          <w:szCs w:val="30"/>
          <w:highlight w:val="none"/>
        </w:rPr>
        <w:sectPr>
          <w:headerReference r:id="rId3" w:type="default"/>
          <w:footerReference r:id="rId4" w:type="default"/>
          <w:pgSz w:w="11911" w:h="16838"/>
          <w:pgMar w:top="1440" w:right="1803" w:bottom="1440" w:left="1803" w:header="720" w:footer="720" w:gutter="0"/>
          <w:pgNumType w:start="1"/>
          <w:cols w:space="720" w:num="1"/>
        </w:sectPr>
      </w:pPr>
    </w:p>
    <w:p w14:paraId="1BDB3220">
      <w:pPr>
        <w:pStyle w:val="23"/>
        <w:ind w:left="420" w:firstLine="420"/>
        <w:rPr>
          <w:color w:val="auto"/>
          <w:highlight w:val="none"/>
        </w:rPr>
      </w:pPr>
    </w:p>
    <w:p w14:paraId="431EBC0F">
      <w:pPr>
        <w:pStyle w:val="48"/>
        <w:rPr>
          <w:b/>
          <w:color w:val="auto"/>
          <w:sz w:val="30"/>
          <w:szCs w:val="30"/>
          <w:highlight w:val="none"/>
        </w:rPr>
      </w:pPr>
    </w:p>
    <w:p w14:paraId="0D215B67">
      <w:pPr>
        <w:pStyle w:val="22"/>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14:paraId="53BC2AA0">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color w:val="auto"/>
          <w:highlight w:val="none"/>
        </w:rPr>
        <w:fldChar w:fldCharType="begin"/>
      </w:r>
      <w:r>
        <w:rPr>
          <w:color w:val="auto"/>
          <w:highlight w:val="none"/>
        </w:rPr>
        <w:instrText xml:space="preserve"> HYPERLINK \l "_Toc32079"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74BC1C68">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6F9AAB47">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"_Toc19616" </w:instrText>
      </w:r>
      <w:r>
        <w:rPr>
          <w:color w:val="auto"/>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20</w:t>
      </w:r>
      <w:r>
        <w:rPr>
          <w:color w:val="auto"/>
          <w:sz w:val="32"/>
          <w:szCs w:val="32"/>
          <w:highlight w:val="none"/>
        </w:rPr>
        <w:fldChar w:fldCharType="end"/>
      </w:r>
      <w:r>
        <w:rPr>
          <w:color w:val="auto"/>
          <w:sz w:val="32"/>
          <w:szCs w:val="32"/>
          <w:highlight w:val="none"/>
        </w:rPr>
        <w:fldChar w:fldCharType="end"/>
      </w:r>
    </w:p>
    <w:p w14:paraId="1BA9B968">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"_Toc12540" </w:instrText>
      </w:r>
      <w:r>
        <w:rPr>
          <w:color w:val="auto"/>
          <w:highlight w:val="none"/>
        </w:rPr>
        <w:fldChar w:fldCharType="separate"/>
      </w:r>
      <w:r>
        <w:rPr>
          <w:rFonts w:hint="eastAsia"/>
          <w:color w:val="auto"/>
          <w:sz w:val="32"/>
          <w:szCs w:val="32"/>
          <w:highlight w:val="none"/>
        </w:rPr>
        <w:t>第四章 项目内容及需求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93A92F0">
      <w:pPr>
        <w:pStyle w:val="16"/>
        <w:tabs>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"_Toc5092" </w:instrText>
      </w:r>
      <w:r>
        <w:rPr>
          <w:color w:val="auto"/>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29</w:t>
      </w:r>
      <w:r>
        <w:rPr>
          <w:color w:val="auto"/>
          <w:sz w:val="32"/>
          <w:szCs w:val="32"/>
          <w:highlight w:val="none"/>
        </w:rPr>
        <w:fldChar w:fldCharType="end"/>
      </w:r>
      <w:r>
        <w:rPr>
          <w:color w:val="auto"/>
          <w:sz w:val="32"/>
          <w:szCs w:val="32"/>
          <w:highlight w:val="none"/>
        </w:rPr>
        <w:fldChar w:fldCharType="end"/>
      </w:r>
    </w:p>
    <w:p w14:paraId="3723D7F5">
      <w:pPr>
        <w:pStyle w:val="16"/>
        <w:tabs>
          <w:tab w:val="right" w:pos="3200"/>
          <w:tab w:val="right" w:leader="dot" w:pos="8305"/>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"_Toc8695" </w:instrText>
      </w:r>
      <w:r>
        <w:rPr>
          <w:color w:val="auto"/>
          <w:highlight w:val="none"/>
        </w:rPr>
        <w:fldChar w:fldCharType="separate"/>
      </w:r>
      <w:r>
        <w:rPr>
          <w:rFonts w:hint="eastAsia"/>
          <w:color w:val="auto"/>
          <w:sz w:val="32"/>
          <w:szCs w:val="32"/>
          <w:highlight w:val="none"/>
        </w:rPr>
        <w:t xml:space="preserve">第六章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29</w:t>
      </w:r>
      <w:r>
        <w:rPr>
          <w:color w:val="auto"/>
          <w:sz w:val="32"/>
          <w:szCs w:val="32"/>
          <w:highlight w:val="none"/>
        </w:rPr>
        <w:fldChar w:fldCharType="end"/>
      </w:r>
      <w:r>
        <w:rPr>
          <w:color w:val="auto"/>
          <w:sz w:val="32"/>
          <w:szCs w:val="32"/>
          <w:highlight w:val="none"/>
        </w:rPr>
        <w:fldChar w:fldCharType="end"/>
      </w:r>
    </w:p>
    <w:p w14:paraId="75209284">
      <w:pPr>
        <w:spacing w:line="480" w:lineRule="auto"/>
        <w:rPr>
          <w:color w:val="auto"/>
          <w:sz w:val="32"/>
          <w:szCs w:val="32"/>
          <w:highlight w:val="none"/>
        </w:rPr>
        <w:sectPr>
          <w:footerReference r:id="rId5" w:type="default"/>
          <w:pgSz w:w="11911" w:h="16838"/>
          <w:pgMar w:top="1440" w:right="1803" w:bottom="1440" w:left="1803" w:header="720" w:footer="720" w:gutter="0"/>
          <w:pgNumType w:start="1"/>
          <w:cols w:space="720" w:num="1"/>
        </w:sectPr>
      </w:pPr>
      <w:r>
        <w:rPr>
          <w:rFonts w:hint="eastAsia"/>
          <w:color w:val="auto"/>
          <w:sz w:val="32"/>
          <w:szCs w:val="32"/>
          <w:highlight w:val="none"/>
        </w:rPr>
        <w:fldChar w:fldCharType="end"/>
      </w:r>
    </w:p>
    <w:p w14:paraId="7DA1BAD9">
      <w:pPr>
        <w:rPr>
          <w:color w:val="auto"/>
          <w:highlight w:val="none"/>
        </w:rPr>
      </w:pPr>
    </w:p>
    <w:p w14:paraId="408A226C">
      <w:pPr>
        <w:pStyle w:val="2"/>
        <w:rPr>
          <w:b/>
          <w:bCs/>
          <w:color w:val="auto"/>
          <w:highlight w:val="none"/>
        </w:rPr>
      </w:pPr>
      <w:bookmarkStart w:id="0" w:name="_Toc4807"/>
      <w:bookmarkStart w:id="1" w:name="_Toc32079"/>
      <w:bookmarkStart w:id="2" w:name="_Toc30284"/>
      <w:r>
        <w:rPr>
          <w:rFonts w:hint="eastAsia"/>
          <w:b/>
          <w:bCs/>
          <w:color w:val="auto"/>
          <w:highlight w:val="none"/>
        </w:rPr>
        <w:t>第一章 竞争性磋商公告</w:t>
      </w:r>
      <w:bookmarkEnd w:id="0"/>
      <w:bookmarkEnd w:id="1"/>
      <w:bookmarkEnd w:id="2"/>
    </w:p>
    <w:p w14:paraId="0E57725D">
      <w:pPr>
        <w:spacing w:line="360" w:lineRule="auto"/>
        <w:jc w:val="center"/>
        <w:rPr>
          <w:rFonts w:ascii="宋体" w:hAnsi="宋体" w:cs="宋体"/>
          <w:b/>
          <w:bCs/>
          <w:color w:val="auto"/>
          <w:szCs w:val="21"/>
          <w:highlight w:val="none"/>
        </w:rPr>
      </w:pPr>
      <w:bookmarkStart w:id="3" w:name="_Toc7265"/>
      <w:bookmarkStart w:id="4" w:name="_Toc20030"/>
      <w:r>
        <w:rPr>
          <w:rFonts w:hint="eastAsia" w:ascii="宋体" w:hAnsi="宋体" w:cs="宋体"/>
          <w:b/>
          <w:bCs/>
          <w:color w:val="auto"/>
          <w:szCs w:val="21"/>
          <w:highlight w:val="none"/>
          <w:lang w:eastAsia="zh-CN"/>
        </w:rPr>
        <w:t>荥阳市自然资源和规划局2026年度荥阳市国土空间总体规划动态调整完善方案项目（二次）</w:t>
      </w:r>
      <w:r>
        <w:rPr>
          <w:rFonts w:hint="eastAsia" w:ascii="宋体" w:hAnsi="宋体" w:cs="宋体"/>
          <w:b/>
          <w:bCs/>
          <w:color w:val="auto"/>
          <w:szCs w:val="21"/>
          <w:highlight w:val="none"/>
        </w:rPr>
        <w:t>竞争性磋商公告</w:t>
      </w:r>
    </w:p>
    <w:p w14:paraId="4BCB0731">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46DFBF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荥阳市自然资源和规划局2026年度荥阳市国土空间总体规划动态调整完善方案项目（二次）</w:t>
      </w:r>
      <w:r>
        <w:rPr>
          <w:rFonts w:hint="eastAsia" w:ascii="宋体" w:hAnsi="宋体" w:cs="宋体"/>
          <w:color w:val="auto"/>
          <w:szCs w:val="21"/>
          <w:highlight w:val="none"/>
        </w:rPr>
        <w:t>的潜在供应商应在荥阳市公共资源交易中心网站</w:t>
      </w:r>
      <w:r>
        <w:rPr>
          <w:color w:val="auto"/>
          <w:highlight w:val="none"/>
        </w:rPr>
        <w:fldChar w:fldCharType="begin"/>
      </w:r>
      <w:r>
        <w:rPr>
          <w:color w:val="auto"/>
          <w:highlight w:val="none"/>
        </w:rPr>
        <w:instrText xml:space="preserve"> HYPERLINK "http://www.xyggzyjy.gov.cn获取采购文件，并于2020年" </w:instrText>
      </w:r>
      <w:r>
        <w:rPr>
          <w:color w:val="auto"/>
          <w:highlight w:val="none"/>
        </w:rPr>
        <w:fldChar w:fldCharType="separate"/>
      </w:r>
      <w:r>
        <w:rPr>
          <w:rStyle w:val="35"/>
          <w:rFonts w:hint="eastAsia" w:ascii="宋体" w:hAnsi="宋体" w:cs="宋体"/>
          <w:color w:val="auto"/>
          <w:szCs w:val="21"/>
          <w:highlight w:val="none"/>
        </w:rPr>
        <w:t>获取采购文件，并于2026年</w:t>
      </w:r>
      <w:r>
        <w:rPr>
          <w:rStyle w:val="35"/>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日9点</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分（北京时间）前提交响应文件。</w:t>
      </w:r>
      <w:bookmarkStart w:id="371" w:name="_GoBack"/>
      <w:bookmarkEnd w:id="371"/>
    </w:p>
    <w:p w14:paraId="10C1EC5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7A9475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荥财磋商-2026-11</w:t>
      </w:r>
      <w:r>
        <w:rPr>
          <w:rFonts w:hint="eastAsia" w:ascii="宋体" w:hAnsi="宋体" w:cs="宋体"/>
          <w:color w:val="auto"/>
          <w:szCs w:val="21"/>
          <w:highlight w:val="none"/>
        </w:rPr>
        <w:t xml:space="preserve">；   </w:t>
      </w:r>
    </w:p>
    <w:p w14:paraId="2C6BF2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荥阳市自然资源和规划局2026年度荥阳市国土空间总体规划动态调整完善方案项目（二次）</w:t>
      </w:r>
      <w:r>
        <w:rPr>
          <w:rFonts w:hint="eastAsia" w:ascii="宋体" w:hAnsi="宋体" w:cs="宋体"/>
          <w:color w:val="auto"/>
          <w:szCs w:val="21"/>
          <w:highlight w:val="none"/>
        </w:rPr>
        <w:t>；</w:t>
      </w:r>
    </w:p>
    <w:p w14:paraId="444344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3B1B7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4、预算金额：700000元，最高限价：700000元；</w:t>
      </w:r>
    </w:p>
    <w:tbl>
      <w:tblPr>
        <w:tblStyle w:val="24"/>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03"/>
        <w:gridCol w:w="2905"/>
        <w:gridCol w:w="1679"/>
        <w:gridCol w:w="1230"/>
        <w:gridCol w:w="1419"/>
        <w:gridCol w:w="1467"/>
      </w:tblGrid>
      <w:tr w14:paraId="67C2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1" w:type="dxa"/>
            <w:vAlign w:val="center"/>
          </w:tcPr>
          <w:p w14:paraId="33C70DEA">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序号</w:t>
            </w:r>
          </w:p>
        </w:tc>
        <w:tc>
          <w:tcPr>
            <w:tcW w:w="1403" w:type="dxa"/>
            <w:vAlign w:val="center"/>
          </w:tcPr>
          <w:p w14:paraId="766D8E57">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包号</w:t>
            </w:r>
          </w:p>
        </w:tc>
        <w:tc>
          <w:tcPr>
            <w:tcW w:w="2905" w:type="dxa"/>
            <w:vAlign w:val="center"/>
          </w:tcPr>
          <w:p w14:paraId="63FA929E">
            <w:pPr>
              <w:widowControl/>
              <w:jc w:val="center"/>
              <w:textAlignment w:val="center"/>
              <w:rPr>
                <w:rFonts w:ascii="宋体" w:hAnsi="宋体" w:cs="宋体"/>
                <w:color w:val="auto"/>
                <w:szCs w:val="21"/>
                <w:highlight w:val="none"/>
              </w:rPr>
            </w:pPr>
            <w:r>
              <w:rPr>
                <w:rFonts w:hint="eastAsia" w:ascii="宋体" w:hAnsi="宋体" w:eastAsia="Times New Roman" w:cs="宋体"/>
                <w:snapToGrid w:val="0"/>
                <w:color w:val="auto"/>
                <w:kern w:val="0"/>
                <w:szCs w:val="21"/>
                <w:highlight w:val="none"/>
              </w:rPr>
              <w:t>包名称</w:t>
            </w:r>
          </w:p>
        </w:tc>
        <w:tc>
          <w:tcPr>
            <w:tcW w:w="1679" w:type="dxa"/>
            <w:vAlign w:val="center"/>
          </w:tcPr>
          <w:p w14:paraId="1ED7B0B6">
            <w:pPr>
              <w:jc w:val="center"/>
              <w:rPr>
                <w:rFonts w:ascii="宋体" w:hAnsi="宋体" w:cs="宋体"/>
                <w:color w:val="auto"/>
                <w:szCs w:val="21"/>
                <w:highlight w:val="none"/>
              </w:rPr>
            </w:pPr>
            <w:r>
              <w:rPr>
                <w:rFonts w:hint="eastAsia" w:ascii="宋体" w:hAnsi="宋体" w:eastAsia="Times New Roman" w:cs="宋体"/>
                <w:color w:val="auto"/>
                <w:szCs w:val="21"/>
                <w:highlight w:val="none"/>
              </w:rPr>
              <w:t>包预算（元）</w:t>
            </w:r>
          </w:p>
        </w:tc>
        <w:tc>
          <w:tcPr>
            <w:tcW w:w="1230" w:type="dxa"/>
            <w:vAlign w:val="center"/>
          </w:tcPr>
          <w:p w14:paraId="53A2EC84">
            <w:pPr>
              <w:widowControl/>
              <w:jc w:val="center"/>
              <w:textAlignment w:val="center"/>
              <w:rPr>
                <w:rFonts w:ascii="宋体" w:hAnsi="宋体" w:cs="宋体"/>
                <w:color w:val="auto"/>
                <w:szCs w:val="21"/>
                <w:highlight w:val="none"/>
              </w:rPr>
            </w:pPr>
            <w:r>
              <w:rPr>
                <w:rFonts w:hint="eastAsia" w:ascii="宋体" w:hAnsi="宋体" w:eastAsia="Times New Roman" w:cs="宋体"/>
                <w:color w:val="auto"/>
                <w:szCs w:val="21"/>
                <w:highlight w:val="none"/>
              </w:rPr>
              <w:t>最高限价（元）</w:t>
            </w:r>
          </w:p>
        </w:tc>
        <w:tc>
          <w:tcPr>
            <w:tcW w:w="1419" w:type="dxa"/>
            <w:vAlign w:val="center"/>
          </w:tcPr>
          <w:p w14:paraId="2C5858D9">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是否专门面向中小企业</w:t>
            </w:r>
          </w:p>
        </w:tc>
        <w:tc>
          <w:tcPr>
            <w:tcW w:w="1467" w:type="dxa"/>
            <w:vAlign w:val="center"/>
          </w:tcPr>
          <w:p w14:paraId="54554EF4">
            <w:pPr>
              <w:widowControl/>
              <w:wordWrap w:val="0"/>
              <w:jc w:val="center"/>
              <w:rPr>
                <w:rFonts w:ascii="宋体" w:hAnsi="宋体" w:cs="宋体"/>
                <w:color w:val="auto"/>
                <w:szCs w:val="21"/>
                <w:highlight w:val="none"/>
              </w:rPr>
            </w:pPr>
            <w:r>
              <w:rPr>
                <w:rFonts w:hint="eastAsia" w:ascii="宋体" w:hAnsi="宋体" w:cs="宋体"/>
                <w:color w:val="auto"/>
                <w:kern w:val="0"/>
                <w:szCs w:val="21"/>
                <w:highlight w:val="none"/>
                <w:lang w:bidi="ar"/>
              </w:rPr>
              <w:t>采购预留金额（元）</w:t>
            </w:r>
          </w:p>
        </w:tc>
      </w:tr>
      <w:tr w14:paraId="2380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71" w:type="dxa"/>
            <w:vAlign w:val="center"/>
          </w:tcPr>
          <w:p w14:paraId="35D1FB2F">
            <w:pPr>
              <w:widowControl/>
              <w:jc w:val="center"/>
              <w:textAlignment w:val="center"/>
              <w:rPr>
                <w:rFonts w:ascii="宋体" w:hAnsi="宋体" w:cs="宋体"/>
                <w:color w:val="auto"/>
                <w:szCs w:val="21"/>
                <w:highlight w:val="none"/>
              </w:rPr>
            </w:pPr>
            <w:r>
              <w:rPr>
                <w:rFonts w:hint="eastAsia" w:ascii="宋体" w:hAnsi="宋体" w:cs="宋体"/>
                <w:snapToGrid w:val="0"/>
                <w:color w:val="auto"/>
                <w:kern w:val="0"/>
                <w:szCs w:val="21"/>
                <w:highlight w:val="none"/>
              </w:rPr>
              <w:t>1</w:t>
            </w:r>
          </w:p>
        </w:tc>
        <w:tc>
          <w:tcPr>
            <w:tcW w:w="1403" w:type="dxa"/>
            <w:vAlign w:val="center"/>
          </w:tcPr>
          <w:p w14:paraId="539E081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eastAsia="zh-CN"/>
              </w:rPr>
              <w:t>荥财磋商-2026-11</w:t>
            </w:r>
            <w:r>
              <w:rPr>
                <w:rFonts w:hint="eastAsia" w:ascii="宋体" w:hAnsi="宋体" w:cs="宋体"/>
                <w:color w:val="auto"/>
                <w:szCs w:val="21"/>
                <w:highlight w:val="none"/>
              </w:rPr>
              <w:t>-1</w:t>
            </w:r>
          </w:p>
        </w:tc>
        <w:tc>
          <w:tcPr>
            <w:tcW w:w="2905" w:type="dxa"/>
            <w:vAlign w:val="center"/>
          </w:tcPr>
          <w:p w14:paraId="70A89E1C">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荥阳市自然资源和规划局2026年度荥阳市国土空间总体规划动态调整完善方案项目（二次）</w:t>
            </w:r>
          </w:p>
        </w:tc>
        <w:tc>
          <w:tcPr>
            <w:tcW w:w="1679" w:type="dxa"/>
            <w:vAlign w:val="center"/>
          </w:tcPr>
          <w:p w14:paraId="0FC696E1">
            <w:pPr>
              <w:jc w:val="center"/>
              <w:rPr>
                <w:rFonts w:ascii="宋体" w:hAnsi="宋体" w:cs="宋体"/>
                <w:color w:val="auto"/>
                <w:szCs w:val="21"/>
                <w:highlight w:val="none"/>
              </w:rPr>
            </w:pPr>
            <w:r>
              <w:rPr>
                <w:rFonts w:hint="eastAsia" w:ascii="宋体" w:hAnsi="宋体" w:cs="宋体"/>
                <w:color w:val="auto"/>
                <w:szCs w:val="21"/>
                <w:highlight w:val="none"/>
              </w:rPr>
              <w:t>700000</w:t>
            </w:r>
          </w:p>
        </w:tc>
        <w:tc>
          <w:tcPr>
            <w:tcW w:w="1230" w:type="dxa"/>
            <w:vAlign w:val="center"/>
          </w:tcPr>
          <w:p w14:paraId="5096EF3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700000</w:t>
            </w:r>
          </w:p>
        </w:tc>
        <w:tc>
          <w:tcPr>
            <w:tcW w:w="1419" w:type="dxa"/>
            <w:vAlign w:val="center"/>
          </w:tcPr>
          <w:p w14:paraId="4963AA4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是</w:t>
            </w:r>
          </w:p>
        </w:tc>
        <w:tc>
          <w:tcPr>
            <w:tcW w:w="1467" w:type="dxa"/>
            <w:vAlign w:val="center"/>
          </w:tcPr>
          <w:p w14:paraId="0F895B5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700000</w:t>
            </w:r>
          </w:p>
        </w:tc>
      </w:tr>
    </w:tbl>
    <w:p w14:paraId="200123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5、采购需求（包括但不限于标的名称、数量、简要技术需求或服务要求等）</w:t>
      </w:r>
    </w:p>
    <w:p w14:paraId="66AD29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购内容：依据河南省自然资源厅下发的《市县级国土空间总体规划动态调整完善2026年度工作方案》相关要求：规划动态调整完善方案包含对《荥阳市国土空间总体规划（2021-2035年）》中三条控制线、规划分区、中心城区用地方案布局、城市重要控制线、其他重要控制线、重点建设项目清单、乡镇主体功能及其他需要维护内容的动态调整方案编制及必要性说明。（详见采购文件）</w:t>
      </w:r>
    </w:p>
    <w:p w14:paraId="1C1B8A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5.2.服务地点：</w:t>
      </w:r>
      <w:r>
        <w:rPr>
          <w:rFonts w:hint="eastAsia" w:ascii="宋体" w:hAnsi="宋体" w:cs="宋体"/>
          <w:color w:val="auto"/>
          <w:szCs w:val="21"/>
          <w:highlight w:val="none"/>
        </w:rPr>
        <w:t>荥阳市境内</w:t>
      </w:r>
      <w:r>
        <w:rPr>
          <w:rFonts w:hint="eastAsia" w:ascii="宋体" w:hAnsi="宋体" w:cs="宋体"/>
          <w:color w:val="auto"/>
          <w:highlight w:val="none"/>
        </w:rPr>
        <w:t>；</w:t>
      </w:r>
    </w:p>
    <w:p w14:paraId="67AF51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5.3.服务周期：签订合同之日起至项目通过报批完成入库；</w:t>
      </w:r>
    </w:p>
    <w:p w14:paraId="4BE0A7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5.4.质量标准：</w:t>
      </w:r>
      <w:r>
        <w:rPr>
          <w:rFonts w:hint="eastAsia" w:ascii="宋体" w:hAnsi="宋体" w:cs="宋体"/>
          <w:bCs/>
          <w:color w:val="auto"/>
          <w:szCs w:val="21"/>
          <w:highlight w:val="none"/>
        </w:rPr>
        <w:t>符合国家、行业规定的合格标准和规范，满足采购文件和采购人的要求；</w:t>
      </w:r>
    </w:p>
    <w:p w14:paraId="0493C291">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5.5.验收标准：符合国家、行业规定的合格标准和规范，满足采购文件和采购人的要求。</w:t>
      </w:r>
    </w:p>
    <w:p w14:paraId="339BF7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6.合同履行期限：详见服务周期。</w:t>
      </w:r>
    </w:p>
    <w:p w14:paraId="01819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7.本项目是否接受联合体投标：否  </w:t>
      </w:r>
    </w:p>
    <w:p w14:paraId="637E7B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8.是否专门面向中小企业：是</w:t>
      </w:r>
    </w:p>
    <w:p w14:paraId="065606F3">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2D553E7E">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3A4B33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720A4D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10560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4FDCE60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6871701C">
      <w:pPr>
        <w:pStyle w:val="20"/>
        <w:spacing w:beforeAutospacing="0" w:afterAutospacing="0" w:line="360" w:lineRule="auto"/>
        <w:ind w:firstLine="422" w:firstLineChars="200"/>
        <w:jc w:val="both"/>
        <w:rPr>
          <w:rFonts w:ascii="宋体" w:hAnsi="宋体" w:cs="宋体"/>
          <w:color w:val="auto"/>
          <w:kern w:val="2"/>
          <w:sz w:val="21"/>
          <w:szCs w:val="21"/>
          <w:highlight w:val="none"/>
        </w:rPr>
      </w:pPr>
      <w:r>
        <w:rPr>
          <w:rFonts w:hint="eastAsia" w:ascii="宋体" w:hAnsi="宋体" w:cs="宋体"/>
          <w:b/>
          <w:bCs/>
          <w:color w:val="auto"/>
          <w:sz w:val="21"/>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62E6CCA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ascii="宋体" w:hAnsi="宋体" w:cs="宋体"/>
          <w:b/>
          <w:bCs/>
          <w:color w:val="auto"/>
          <w:szCs w:val="21"/>
          <w:highlight w:val="none"/>
        </w:rPr>
        <w:t xml:space="preserve"> </w:t>
      </w:r>
    </w:p>
    <w:p w14:paraId="4B45B4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4C1935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7E37CCAB">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3DB3C611">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34C23D16">
      <w:pPr>
        <w:pStyle w:val="23"/>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AAE56B4">
      <w:pPr>
        <w:spacing w:line="360" w:lineRule="auto"/>
        <w:rPr>
          <w:b/>
          <w:bCs/>
          <w:color w:val="auto"/>
          <w:szCs w:val="21"/>
          <w:highlight w:val="none"/>
        </w:rPr>
      </w:pPr>
      <w:bookmarkStart w:id="5" w:name="_Toc16669"/>
      <w:bookmarkStart w:id="6" w:name="_Toc29784"/>
      <w:bookmarkStart w:id="7" w:name="_Toc6878"/>
      <w:bookmarkStart w:id="8" w:name="_Toc30918"/>
      <w:bookmarkStart w:id="9" w:name="_Toc20287"/>
      <w:bookmarkStart w:id="10" w:name="_Toc6523"/>
      <w:r>
        <w:rPr>
          <w:rFonts w:hint="eastAsia"/>
          <w:b/>
          <w:bCs/>
          <w:color w:val="auto"/>
          <w:szCs w:val="21"/>
          <w:highlight w:val="none"/>
        </w:rPr>
        <w:t>三、采购文件获取</w:t>
      </w:r>
    </w:p>
    <w:p w14:paraId="2D40E579">
      <w:pPr>
        <w:spacing w:line="360" w:lineRule="auto"/>
        <w:ind w:firstLine="420" w:firstLineChars="200"/>
        <w:rPr>
          <w:color w:val="auto"/>
          <w:szCs w:val="21"/>
          <w:highlight w:val="none"/>
        </w:rPr>
      </w:pPr>
      <w:r>
        <w:rPr>
          <w:rFonts w:hint="eastAsia"/>
          <w:color w:val="auto"/>
          <w:szCs w:val="21"/>
          <w:highlight w:val="none"/>
        </w:rPr>
        <w:t>1.</w:t>
      </w:r>
      <w:r>
        <w:rPr>
          <w:rFonts w:hint="eastAsia" w:ascii="微软雅黑" w:hAnsi="微软雅黑" w:eastAsia="微软雅黑"/>
          <w:color w:val="auto"/>
          <w:szCs w:val="21"/>
          <w:highlight w:val="none"/>
        </w:rPr>
        <w:t xml:space="preserve"> </w:t>
      </w:r>
      <w:r>
        <w:rPr>
          <w:rFonts w:hint="eastAsia" w:eastAsia="微软雅黑"/>
          <w:color w:val="auto"/>
          <w:szCs w:val="21"/>
          <w:highlight w:val="none"/>
        </w:rPr>
        <w:t>2026年</w:t>
      </w:r>
      <w:r>
        <w:rPr>
          <w:rFonts w:hint="eastAsia" w:eastAsia="微软雅黑"/>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11</w:t>
      </w:r>
      <w:r>
        <w:rPr>
          <w:rFonts w:hint="eastAsia"/>
          <w:color w:val="auto"/>
          <w:szCs w:val="21"/>
          <w:highlight w:val="none"/>
        </w:rPr>
        <w:t>日 至 2026年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15</w:t>
      </w:r>
      <w:r>
        <w:rPr>
          <w:rFonts w:hint="eastAsia"/>
          <w:color w:val="auto"/>
          <w:szCs w:val="21"/>
          <w:highlight w:val="none"/>
        </w:rPr>
        <w:t>日，每天上午00:00至11:59，下午12:00至23:59（北京时间，法定节假日除外。）</w:t>
      </w:r>
    </w:p>
    <w:p w14:paraId="2DB021A2">
      <w:pPr>
        <w:spacing w:line="360" w:lineRule="auto"/>
        <w:ind w:firstLine="420" w:firstLineChars="200"/>
        <w:rPr>
          <w:color w:val="auto"/>
          <w:szCs w:val="21"/>
          <w:highlight w:val="none"/>
        </w:rPr>
      </w:pPr>
      <w:r>
        <w:rPr>
          <w:rFonts w:hint="eastAsia"/>
          <w:color w:val="auto"/>
          <w:szCs w:val="21"/>
          <w:highlight w:val="none"/>
        </w:rPr>
        <w:t>2.地点：荥阳市公共资源交易中心网站。</w:t>
      </w:r>
    </w:p>
    <w:p w14:paraId="5907130D">
      <w:pPr>
        <w:spacing w:line="360" w:lineRule="auto"/>
        <w:ind w:firstLine="420" w:firstLineChars="200"/>
        <w:rPr>
          <w:color w:val="auto"/>
          <w:szCs w:val="21"/>
          <w:highlight w:val="none"/>
        </w:rPr>
      </w:pPr>
      <w:r>
        <w:rPr>
          <w:rFonts w:hint="eastAsia"/>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7F72B355">
      <w:pPr>
        <w:spacing w:line="360" w:lineRule="auto"/>
        <w:ind w:firstLine="420" w:firstLineChars="200"/>
        <w:rPr>
          <w:color w:val="auto"/>
          <w:szCs w:val="21"/>
          <w:highlight w:val="none"/>
        </w:rPr>
      </w:pPr>
      <w:r>
        <w:rPr>
          <w:rFonts w:hint="eastAsia"/>
          <w:color w:val="auto"/>
          <w:szCs w:val="21"/>
          <w:highlight w:val="none"/>
        </w:rPr>
        <w:t>4.售价：0元</w:t>
      </w:r>
    </w:p>
    <w:p w14:paraId="6E56CD5F">
      <w:pPr>
        <w:spacing w:line="360" w:lineRule="auto"/>
        <w:rPr>
          <w:b/>
          <w:bCs/>
          <w:color w:val="auto"/>
          <w:szCs w:val="21"/>
          <w:highlight w:val="none"/>
        </w:rPr>
      </w:pPr>
      <w:r>
        <w:rPr>
          <w:rFonts w:hint="eastAsia"/>
          <w:b/>
          <w:bCs/>
          <w:color w:val="auto"/>
          <w:szCs w:val="21"/>
          <w:highlight w:val="none"/>
        </w:rPr>
        <w:t>四、响应文件递交截止时间及地点</w:t>
      </w:r>
    </w:p>
    <w:p w14:paraId="13119B58">
      <w:pPr>
        <w:spacing w:line="360" w:lineRule="auto"/>
        <w:ind w:firstLine="420" w:firstLineChars="200"/>
        <w:rPr>
          <w:color w:val="auto"/>
          <w:szCs w:val="21"/>
          <w:highlight w:val="none"/>
        </w:rPr>
      </w:pPr>
      <w:r>
        <w:rPr>
          <w:rFonts w:hint="eastAsia"/>
          <w:color w:val="auto"/>
          <w:szCs w:val="21"/>
          <w:highlight w:val="none"/>
        </w:rPr>
        <w:t>1.时间：2026年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21</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25812CC0">
      <w:pPr>
        <w:spacing w:line="360" w:lineRule="auto"/>
        <w:ind w:firstLine="420" w:firstLineChars="200"/>
        <w:rPr>
          <w:color w:val="auto"/>
          <w:szCs w:val="21"/>
          <w:highlight w:val="none"/>
        </w:rPr>
      </w:pPr>
      <w:r>
        <w:rPr>
          <w:rFonts w:hint="eastAsia"/>
          <w:color w:val="auto"/>
          <w:szCs w:val="21"/>
          <w:highlight w:val="none"/>
        </w:rPr>
        <w:t>2.地点：荥阳市公共资源交易平台</w:t>
      </w:r>
    </w:p>
    <w:p w14:paraId="679E9AEA">
      <w:pPr>
        <w:spacing w:line="360" w:lineRule="auto"/>
        <w:rPr>
          <w:b/>
          <w:bCs/>
          <w:color w:val="auto"/>
          <w:szCs w:val="21"/>
          <w:highlight w:val="none"/>
        </w:rPr>
      </w:pPr>
      <w:r>
        <w:rPr>
          <w:rFonts w:hint="eastAsia"/>
          <w:b/>
          <w:bCs/>
          <w:color w:val="auto"/>
          <w:szCs w:val="21"/>
          <w:highlight w:val="none"/>
        </w:rPr>
        <w:t>五、响应文件开启时间及地点</w:t>
      </w:r>
    </w:p>
    <w:p w14:paraId="4AA9E2B1">
      <w:pPr>
        <w:spacing w:line="360" w:lineRule="auto"/>
        <w:ind w:firstLine="420" w:firstLineChars="200"/>
        <w:rPr>
          <w:color w:val="auto"/>
          <w:szCs w:val="21"/>
          <w:highlight w:val="none"/>
        </w:rPr>
      </w:pPr>
      <w:r>
        <w:rPr>
          <w:rFonts w:hint="eastAsia"/>
          <w:color w:val="auto"/>
          <w:szCs w:val="21"/>
          <w:highlight w:val="none"/>
        </w:rPr>
        <w:t>1.时间：2026年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21</w:t>
      </w:r>
      <w:r>
        <w:rPr>
          <w:rFonts w:hint="eastAsia"/>
          <w:color w:val="auto"/>
          <w:szCs w:val="21"/>
          <w:highlight w:val="none"/>
        </w:rPr>
        <w:t>日09时</w:t>
      </w:r>
      <w:r>
        <w:rPr>
          <w:rFonts w:hint="eastAsia"/>
          <w:color w:val="auto"/>
          <w:szCs w:val="21"/>
          <w:highlight w:val="none"/>
          <w:lang w:val="en-US" w:eastAsia="zh-CN"/>
        </w:rPr>
        <w:t>00</w:t>
      </w:r>
      <w:r>
        <w:rPr>
          <w:rFonts w:hint="eastAsia"/>
          <w:color w:val="auto"/>
          <w:szCs w:val="21"/>
          <w:highlight w:val="none"/>
        </w:rPr>
        <w:t>分（北京时间）</w:t>
      </w:r>
    </w:p>
    <w:p w14:paraId="726A786A">
      <w:pPr>
        <w:spacing w:line="360" w:lineRule="auto"/>
        <w:ind w:firstLine="420" w:firstLineChars="200"/>
        <w:rPr>
          <w:color w:val="auto"/>
          <w:szCs w:val="21"/>
          <w:highlight w:val="none"/>
        </w:rPr>
      </w:pPr>
      <w:r>
        <w:rPr>
          <w:rFonts w:hint="eastAsia"/>
          <w:color w:val="auto"/>
          <w:szCs w:val="21"/>
          <w:highlight w:val="none"/>
        </w:rPr>
        <w:t>2.地点：荥阳市公共资源交易中心（荥阳市中原路与飞龙路西北角政务服务中心七楼）第</w:t>
      </w:r>
      <w:r>
        <w:rPr>
          <w:rFonts w:hint="eastAsia"/>
          <w:color w:val="auto"/>
          <w:szCs w:val="21"/>
          <w:highlight w:val="none"/>
          <w:lang w:val="en-US" w:eastAsia="zh-CN"/>
        </w:rPr>
        <w:t>二</w:t>
      </w:r>
      <w:r>
        <w:rPr>
          <w:rFonts w:hint="eastAsia"/>
          <w:color w:val="auto"/>
          <w:szCs w:val="21"/>
          <w:highlight w:val="none"/>
        </w:rPr>
        <w:t>开标室。</w:t>
      </w:r>
    </w:p>
    <w:p w14:paraId="799A6BB9">
      <w:pPr>
        <w:spacing w:line="360" w:lineRule="auto"/>
        <w:rPr>
          <w:b/>
          <w:bCs/>
          <w:color w:val="auto"/>
          <w:szCs w:val="21"/>
          <w:highlight w:val="none"/>
        </w:rPr>
      </w:pPr>
      <w:r>
        <w:rPr>
          <w:rFonts w:hint="eastAsia"/>
          <w:b/>
          <w:bCs/>
          <w:color w:val="auto"/>
          <w:szCs w:val="21"/>
          <w:highlight w:val="none"/>
        </w:rPr>
        <w:t>六、发布公告的媒介及招标公告期限</w:t>
      </w:r>
    </w:p>
    <w:p w14:paraId="342383BB">
      <w:pPr>
        <w:spacing w:line="360" w:lineRule="auto"/>
        <w:ind w:firstLine="420" w:firstLineChars="200"/>
        <w:rPr>
          <w:color w:val="auto"/>
          <w:szCs w:val="21"/>
          <w:highlight w:val="none"/>
        </w:rPr>
      </w:pPr>
      <w:r>
        <w:rPr>
          <w:rFonts w:hint="eastAsia"/>
          <w:color w:val="auto"/>
          <w:szCs w:val="21"/>
          <w:highlight w:val="none"/>
        </w:rPr>
        <w:t>本次公告在《河南省政府采购网》、</w:t>
      </w:r>
      <w:r>
        <w:rPr>
          <w:rFonts w:hint="eastAsia"/>
          <w:bCs/>
          <w:color w:val="auto"/>
          <w:szCs w:val="21"/>
          <w:highlight w:val="none"/>
        </w:rPr>
        <w:t>《中国招标投标公共服务平台》、</w:t>
      </w:r>
      <w:r>
        <w:rPr>
          <w:rFonts w:hint="eastAsia"/>
          <w:color w:val="auto"/>
          <w:szCs w:val="21"/>
          <w:highlight w:val="none"/>
        </w:rPr>
        <w:t>《荥阳市政府采购网》、《荥阳市公共资源交易中心》上发布，招标公告期限为3个工作日。</w:t>
      </w:r>
    </w:p>
    <w:bookmarkEnd w:id="5"/>
    <w:bookmarkEnd w:id="6"/>
    <w:bookmarkEnd w:id="7"/>
    <w:bookmarkEnd w:id="8"/>
    <w:bookmarkEnd w:id="9"/>
    <w:bookmarkEnd w:id="10"/>
    <w:p w14:paraId="51816996">
      <w:pPr>
        <w:spacing w:line="360" w:lineRule="auto"/>
        <w:rPr>
          <w:rFonts w:ascii="宋体" w:hAnsi="宋体" w:cs="宋体"/>
          <w:b/>
          <w:color w:val="auto"/>
          <w:szCs w:val="21"/>
          <w:highlight w:val="none"/>
        </w:rPr>
      </w:pPr>
      <w:r>
        <w:rPr>
          <w:rFonts w:hint="eastAsia" w:ascii="宋体" w:hAnsi="宋体" w:cs="宋体"/>
          <w:b/>
          <w:color w:val="auto"/>
          <w:szCs w:val="21"/>
          <w:highlight w:val="none"/>
        </w:rPr>
        <w:t>六、其他补充事宜</w:t>
      </w:r>
    </w:p>
    <w:p w14:paraId="6CBC725C">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1、投标文件制作及上传：</w:t>
      </w:r>
    </w:p>
    <w:p w14:paraId="147C2F95">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7B3A19DA">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1.2、投标人（供应商）须在投标截止时间前登陆荥阳市公共资源交易平台上传加密的电子投标文件。</w:t>
      </w:r>
    </w:p>
    <w:p w14:paraId="7EFEBF45">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0DFCBCAB">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r>
        <w:rPr>
          <w:rFonts w:hint="eastAsia" w:cs="宋体"/>
          <w:bCs/>
          <w:color w:val="auto"/>
          <w:sz w:val="21"/>
          <w:szCs w:val="21"/>
          <w:highlight w:val="none"/>
        </w:rPr>
        <w:t>本次采购招标代理服务费，参考河南省招标投标协会（豫招协[2023]002号）文规定的计费方式，向成交供应商收取代理服务费。</w:t>
      </w:r>
    </w:p>
    <w:p w14:paraId="33DEB6AD">
      <w:pPr>
        <w:pStyle w:val="20"/>
        <w:spacing w:beforeAutospacing="0" w:afterAutospacing="0" w:line="360" w:lineRule="auto"/>
        <w:ind w:firstLine="420" w:firstLineChars="20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4、本项目采购监督部门：荥阳市财政局</w:t>
      </w:r>
    </w:p>
    <w:p w14:paraId="0212DA6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七、凡对本次采购提出询问，请按以下方式联系</w:t>
      </w:r>
    </w:p>
    <w:p w14:paraId="28523754">
      <w:pPr>
        <w:spacing w:line="360" w:lineRule="auto"/>
        <w:ind w:firstLine="420" w:firstLineChars="200"/>
        <w:rPr>
          <w:color w:val="auto"/>
          <w:szCs w:val="21"/>
          <w:highlight w:val="none"/>
        </w:rPr>
      </w:pPr>
      <w:r>
        <w:rPr>
          <w:rFonts w:hint="eastAsia"/>
          <w:color w:val="auto"/>
          <w:szCs w:val="21"/>
          <w:highlight w:val="none"/>
        </w:rPr>
        <w:t xml:space="preserve">1、采购人名称：荥阳市自然资源和规划局  </w:t>
      </w:r>
    </w:p>
    <w:p w14:paraId="7521600A">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1C6E5E44">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联 系 人：</w:t>
      </w:r>
      <w:r>
        <w:rPr>
          <w:rFonts w:hint="eastAsia" w:ascii="宋体" w:hAnsi="宋体" w:cs="宋体"/>
          <w:color w:val="auto"/>
          <w:szCs w:val="21"/>
          <w:highlight w:val="none"/>
        </w:rPr>
        <w:t>禹杰</w:t>
      </w:r>
    </w:p>
    <w:p w14:paraId="51230947">
      <w:pPr>
        <w:spacing w:line="360" w:lineRule="auto"/>
        <w:ind w:firstLine="840" w:firstLineChars="400"/>
        <w:rPr>
          <w:rFonts w:ascii="宋体" w:hAnsi="宋体" w:cs="宋体"/>
          <w:color w:val="auto"/>
          <w:szCs w:val="21"/>
          <w:highlight w:val="none"/>
        </w:rPr>
      </w:pPr>
      <w:r>
        <w:rPr>
          <w:rFonts w:ascii="宋体" w:hAnsi="宋体" w:cs="宋体"/>
          <w:color w:val="auto"/>
          <w:szCs w:val="21"/>
          <w:highlight w:val="none"/>
        </w:rPr>
        <w:t>电    话：0371-</w:t>
      </w:r>
      <w:r>
        <w:rPr>
          <w:rFonts w:hint="eastAsia" w:ascii="宋体" w:hAnsi="宋体" w:cs="宋体"/>
          <w:color w:val="auto"/>
          <w:szCs w:val="21"/>
          <w:highlight w:val="none"/>
        </w:rPr>
        <w:t>64652093</w:t>
      </w:r>
    </w:p>
    <w:p w14:paraId="4827D9EF">
      <w:pPr>
        <w:numPr>
          <w:ilvl w:val="0"/>
          <w:numId w:val="3"/>
        </w:numPr>
        <w:spacing w:line="360" w:lineRule="auto"/>
        <w:ind w:firstLine="420" w:firstLineChars="200"/>
        <w:rPr>
          <w:color w:val="auto"/>
          <w:szCs w:val="21"/>
          <w:highlight w:val="none"/>
        </w:rPr>
      </w:pPr>
      <w:r>
        <w:rPr>
          <w:rFonts w:hint="eastAsia"/>
          <w:color w:val="auto"/>
          <w:szCs w:val="21"/>
          <w:highlight w:val="none"/>
        </w:rPr>
        <w:t>采购代理机构名称：河南德旭项目管理有限公司</w:t>
      </w:r>
    </w:p>
    <w:p w14:paraId="3BE08A4E">
      <w:pPr>
        <w:spacing w:line="360" w:lineRule="auto"/>
        <w:ind w:firstLine="840" w:firstLineChars="400"/>
        <w:rPr>
          <w:rFonts w:ascii="Times New Roman" w:hAnsi="Times New Roman"/>
          <w:color w:val="auto"/>
          <w:szCs w:val="21"/>
          <w:highlight w:val="none"/>
        </w:rPr>
      </w:pPr>
      <w:r>
        <w:rPr>
          <w:rFonts w:hint="eastAsia" w:ascii="Times New Roman" w:hAnsi="Times New Roman"/>
          <w:color w:val="auto"/>
          <w:szCs w:val="21"/>
          <w:highlight w:val="none"/>
        </w:rPr>
        <w:t>地</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址：</w:t>
      </w:r>
      <w:r>
        <w:rPr>
          <w:rFonts w:ascii="Times New Roman" w:hAnsi="Times New Roman"/>
          <w:color w:val="auto"/>
          <w:szCs w:val="21"/>
          <w:highlight w:val="none"/>
        </w:rPr>
        <w:t>荥阳市京城路与荥运路交叉口润旭德工业园3号楼6楼</w:t>
      </w:r>
    </w:p>
    <w:p w14:paraId="30269C11">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联系人：</w:t>
      </w:r>
      <w:r>
        <w:rPr>
          <w:rFonts w:ascii="Times New Roman" w:hAnsi="Times New Roman"/>
          <w:color w:val="auto"/>
          <w:szCs w:val="21"/>
          <w:highlight w:val="none"/>
        </w:rPr>
        <w:t>喻心美</w:t>
      </w:r>
    </w:p>
    <w:p w14:paraId="543E07D3">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联系方式：15515832988</w:t>
      </w:r>
    </w:p>
    <w:p w14:paraId="6ABF06B6">
      <w:pPr>
        <w:pStyle w:val="44"/>
        <w:ind w:firstLine="420"/>
        <w:rPr>
          <w:rFonts w:ascii="Times New Roman" w:hAnsi="Times New Roman"/>
          <w:color w:val="auto"/>
          <w:szCs w:val="21"/>
          <w:highlight w:val="none"/>
        </w:rPr>
      </w:pPr>
      <w:r>
        <w:rPr>
          <w:rFonts w:hint="eastAsia" w:ascii="Times New Roman" w:hAnsi="Times New Roman"/>
          <w:color w:val="auto"/>
          <w:szCs w:val="21"/>
          <w:highlight w:val="none"/>
        </w:rPr>
        <w:t>3.项目联系方式</w:t>
      </w:r>
    </w:p>
    <w:p w14:paraId="3D7164E2">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项目联系人：</w:t>
      </w:r>
      <w:r>
        <w:rPr>
          <w:rFonts w:ascii="Times New Roman" w:hAnsi="Times New Roman"/>
          <w:color w:val="auto"/>
          <w:szCs w:val="21"/>
          <w:highlight w:val="none"/>
        </w:rPr>
        <w:t>喻心美</w:t>
      </w:r>
      <w:r>
        <w:rPr>
          <w:rFonts w:hint="eastAsia" w:ascii="Times New Roman" w:hAnsi="Times New Roman"/>
          <w:color w:val="auto"/>
          <w:szCs w:val="21"/>
          <w:highlight w:val="none"/>
        </w:rPr>
        <w:t xml:space="preserve"> </w:t>
      </w:r>
    </w:p>
    <w:p w14:paraId="42381A1A">
      <w:pPr>
        <w:pStyle w:val="44"/>
        <w:keepNext/>
        <w:keepLines/>
        <w:pageBreakBefore w:val="0"/>
        <w:widowControl w:val="0"/>
        <w:kinsoku/>
        <w:wordWrap/>
        <w:overflowPunct/>
        <w:topLinePunct w:val="0"/>
        <w:autoSpaceDE/>
        <w:autoSpaceDN/>
        <w:bidi w:val="0"/>
        <w:adjustRightInd/>
        <w:snapToGrid/>
        <w:ind w:firstLine="840" w:firstLineChars="400"/>
        <w:textAlignment w:val="auto"/>
        <w:rPr>
          <w:rFonts w:ascii="Times New Roman" w:hAnsi="Times New Roman"/>
          <w:color w:val="auto"/>
          <w:szCs w:val="21"/>
          <w:highlight w:val="none"/>
        </w:rPr>
      </w:pPr>
      <w:r>
        <w:rPr>
          <w:rFonts w:hint="eastAsia" w:ascii="Times New Roman" w:hAnsi="Times New Roman"/>
          <w:color w:val="auto"/>
          <w:szCs w:val="21"/>
          <w:highlight w:val="none"/>
        </w:rPr>
        <w:t>电</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话：15515832988</w:t>
      </w:r>
    </w:p>
    <w:p w14:paraId="7D4E35C7">
      <w:pPr>
        <w:spacing w:line="360" w:lineRule="auto"/>
        <w:ind w:firstLine="840" w:firstLineChars="400"/>
        <w:rPr>
          <w:rFonts w:ascii="Times New Roman" w:hAnsi="Times New Roman"/>
          <w:color w:val="auto"/>
          <w:szCs w:val="21"/>
          <w:highlight w:val="none"/>
        </w:rPr>
      </w:pPr>
    </w:p>
    <w:p w14:paraId="3C72076F">
      <w:pPr>
        <w:pStyle w:val="2"/>
        <w:rPr>
          <w:b/>
          <w:bCs/>
          <w:color w:val="auto"/>
          <w:highlight w:val="none"/>
        </w:rPr>
      </w:pPr>
      <w:bookmarkStart w:id="11" w:name="_Toc757"/>
    </w:p>
    <w:p w14:paraId="7D93F5C7">
      <w:pPr>
        <w:rPr>
          <w:b/>
          <w:bCs/>
          <w:color w:val="auto"/>
          <w:highlight w:val="none"/>
        </w:rPr>
      </w:pPr>
    </w:p>
    <w:p w14:paraId="3048C5EF">
      <w:pPr>
        <w:pStyle w:val="41"/>
        <w:rPr>
          <w:b/>
          <w:bCs/>
          <w:color w:val="auto"/>
          <w:highlight w:val="none"/>
        </w:rPr>
      </w:pPr>
    </w:p>
    <w:p w14:paraId="72DE385D">
      <w:pPr>
        <w:pStyle w:val="43"/>
        <w:rPr>
          <w:b/>
          <w:bCs/>
          <w:color w:val="auto"/>
          <w:highlight w:val="none"/>
        </w:rPr>
      </w:pPr>
    </w:p>
    <w:p w14:paraId="5225401F">
      <w:pPr>
        <w:rPr>
          <w:b/>
          <w:bCs/>
          <w:color w:val="auto"/>
          <w:highlight w:val="none"/>
        </w:rPr>
      </w:pPr>
    </w:p>
    <w:p w14:paraId="7A19B44F">
      <w:pPr>
        <w:pStyle w:val="41"/>
        <w:rPr>
          <w:b/>
          <w:bCs/>
          <w:color w:val="auto"/>
          <w:highlight w:val="none"/>
        </w:rPr>
      </w:pPr>
    </w:p>
    <w:p w14:paraId="47272CBD">
      <w:pPr>
        <w:pStyle w:val="43"/>
        <w:rPr>
          <w:b/>
          <w:bCs/>
          <w:color w:val="auto"/>
          <w:highlight w:val="none"/>
        </w:rPr>
      </w:pPr>
    </w:p>
    <w:p w14:paraId="44EC3A2F">
      <w:pPr>
        <w:rPr>
          <w:b/>
          <w:bCs/>
          <w:color w:val="auto"/>
          <w:highlight w:val="none"/>
        </w:rPr>
      </w:pPr>
    </w:p>
    <w:p w14:paraId="3580E9A7">
      <w:pPr>
        <w:pStyle w:val="41"/>
        <w:rPr>
          <w:b/>
          <w:bCs/>
          <w:color w:val="auto"/>
          <w:highlight w:val="none"/>
        </w:rPr>
      </w:pPr>
    </w:p>
    <w:p w14:paraId="2D907792">
      <w:pPr>
        <w:pStyle w:val="43"/>
        <w:rPr>
          <w:b/>
          <w:bCs/>
          <w:color w:val="auto"/>
          <w:highlight w:val="none"/>
        </w:rPr>
      </w:pPr>
    </w:p>
    <w:p w14:paraId="1A47F5F5">
      <w:pPr>
        <w:rPr>
          <w:b/>
          <w:bCs/>
          <w:color w:val="auto"/>
          <w:highlight w:val="none"/>
        </w:rPr>
      </w:pPr>
    </w:p>
    <w:p w14:paraId="55B36A48">
      <w:pPr>
        <w:pStyle w:val="41"/>
        <w:rPr>
          <w:b/>
          <w:bCs/>
          <w:color w:val="auto"/>
          <w:highlight w:val="none"/>
        </w:rPr>
      </w:pPr>
    </w:p>
    <w:p w14:paraId="5F01216C">
      <w:pPr>
        <w:pStyle w:val="43"/>
        <w:rPr>
          <w:b/>
          <w:bCs/>
          <w:color w:val="auto"/>
          <w:highlight w:val="none"/>
        </w:rPr>
      </w:pPr>
    </w:p>
    <w:p w14:paraId="496C2132">
      <w:pPr>
        <w:rPr>
          <w:b/>
          <w:bCs/>
          <w:color w:val="auto"/>
          <w:highlight w:val="none"/>
        </w:rPr>
      </w:pPr>
    </w:p>
    <w:p w14:paraId="544269C2">
      <w:pPr>
        <w:pStyle w:val="41"/>
        <w:rPr>
          <w:b/>
          <w:bCs/>
          <w:color w:val="auto"/>
          <w:highlight w:val="none"/>
        </w:rPr>
      </w:pPr>
    </w:p>
    <w:p w14:paraId="12E01537">
      <w:pPr>
        <w:pStyle w:val="43"/>
        <w:rPr>
          <w:b/>
          <w:bCs/>
          <w:color w:val="auto"/>
          <w:highlight w:val="none"/>
        </w:rPr>
      </w:pPr>
    </w:p>
    <w:p w14:paraId="399A9B60">
      <w:pPr>
        <w:rPr>
          <w:color w:val="auto"/>
          <w:highlight w:val="none"/>
        </w:rPr>
      </w:pPr>
    </w:p>
    <w:p w14:paraId="7B4774C8">
      <w:pPr>
        <w:pStyle w:val="2"/>
        <w:rPr>
          <w:b/>
          <w:bCs/>
          <w:color w:val="auto"/>
          <w:highlight w:val="none"/>
        </w:rPr>
      </w:pPr>
    </w:p>
    <w:p w14:paraId="7F5824B9">
      <w:pPr>
        <w:rPr>
          <w:b/>
          <w:bCs/>
          <w:color w:val="auto"/>
          <w:highlight w:val="none"/>
        </w:rPr>
      </w:pPr>
    </w:p>
    <w:p w14:paraId="7385C803">
      <w:pPr>
        <w:pStyle w:val="41"/>
        <w:rPr>
          <w:b/>
          <w:bCs/>
          <w:color w:val="auto"/>
          <w:highlight w:val="none"/>
        </w:rPr>
      </w:pPr>
    </w:p>
    <w:p w14:paraId="6E571033">
      <w:pPr>
        <w:pStyle w:val="43"/>
        <w:rPr>
          <w:b/>
          <w:bCs/>
          <w:color w:val="auto"/>
          <w:highlight w:val="none"/>
        </w:rPr>
      </w:pPr>
    </w:p>
    <w:p w14:paraId="1D157123">
      <w:pPr>
        <w:rPr>
          <w:b/>
          <w:bCs/>
          <w:color w:val="auto"/>
          <w:highlight w:val="none"/>
        </w:rPr>
      </w:pPr>
    </w:p>
    <w:p w14:paraId="5AA201E3">
      <w:pPr>
        <w:pStyle w:val="41"/>
        <w:rPr>
          <w:b/>
          <w:bCs/>
          <w:color w:val="auto"/>
          <w:highlight w:val="none"/>
        </w:rPr>
      </w:pPr>
    </w:p>
    <w:p w14:paraId="142F47D2">
      <w:pPr>
        <w:pStyle w:val="43"/>
        <w:rPr>
          <w:b/>
          <w:bCs/>
          <w:color w:val="auto"/>
          <w:highlight w:val="none"/>
        </w:rPr>
      </w:pPr>
    </w:p>
    <w:p w14:paraId="74E2FB68">
      <w:pPr>
        <w:rPr>
          <w:b/>
          <w:bCs/>
          <w:color w:val="auto"/>
          <w:highlight w:val="none"/>
        </w:rPr>
      </w:pPr>
    </w:p>
    <w:p w14:paraId="42D3C6DB">
      <w:pPr>
        <w:pStyle w:val="41"/>
        <w:rPr>
          <w:b/>
          <w:bCs/>
          <w:color w:val="auto"/>
          <w:highlight w:val="none"/>
        </w:rPr>
      </w:pPr>
    </w:p>
    <w:p w14:paraId="5180A5FC">
      <w:pPr>
        <w:pStyle w:val="43"/>
        <w:rPr>
          <w:b/>
          <w:bCs/>
          <w:color w:val="auto"/>
          <w:highlight w:val="none"/>
        </w:rPr>
      </w:pPr>
    </w:p>
    <w:p w14:paraId="4F6C9A00">
      <w:pPr>
        <w:rPr>
          <w:b/>
          <w:bCs/>
          <w:color w:val="auto"/>
          <w:highlight w:val="none"/>
        </w:rPr>
      </w:pPr>
    </w:p>
    <w:p w14:paraId="145CC998">
      <w:pPr>
        <w:pStyle w:val="41"/>
        <w:rPr>
          <w:b/>
          <w:bCs/>
          <w:color w:val="auto"/>
          <w:highlight w:val="none"/>
        </w:rPr>
      </w:pPr>
    </w:p>
    <w:p w14:paraId="46AE8CA8">
      <w:pPr>
        <w:pStyle w:val="43"/>
        <w:rPr>
          <w:b/>
          <w:bCs/>
          <w:color w:val="auto"/>
          <w:highlight w:val="none"/>
        </w:rPr>
      </w:pPr>
    </w:p>
    <w:p w14:paraId="3156EAF7">
      <w:pPr>
        <w:rPr>
          <w:b/>
          <w:bCs/>
          <w:color w:val="auto"/>
          <w:highlight w:val="none"/>
        </w:rPr>
      </w:pPr>
    </w:p>
    <w:p w14:paraId="6E80C8B7">
      <w:pPr>
        <w:pStyle w:val="41"/>
        <w:rPr>
          <w:b/>
          <w:bCs/>
          <w:color w:val="auto"/>
          <w:highlight w:val="none"/>
        </w:rPr>
      </w:pPr>
    </w:p>
    <w:p w14:paraId="5DA0FD27">
      <w:pPr>
        <w:pStyle w:val="43"/>
        <w:rPr>
          <w:b/>
          <w:bCs/>
          <w:color w:val="auto"/>
          <w:highlight w:val="none"/>
        </w:rPr>
      </w:pPr>
    </w:p>
    <w:p w14:paraId="041CB7EF">
      <w:pPr>
        <w:rPr>
          <w:b/>
          <w:bCs/>
          <w:color w:val="auto"/>
          <w:highlight w:val="none"/>
        </w:rPr>
      </w:pPr>
    </w:p>
    <w:p w14:paraId="5CC8FB7A">
      <w:pPr>
        <w:pStyle w:val="41"/>
        <w:rPr>
          <w:color w:val="auto"/>
          <w:highlight w:val="none"/>
        </w:rPr>
      </w:pPr>
    </w:p>
    <w:p w14:paraId="178CC0E9">
      <w:pPr>
        <w:pStyle w:val="2"/>
        <w:rPr>
          <w:b/>
          <w:bCs/>
          <w:color w:val="auto"/>
          <w:highlight w:val="none"/>
        </w:rPr>
      </w:pPr>
      <w:r>
        <w:rPr>
          <w:rFonts w:hint="eastAsia"/>
          <w:b/>
          <w:bCs/>
          <w:color w:val="auto"/>
          <w:highlight w:val="none"/>
        </w:rPr>
        <w:t>第二章 供应商须知</w:t>
      </w:r>
      <w:bookmarkEnd w:id="3"/>
      <w:bookmarkEnd w:id="4"/>
      <w:bookmarkEnd w:id="11"/>
    </w:p>
    <w:p w14:paraId="0DD165C4">
      <w:pPr>
        <w:pStyle w:val="3"/>
        <w:rPr>
          <w:rFonts w:ascii="宋体" w:hAnsi="宋体"/>
          <w:color w:val="auto"/>
          <w:sz w:val="30"/>
          <w:szCs w:val="30"/>
          <w:highlight w:val="none"/>
        </w:rPr>
      </w:pPr>
      <w:bookmarkStart w:id="12" w:name="_Toc19399"/>
      <w:bookmarkStart w:id="13" w:name="_Toc9693"/>
      <w:bookmarkStart w:id="14" w:name="_Toc5269840"/>
      <w:bookmarkStart w:id="15" w:name="_Toc18496"/>
      <w:bookmarkStart w:id="16" w:name="_Toc4965"/>
      <w:bookmarkStart w:id="17" w:name="_Toc23377"/>
      <w:bookmarkStart w:id="18" w:name="_Toc433093353"/>
      <w:bookmarkStart w:id="19" w:name="_Toc320521148"/>
      <w:r>
        <w:rPr>
          <w:rFonts w:hint="eastAsia" w:ascii="宋体" w:hAnsi="宋体"/>
          <w:color w:val="auto"/>
          <w:sz w:val="30"/>
          <w:szCs w:val="30"/>
          <w:highlight w:val="none"/>
        </w:rPr>
        <w:t>供应商须知前附表</w:t>
      </w:r>
      <w:bookmarkEnd w:id="12"/>
      <w:bookmarkEnd w:id="13"/>
      <w:bookmarkEnd w:id="14"/>
      <w:bookmarkEnd w:id="15"/>
      <w:bookmarkEnd w:id="16"/>
      <w:bookmarkEnd w:id="17"/>
      <w:bookmarkEnd w:id="18"/>
      <w:bookmarkEnd w:id="19"/>
    </w:p>
    <w:tbl>
      <w:tblPr>
        <w:tblStyle w:val="24"/>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2"/>
        <w:gridCol w:w="8111"/>
      </w:tblGrid>
      <w:tr w14:paraId="049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3539CFB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482" w:type="dxa"/>
            <w:tcBorders>
              <w:tl2br w:val="nil"/>
              <w:tr2bl w:val="nil"/>
            </w:tcBorders>
            <w:vAlign w:val="center"/>
          </w:tcPr>
          <w:p w14:paraId="05E3871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8111" w:type="dxa"/>
            <w:tcBorders>
              <w:tl2br w:val="nil"/>
              <w:tr2bl w:val="nil"/>
            </w:tcBorders>
            <w:vAlign w:val="center"/>
          </w:tcPr>
          <w:p w14:paraId="04C13EE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3EAD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0" w:type="dxa"/>
            <w:tcBorders>
              <w:tl2br w:val="nil"/>
              <w:tr2bl w:val="nil"/>
            </w:tcBorders>
            <w:vAlign w:val="center"/>
          </w:tcPr>
          <w:p w14:paraId="1A1F842A">
            <w:pPr>
              <w:spacing w:line="360" w:lineRule="exact"/>
              <w:ind w:left="-86" w:leftChars="-41" w:firstLine="86" w:firstLineChars="4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1482" w:type="dxa"/>
            <w:tcBorders>
              <w:tl2br w:val="nil"/>
              <w:tr2bl w:val="nil"/>
            </w:tcBorders>
            <w:vAlign w:val="center"/>
          </w:tcPr>
          <w:p w14:paraId="461DF9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8111" w:type="dxa"/>
            <w:tcBorders>
              <w:tl2br w:val="nil"/>
              <w:tr2bl w:val="nil"/>
            </w:tcBorders>
            <w:vAlign w:val="center"/>
          </w:tcPr>
          <w:p w14:paraId="06E75D1C">
            <w:pPr>
              <w:spacing w:line="360" w:lineRule="auto"/>
              <w:jc w:val="left"/>
              <w:rPr>
                <w:rFonts w:ascii="宋体" w:hAnsi="宋体" w:cs="宋体"/>
                <w:color w:val="auto"/>
                <w:szCs w:val="21"/>
                <w:highlight w:val="none"/>
              </w:rPr>
            </w:pPr>
            <w:r>
              <w:rPr>
                <w:rFonts w:hint="eastAsia" w:ascii="宋体" w:hAnsi="宋体" w:eastAsia="Times New Roman" w:cs="宋体"/>
                <w:color w:val="auto"/>
                <w:szCs w:val="21"/>
                <w:highlight w:val="none"/>
              </w:rPr>
              <w:t>名    称</w:t>
            </w:r>
            <w:r>
              <w:rPr>
                <w:rFonts w:ascii="宋体" w:hAnsi="宋体" w:cs="宋体"/>
                <w:color w:val="auto"/>
                <w:szCs w:val="21"/>
                <w:highlight w:val="none"/>
              </w:rPr>
              <w:t xml:space="preserve">：荥阳市自然资源和规划局  </w:t>
            </w:r>
          </w:p>
          <w:p w14:paraId="74EBAD4C">
            <w:pPr>
              <w:spacing w:line="360" w:lineRule="auto"/>
              <w:jc w:val="left"/>
              <w:rPr>
                <w:rFonts w:ascii="宋体" w:hAnsi="宋体" w:cs="宋体"/>
                <w:color w:val="auto"/>
                <w:szCs w:val="21"/>
                <w:highlight w:val="none"/>
              </w:rPr>
            </w:pPr>
            <w:r>
              <w:rPr>
                <w:rFonts w:ascii="宋体" w:hAnsi="宋体" w:cs="宋体"/>
                <w:color w:val="auto"/>
                <w:szCs w:val="21"/>
                <w:highlight w:val="none"/>
              </w:rPr>
              <w:t>地    址：荥阳市荥泽大道与繁荣街交叉口往北300米路西</w:t>
            </w:r>
          </w:p>
          <w:p w14:paraId="10642A4F">
            <w:pPr>
              <w:spacing w:line="360" w:lineRule="auto"/>
              <w:jc w:val="left"/>
              <w:rPr>
                <w:rFonts w:ascii="宋体" w:hAnsi="宋体" w:cs="宋体"/>
                <w:color w:val="auto"/>
                <w:szCs w:val="21"/>
                <w:highlight w:val="none"/>
              </w:rPr>
            </w:pPr>
            <w:r>
              <w:rPr>
                <w:rFonts w:ascii="宋体" w:hAnsi="宋体" w:cs="宋体"/>
                <w:color w:val="auto"/>
                <w:szCs w:val="21"/>
                <w:highlight w:val="none"/>
              </w:rPr>
              <w:t>联 系 人：</w:t>
            </w:r>
            <w:r>
              <w:rPr>
                <w:rFonts w:hint="eastAsia" w:ascii="宋体" w:hAnsi="宋体" w:cs="宋体"/>
                <w:color w:val="auto"/>
                <w:szCs w:val="21"/>
                <w:highlight w:val="none"/>
              </w:rPr>
              <w:t>禹杰</w:t>
            </w:r>
          </w:p>
          <w:p w14:paraId="6DB7C92D">
            <w:pPr>
              <w:spacing w:line="360" w:lineRule="auto"/>
              <w:jc w:val="left"/>
              <w:rPr>
                <w:rFonts w:ascii="宋体" w:hAnsi="宋体" w:cs="宋体"/>
                <w:color w:val="auto"/>
                <w:szCs w:val="21"/>
                <w:highlight w:val="none"/>
              </w:rPr>
            </w:pPr>
            <w:r>
              <w:rPr>
                <w:rFonts w:ascii="宋体" w:hAnsi="宋体" w:cs="宋体"/>
                <w:color w:val="auto"/>
                <w:szCs w:val="21"/>
                <w:highlight w:val="none"/>
              </w:rPr>
              <w:t>电    话：0371-</w:t>
            </w:r>
            <w:r>
              <w:rPr>
                <w:rFonts w:hint="eastAsia" w:ascii="宋体" w:hAnsi="宋体" w:cs="宋体"/>
                <w:color w:val="auto"/>
                <w:szCs w:val="21"/>
                <w:highlight w:val="none"/>
              </w:rPr>
              <w:t>64652093</w:t>
            </w:r>
          </w:p>
        </w:tc>
      </w:tr>
      <w:tr w14:paraId="1C7F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00" w:type="dxa"/>
            <w:tcBorders>
              <w:tl2br w:val="nil"/>
              <w:tr2bl w:val="nil"/>
            </w:tcBorders>
            <w:vAlign w:val="center"/>
          </w:tcPr>
          <w:p w14:paraId="287389B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1482" w:type="dxa"/>
            <w:tcBorders>
              <w:tl2br w:val="nil"/>
              <w:tr2bl w:val="nil"/>
            </w:tcBorders>
            <w:vAlign w:val="center"/>
          </w:tcPr>
          <w:p w14:paraId="737798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8111" w:type="dxa"/>
            <w:tcBorders>
              <w:tl2br w:val="nil"/>
              <w:tr2bl w:val="nil"/>
            </w:tcBorders>
            <w:vAlign w:val="center"/>
          </w:tcPr>
          <w:p w14:paraId="4E134775">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招标代理机构：河南德旭项目管理有限公司</w:t>
            </w:r>
          </w:p>
          <w:p w14:paraId="54A932E3">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址：荥阳市京城路与荥运路交叉口润旭德工业园3号楼6楼</w:t>
            </w:r>
          </w:p>
          <w:p w14:paraId="7A121111">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联系人：喻心美</w:t>
            </w:r>
          </w:p>
          <w:p w14:paraId="2225BAE1">
            <w:pPr>
              <w:widowControl/>
              <w:spacing w:line="440" w:lineRule="exact"/>
              <w:jc w:val="left"/>
              <w:rPr>
                <w:rFonts w:ascii="宋体" w:hAnsi="宋体" w:cs="宋体"/>
                <w:color w:val="auto"/>
                <w:szCs w:val="21"/>
                <w:highlight w:val="none"/>
              </w:rPr>
            </w:pPr>
            <w:r>
              <w:rPr>
                <w:rFonts w:hint="eastAsia" w:ascii="宋体" w:hAnsi="宋体" w:cs="宋体"/>
                <w:color w:val="auto"/>
                <w:szCs w:val="21"/>
                <w:highlight w:val="none"/>
              </w:rPr>
              <w:t>联系方式：15515832988</w:t>
            </w:r>
          </w:p>
        </w:tc>
      </w:tr>
      <w:tr w14:paraId="7DF7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5131DC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482" w:type="dxa"/>
            <w:tcBorders>
              <w:tl2br w:val="nil"/>
              <w:tr2bl w:val="nil"/>
            </w:tcBorders>
            <w:vAlign w:val="center"/>
          </w:tcPr>
          <w:p w14:paraId="00ED50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8111" w:type="dxa"/>
            <w:tcBorders>
              <w:tl2br w:val="nil"/>
              <w:tr2bl w:val="nil"/>
            </w:tcBorders>
            <w:vAlign w:val="center"/>
          </w:tcPr>
          <w:p w14:paraId="2B33D179">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荥阳市自然资源和规划局2026年度荥阳市国土空间总体规划动态调整完善方案项目（二次）</w:t>
            </w:r>
          </w:p>
        </w:tc>
      </w:tr>
      <w:tr w14:paraId="3074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298B443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482" w:type="dxa"/>
            <w:tcBorders>
              <w:tl2br w:val="nil"/>
              <w:tr2bl w:val="nil"/>
            </w:tcBorders>
            <w:vAlign w:val="center"/>
          </w:tcPr>
          <w:p w14:paraId="5EC4D02A">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服务地点</w:t>
            </w:r>
          </w:p>
        </w:tc>
        <w:tc>
          <w:tcPr>
            <w:tcW w:w="8111" w:type="dxa"/>
            <w:tcBorders>
              <w:tl2br w:val="nil"/>
              <w:tr2bl w:val="nil"/>
            </w:tcBorders>
            <w:vAlign w:val="center"/>
          </w:tcPr>
          <w:p w14:paraId="3F72C176">
            <w:pPr>
              <w:spacing w:line="360" w:lineRule="auto"/>
              <w:rPr>
                <w:rFonts w:ascii="宋体" w:hAnsi="宋体" w:cs="宋体"/>
                <w:color w:val="auto"/>
                <w:szCs w:val="21"/>
                <w:highlight w:val="none"/>
              </w:rPr>
            </w:pPr>
            <w:r>
              <w:rPr>
                <w:rFonts w:hint="eastAsia" w:ascii="宋体" w:hAnsi="宋体" w:cs="宋体"/>
                <w:color w:val="auto"/>
                <w:szCs w:val="21"/>
                <w:highlight w:val="none"/>
              </w:rPr>
              <w:t>荥阳市境内</w:t>
            </w:r>
          </w:p>
        </w:tc>
      </w:tr>
      <w:tr w14:paraId="7173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04A1727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1482" w:type="dxa"/>
            <w:tcBorders>
              <w:tl2br w:val="nil"/>
              <w:tr2bl w:val="nil"/>
            </w:tcBorders>
            <w:vAlign w:val="center"/>
          </w:tcPr>
          <w:p w14:paraId="40B0FE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8111" w:type="dxa"/>
            <w:tcBorders>
              <w:tl2br w:val="nil"/>
              <w:tr2bl w:val="nil"/>
            </w:tcBorders>
            <w:vAlign w:val="center"/>
          </w:tcPr>
          <w:p w14:paraId="612206FE">
            <w:pPr>
              <w:spacing w:line="360" w:lineRule="auto"/>
              <w:rPr>
                <w:rFonts w:ascii="宋体" w:hAnsi="宋体" w:cs="宋体"/>
                <w:color w:val="auto"/>
                <w:szCs w:val="21"/>
                <w:highlight w:val="none"/>
              </w:rPr>
            </w:pPr>
            <w:r>
              <w:rPr>
                <w:rFonts w:hint="eastAsia" w:ascii="宋体" w:hAnsi="宋体" w:cs="宋体"/>
                <w:color w:val="auto"/>
                <w:szCs w:val="21"/>
                <w:highlight w:val="none"/>
              </w:rPr>
              <w:t>财政资金</w:t>
            </w:r>
          </w:p>
        </w:tc>
      </w:tr>
      <w:tr w14:paraId="69B2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6787E12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1482" w:type="dxa"/>
            <w:tcBorders>
              <w:tl2br w:val="nil"/>
              <w:tr2bl w:val="nil"/>
            </w:tcBorders>
            <w:vAlign w:val="center"/>
          </w:tcPr>
          <w:p w14:paraId="62D633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8111" w:type="dxa"/>
            <w:tcBorders>
              <w:tl2br w:val="nil"/>
              <w:tr2bl w:val="nil"/>
            </w:tcBorders>
            <w:vAlign w:val="center"/>
          </w:tcPr>
          <w:p w14:paraId="4E929D88">
            <w:pPr>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01ED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00" w:type="dxa"/>
            <w:tcBorders>
              <w:tl2br w:val="nil"/>
              <w:tr2bl w:val="nil"/>
            </w:tcBorders>
            <w:vAlign w:val="center"/>
          </w:tcPr>
          <w:p w14:paraId="751F4B8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482" w:type="dxa"/>
            <w:tcBorders>
              <w:tl2br w:val="nil"/>
              <w:tr2bl w:val="nil"/>
            </w:tcBorders>
            <w:vAlign w:val="center"/>
          </w:tcPr>
          <w:p w14:paraId="4CA0A30D">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采购需求</w:t>
            </w:r>
          </w:p>
        </w:tc>
        <w:tc>
          <w:tcPr>
            <w:tcW w:w="8111" w:type="dxa"/>
            <w:tcBorders>
              <w:tl2br w:val="nil"/>
              <w:tr2bl w:val="nil"/>
            </w:tcBorders>
            <w:vAlign w:val="center"/>
          </w:tcPr>
          <w:p w14:paraId="499C08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据河南省自然资源厅下发的《市县级国土空间总体规划动态调整完善2026年度工作方案》相关要求：规划动态调整完善方案包含对《荥阳市国土空间总体规划（2021-2035年）》中三条控制线、规划分区、中心城区用地方案布局、城市重要控制线、其他重要控制线、重点建设项目清单、乡镇主体功能及其他需要维护内容的动态调整方案编制及必要性说明。（详见采购文件）</w:t>
            </w:r>
          </w:p>
        </w:tc>
      </w:tr>
      <w:tr w14:paraId="0CB3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0" w:type="dxa"/>
            <w:tcBorders>
              <w:tl2br w:val="nil"/>
              <w:tr2bl w:val="nil"/>
            </w:tcBorders>
            <w:vAlign w:val="center"/>
          </w:tcPr>
          <w:p w14:paraId="20E57A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1482" w:type="dxa"/>
            <w:tcBorders>
              <w:tl2br w:val="nil"/>
              <w:tr2bl w:val="nil"/>
            </w:tcBorders>
            <w:vAlign w:val="center"/>
          </w:tcPr>
          <w:p w14:paraId="1E949995">
            <w:pPr>
              <w:spacing w:line="240" w:lineRule="atLeast"/>
              <w:jc w:val="center"/>
              <w:rPr>
                <w:rFonts w:ascii="宋体" w:hAnsi="宋体" w:cs="宋体"/>
                <w:color w:val="auto"/>
                <w:szCs w:val="21"/>
                <w:highlight w:val="none"/>
              </w:rPr>
            </w:pPr>
            <w:r>
              <w:rPr>
                <w:rFonts w:hint="eastAsia" w:ascii="宋体" w:hAnsi="宋体" w:eastAsia="Times New Roman" w:cs="宋体"/>
                <w:color w:val="auto"/>
                <w:szCs w:val="21"/>
                <w:highlight w:val="none"/>
              </w:rPr>
              <w:t>服务周期</w:t>
            </w:r>
          </w:p>
        </w:tc>
        <w:tc>
          <w:tcPr>
            <w:tcW w:w="8111" w:type="dxa"/>
            <w:tcBorders>
              <w:tl2br w:val="nil"/>
              <w:tr2bl w:val="nil"/>
            </w:tcBorders>
            <w:vAlign w:val="center"/>
          </w:tcPr>
          <w:p w14:paraId="45D4B867">
            <w:pPr>
              <w:spacing w:line="240" w:lineRule="atLeast"/>
              <w:rPr>
                <w:rFonts w:ascii="宋体" w:hAnsi="宋体" w:cs="宋体"/>
                <w:color w:val="auto"/>
                <w:szCs w:val="21"/>
                <w:highlight w:val="none"/>
              </w:rPr>
            </w:pPr>
            <w:r>
              <w:rPr>
                <w:rFonts w:hint="eastAsia" w:ascii="宋体" w:hAnsi="宋体" w:cs="宋体"/>
                <w:bCs/>
                <w:color w:val="auto"/>
                <w:kern w:val="0"/>
                <w:szCs w:val="21"/>
                <w:highlight w:val="none"/>
              </w:rPr>
              <w:t>签订合同之日起至项目通过报批完成入库。</w:t>
            </w:r>
          </w:p>
        </w:tc>
      </w:tr>
      <w:tr w14:paraId="5EB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5012670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1482" w:type="dxa"/>
            <w:tcBorders>
              <w:tl2br w:val="nil"/>
              <w:tr2bl w:val="nil"/>
            </w:tcBorders>
            <w:vAlign w:val="center"/>
          </w:tcPr>
          <w:p w14:paraId="6D069DD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8111" w:type="dxa"/>
            <w:tcBorders>
              <w:tl2br w:val="nil"/>
              <w:tr2bl w:val="nil"/>
            </w:tcBorders>
            <w:vAlign w:val="center"/>
          </w:tcPr>
          <w:p w14:paraId="31E2A424">
            <w:pPr>
              <w:spacing w:line="240" w:lineRule="atLeast"/>
              <w:rPr>
                <w:rFonts w:ascii="宋体" w:hAnsi="宋体" w:cs="宋体"/>
                <w:color w:val="auto"/>
                <w:szCs w:val="21"/>
                <w:highlight w:val="none"/>
              </w:rPr>
            </w:pPr>
            <w:r>
              <w:rPr>
                <w:rFonts w:hint="eastAsia" w:ascii="宋体" w:hAnsi="宋体" w:cs="宋体"/>
                <w:color w:val="auto"/>
                <w:kern w:val="0"/>
                <w:szCs w:val="21"/>
                <w:highlight w:val="none"/>
              </w:rPr>
              <w:t>符合国家、行业规定的合格标准和规范，满足采购文件和采购人的要求。</w:t>
            </w:r>
          </w:p>
        </w:tc>
      </w:tr>
      <w:tr w14:paraId="7031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tcBorders>
              <w:tl2br w:val="nil"/>
              <w:tr2bl w:val="nil"/>
            </w:tcBorders>
            <w:vAlign w:val="center"/>
          </w:tcPr>
          <w:p w14:paraId="7C737C6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1482" w:type="dxa"/>
            <w:tcBorders>
              <w:tl2br w:val="nil"/>
              <w:tr2bl w:val="nil"/>
            </w:tcBorders>
            <w:vAlign w:val="center"/>
          </w:tcPr>
          <w:p w14:paraId="757949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申请人的资格要求</w:t>
            </w:r>
          </w:p>
        </w:tc>
        <w:tc>
          <w:tcPr>
            <w:tcW w:w="8111" w:type="dxa"/>
            <w:tcBorders>
              <w:tl2br w:val="nil"/>
              <w:tr2bl w:val="nil"/>
            </w:tcBorders>
            <w:vAlign w:val="center"/>
          </w:tcPr>
          <w:p w14:paraId="3F3E6967">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A477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3F59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3A6DE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5D7DF63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w:t>
            </w:r>
          </w:p>
          <w:p w14:paraId="2711A94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（5）参加政府采购活动前三年内，在经营活动中没有重大违法记录（供应商需出具承诺书，格式自拟）。</w:t>
            </w:r>
          </w:p>
          <w:p w14:paraId="7A65D765">
            <w:pPr>
              <w:pStyle w:val="20"/>
              <w:spacing w:beforeAutospacing="0" w:afterAutospacing="0" w:line="360" w:lineRule="auto"/>
              <w:ind w:firstLine="422" w:firstLineChars="200"/>
              <w:jc w:val="both"/>
              <w:rPr>
                <w:rFonts w:ascii="宋体" w:hAnsi="宋体" w:cs="宋体"/>
                <w:color w:val="auto"/>
                <w:kern w:val="2"/>
                <w:sz w:val="21"/>
                <w:szCs w:val="21"/>
                <w:highlight w:val="none"/>
              </w:rPr>
            </w:pPr>
            <w:r>
              <w:rPr>
                <w:rFonts w:hint="eastAsia" w:ascii="宋体" w:hAnsi="宋体" w:cs="宋体"/>
                <w:b/>
                <w:bCs/>
                <w:color w:val="auto"/>
                <w:sz w:val="21"/>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2BB7CB4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ascii="宋体" w:hAnsi="宋体" w:cs="宋体"/>
                <w:b/>
                <w:bCs/>
                <w:color w:val="auto"/>
                <w:szCs w:val="21"/>
                <w:highlight w:val="none"/>
              </w:rPr>
              <w:t xml:space="preserve"> </w:t>
            </w:r>
          </w:p>
          <w:p w14:paraId="18AD808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29B3F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04DC347C">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02C625C1">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6D117895">
            <w:pPr>
              <w:pStyle w:val="23"/>
              <w:spacing w:line="360" w:lineRule="auto"/>
              <w:ind w:left="0" w:leftChars="0" w:firstLine="420"/>
              <w:rPr>
                <w:rFonts w:ascii="宋体" w:hAnsi="宋体" w:cs="宋体"/>
                <w:bCs/>
                <w:iCs/>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01E1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39D7F2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1482" w:type="dxa"/>
            <w:tcBorders>
              <w:tl2br w:val="nil"/>
              <w:tr2bl w:val="nil"/>
            </w:tcBorders>
            <w:vAlign w:val="center"/>
          </w:tcPr>
          <w:p w14:paraId="2C76FF4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8111" w:type="dxa"/>
            <w:tcBorders>
              <w:tl2br w:val="nil"/>
              <w:tr2bl w:val="nil"/>
            </w:tcBorders>
            <w:vAlign w:val="center"/>
          </w:tcPr>
          <w:p w14:paraId="6C2C7DC4">
            <w:pPr>
              <w:spacing w:line="240" w:lineRule="atLeast"/>
              <w:rPr>
                <w:rFonts w:ascii="宋体" w:hAnsi="宋体" w:cs="宋体"/>
                <w:color w:val="auto"/>
                <w:szCs w:val="21"/>
                <w:highlight w:val="none"/>
              </w:rPr>
            </w:pPr>
            <w:r>
              <w:rPr>
                <w:rFonts w:hint="eastAsia" w:ascii="宋体" w:hAnsi="宋体" w:cs="宋体"/>
                <w:color w:val="auto"/>
                <w:szCs w:val="21"/>
                <w:highlight w:val="none"/>
              </w:rPr>
              <w:t>不接受</w:t>
            </w:r>
          </w:p>
        </w:tc>
      </w:tr>
      <w:tr w14:paraId="498E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4B53EC3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82" w:type="dxa"/>
            <w:tcBorders>
              <w:tl2br w:val="nil"/>
              <w:tr2bl w:val="nil"/>
            </w:tcBorders>
            <w:vAlign w:val="center"/>
          </w:tcPr>
          <w:p w14:paraId="6D9ABAA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8111" w:type="dxa"/>
            <w:tcBorders>
              <w:tl2br w:val="nil"/>
              <w:tr2bl w:val="nil"/>
            </w:tcBorders>
            <w:vAlign w:val="center"/>
          </w:tcPr>
          <w:p w14:paraId="63F85982">
            <w:pPr>
              <w:spacing w:line="240" w:lineRule="atLeast"/>
              <w:rPr>
                <w:rFonts w:ascii="宋体" w:hAnsi="宋体" w:cs="宋体"/>
                <w:color w:val="auto"/>
                <w:szCs w:val="21"/>
                <w:highlight w:val="none"/>
                <w:u w:val="single"/>
              </w:rPr>
            </w:pPr>
            <w:r>
              <w:rPr>
                <w:rFonts w:hint="eastAsia" w:ascii="宋体" w:hAnsi="宋体" w:cs="宋体"/>
                <w:color w:val="auto"/>
                <w:szCs w:val="21"/>
                <w:highlight w:val="none"/>
              </w:rPr>
              <w:t>不组织</w:t>
            </w:r>
          </w:p>
        </w:tc>
      </w:tr>
      <w:tr w14:paraId="6CAD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05A86B9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1482" w:type="dxa"/>
            <w:tcBorders>
              <w:tl2br w:val="nil"/>
              <w:tr2bl w:val="nil"/>
            </w:tcBorders>
            <w:vAlign w:val="center"/>
          </w:tcPr>
          <w:p w14:paraId="2934BD0D">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8111" w:type="dxa"/>
            <w:tcBorders>
              <w:tl2br w:val="nil"/>
              <w:tr2bl w:val="nil"/>
            </w:tcBorders>
            <w:vAlign w:val="center"/>
          </w:tcPr>
          <w:p w14:paraId="674567D9">
            <w:pPr>
              <w:spacing w:line="240" w:lineRule="atLeast"/>
              <w:rPr>
                <w:rFonts w:ascii="宋体" w:hAnsi="宋体" w:cs="宋体"/>
                <w:color w:val="auto"/>
                <w:szCs w:val="21"/>
                <w:highlight w:val="none"/>
              </w:rPr>
            </w:pPr>
            <w:r>
              <w:rPr>
                <w:rFonts w:hint="eastAsia" w:ascii="宋体" w:hAnsi="宋体" w:cs="宋体"/>
                <w:color w:val="auto"/>
                <w:szCs w:val="21"/>
                <w:highlight w:val="none"/>
              </w:rPr>
              <w:t>不召开</w:t>
            </w:r>
          </w:p>
        </w:tc>
      </w:tr>
      <w:tr w14:paraId="0E5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654378F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82" w:type="dxa"/>
            <w:tcBorders>
              <w:tl2br w:val="nil"/>
              <w:tr2bl w:val="nil"/>
            </w:tcBorders>
            <w:vAlign w:val="center"/>
          </w:tcPr>
          <w:p w14:paraId="6883B2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8111" w:type="dxa"/>
            <w:tcBorders>
              <w:tl2br w:val="nil"/>
              <w:tr2bl w:val="nil"/>
            </w:tcBorders>
            <w:vAlign w:val="center"/>
          </w:tcPr>
          <w:p w14:paraId="1F62047A">
            <w:pPr>
              <w:spacing w:line="360" w:lineRule="auto"/>
              <w:rPr>
                <w:rFonts w:ascii="宋体" w:hAnsi="宋体" w:cs="宋体"/>
                <w:color w:val="auto"/>
                <w:szCs w:val="21"/>
                <w:highlight w:val="none"/>
              </w:rPr>
            </w:pPr>
            <w:r>
              <w:rPr>
                <w:rFonts w:hint="eastAsia" w:ascii="宋体" w:hAnsi="宋体" w:cs="宋体"/>
                <w:color w:val="auto"/>
                <w:szCs w:val="21"/>
                <w:highlight w:val="none"/>
              </w:rPr>
              <w:t>补充、答疑文件（如有）</w:t>
            </w:r>
          </w:p>
        </w:tc>
      </w:tr>
      <w:tr w14:paraId="761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0FB3C77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482" w:type="dxa"/>
            <w:tcBorders>
              <w:tl2br w:val="nil"/>
              <w:tr2bl w:val="nil"/>
            </w:tcBorders>
            <w:vAlign w:val="center"/>
          </w:tcPr>
          <w:p w14:paraId="7EF754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供应商要求澄清磋商文件的截止时间</w:t>
            </w:r>
          </w:p>
        </w:tc>
        <w:tc>
          <w:tcPr>
            <w:tcW w:w="8111" w:type="dxa"/>
            <w:tcBorders>
              <w:tl2br w:val="nil"/>
              <w:tr2bl w:val="nil"/>
            </w:tcBorders>
            <w:vAlign w:val="center"/>
          </w:tcPr>
          <w:p w14:paraId="715F74CB">
            <w:pPr>
              <w:spacing w:line="360" w:lineRule="auto"/>
              <w:rPr>
                <w:rFonts w:ascii="宋体" w:hAnsi="宋体" w:cs="宋体"/>
                <w:color w:val="auto"/>
                <w:szCs w:val="21"/>
                <w:highlight w:val="none"/>
              </w:rPr>
            </w:pPr>
            <w:r>
              <w:rPr>
                <w:rFonts w:hint="eastAsia" w:ascii="宋体" w:hAnsi="宋体" w:cs="宋体"/>
                <w:color w:val="auto"/>
                <w:szCs w:val="21"/>
                <w:highlight w:val="none"/>
              </w:rPr>
              <w:t>磋商截止时间五日前</w:t>
            </w:r>
          </w:p>
        </w:tc>
      </w:tr>
      <w:tr w14:paraId="63CB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74A8AC6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482" w:type="dxa"/>
            <w:tcBorders>
              <w:tl2br w:val="nil"/>
              <w:tr2bl w:val="nil"/>
            </w:tcBorders>
            <w:vAlign w:val="center"/>
          </w:tcPr>
          <w:p w14:paraId="05EC1F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提交响应文件截止时间及磋商开始时间</w:t>
            </w:r>
          </w:p>
        </w:tc>
        <w:tc>
          <w:tcPr>
            <w:tcW w:w="8111" w:type="dxa"/>
            <w:tcBorders>
              <w:tl2br w:val="nil"/>
              <w:tr2bl w:val="nil"/>
            </w:tcBorders>
            <w:vAlign w:val="center"/>
          </w:tcPr>
          <w:p w14:paraId="4E7E713D">
            <w:pPr>
              <w:spacing w:line="360" w:lineRule="auto"/>
              <w:rPr>
                <w:rFonts w:ascii="宋体" w:hAnsi="宋体" w:cs="宋体"/>
                <w:b/>
                <w:color w:val="auto"/>
                <w:szCs w:val="21"/>
                <w:highlight w:val="none"/>
              </w:rPr>
            </w:pPr>
            <w:r>
              <w:rPr>
                <w:rFonts w:hint="eastAsia" w:ascii="宋体" w:hAnsi="宋体" w:cs="宋体"/>
                <w:b/>
                <w:color w:val="auto"/>
                <w:szCs w:val="21"/>
                <w:highlight w:val="none"/>
              </w:rPr>
              <w:t>2026年</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月</w:t>
            </w:r>
            <w:r>
              <w:rPr>
                <w:rFonts w:hint="eastAsia" w:ascii="宋体" w:hAnsi="宋体" w:cs="宋体"/>
                <w:b/>
                <w:color w:val="auto"/>
                <w:szCs w:val="21"/>
                <w:highlight w:val="none"/>
                <w:lang w:val="en-US" w:eastAsia="zh-CN"/>
              </w:rPr>
              <w:t>21</w:t>
            </w:r>
            <w:r>
              <w:rPr>
                <w:rFonts w:hint="eastAsia" w:ascii="宋体" w:hAnsi="宋体" w:cs="宋体"/>
                <w:b/>
                <w:color w:val="auto"/>
                <w:szCs w:val="21"/>
                <w:highlight w:val="none"/>
              </w:rPr>
              <w:t>日</w:t>
            </w:r>
            <w:r>
              <w:rPr>
                <w:rFonts w:hint="eastAsia" w:ascii="宋体" w:hAnsi="宋体" w:eastAsia="Times New Roman" w:cs="宋体"/>
                <w:b/>
                <w:color w:val="auto"/>
                <w:szCs w:val="21"/>
                <w:highlight w:val="none"/>
              </w:rPr>
              <w:t>9</w:t>
            </w:r>
            <w:r>
              <w:rPr>
                <w:rFonts w:hint="eastAsia" w:ascii="宋体" w:hAnsi="宋体" w:cs="宋体"/>
                <w:b/>
                <w:color w:val="auto"/>
                <w:szCs w:val="21"/>
                <w:highlight w:val="none"/>
              </w:rPr>
              <w:t>时</w:t>
            </w:r>
            <w:r>
              <w:rPr>
                <w:rFonts w:hint="eastAsia" w:ascii="宋体" w:hAnsi="宋体" w:cs="宋体"/>
                <w:b/>
                <w:color w:val="auto"/>
                <w:szCs w:val="21"/>
                <w:highlight w:val="none"/>
                <w:lang w:val="en-US" w:eastAsia="zh-CN"/>
              </w:rPr>
              <w:t>00</w:t>
            </w:r>
            <w:r>
              <w:rPr>
                <w:rFonts w:hint="eastAsia" w:ascii="宋体" w:hAnsi="宋体" w:cs="宋体"/>
                <w:b/>
                <w:color w:val="auto"/>
                <w:szCs w:val="21"/>
                <w:highlight w:val="none"/>
              </w:rPr>
              <w:t>分（北京时间，下同）</w:t>
            </w:r>
          </w:p>
        </w:tc>
      </w:tr>
      <w:tr w14:paraId="160B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7EC278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482" w:type="dxa"/>
            <w:tcBorders>
              <w:tl2br w:val="nil"/>
              <w:tr2bl w:val="nil"/>
            </w:tcBorders>
            <w:vAlign w:val="center"/>
          </w:tcPr>
          <w:p w14:paraId="0597F4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w:t>
            </w:r>
          </w:p>
          <w:p w14:paraId="318D56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磋商文件澄清的时间</w:t>
            </w:r>
          </w:p>
        </w:tc>
        <w:tc>
          <w:tcPr>
            <w:tcW w:w="8111" w:type="dxa"/>
            <w:tcBorders>
              <w:tl2br w:val="nil"/>
              <w:tr2bl w:val="nil"/>
            </w:tcBorders>
            <w:vAlign w:val="center"/>
          </w:tcPr>
          <w:p w14:paraId="1631F831">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在收到相应澄清文件后24小时内</w:t>
            </w:r>
          </w:p>
        </w:tc>
      </w:tr>
      <w:tr w14:paraId="246A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46A551D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1482" w:type="dxa"/>
            <w:tcBorders>
              <w:tl2br w:val="nil"/>
              <w:tr2bl w:val="nil"/>
            </w:tcBorders>
            <w:vAlign w:val="center"/>
          </w:tcPr>
          <w:p w14:paraId="4F40E0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8111" w:type="dxa"/>
            <w:tcBorders>
              <w:tl2br w:val="nil"/>
              <w:tr2bl w:val="nil"/>
            </w:tcBorders>
            <w:vAlign w:val="center"/>
          </w:tcPr>
          <w:p w14:paraId="06E1EDC3">
            <w:pPr>
              <w:spacing w:line="360" w:lineRule="auto"/>
              <w:rPr>
                <w:rFonts w:ascii="宋体" w:hAnsi="宋体" w:cs="宋体"/>
                <w:color w:val="auto"/>
                <w:szCs w:val="21"/>
                <w:highlight w:val="none"/>
              </w:rPr>
            </w:pPr>
            <w:r>
              <w:rPr>
                <w:rFonts w:hint="eastAsia" w:ascii="宋体" w:hAnsi="宋体" w:cs="宋体"/>
                <w:color w:val="auto"/>
                <w:szCs w:val="21"/>
                <w:highlight w:val="none"/>
              </w:rPr>
              <w:t>在收到相应修改文件后24小时内</w:t>
            </w:r>
          </w:p>
        </w:tc>
      </w:tr>
      <w:tr w14:paraId="283F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71F987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1482" w:type="dxa"/>
            <w:tcBorders>
              <w:tl2br w:val="nil"/>
              <w:tr2bl w:val="nil"/>
            </w:tcBorders>
            <w:vAlign w:val="center"/>
          </w:tcPr>
          <w:p w14:paraId="5228C9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构成磋商响应文件的其他材料</w:t>
            </w:r>
          </w:p>
        </w:tc>
        <w:tc>
          <w:tcPr>
            <w:tcW w:w="8111" w:type="dxa"/>
            <w:tcBorders>
              <w:tl2br w:val="nil"/>
              <w:tr2bl w:val="nil"/>
            </w:tcBorders>
            <w:vAlign w:val="center"/>
          </w:tcPr>
          <w:p w14:paraId="01DA216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磋商文件中要求提交的其他资料以及供应商认为有利于其投标的其他资料。 </w:t>
            </w:r>
          </w:p>
        </w:tc>
      </w:tr>
      <w:tr w14:paraId="04E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31AC404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1482" w:type="dxa"/>
            <w:tcBorders>
              <w:tl2br w:val="nil"/>
              <w:tr2bl w:val="nil"/>
            </w:tcBorders>
            <w:vAlign w:val="center"/>
          </w:tcPr>
          <w:p w14:paraId="382ADE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磋商报价</w:t>
            </w:r>
          </w:p>
        </w:tc>
        <w:tc>
          <w:tcPr>
            <w:tcW w:w="8111" w:type="dxa"/>
            <w:tcBorders>
              <w:tl2br w:val="nil"/>
              <w:tr2bl w:val="nil"/>
            </w:tcBorders>
            <w:vAlign w:val="center"/>
          </w:tcPr>
          <w:p w14:paraId="5F9C2944">
            <w:pPr>
              <w:spacing w:line="360" w:lineRule="auto"/>
              <w:rPr>
                <w:rFonts w:ascii="宋体" w:hAnsi="宋体" w:cs="宋体"/>
                <w:color w:val="auto"/>
                <w:szCs w:val="21"/>
                <w:highlight w:val="none"/>
              </w:rPr>
            </w:pPr>
            <w:r>
              <w:rPr>
                <w:rFonts w:hint="eastAsia" w:ascii="宋体" w:hAnsi="宋体" w:cs="宋体"/>
                <w:color w:val="auto"/>
                <w:szCs w:val="21"/>
                <w:highlight w:val="none"/>
              </w:rPr>
              <w:t>供应商在应当在竞争性谈判文件确定的</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截止时间前,准时到达</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地点参加</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活动并进行文件解密、答疑澄清、二次报价等，逾期送达的响应文件，采购人不予受理。</w:t>
            </w:r>
          </w:p>
        </w:tc>
      </w:tr>
      <w:tr w14:paraId="237F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525BC7F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1482" w:type="dxa"/>
            <w:tcBorders>
              <w:tl2br w:val="nil"/>
              <w:tr2bl w:val="nil"/>
            </w:tcBorders>
            <w:vAlign w:val="center"/>
          </w:tcPr>
          <w:p w14:paraId="261343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8111" w:type="dxa"/>
            <w:tcBorders>
              <w:tl2br w:val="nil"/>
              <w:tr2bl w:val="nil"/>
            </w:tcBorders>
            <w:vAlign w:val="center"/>
          </w:tcPr>
          <w:p w14:paraId="4C102C48">
            <w:pPr>
              <w:spacing w:line="360" w:lineRule="auto"/>
              <w:rPr>
                <w:rFonts w:ascii="宋体" w:hAnsi="宋体" w:cs="宋体"/>
                <w:color w:val="auto"/>
                <w:szCs w:val="21"/>
                <w:highlight w:val="none"/>
              </w:rPr>
            </w:pPr>
            <w:r>
              <w:rPr>
                <w:rFonts w:hint="eastAsia" w:ascii="宋体" w:hAnsi="宋体" w:cs="宋体"/>
                <w:color w:val="auto"/>
                <w:szCs w:val="21"/>
                <w:highlight w:val="none"/>
              </w:rPr>
              <w:t>自响应文件递交的截止时间起计算</w:t>
            </w:r>
            <w:r>
              <w:rPr>
                <w:rFonts w:hint="eastAsia" w:ascii="宋体" w:hAnsi="宋体" w:cs="宋体"/>
                <w:color w:val="auto"/>
                <w:szCs w:val="21"/>
                <w:highlight w:val="none"/>
                <w:u w:val="single"/>
              </w:rPr>
              <w:t>60</w:t>
            </w:r>
            <w:r>
              <w:rPr>
                <w:rFonts w:hint="eastAsia" w:ascii="宋体" w:hAnsi="宋体" w:cs="宋体"/>
                <w:color w:val="auto"/>
                <w:szCs w:val="21"/>
                <w:highlight w:val="none"/>
              </w:rPr>
              <w:t>日历天</w:t>
            </w:r>
          </w:p>
        </w:tc>
      </w:tr>
      <w:tr w14:paraId="2D8F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74998F3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1482" w:type="dxa"/>
            <w:tcBorders>
              <w:tl2br w:val="nil"/>
              <w:tr2bl w:val="nil"/>
            </w:tcBorders>
            <w:vAlign w:val="center"/>
          </w:tcPr>
          <w:p w14:paraId="421931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5B878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8111" w:type="dxa"/>
            <w:tcBorders>
              <w:tl2br w:val="nil"/>
              <w:tr2bl w:val="nil"/>
            </w:tcBorders>
            <w:vAlign w:val="center"/>
          </w:tcPr>
          <w:p w14:paraId="7AA1D5B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4F69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tcBorders>
              <w:tl2br w:val="nil"/>
              <w:tr2bl w:val="nil"/>
            </w:tcBorders>
            <w:vAlign w:val="center"/>
          </w:tcPr>
          <w:p w14:paraId="03F35A2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3.6.3</w:t>
            </w:r>
          </w:p>
        </w:tc>
        <w:tc>
          <w:tcPr>
            <w:tcW w:w="1482" w:type="dxa"/>
            <w:tcBorders>
              <w:tl2br w:val="nil"/>
              <w:tr2bl w:val="nil"/>
            </w:tcBorders>
            <w:vAlign w:val="center"/>
          </w:tcPr>
          <w:p w14:paraId="29D621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签字和盖章要求</w:t>
            </w:r>
          </w:p>
        </w:tc>
        <w:tc>
          <w:tcPr>
            <w:tcW w:w="8111" w:type="dxa"/>
            <w:tcBorders>
              <w:tl2br w:val="nil"/>
              <w:tr2bl w:val="nil"/>
            </w:tcBorders>
            <w:vAlign w:val="center"/>
          </w:tcPr>
          <w:p w14:paraId="16C645A1">
            <w:pPr>
              <w:spacing w:line="360" w:lineRule="auto"/>
              <w:rPr>
                <w:rFonts w:ascii="宋体" w:hAnsi="宋体" w:cs="宋体"/>
                <w:color w:val="auto"/>
                <w:szCs w:val="21"/>
                <w:highlight w:val="none"/>
              </w:rPr>
            </w:pPr>
            <w:r>
              <w:rPr>
                <w:rFonts w:hint="eastAsia" w:ascii="宋体" w:hAnsi="宋体" w:cs="宋体"/>
                <w:color w:val="auto"/>
                <w:szCs w:val="21"/>
                <w:highlight w:val="none"/>
              </w:rPr>
              <w:t>见</w:t>
            </w:r>
            <w:r>
              <w:rPr>
                <w:rFonts w:hint="eastAsia" w:ascii="宋体" w:hAnsi="宋体" w:eastAsia="Times New Roman" w:cs="宋体"/>
                <w:color w:val="auto"/>
                <w:szCs w:val="21"/>
                <w:highlight w:val="none"/>
              </w:rPr>
              <w:t>磋商响应文件</w:t>
            </w:r>
            <w:r>
              <w:rPr>
                <w:rFonts w:hint="eastAsia" w:ascii="宋体" w:hAnsi="宋体" w:cs="宋体"/>
                <w:color w:val="auto"/>
                <w:szCs w:val="21"/>
                <w:highlight w:val="none"/>
              </w:rPr>
              <w:t>的格式要求</w:t>
            </w:r>
          </w:p>
        </w:tc>
      </w:tr>
      <w:tr w14:paraId="1ED5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30899A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w:t>
            </w:r>
          </w:p>
        </w:tc>
        <w:tc>
          <w:tcPr>
            <w:tcW w:w="1482" w:type="dxa"/>
            <w:tcBorders>
              <w:tl2br w:val="nil"/>
              <w:tr2bl w:val="nil"/>
            </w:tcBorders>
            <w:vAlign w:val="center"/>
          </w:tcPr>
          <w:p w14:paraId="2A0B2C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递交磋商响应文件地点</w:t>
            </w:r>
          </w:p>
        </w:tc>
        <w:tc>
          <w:tcPr>
            <w:tcW w:w="8111" w:type="dxa"/>
            <w:tcBorders>
              <w:tl2br w:val="nil"/>
              <w:tr2bl w:val="nil"/>
            </w:tcBorders>
            <w:vAlign w:val="center"/>
          </w:tcPr>
          <w:p w14:paraId="09B92539">
            <w:pPr>
              <w:spacing w:line="360" w:lineRule="auto"/>
              <w:rPr>
                <w:rFonts w:ascii="宋体" w:hAnsi="宋体" w:cs="宋体"/>
                <w:color w:val="auto"/>
                <w:szCs w:val="21"/>
                <w:highlight w:val="none"/>
              </w:rPr>
            </w:pPr>
            <w:r>
              <w:rPr>
                <w:rFonts w:hint="eastAsia" w:ascii="宋体" w:hAnsi="宋体" w:eastAsia="Times New Roman" w:cs="宋体"/>
                <w:bCs/>
                <w:color w:val="auto"/>
                <w:szCs w:val="21"/>
                <w:highlight w:val="none"/>
              </w:rPr>
              <w:t>递交地点：</w:t>
            </w:r>
            <w:r>
              <w:rPr>
                <w:rFonts w:hint="eastAsia" w:ascii="宋体" w:hAnsi="宋体" w:cs="宋体"/>
                <w:bCs/>
                <w:color w:val="auto"/>
                <w:szCs w:val="21"/>
                <w:highlight w:val="none"/>
              </w:rPr>
              <w:t>荥阳市公共资源交易中心</w:t>
            </w:r>
            <w:r>
              <w:rPr>
                <w:rFonts w:hint="eastAsia" w:ascii="宋体" w:hAnsi="宋体" w:eastAsia="Times New Roman" w:cs="宋体"/>
                <w:bCs/>
                <w:color w:val="auto"/>
                <w:szCs w:val="21"/>
                <w:highlight w:val="none"/>
              </w:rPr>
              <w:t>平台</w:t>
            </w:r>
          </w:p>
        </w:tc>
      </w:tr>
      <w:tr w14:paraId="2CDE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04D4251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1482" w:type="dxa"/>
            <w:tcBorders>
              <w:tl2br w:val="nil"/>
              <w:tr2bl w:val="nil"/>
            </w:tcBorders>
            <w:vAlign w:val="center"/>
          </w:tcPr>
          <w:p w14:paraId="599F8B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是否退还磋商</w:t>
            </w:r>
          </w:p>
          <w:p w14:paraId="58C3AE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8111" w:type="dxa"/>
            <w:tcBorders>
              <w:tl2br w:val="nil"/>
              <w:tr2bl w:val="nil"/>
            </w:tcBorders>
            <w:vAlign w:val="center"/>
          </w:tcPr>
          <w:p w14:paraId="65F96D2F">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否</w:t>
            </w:r>
          </w:p>
        </w:tc>
      </w:tr>
      <w:tr w14:paraId="1EA7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70127A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1482" w:type="dxa"/>
            <w:tcBorders>
              <w:tl2br w:val="nil"/>
              <w:tr2bl w:val="nil"/>
            </w:tcBorders>
            <w:vAlign w:val="center"/>
          </w:tcPr>
          <w:p w14:paraId="0FEC98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8111" w:type="dxa"/>
            <w:tcBorders>
              <w:tl2br w:val="nil"/>
              <w:tr2bl w:val="nil"/>
            </w:tcBorders>
            <w:vAlign w:val="center"/>
          </w:tcPr>
          <w:p w14:paraId="02B47C6C">
            <w:pPr>
              <w:spacing w:line="360" w:lineRule="auto"/>
              <w:rPr>
                <w:rFonts w:ascii="宋体" w:hAnsi="宋体" w:cs="宋体"/>
                <w:color w:val="auto"/>
                <w:szCs w:val="21"/>
                <w:highlight w:val="none"/>
              </w:rPr>
            </w:pPr>
            <w:r>
              <w:rPr>
                <w:rFonts w:hint="eastAsia" w:ascii="宋体" w:hAnsi="宋体" w:cs="宋体"/>
                <w:color w:val="auto"/>
                <w:szCs w:val="21"/>
                <w:highlight w:val="none"/>
              </w:rPr>
              <w:t>磋商时间：同磋商截止时间</w:t>
            </w:r>
          </w:p>
          <w:p w14:paraId="6115DC0D">
            <w:pPr>
              <w:spacing w:line="360" w:lineRule="auto"/>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s="宋体"/>
                <w:bCs/>
                <w:color w:val="auto"/>
                <w:szCs w:val="21"/>
                <w:highlight w:val="none"/>
              </w:rPr>
              <w:t>荥阳市公共资源交易中心（荥阳市中原路与飞龙路西北角政务服务中心七楼）第</w:t>
            </w:r>
            <w:r>
              <w:rPr>
                <w:rFonts w:hint="eastAsia" w:ascii="宋体" w:hAnsi="宋体" w:cs="宋体"/>
                <w:bCs/>
                <w:color w:val="auto"/>
                <w:szCs w:val="21"/>
                <w:highlight w:val="none"/>
                <w:lang w:val="en-US" w:eastAsia="zh-CN"/>
              </w:rPr>
              <w:t>二</w:t>
            </w:r>
            <w:r>
              <w:rPr>
                <w:rFonts w:hint="eastAsia" w:ascii="宋体" w:hAnsi="宋体" w:eastAsia="Times New Roman" w:cs="宋体"/>
                <w:bCs/>
                <w:color w:val="auto"/>
                <w:szCs w:val="21"/>
                <w:highlight w:val="none"/>
              </w:rPr>
              <w:t>开标</w:t>
            </w:r>
            <w:r>
              <w:rPr>
                <w:rFonts w:hint="eastAsia" w:ascii="宋体" w:hAnsi="宋体" w:cs="宋体"/>
                <w:bCs/>
                <w:color w:val="auto"/>
                <w:szCs w:val="21"/>
                <w:highlight w:val="none"/>
              </w:rPr>
              <w:t>室；</w:t>
            </w:r>
          </w:p>
        </w:tc>
      </w:tr>
      <w:tr w14:paraId="58B8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00" w:type="dxa"/>
            <w:tcBorders>
              <w:tl2br w:val="nil"/>
              <w:tr2bl w:val="nil"/>
            </w:tcBorders>
            <w:vAlign w:val="center"/>
          </w:tcPr>
          <w:p w14:paraId="26967001">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5.2</w:t>
            </w:r>
          </w:p>
        </w:tc>
        <w:tc>
          <w:tcPr>
            <w:tcW w:w="1482" w:type="dxa"/>
            <w:tcBorders>
              <w:tl2br w:val="nil"/>
              <w:tr2bl w:val="nil"/>
            </w:tcBorders>
            <w:vAlign w:val="center"/>
          </w:tcPr>
          <w:p w14:paraId="74538AF6">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磋商程序</w:t>
            </w:r>
          </w:p>
        </w:tc>
        <w:tc>
          <w:tcPr>
            <w:tcW w:w="8111" w:type="dxa"/>
            <w:tcBorders>
              <w:tl2br w:val="nil"/>
              <w:tr2bl w:val="nil"/>
            </w:tcBorders>
            <w:vAlign w:val="center"/>
          </w:tcPr>
          <w:p w14:paraId="4406ECD6">
            <w:pPr>
              <w:pStyle w:val="55"/>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本项目采用“远程不见面”磋商方式</w:t>
            </w:r>
            <w:r>
              <w:rPr>
                <w:rFonts w:hint="eastAsia" w:ascii="宋体" w:hAnsi="宋体" w:eastAsia="Times New Roman" w:cs="宋体"/>
                <w:color w:val="auto"/>
                <w:szCs w:val="21"/>
                <w:highlight w:val="none"/>
              </w:rPr>
              <w:t>，</w:t>
            </w:r>
            <w:r>
              <w:rPr>
                <w:rFonts w:hint="eastAsia" w:ascii="宋体" w:hAnsi="宋体" w:cs="宋体"/>
                <w:color w:val="auto"/>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7029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jc w:val="center"/>
        </w:trPr>
        <w:tc>
          <w:tcPr>
            <w:tcW w:w="900" w:type="dxa"/>
            <w:tcBorders>
              <w:tl2br w:val="nil"/>
              <w:tr2bl w:val="nil"/>
            </w:tcBorders>
            <w:vAlign w:val="center"/>
          </w:tcPr>
          <w:p w14:paraId="412F77B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1482" w:type="dxa"/>
            <w:tcBorders>
              <w:tl2br w:val="nil"/>
              <w:tr2bl w:val="nil"/>
            </w:tcBorders>
            <w:vAlign w:val="center"/>
          </w:tcPr>
          <w:p w14:paraId="551060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磋商办法</w:t>
            </w:r>
          </w:p>
        </w:tc>
        <w:tc>
          <w:tcPr>
            <w:tcW w:w="8111" w:type="dxa"/>
            <w:tcBorders>
              <w:tl2br w:val="nil"/>
              <w:tr2bl w:val="nil"/>
            </w:tcBorders>
            <w:vAlign w:val="center"/>
          </w:tcPr>
          <w:p w14:paraId="7058B0D8">
            <w:pPr>
              <w:spacing w:line="360" w:lineRule="auto"/>
              <w:rPr>
                <w:rFonts w:ascii="宋体" w:hAnsi="宋体" w:cs="宋体"/>
                <w:color w:val="auto"/>
                <w:szCs w:val="21"/>
                <w:highlight w:val="none"/>
              </w:rPr>
            </w:pPr>
            <w:r>
              <w:rPr>
                <w:rFonts w:hint="eastAsia" w:ascii="宋体" w:hAnsi="宋体" w:cs="宋体"/>
                <w:color w:val="auto"/>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Cs w:val="21"/>
                <w:highlight w:val="none"/>
              </w:rPr>
              <w:t>可以小于等于</w:t>
            </w:r>
            <w:r>
              <w:rPr>
                <w:rFonts w:hint="eastAsia" w:ascii="宋体" w:hAnsi="宋体" w:cs="宋体"/>
                <w:color w:val="auto"/>
                <w:szCs w:val="21"/>
                <w:highlight w:val="none"/>
              </w:rPr>
              <w:t>前次报价，</w:t>
            </w:r>
            <w:r>
              <w:rPr>
                <w:rFonts w:hint="eastAsia" w:ascii="宋体" w:hAnsi="宋体" w:eastAsia="Times New Roman" w:cs="宋体"/>
                <w:color w:val="auto"/>
                <w:szCs w:val="21"/>
                <w:highlight w:val="none"/>
              </w:rPr>
              <w:t>如遇特殊情况不能完成二次报价的，则以第一次报价为准。</w:t>
            </w:r>
          </w:p>
          <w:p w14:paraId="158547EE">
            <w:pPr>
              <w:spacing w:line="360" w:lineRule="auto"/>
              <w:rPr>
                <w:rFonts w:ascii="宋体" w:hAnsi="宋体" w:cs="宋体"/>
                <w:color w:val="auto"/>
                <w:szCs w:val="21"/>
                <w:highlight w:val="none"/>
              </w:rPr>
            </w:pPr>
            <w:r>
              <w:rPr>
                <w:rFonts w:hint="eastAsia" w:ascii="宋体" w:hAnsi="宋体" w:cs="宋体"/>
                <w:color w:val="auto"/>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52539DF">
            <w:pPr>
              <w:spacing w:line="360" w:lineRule="auto"/>
              <w:rPr>
                <w:rFonts w:ascii="宋体" w:hAnsi="宋体" w:cs="宋体"/>
                <w:b/>
                <w:color w:val="auto"/>
                <w:szCs w:val="21"/>
                <w:highlight w:val="none"/>
              </w:rPr>
            </w:pPr>
            <w:r>
              <w:rPr>
                <w:rFonts w:hint="eastAsia" w:ascii="宋体" w:hAnsi="宋体" w:cs="宋体"/>
                <w:color w:val="auto"/>
                <w:szCs w:val="21"/>
                <w:highlight w:val="none"/>
              </w:rPr>
              <w:t>3.磋商结束之前，请竞标供应商</w:t>
            </w:r>
            <w:r>
              <w:rPr>
                <w:rFonts w:hint="eastAsia" w:ascii="宋体" w:hAnsi="宋体" w:eastAsia="Times New Roman" w:cs="宋体"/>
                <w:color w:val="auto"/>
                <w:szCs w:val="21"/>
                <w:highlight w:val="none"/>
              </w:rPr>
              <w:t>一直保持在线状态</w:t>
            </w:r>
            <w:r>
              <w:rPr>
                <w:rFonts w:hint="eastAsia" w:ascii="宋体" w:hAnsi="宋体" w:cs="宋体"/>
                <w:color w:val="auto"/>
                <w:szCs w:val="21"/>
                <w:highlight w:val="none"/>
              </w:rPr>
              <w:t>，等待答疑澄清、二次报价等磋商活动。</w:t>
            </w:r>
          </w:p>
        </w:tc>
      </w:tr>
      <w:tr w14:paraId="3E04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00" w:type="dxa"/>
            <w:tcBorders>
              <w:tl2br w:val="nil"/>
              <w:tr2bl w:val="nil"/>
            </w:tcBorders>
            <w:vAlign w:val="center"/>
          </w:tcPr>
          <w:p w14:paraId="14745C9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1482" w:type="dxa"/>
            <w:tcBorders>
              <w:tl2br w:val="nil"/>
              <w:tr2bl w:val="nil"/>
            </w:tcBorders>
            <w:vAlign w:val="center"/>
          </w:tcPr>
          <w:p w14:paraId="4F1156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8111" w:type="dxa"/>
            <w:tcBorders>
              <w:tl2br w:val="nil"/>
              <w:tr2bl w:val="nil"/>
            </w:tcBorders>
            <w:vAlign w:val="center"/>
          </w:tcPr>
          <w:p w14:paraId="67244BE6">
            <w:pPr>
              <w:pStyle w:val="48"/>
              <w:spacing w:line="360" w:lineRule="auto"/>
              <w:rPr>
                <w:rFonts w:hAnsi="宋体"/>
                <w:color w:val="auto"/>
                <w:kern w:val="2"/>
                <w:sz w:val="21"/>
                <w:szCs w:val="21"/>
                <w:highlight w:val="none"/>
              </w:rPr>
            </w:pPr>
            <w:r>
              <w:rPr>
                <w:rFonts w:hint="eastAsia" w:hAnsi="宋体"/>
                <w:color w:val="auto"/>
                <w:kern w:val="2"/>
                <w:sz w:val="21"/>
                <w:szCs w:val="21"/>
                <w:highlight w:val="none"/>
              </w:rPr>
              <w:t>磋商小组构成：由 3 人组成，其中采购人代表 1 人，经济、技术专家 2 人。</w:t>
            </w:r>
          </w:p>
          <w:p w14:paraId="768095EF">
            <w:pPr>
              <w:spacing w:line="360" w:lineRule="auto"/>
              <w:rPr>
                <w:rFonts w:ascii="宋体" w:hAnsi="宋体" w:cs="宋体"/>
                <w:color w:val="auto"/>
                <w:szCs w:val="21"/>
                <w:highlight w:val="none"/>
              </w:rPr>
            </w:pPr>
            <w:r>
              <w:rPr>
                <w:rFonts w:hint="eastAsia" w:ascii="宋体" w:hAnsi="宋体" w:cs="宋体"/>
                <w:color w:val="auto"/>
                <w:szCs w:val="21"/>
                <w:highlight w:val="none"/>
              </w:rPr>
              <w:t>经济、技术专家确定方式：</w:t>
            </w:r>
            <w:r>
              <w:rPr>
                <w:rFonts w:hint="eastAsia" w:ascii="宋体" w:hAnsi="宋体" w:eastAsia="Times New Roman" w:cs="宋体"/>
                <w:color w:val="auto"/>
                <w:szCs w:val="21"/>
                <w:highlight w:val="none"/>
              </w:rPr>
              <w:t>磋商</w:t>
            </w:r>
            <w:r>
              <w:rPr>
                <w:rFonts w:hint="eastAsia" w:ascii="宋体" w:hAnsi="宋体" w:cs="宋体"/>
                <w:color w:val="auto"/>
                <w:szCs w:val="21"/>
                <w:highlight w:val="none"/>
              </w:rPr>
              <w:t>前24小时内从有关政府采购评标专家库中随机抽取。</w:t>
            </w:r>
          </w:p>
        </w:tc>
      </w:tr>
      <w:tr w14:paraId="33A1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6016191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1482" w:type="dxa"/>
            <w:tcBorders>
              <w:tl2br w:val="nil"/>
              <w:tr2bl w:val="nil"/>
            </w:tcBorders>
          </w:tcPr>
          <w:p w14:paraId="4ACD24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8111" w:type="dxa"/>
            <w:tcBorders>
              <w:tl2br w:val="nil"/>
              <w:tr2bl w:val="nil"/>
            </w:tcBorders>
            <w:vAlign w:val="center"/>
          </w:tcPr>
          <w:p w14:paraId="3B011576">
            <w:pPr>
              <w:spacing w:line="360" w:lineRule="auto"/>
              <w:rPr>
                <w:rFonts w:ascii="宋体" w:hAnsi="宋体" w:cs="宋体"/>
                <w:color w:val="auto"/>
                <w:szCs w:val="21"/>
                <w:highlight w:val="none"/>
              </w:rPr>
            </w:pPr>
            <w:r>
              <w:rPr>
                <w:rFonts w:hint="eastAsia" w:ascii="宋体" w:hAnsi="宋体" w:cs="宋体"/>
                <w:color w:val="auto"/>
                <w:szCs w:val="21"/>
                <w:highlight w:val="none"/>
              </w:rPr>
              <w:t>否，推荐的成交候选人数：</w:t>
            </w:r>
            <w:r>
              <w:rPr>
                <w:rFonts w:hint="eastAsia" w:ascii="宋体" w:hAnsi="宋体" w:eastAsia="Times New Roman" w:cs="宋体"/>
                <w:color w:val="auto"/>
                <w:szCs w:val="21"/>
                <w:highlight w:val="none"/>
              </w:rPr>
              <w:t>1-</w:t>
            </w:r>
            <w:r>
              <w:rPr>
                <w:rFonts w:hint="eastAsia" w:ascii="宋体" w:hAnsi="宋体" w:cs="宋体"/>
                <w:color w:val="auto"/>
                <w:szCs w:val="21"/>
                <w:highlight w:val="none"/>
              </w:rPr>
              <w:t>3名。</w:t>
            </w:r>
          </w:p>
        </w:tc>
      </w:tr>
      <w:tr w14:paraId="3B40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00" w:type="dxa"/>
            <w:tcBorders>
              <w:tl2br w:val="nil"/>
              <w:tr2bl w:val="nil"/>
            </w:tcBorders>
            <w:vAlign w:val="center"/>
          </w:tcPr>
          <w:p w14:paraId="482BBD8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3.1</w:t>
            </w:r>
          </w:p>
        </w:tc>
        <w:tc>
          <w:tcPr>
            <w:tcW w:w="1482" w:type="dxa"/>
            <w:tcBorders>
              <w:tl2br w:val="nil"/>
              <w:tr2bl w:val="nil"/>
            </w:tcBorders>
            <w:vAlign w:val="center"/>
          </w:tcPr>
          <w:p w14:paraId="51132D00">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8111" w:type="dxa"/>
            <w:tcBorders>
              <w:tl2br w:val="nil"/>
              <w:tr2bl w:val="nil"/>
            </w:tcBorders>
            <w:vAlign w:val="center"/>
          </w:tcPr>
          <w:p w14:paraId="67B238FB">
            <w:pPr>
              <w:rPr>
                <w:rFonts w:ascii="宋体" w:hAnsi="宋体" w:cs="宋体"/>
                <w:color w:val="auto"/>
                <w:szCs w:val="21"/>
                <w:highlight w:val="none"/>
              </w:rPr>
            </w:pPr>
            <w:r>
              <w:rPr>
                <w:rFonts w:hint="eastAsia" w:ascii="宋体" w:hAnsi="宋体" w:eastAsia="Times New Roman" w:cs="宋体"/>
                <w:color w:val="auto"/>
                <w:szCs w:val="21"/>
                <w:highlight w:val="none"/>
              </w:rPr>
              <w:t>无</w:t>
            </w:r>
          </w:p>
        </w:tc>
      </w:tr>
      <w:tr w14:paraId="3FE1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443E1DB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Times New Roman" w:cs="宋体"/>
                <w:color w:val="auto"/>
                <w:szCs w:val="21"/>
                <w:highlight w:val="none"/>
              </w:rPr>
              <w:t>4.1</w:t>
            </w:r>
          </w:p>
        </w:tc>
        <w:tc>
          <w:tcPr>
            <w:tcW w:w="1482" w:type="dxa"/>
            <w:tcBorders>
              <w:tl2br w:val="nil"/>
              <w:tr2bl w:val="nil"/>
            </w:tcBorders>
            <w:vAlign w:val="center"/>
          </w:tcPr>
          <w:p w14:paraId="1E06E26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8111" w:type="dxa"/>
            <w:tcBorders>
              <w:tl2br w:val="nil"/>
              <w:tr2bl w:val="nil"/>
            </w:tcBorders>
            <w:vAlign w:val="center"/>
          </w:tcPr>
          <w:p w14:paraId="09294D7D">
            <w:pPr>
              <w:spacing w:line="360" w:lineRule="auto"/>
              <w:rPr>
                <w:rFonts w:ascii="宋体" w:hAnsi="宋体" w:cs="宋体"/>
                <w:color w:val="auto"/>
                <w:szCs w:val="21"/>
                <w:highlight w:val="none"/>
              </w:rPr>
            </w:pPr>
            <w:r>
              <w:rPr>
                <w:rFonts w:hint="eastAsia" w:ascii="宋体" w:hAnsi="宋体" w:cs="宋体"/>
                <w:color w:val="auto"/>
                <w:szCs w:val="21"/>
                <w:highlight w:val="none"/>
              </w:rPr>
              <w:t>成交供应商须在成交通知书发出之日起2日内与采购人签订合同，否则视为放弃成交供应商资格。</w:t>
            </w:r>
          </w:p>
          <w:p w14:paraId="108E5861">
            <w:pPr>
              <w:pStyle w:val="13"/>
              <w:rPr>
                <w:color w:val="auto"/>
                <w:highlight w:val="none"/>
              </w:rPr>
            </w:pPr>
            <w:r>
              <w:rPr>
                <w:rFonts w:hint="eastAsia" w:ascii="宋体" w:hAnsi="宋体" w:cs="宋体"/>
                <w:color w:val="auto"/>
                <w:sz w:val="21"/>
                <w:szCs w:val="21"/>
                <w:highlight w:val="none"/>
              </w:rPr>
              <w:t>付款方式：签订合同时甲乙双方协商确定。</w:t>
            </w:r>
          </w:p>
        </w:tc>
      </w:tr>
      <w:tr w14:paraId="0382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493" w:type="dxa"/>
            <w:gridSpan w:val="3"/>
            <w:tcBorders>
              <w:tl2br w:val="nil"/>
              <w:tr2bl w:val="nil"/>
            </w:tcBorders>
            <w:vAlign w:val="center"/>
          </w:tcPr>
          <w:p w14:paraId="3EC415BD">
            <w:pPr>
              <w:spacing w:line="360" w:lineRule="auto"/>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3336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4A354EA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1482" w:type="dxa"/>
            <w:tcBorders>
              <w:tl2br w:val="nil"/>
              <w:tr2bl w:val="nil"/>
            </w:tcBorders>
            <w:vAlign w:val="center"/>
          </w:tcPr>
          <w:p w14:paraId="7A16BC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采购预算</w:t>
            </w:r>
          </w:p>
          <w:p w14:paraId="554B3D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8111" w:type="dxa"/>
            <w:tcBorders>
              <w:tl2br w:val="nil"/>
              <w:tr2bl w:val="nil"/>
            </w:tcBorders>
            <w:vAlign w:val="center"/>
          </w:tcPr>
          <w:p w14:paraId="4280ED18">
            <w:pPr>
              <w:spacing w:line="360" w:lineRule="auto"/>
              <w:rPr>
                <w:rFonts w:ascii="宋体" w:hAnsi="宋体" w:cs="宋体"/>
                <w:color w:val="auto"/>
                <w:szCs w:val="21"/>
                <w:highlight w:val="none"/>
              </w:rPr>
            </w:pPr>
            <w:r>
              <w:rPr>
                <w:rFonts w:hint="eastAsia" w:ascii="宋体" w:hAnsi="宋体" w:cs="宋体"/>
                <w:color w:val="auto"/>
                <w:szCs w:val="21"/>
                <w:highlight w:val="none"/>
              </w:rPr>
              <w:t>本项目采购预算（最高限价）为：</w:t>
            </w:r>
          </w:p>
          <w:p w14:paraId="671491C6">
            <w:pPr>
              <w:spacing w:line="360" w:lineRule="auto"/>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大写：</w:t>
            </w:r>
            <w:r>
              <w:rPr>
                <w:rFonts w:hint="eastAsia" w:ascii="宋体" w:hAnsi="宋体" w:cs="宋体"/>
                <w:color w:val="auto"/>
                <w:szCs w:val="21"/>
                <w:highlight w:val="none"/>
              </w:rPr>
              <w:t>柒拾万元整</w:t>
            </w:r>
            <w:r>
              <w:rPr>
                <w:rFonts w:hint="eastAsia" w:ascii="宋体" w:hAnsi="宋体" w:eastAsia="Times New Roman" w:cs="宋体"/>
                <w:color w:val="auto"/>
                <w:szCs w:val="21"/>
                <w:highlight w:val="none"/>
              </w:rPr>
              <w:t xml:space="preserve">； </w:t>
            </w:r>
          </w:p>
          <w:p w14:paraId="1B2953E4">
            <w:pPr>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小写：￥</w:t>
            </w:r>
            <w:r>
              <w:rPr>
                <w:rFonts w:hint="eastAsia" w:ascii="宋体" w:hAnsi="宋体" w:cs="宋体"/>
                <w:color w:val="auto"/>
                <w:szCs w:val="21"/>
                <w:highlight w:val="none"/>
              </w:rPr>
              <w:t>700000元。</w:t>
            </w:r>
          </w:p>
          <w:p w14:paraId="1B840814">
            <w:pPr>
              <w:spacing w:line="360" w:lineRule="auto"/>
              <w:rPr>
                <w:rFonts w:ascii="宋体" w:hAnsi="宋体" w:cs="宋体"/>
                <w:color w:val="auto"/>
                <w:szCs w:val="21"/>
                <w:highlight w:val="none"/>
              </w:rPr>
            </w:pPr>
            <w:r>
              <w:rPr>
                <w:rFonts w:hint="eastAsia" w:ascii="宋体" w:hAnsi="宋体" w:cs="宋体"/>
                <w:color w:val="auto"/>
                <w:szCs w:val="21"/>
                <w:highlight w:val="none"/>
              </w:rPr>
              <w:t>供应商的磋商报价超过采购预算（最高限价）的，按废标处理。</w:t>
            </w:r>
          </w:p>
        </w:tc>
      </w:tr>
      <w:tr w14:paraId="2A45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53C69B12">
            <w:pPr>
              <w:spacing w:line="360" w:lineRule="exact"/>
              <w:jc w:val="center"/>
              <w:rPr>
                <w:rFonts w:ascii="宋体" w:hAnsi="宋体" w:cs="宋体"/>
                <w:color w:val="auto"/>
                <w:szCs w:val="21"/>
                <w:highlight w:val="none"/>
              </w:rPr>
            </w:pPr>
            <w:r>
              <w:rPr>
                <w:rFonts w:hint="eastAsia" w:ascii="宋体" w:hAnsi="宋体" w:eastAsia="Times New Roman" w:cs="宋体"/>
                <w:color w:val="auto"/>
                <w:szCs w:val="21"/>
                <w:highlight w:val="none"/>
              </w:rPr>
              <w:t>10.2</w:t>
            </w:r>
          </w:p>
        </w:tc>
        <w:tc>
          <w:tcPr>
            <w:tcW w:w="1482" w:type="dxa"/>
            <w:tcBorders>
              <w:tl2br w:val="nil"/>
              <w:tr2bl w:val="nil"/>
            </w:tcBorders>
            <w:vAlign w:val="center"/>
          </w:tcPr>
          <w:p w14:paraId="0537DDA1">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结果公示</w:t>
            </w:r>
          </w:p>
        </w:tc>
        <w:tc>
          <w:tcPr>
            <w:tcW w:w="8111" w:type="dxa"/>
            <w:tcBorders>
              <w:tl2br w:val="nil"/>
              <w:tr2bl w:val="nil"/>
            </w:tcBorders>
            <w:vAlign w:val="center"/>
          </w:tcPr>
          <w:p w14:paraId="4B3E2608">
            <w:pPr>
              <w:spacing w:line="360" w:lineRule="auto"/>
              <w:rPr>
                <w:rFonts w:ascii="宋体" w:hAnsi="宋体" w:cs="宋体"/>
                <w:color w:val="auto"/>
                <w:szCs w:val="21"/>
                <w:highlight w:val="none"/>
              </w:rPr>
            </w:pPr>
            <w:r>
              <w:rPr>
                <w:rFonts w:hint="eastAsia" w:ascii="宋体" w:hAnsi="宋体" w:cs="宋体"/>
                <w:color w:val="auto"/>
                <w:szCs w:val="21"/>
                <w:highlight w:val="none"/>
              </w:rPr>
              <w:t>在确定成交供应商后，采购人或采购代理机构将成交结果情况在本项目竞争性磋商公告发布的同一媒介予以公示。</w:t>
            </w:r>
          </w:p>
        </w:tc>
      </w:tr>
      <w:tr w14:paraId="425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0" w:type="dxa"/>
            <w:tcBorders>
              <w:tl2br w:val="nil"/>
              <w:tr2bl w:val="nil"/>
            </w:tcBorders>
            <w:vAlign w:val="center"/>
          </w:tcPr>
          <w:p w14:paraId="538CB294">
            <w:pPr>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482" w:type="dxa"/>
            <w:tcBorders>
              <w:tl2br w:val="nil"/>
              <w:tr2bl w:val="nil"/>
            </w:tcBorders>
            <w:vAlign w:val="center"/>
          </w:tcPr>
          <w:p w14:paraId="57ABACF5">
            <w:pPr>
              <w:spacing w:line="360" w:lineRule="auto"/>
              <w:jc w:val="center"/>
              <w:rPr>
                <w:rFonts w:ascii="宋体" w:hAnsi="宋体" w:cs="宋体"/>
                <w:color w:val="auto"/>
                <w:szCs w:val="21"/>
                <w:highlight w:val="none"/>
              </w:rPr>
            </w:pPr>
            <w:r>
              <w:rPr>
                <w:rFonts w:hint="eastAsia" w:ascii="宋体" w:hAnsi="宋体" w:eastAsia="Times New Roman" w:cs="宋体"/>
                <w:color w:val="auto"/>
                <w:szCs w:val="21"/>
                <w:highlight w:val="none"/>
              </w:rPr>
              <w:t>采购</w:t>
            </w:r>
            <w:r>
              <w:rPr>
                <w:rFonts w:hint="eastAsia" w:ascii="宋体" w:hAnsi="宋体" w:cs="宋体"/>
                <w:color w:val="auto"/>
                <w:szCs w:val="21"/>
                <w:highlight w:val="none"/>
              </w:rPr>
              <w:t>代理服务费</w:t>
            </w:r>
          </w:p>
        </w:tc>
        <w:tc>
          <w:tcPr>
            <w:tcW w:w="8111" w:type="dxa"/>
            <w:tcBorders>
              <w:tl2br w:val="nil"/>
              <w:tr2bl w:val="nil"/>
            </w:tcBorders>
            <w:vAlign w:val="center"/>
          </w:tcPr>
          <w:p w14:paraId="701720FF">
            <w:pPr>
              <w:spacing w:line="360" w:lineRule="auto"/>
              <w:rPr>
                <w:rFonts w:ascii="Times New Roman" w:hAnsi="Times New Roman" w:eastAsia="Times New Roman"/>
                <w:color w:val="auto"/>
                <w:sz w:val="20"/>
                <w:szCs w:val="20"/>
                <w:highlight w:val="none"/>
              </w:rPr>
            </w:pPr>
            <w:r>
              <w:rPr>
                <w:rFonts w:hint="eastAsia" w:ascii="Times New Roman" w:hAnsi="Times New Roman" w:eastAsia="Times New Roman"/>
                <w:color w:val="auto"/>
                <w:szCs w:val="21"/>
                <w:highlight w:val="none"/>
              </w:rPr>
              <w:t>参考河南省招标投标协会（豫招协[2023]002号）文规定的计费方式，向成交人收取代理服务费。</w:t>
            </w:r>
          </w:p>
        </w:tc>
      </w:tr>
      <w:tr w14:paraId="63A3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jc w:val="center"/>
        </w:trPr>
        <w:tc>
          <w:tcPr>
            <w:tcW w:w="900" w:type="dxa"/>
            <w:tcBorders>
              <w:tl2br w:val="nil"/>
              <w:tr2bl w:val="nil"/>
            </w:tcBorders>
            <w:vAlign w:val="center"/>
          </w:tcPr>
          <w:p w14:paraId="098E5F22">
            <w:pPr>
              <w:jc w:val="center"/>
              <w:rPr>
                <w:rFonts w:ascii="宋体" w:hAnsi="宋体" w:cs="宋体"/>
                <w:color w:val="auto"/>
                <w:szCs w:val="21"/>
                <w:highlight w:val="none"/>
              </w:rPr>
            </w:pPr>
            <w:bookmarkStart w:id="20" w:name="_Toc5269841"/>
            <w:bookmarkStart w:id="21" w:name="_Toc17679"/>
            <w:bookmarkStart w:id="22" w:name="_Toc29830"/>
            <w:bookmarkStart w:id="23" w:name="_Toc29926"/>
            <w:r>
              <w:rPr>
                <w:rFonts w:hint="eastAsia" w:ascii="宋体" w:hAnsi="宋体"/>
                <w:color w:val="auto"/>
                <w:szCs w:val="21"/>
                <w:highlight w:val="none"/>
              </w:rPr>
              <w:t>10.4</w:t>
            </w:r>
          </w:p>
        </w:tc>
        <w:tc>
          <w:tcPr>
            <w:tcW w:w="9593" w:type="dxa"/>
            <w:gridSpan w:val="2"/>
            <w:tcBorders>
              <w:tl2br w:val="nil"/>
              <w:tr2bl w:val="nil"/>
            </w:tcBorders>
            <w:vAlign w:val="center"/>
          </w:tcPr>
          <w:p w14:paraId="35E46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采用“远程不见面”开标方式,供应商无需到开标现场，供应商不再提供资质原件及纸质供应商响应文件，以电子响应文件为准；磋商活动全部采用电子评审系统评审电子响应文件。供应商登录“荥阳市公共资源交易中心不见面开标大厅”，供应商应当在采购文件确定的投标截止时间前,登录开标大厅,在线准时参加开标活动并进行文件解密、答疑澄清等。具体操作手册详见“荥阳市公共资源交易中心网站-办事指南-荥阳市公共资源交易中心不见面开标大厅操作手册（供应商）”。</w:t>
            </w:r>
          </w:p>
          <w:p w14:paraId="15996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2.不再提供响应文件电子版（不加密）。</w:t>
            </w:r>
          </w:p>
          <w:p w14:paraId="39B21702">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00298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（1）供应商应认真学习“荥阳市公共资源交易中心网站-办事指南-荥阳市公共资源交易中心不见面开标大厅操作手册（供应商）”，根据手册要求做好不见面开标的准备工作。</w:t>
            </w:r>
          </w:p>
          <w:p w14:paraId="54A9DA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（2）请供应商务必按照“荥阳市公共资源交易中心不见面开标大厅操作手册（供应商）”的要求设置参与不见面开标的电脑环境，否则由此可能引起的签到失败、解密失败或无法解密等问题由供应商自行承担。</w:t>
            </w:r>
          </w:p>
          <w:p w14:paraId="132A500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（3）所有供应商应提前30分钟，登录“荥阳市公共资源交易中心不见面开标大厅”进行不见面开标准备工作。</w:t>
            </w:r>
          </w:p>
          <w:p w14:paraId="594D7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（4）所有供应商登录“荥阳市公共资源交易中心不见面开标大厅”后，须先进行签到，其后应一直保持在线状态，保证能准时参加开标大会、响应文件的解密、现场答疑澄清等活动。</w:t>
            </w:r>
          </w:p>
          <w:p w14:paraId="0B01E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（5）供应商应在解密时间内插入CA锁，输入密码，进行解密，如在解密时间内解密失败，可再次解密，供应商应在规定时间内完成解密，否则采购人不予受理。</w:t>
            </w:r>
          </w:p>
        </w:tc>
      </w:tr>
      <w:tr w14:paraId="6534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00" w:type="dxa"/>
            <w:tcBorders>
              <w:tl2br w:val="nil"/>
              <w:tr2bl w:val="nil"/>
            </w:tcBorders>
            <w:vAlign w:val="center"/>
          </w:tcPr>
          <w:p w14:paraId="041EB842">
            <w:pPr>
              <w:jc w:val="center"/>
              <w:rPr>
                <w:rFonts w:ascii="宋体" w:hAnsi="宋体" w:cs="宋体"/>
                <w:color w:val="auto"/>
                <w:szCs w:val="21"/>
                <w:highlight w:val="none"/>
              </w:rPr>
            </w:pPr>
            <w:r>
              <w:rPr>
                <w:rFonts w:hint="eastAsia" w:ascii="宋体" w:hAnsi="宋体"/>
                <w:color w:val="auto"/>
                <w:szCs w:val="21"/>
                <w:highlight w:val="none"/>
              </w:rPr>
              <w:t>10.5</w:t>
            </w:r>
          </w:p>
        </w:tc>
        <w:tc>
          <w:tcPr>
            <w:tcW w:w="9593" w:type="dxa"/>
            <w:gridSpan w:val="2"/>
            <w:tcBorders>
              <w:tl2br w:val="nil"/>
              <w:tr2bl w:val="nil"/>
            </w:tcBorders>
            <w:vAlign w:val="center"/>
          </w:tcPr>
          <w:p w14:paraId="298F6F3B">
            <w:pPr>
              <w:pStyle w:val="2"/>
              <w:keepNext w:val="0"/>
              <w:ind w:left="0"/>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荥阳市政府采购合同融资政策告知函</w:t>
            </w:r>
          </w:p>
          <w:p w14:paraId="7EAAE732">
            <w:pPr>
              <w:pStyle w:val="2"/>
              <w:keepNext w:val="0"/>
              <w:ind w:left="0"/>
              <w:jc w:val="both"/>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各供应商：</w:t>
            </w:r>
          </w:p>
          <w:p w14:paraId="7D747547">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欢迎贵公司参与荥阳市政府采购活动！</w:t>
            </w:r>
          </w:p>
          <w:p w14:paraId="77C41867">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8E9321C">
            <w:pPr>
              <w:widowControl/>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bidi="ar"/>
              </w:rPr>
              <w:t>贷款渠道和提供贷款的金融机构，可在荥阳市政府采购网“荥阳市政府采购合同融资入口”或工作动态栏查询联系。</w:t>
            </w:r>
          </w:p>
        </w:tc>
      </w:tr>
      <w:tr w14:paraId="1DB3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7" w:hRule="atLeast"/>
          <w:jc w:val="center"/>
        </w:trPr>
        <w:tc>
          <w:tcPr>
            <w:tcW w:w="900" w:type="dxa"/>
            <w:tcBorders>
              <w:tl2br w:val="nil"/>
              <w:tr2bl w:val="nil"/>
            </w:tcBorders>
            <w:vAlign w:val="center"/>
          </w:tcPr>
          <w:p w14:paraId="204AD448">
            <w:pPr>
              <w:jc w:val="center"/>
              <w:rPr>
                <w:rFonts w:ascii="宋体" w:hAnsi="宋体" w:cs="宋体"/>
                <w:color w:val="auto"/>
                <w:szCs w:val="21"/>
                <w:highlight w:val="none"/>
              </w:rPr>
            </w:pPr>
            <w:r>
              <w:rPr>
                <w:rFonts w:hint="eastAsia" w:ascii="宋体" w:hAnsi="宋体" w:cs="宋体"/>
                <w:color w:val="auto"/>
                <w:szCs w:val="21"/>
                <w:highlight w:val="none"/>
              </w:rPr>
              <w:t>10.6</w:t>
            </w:r>
          </w:p>
        </w:tc>
        <w:tc>
          <w:tcPr>
            <w:tcW w:w="9593" w:type="dxa"/>
            <w:gridSpan w:val="2"/>
            <w:tcBorders>
              <w:tl2br w:val="nil"/>
              <w:tr2bl w:val="nil"/>
            </w:tcBorders>
            <w:vAlign w:val="center"/>
          </w:tcPr>
          <w:p w14:paraId="71BE7FFB">
            <w:pPr>
              <w:pStyle w:val="20"/>
              <w:spacing w:beforeAutospacing="0" w:afterAutospacing="0" w:line="440" w:lineRule="exact"/>
              <w:jc w:val="center"/>
              <w:rPr>
                <w:rFonts w:ascii="宋体" w:hAnsi="宋体" w:cs="宋体"/>
                <w:b/>
                <w:bCs/>
                <w:color w:val="auto"/>
                <w:sz w:val="21"/>
                <w:szCs w:val="21"/>
                <w:highlight w:val="none"/>
              </w:rPr>
            </w:pPr>
            <w:r>
              <w:rPr>
                <w:rFonts w:hint="eastAsia" w:ascii="宋体" w:hAnsi="宋体" w:cs="宋体"/>
                <w:b/>
                <w:bCs/>
                <w:color w:val="auto"/>
                <w:kern w:val="2"/>
                <w:sz w:val="21"/>
                <w:szCs w:val="21"/>
                <w:highlight w:val="none"/>
              </w:rPr>
              <w:t>质 疑</w:t>
            </w:r>
          </w:p>
          <w:p w14:paraId="3440B85F">
            <w:pPr>
              <w:pStyle w:val="20"/>
              <w:spacing w:beforeAutospacing="0" w:afterAutospacing="0" w:line="440" w:lineRule="exact"/>
              <w:jc w:val="both"/>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cs="宋体"/>
                <w:color w:val="auto"/>
                <w:sz w:val="21"/>
                <w:szCs w:val="21"/>
                <w:highlight w:val="none"/>
              </w:rPr>
              <w:t>供应商</w:t>
            </w:r>
            <w:r>
              <w:rPr>
                <w:rFonts w:hint="eastAsia" w:ascii="宋体" w:hAnsi="宋体" w:cs="宋体"/>
                <w:color w:val="auto"/>
                <w:sz w:val="21"/>
                <w:szCs w:val="21"/>
                <w:highlight w:val="none"/>
              </w:rPr>
              <w:t>认为招标文件、采购过程和</w:t>
            </w:r>
            <w:r>
              <w:rPr>
                <w:rFonts w:hint="eastAsia" w:cs="宋体"/>
                <w:color w:val="auto"/>
                <w:sz w:val="21"/>
                <w:szCs w:val="21"/>
                <w:highlight w:val="none"/>
              </w:rPr>
              <w:t>中标</w:t>
            </w:r>
            <w:r>
              <w:rPr>
                <w:rFonts w:hint="eastAsia" w:ascii="宋体" w:hAnsi="宋体" w:cs="宋体"/>
                <w:color w:val="auto"/>
                <w:sz w:val="21"/>
                <w:szCs w:val="21"/>
                <w:highlight w:val="none"/>
              </w:rPr>
              <w:t>结果使自己的权益受到损害的，可以在知道或者应知其权益受到损害之日起七个工作日内，按照《政府采购质疑和投诉办法》（财政部令第 94 号）的规定以书面形式向采购人或采购代理机构提出质疑（邮寄件、传真件不予受理），逾期不再接收。</w:t>
            </w:r>
          </w:p>
          <w:p w14:paraId="31EDD57A">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1、接收质疑函的方式：接收加盖单位公章的书面纸质质疑函</w:t>
            </w:r>
          </w:p>
          <w:p w14:paraId="0C236F4F">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代理机构：河南德旭项目管理有限公司  </w:t>
            </w:r>
          </w:p>
          <w:p w14:paraId="4671CFD6">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址：荥阳市京城路与荥运路交叉口润旭德工业园3号楼6楼</w:t>
            </w:r>
          </w:p>
          <w:p w14:paraId="173F300B">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联系人：喻心美</w:t>
            </w:r>
          </w:p>
          <w:p w14:paraId="6E22CDAA">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联系方式：15515832988 </w:t>
            </w:r>
          </w:p>
          <w:p w14:paraId="4838F163">
            <w:pPr>
              <w:pStyle w:val="20"/>
              <w:spacing w:beforeAutospacing="0" w:afterAutospacing="0" w:line="440" w:lineRule="exact"/>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2、质疑函的内容、格式：应符合《政府采购质疑和投诉办法》相关规定和财政部门制定的《政府采购质疑函范本》格式。 </w:t>
            </w:r>
          </w:p>
          <w:p w14:paraId="4B913BE8">
            <w:pPr>
              <w:pStyle w:val="20"/>
              <w:widowControl/>
              <w:autoSpaceDE w:val="0"/>
              <w:autoSpaceDN w:val="0"/>
              <w:spacing w:beforeAutospacing="0" w:afterAutospacing="0" w:line="400" w:lineRule="exact"/>
              <w:jc w:val="both"/>
              <w:rPr>
                <w:rFonts w:ascii="宋体" w:hAnsi="宋体"/>
                <w:color w:val="auto"/>
                <w:szCs w:val="21"/>
                <w:highlight w:val="none"/>
              </w:rPr>
            </w:pPr>
            <w:r>
              <w:rPr>
                <w:rFonts w:hint="eastAsia" w:ascii="宋体" w:hAnsi="宋体" w:cs="宋体"/>
                <w:color w:val="auto"/>
                <w:kern w:val="2"/>
                <w:sz w:val="21"/>
                <w:szCs w:val="21"/>
                <w:highlight w:val="none"/>
              </w:rPr>
              <w:t>二、</w:t>
            </w:r>
            <w:r>
              <w:rPr>
                <w:rFonts w:hint="eastAsia" w:cs="宋体"/>
                <w:b/>
                <w:bCs/>
                <w:color w:val="auto"/>
                <w:kern w:val="2"/>
                <w:sz w:val="21"/>
                <w:szCs w:val="21"/>
                <w:highlight w:val="none"/>
              </w:rPr>
              <w:t>供应商</w:t>
            </w:r>
            <w:r>
              <w:rPr>
                <w:rFonts w:hint="eastAsia" w:ascii="宋体" w:hAnsi="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cs="宋体"/>
                <w:color w:val="auto"/>
                <w:kern w:val="2"/>
                <w:sz w:val="21"/>
                <w:szCs w:val="21"/>
                <w:highlight w:val="none"/>
              </w:rPr>
              <w:t>。（采购程序环节分为：</w:t>
            </w:r>
            <w:r>
              <w:rPr>
                <w:rFonts w:hint="eastAsia" w:cs="宋体"/>
                <w:color w:val="auto"/>
                <w:kern w:val="2"/>
                <w:sz w:val="21"/>
                <w:szCs w:val="21"/>
                <w:highlight w:val="none"/>
              </w:rPr>
              <w:t>采购公告、</w:t>
            </w:r>
            <w:r>
              <w:rPr>
                <w:rFonts w:hint="eastAsia" w:ascii="宋体" w:hAnsi="宋体" w:cs="宋体"/>
                <w:color w:val="auto"/>
                <w:kern w:val="2"/>
                <w:sz w:val="21"/>
                <w:szCs w:val="21"/>
                <w:highlight w:val="none"/>
              </w:rPr>
              <w:t>采购文件、采购过程、</w:t>
            </w:r>
            <w:r>
              <w:rPr>
                <w:rFonts w:hint="eastAsia" w:cs="宋体"/>
                <w:color w:val="auto"/>
                <w:kern w:val="2"/>
                <w:sz w:val="21"/>
                <w:szCs w:val="21"/>
                <w:highlight w:val="none"/>
              </w:rPr>
              <w:t>中标</w:t>
            </w:r>
            <w:r>
              <w:rPr>
                <w:rFonts w:hint="eastAsia" w:ascii="宋体" w:hAnsi="宋体" w:cs="宋体"/>
                <w:color w:val="auto"/>
                <w:kern w:val="2"/>
                <w:sz w:val="21"/>
                <w:szCs w:val="21"/>
                <w:highlight w:val="none"/>
              </w:rPr>
              <w:t>结果）</w:t>
            </w:r>
          </w:p>
        </w:tc>
      </w:tr>
      <w:tr w14:paraId="0876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900" w:type="dxa"/>
            <w:vAlign w:val="center"/>
          </w:tcPr>
          <w:p w14:paraId="1D2669EE">
            <w:pPr>
              <w:jc w:val="center"/>
              <w:rPr>
                <w:rFonts w:ascii="宋体" w:hAnsi="宋体" w:cs="宋体"/>
                <w:color w:val="auto"/>
                <w:szCs w:val="21"/>
                <w:highlight w:val="none"/>
              </w:rPr>
            </w:pPr>
            <w:r>
              <w:rPr>
                <w:rFonts w:hint="eastAsia" w:ascii="宋体" w:hAnsi="宋体" w:cs="宋体"/>
                <w:color w:val="auto"/>
                <w:szCs w:val="21"/>
                <w:highlight w:val="none"/>
              </w:rPr>
              <w:t>10.7</w:t>
            </w:r>
          </w:p>
          <w:p w14:paraId="65BA9930">
            <w:pPr>
              <w:jc w:val="center"/>
              <w:rPr>
                <w:rFonts w:ascii="宋体" w:hAnsi="宋体" w:cs="宋体"/>
                <w:color w:val="auto"/>
                <w:szCs w:val="21"/>
                <w:highlight w:val="none"/>
              </w:rPr>
            </w:pPr>
          </w:p>
        </w:tc>
        <w:tc>
          <w:tcPr>
            <w:tcW w:w="9593" w:type="dxa"/>
            <w:gridSpan w:val="2"/>
          </w:tcPr>
          <w:p w14:paraId="4293BC73">
            <w:pPr>
              <w:widowControl/>
              <w:spacing w:line="440" w:lineRule="exact"/>
              <w:rPr>
                <w:rFonts w:ascii="宋体" w:hAnsi="宋体" w:cs="宋体"/>
                <w:b/>
                <w:bCs/>
                <w:color w:val="auto"/>
                <w:szCs w:val="21"/>
                <w:highlight w:val="none"/>
                <w:lang w:bidi="zh-CN"/>
              </w:rPr>
            </w:pPr>
            <w:r>
              <w:rPr>
                <w:rFonts w:hint="eastAsia" w:ascii="宋体" w:hAnsi="宋体" w:cs="宋体"/>
                <w:b/>
                <w:bCs/>
                <w:color w:val="auto"/>
                <w:szCs w:val="21"/>
                <w:highlight w:val="none"/>
                <w:lang w:bidi="zh-CN"/>
              </w:rPr>
              <w:t>1.采购标的所属行业为：</w:t>
            </w:r>
            <w:r>
              <w:rPr>
                <w:rFonts w:hint="eastAsia" w:ascii="宋体" w:hAnsi="宋体" w:cs="宋体"/>
                <w:b/>
                <w:bCs/>
                <w:color w:val="auto"/>
                <w:kern w:val="0"/>
                <w:szCs w:val="21"/>
                <w:highlight w:val="none"/>
                <w:lang w:bidi="ar"/>
              </w:rPr>
              <w:t>其他为列明行业</w:t>
            </w:r>
          </w:p>
          <w:p w14:paraId="38B164D7">
            <w:pPr>
              <w:widowControl/>
              <w:autoSpaceDE w:val="0"/>
              <w:autoSpaceDN w:val="0"/>
              <w:spacing w:line="440" w:lineRule="exact"/>
              <w:ind w:firstLine="420" w:firstLineChars="200"/>
              <w:rPr>
                <w:color w:val="auto"/>
                <w:highlight w:val="none"/>
              </w:rPr>
            </w:pPr>
            <w:r>
              <w:rPr>
                <w:rFonts w:hint="eastAsia" w:ascii="宋体" w:hAnsi="宋体" w:cs="宋体"/>
                <w:color w:val="auto"/>
                <w:kern w:val="0"/>
                <w:szCs w:val="21"/>
                <w:highlight w:val="none"/>
                <w:lang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3EE1A13A">
      <w:pPr>
        <w:widowControl/>
        <w:spacing w:line="330" w:lineRule="atLeast"/>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4"/>
        <w:tblW w:w="10583" w:type="dxa"/>
        <w:jc w:val="center"/>
        <w:tblLayout w:type="fixed"/>
        <w:tblCellMar>
          <w:top w:w="0" w:type="dxa"/>
          <w:left w:w="108" w:type="dxa"/>
          <w:bottom w:w="0" w:type="dxa"/>
          <w:right w:w="108" w:type="dxa"/>
        </w:tblCellMar>
      </w:tblPr>
      <w:tblGrid>
        <w:gridCol w:w="1930"/>
        <w:gridCol w:w="1750"/>
        <w:gridCol w:w="684"/>
        <w:gridCol w:w="1300"/>
        <w:gridCol w:w="1866"/>
        <w:gridCol w:w="1567"/>
        <w:gridCol w:w="1486"/>
      </w:tblGrid>
      <w:tr w14:paraId="28829203">
        <w:tblPrEx>
          <w:tblCellMar>
            <w:top w:w="0" w:type="dxa"/>
            <w:left w:w="108" w:type="dxa"/>
            <w:bottom w:w="0" w:type="dxa"/>
            <w:right w:w="108" w:type="dxa"/>
          </w:tblCellMar>
        </w:tblPrEx>
        <w:trPr>
          <w:trHeight w:val="622" w:hRule="exact"/>
          <w:jc w:val="center"/>
        </w:trPr>
        <w:tc>
          <w:tcPr>
            <w:tcW w:w="1930" w:type="dxa"/>
            <w:tcBorders>
              <w:top w:val="single" w:color="auto" w:sz="4" w:space="0"/>
              <w:left w:val="nil"/>
              <w:bottom w:val="single" w:color="auto" w:sz="4" w:space="0"/>
              <w:right w:val="single" w:color="auto" w:sz="4" w:space="0"/>
            </w:tcBorders>
            <w:vAlign w:val="center"/>
          </w:tcPr>
          <w:p w14:paraId="70F30C67">
            <w:pPr>
              <w:widowControl/>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750" w:type="dxa"/>
            <w:tcBorders>
              <w:top w:val="single" w:color="auto" w:sz="4" w:space="0"/>
              <w:left w:val="nil"/>
              <w:bottom w:val="single" w:color="auto" w:sz="4" w:space="0"/>
              <w:right w:val="single" w:color="auto" w:sz="4" w:space="0"/>
            </w:tcBorders>
            <w:vAlign w:val="center"/>
          </w:tcPr>
          <w:p w14:paraId="372FBF8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684" w:type="dxa"/>
            <w:tcBorders>
              <w:top w:val="single" w:color="auto" w:sz="4" w:space="0"/>
              <w:left w:val="nil"/>
              <w:bottom w:val="single" w:color="auto" w:sz="4" w:space="0"/>
              <w:right w:val="single" w:color="auto" w:sz="4" w:space="0"/>
            </w:tcBorders>
            <w:vAlign w:val="center"/>
          </w:tcPr>
          <w:p w14:paraId="3DD4996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计量</w:t>
            </w:r>
          </w:p>
          <w:p w14:paraId="200DF70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00" w:type="dxa"/>
            <w:tcBorders>
              <w:top w:val="single" w:color="auto" w:sz="4" w:space="0"/>
              <w:left w:val="nil"/>
              <w:bottom w:val="single" w:color="auto" w:sz="4" w:space="0"/>
              <w:right w:val="single" w:color="auto" w:sz="4" w:space="0"/>
            </w:tcBorders>
            <w:vAlign w:val="center"/>
          </w:tcPr>
          <w:p w14:paraId="52CBD0D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66" w:type="dxa"/>
            <w:tcBorders>
              <w:top w:val="single" w:color="auto" w:sz="4" w:space="0"/>
              <w:left w:val="nil"/>
              <w:bottom w:val="single" w:color="auto" w:sz="4" w:space="0"/>
              <w:right w:val="single" w:color="auto" w:sz="4" w:space="0"/>
            </w:tcBorders>
            <w:vAlign w:val="center"/>
          </w:tcPr>
          <w:p w14:paraId="7017B28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567" w:type="dxa"/>
            <w:tcBorders>
              <w:top w:val="single" w:color="auto" w:sz="4" w:space="0"/>
              <w:left w:val="nil"/>
              <w:bottom w:val="single" w:color="auto" w:sz="4" w:space="0"/>
              <w:right w:val="single" w:color="auto" w:sz="4" w:space="0"/>
            </w:tcBorders>
            <w:vAlign w:val="center"/>
          </w:tcPr>
          <w:p w14:paraId="5827D60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1486" w:type="dxa"/>
            <w:tcBorders>
              <w:top w:val="single" w:color="auto" w:sz="4" w:space="0"/>
              <w:left w:val="nil"/>
              <w:bottom w:val="single" w:color="auto" w:sz="4" w:space="0"/>
              <w:right w:val="nil"/>
            </w:tcBorders>
            <w:vAlign w:val="center"/>
          </w:tcPr>
          <w:p w14:paraId="0B49C7C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4F3150FE">
        <w:tblPrEx>
          <w:tblCellMar>
            <w:top w:w="0" w:type="dxa"/>
            <w:left w:w="108" w:type="dxa"/>
            <w:bottom w:w="0" w:type="dxa"/>
            <w:right w:w="108" w:type="dxa"/>
          </w:tblCellMar>
        </w:tblPrEx>
        <w:trPr>
          <w:trHeight w:val="394" w:hRule="exact"/>
          <w:jc w:val="center"/>
        </w:trPr>
        <w:tc>
          <w:tcPr>
            <w:tcW w:w="1930" w:type="dxa"/>
            <w:tcBorders>
              <w:top w:val="nil"/>
              <w:left w:val="nil"/>
              <w:bottom w:val="single" w:color="auto" w:sz="4" w:space="0"/>
              <w:right w:val="single" w:color="auto" w:sz="4" w:space="0"/>
            </w:tcBorders>
            <w:vAlign w:val="center"/>
          </w:tcPr>
          <w:p w14:paraId="342839B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750" w:type="dxa"/>
            <w:tcBorders>
              <w:top w:val="nil"/>
              <w:left w:val="nil"/>
              <w:bottom w:val="single" w:color="auto" w:sz="4" w:space="0"/>
              <w:right w:val="single" w:color="auto" w:sz="4" w:space="0"/>
            </w:tcBorders>
            <w:vAlign w:val="center"/>
          </w:tcPr>
          <w:p w14:paraId="063AAC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3FB32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6C8AF2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7BF4EF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7E8549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1486" w:type="dxa"/>
            <w:tcBorders>
              <w:top w:val="nil"/>
              <w:left w:val="nil"/>
              <w:bottom w:val="single" w:color="auto" w:sz="4" w:space="0"/>
              <w:right w:val="nil"/>
            </w:tcBorders>
            <w:vAlign w:val="center"/>
          </w:tcPr>
          <w:p w14:paraId="5A6E29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B0746A4">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31FD0AD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750" w:type="dxa"/>
            <w:tcBorders>
              <w:top w:val="nil"/>
              <w:left w:val="nil"/>
              <w:bottom w:val="nil"/>
              <w:right w:val="single" w:color="auto" w:sz="4" w:space="0"/>
            </w:tcBorders>
            <w:vAlign w:val="center"/>
          </w:tcPr>
          <w:p w14:paraId="5394FF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161594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4E5A36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8B9C6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5A0715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5CE367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61DCB79">
        <w:tblPrEx>
          <w:tblCellMar>
            <w:top w:w="0" w:type="dxa"/>
            <w:left w:w="108" w:type="dxa"/>
            <w:bottom w:w="0" w:type="dxa"/>
            <w:right w:w="108" w:type="dxa"/>
          </w:tblCellMar>
        </w:tblPrEx>
        <w:trPr>
          <w:trHeight w:val="612" w:hRule="exact"/>
          <w:jc w:val="center"/>
        </w:trPr>
        <w:tc>
          <w:tcPr>
            <w:tcW w:w="1930" w:type="dxa"/>
            <w:vMerge w:val="continue"/>
            <w:tcBorders>
              <w:top w:val="nil"/>
              <w:left w:val="nil"/>
              <w:bottom w:val="single" w:color="auto" w:sz="4" w:space="0"/>
              <w:right w:val="single" w:color="auto" w:sz="4" w:space="0"/>
            </w:tcBorders>
            <w:vAlign w:val="center"/>
          </w:tcPr>
          <w:p w14:paraId="012DB595">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19BCAD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0C1F0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B24F1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235B70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567" w:type="dxa"/>
            <w:tcBorders>
              <w:top w:val="nil"/>
              <w:left w:val="nil"/>
              <w:bottom w:val="single" w:color="auto" w:sz="4" w:space="0"/>
              <w:right w:val="single" w:color="auto" w:sz="4" w:space="0"/>
            </w:tcBorders>
            <w:vAlign w:val="center"/>
          </w:tcPr>
          <w:p w14:paraId="0607F8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1486" w:type="dxa"/>
            <w:tcBorders>
              <w:top w:val="nil"/>
              <w:left w:val="nil"/>
              <w:bottom w:val="single" w:color="auto" w:sz="4" w:space="0"/>
              <w:right w:val="nil"/>
            </w:tcBorders>
            <w:vAlign w:val="center"/>
          </w:tcPr>
          <w:p w14:paraId="7AD846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2D81BB86">
        <w:tblPrEx>
          <w:tblCellMar>
            <w:top w:w="0" w:type="dxa"/>
            <w:left w:w="108" w:type="dxa"/>
            <w:bottom w:w="0" w:type="dxa"/>
            <w:right w:w="108" w:type="dxa"/>
          </w:tblCellMar>
        </w:tblPrEx>
        <w:trPr>
          <w:trHeight w:val="562" w:hRule="exact"/>
          <w:jc w:val="center"/>
        </w:trPr>
        <w:tc>
          <w:tcPr>
            <w:tcW w:w="1930" w:type="dxa"/>
            <w:vMerge w:val="restart"/>
            <w:tcBorders>
              <w:top w:val="nil"/>
              <w:left w:val="nil"/>
              <w:bottom w:val="single" w:color="auto" w:sz="4" w:space="0"/>
              <w:right w:val="single" w:color="auto" w:sz="4" w:space="0"/>
            </w:tcBorders>
            <w:vAlign w:val="center"/>
          </w:tcPr>
          <w:p w14:paraId="5013B78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750" w:type="dxa"/>
            <w:tcBorders>
              <w:top w:val="nil"/>
              <w:left w:val="nil"/>
              <w:bottom w:val="nil"/>
              <w:right w:val="single" w:color="auto" w:sz="4" w:space="0"/>
            </w:tcBorders>
            <w:vAlign w:val="center"/>
          </w:tcPr>
          <w:p w14:paraId="1F737B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2C549F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458578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66" w:type="dxa"/>
            <w:tcBorders>
              <w:top w:val="nil"/>
              <w:left w:val="nil"/>
              <w:bottom w:val="nil"/>
              <w:right w:val="single" w:color="auto" w:sz="4" w:space="0"/>
            </w:tcBorders>
            <w:vAlign w:val="center"/>
          </w:tcPr>
          <w:p w14:paraId="2C72DF0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567" w:type="dxa"/>
            <w:tcBorders>
              <w:top w:val="nil"/>
              <w:left w:val="nil"/>
              <w:bottom w:val="nil"/>
              <w:right w:val="single" w:color="auto" w:sz="4" w:space="0"/>
            </w:tcBorders>
            <w:vAlign w:val="center"/>
          </w:tcPr>
          <w:p w14:paraId="4DE233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1486" w:type="dxa"/>
            <w:tcBorders>
              <w:top w:val="nil"/>
              <w:left w:val="nil"/>
              <w:bottom w:val="nil"/>
              <w:right w:val="nil"/>
            </w:tcBorders>
            <w:vAlign w:val="center"/>
          </w:tcPr>
          <w:p w14:paraId="79F0FF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B8C1A87">
        <w:tblPrEx>
          <w:tblCellMar>
            <w:top w:w="0" w:type="dxa"/>
            <w:left w:w="108" w:type="dxa"/>
            <w:bottom w:w="0" w:type="dxa"/>
            <w:right w:w="108" w:type="dxa"/>
          </w:tblCellMar>
        </w:tblPrEx>
        <w:trPr>
          <w:trHeight w:val="597" w:hRule="exact"/>
          <w:jc w:val="center"/>
        </w:trPr>
        <w:tc>
          <w:tcPr>
            <w:tcW w:w="1930" w:type="dxa"/>
            <w:vMerge w:val="continue"/>
            <w:tcBorders>
              <w:top w:val="nil"/>
              <w:left w:val="nil"/>
              <w:bottom w:val="single" w:color="auto" w:sz="4" w:space="0"/>
              <w:right w:val="single" w:color="auto" w:sz="4" w:space="0"/>
            </w:tcBorders>
            <w:vAlign w:val="center"/>
          </w:tcPr>
          <w:p w14:paraId="6503DF9D">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0A6855E">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6F5740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1483C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66" w:type="dxa"/>
            <w:tcBorders>
              <w:top w:val="nil"/>
              <w:left w:val="nil"/>
              <w:bottom w:val="single" w:color="auto" w:sz="4" w:space="0"/>
              <w:right w:val="single" w:color="auto" w:sz="4" w:space="0"/>
            </w:tcBorders>
            <w:vAlign w:val="center"/>
          </w:tcPr>
          <w:p w14:paraId="4B5439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567" w:type="dxa"/>
            <w:tcBorders>
              <w:top w:val="nil"/>
              <w:left w:val="nil"/>
              <w:bottom w:val="single" w:color="auto" w:sz="4" w:space="0"/>
              <w:right w:val="single" w:color="auto" w:sz="4" w:space="0"/>
            </w:tcBorders>
            <w:vAlign w:val="center"/>
          </w:tcPr>
          <w:p w14:paraId="793306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1486" w:type="dxa"/>
            <w:tcBorders>
              <w:top w:val="nil"/>
              <w:left w:val="nil"/>
              <w:bottom w:val="single" w:color="auto" w:sz="4" w:space="0"/>
              <w:right w:val="nil"/>
            </w:tcBorders>
            <w:vAlign w:val="center"/>
          </w:tcPr>
          <w:p w14:paraId="358DCA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8539DC9">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8E2786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750" w:type="dxa"/>
            <w:tcBorders>
              <w:top w:val="nil"/>
              <w:left w:val="nil"/>
              <w:bottom w:val="nil"/>
              <w:right w:val="single" w:color="auto" w:sz="4" w:space="0"/>
            </w:tcBorders>
            <w:vAlign w:val="center"/>
          </w:tcPr>
          <w:p w14:paraId="533296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6CD79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3B7F6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6386FC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567" w:type="dxa"/>
            <w:tcBorders>
              <w:top w:val="nil"/>
              <w:left w:val="nil"/>
              <w:bottom w:val="nil"/>
              <w:right w:val="single" w:color="auto" w:sz="4" w:space="0"/>
            </w:tcBorders>
            <w:vAlign w:val="center"/>
          </w:tcPr>
          <w:p w14:paraId="4CA45B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1486" w:type="dxa"/>
            <w:tcBorders>
              <w:top w:val="nil"/>
              <w:left w:val="nil"/>
              <w:bottom w:val="nil"/>
              <w:right w:val="nil"/>
            </w:tcBorders>
            <w:vAlign w:val="center"/>
          </w:tcPr>
          <w:p w14:paraId="584EF6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3B050E70">
        <w:tblPrEx>
          <w:tblCellMar>
            <w:top w:w="0" w:type="dxa"/>
            <w:left w:w="108" w:type="dxa"/>
            <w:bottom w:w="0" w:type="dxa"/>
            <w:right w:w="108" w:type="dxa"/>
          </w:tblCellMar>
        </w:tblPrEx>
        <w:trPr>
          <w:trHeight w:val="642" w:hRule="exact"/>
          <w:jc w:val="center"/>
        </w:trPr>
        <w:tc>
          <w:tcPr>
            <w:tcW w:w="1930" w:type="dxa"/>
            <w:vMerge w:val="continue"/>
            <w:tcBorders>
              <w:top w:val="nil"/>
              <w:left w:val="nil"/>
              <w:bottom w:val="single" w:color="auto" w:sz="4" w:space="0"/>
              <w:right w:val="single" w:color="auto" w:sz="4" w:space="0"/>
            </w:tcBorders>
            <w:vAlign w:val="center"/>
          </w:tcPr>
          <w:p w14:paraId="6AD90993">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23513946">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E0F096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1E949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66" w:type="dxa"/>
            <w:tcBorders>
              <w:top w:val="nil"/>
              <w:left w:val="nil"/>
              <w:bottom w:val="single" w:color="auto" w:sz="4" w:space="0"/>
              <w:right w:val="single" w:color="auto" w:sz="4" w:space="0"/>
            </w:tcBorders>
            <w:vAlign w:val="center"/>
          </w:tcPr>
          <w:p w14:paraId="0DBB68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567" w:type="dxa"/>
            <w:tcBorders>
              <w:top w:val="nil"/>
              <w:left w:val="nil"/>
              <w:bottom w:val="single" w:color="auto" w:sz="4" w:space="0"/>
              <w:right w:val="single" w:color="auto" w:sz="4" w:space="0"/>
            </w:tcBorders>
            <w:vAlign w:val="center"/>
          </w:tcPr>
          <w:p w14:paraId="6999793E">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486" w:type="dxa"/>
            <w:tcBorders>
              <w:top w:val="nil"/>
              <w:left w:val="nil"/>
              <w:bottom w:val="single" w:color="auto" w:sz="4" w:space="0"/>
              <w:right w:val="nil"/>
            </w:tcBorders>
            <w:vAlign w:val="center"/>
          </w:tcPr>
          <w:p w14:paraId="3FCD1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0B93DE75">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4C07C51D">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750" w:type="dxa"/>
            <w:tcBorders>
              <w:top w:val="nil"/>
              <w:left w:val="nil"/>
              <w:bottom w:val="nil"/>
              <w:right w:val="single" w:color="auto" w:sz="4" w:space="0"/>
            </w:tcBorders>
            <w:vAlign w:val="center"/>
          </w:tcPr>
          <w:p w14:paraId="6121CE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90E97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6FD6F0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23CD9B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567" w:type="dxa"/>
            <w:tcBorders>
              <w:top w:val="nil"/>
              <w:left w:val="nil"/>
              <w:bottom w:val="nil"/>
              <w:right w:val="single" w:color="auto" w:sz="4" w:space="0"/>
            </w:tcBorders>
            <w:vAlign w:val="center"/>
          </w:tcPr>
          <w:p w14:paraId="21E2D658">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1486" w:type="dxa"/>
            <w:tcBorders>
              <w:top w:val="nil"/>
              <w:left w:val="nil"/>
              <w:bottom w:val="nil"/>
              <w:right w:val="nil"/>
            </w:tcBorders>
            <w:vAlign w:val="center"/>
          </w:tcPr>
          <w:p w14:paraId="1645B7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138597F7">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42C9D791">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545F9DD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336CB2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181C31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66" w:type="dxa"/>
            <w:tcBorders>
              <w:top w:val="nil"/>
              <w:left w:val="nil"/>
              <w:bottom w:val="single" w:color="auto" w:sz="4" w:space="0"/>
              <w:right w:val="single" w:color="auto" w:sz="4" w:space="0"/>
            </w:tcBorders>
            <w:vAlign w:val="center"/>
          </w:tcPr>
          <w:p w14:paraId="0C9CD96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567" w:type="dxa"/>
            <w:tcBorders>
              <w:top w:val="nil"/>
              <w:left w:val="nil"/>
              <w:bottom w:val="single" w:color="auto" w:sz="4" w:space="0"/>
              <w:right w:val="single" w:color="auto" w:sz="4" w:space="0"/>
            </w:tcBorders>
            <w:vAlign w:val="center"/>
          </w:tcPr>
          <w:p w14:paraId="784D0A3F">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1486" w:type="dxa"/>
            <w:tcBorders>
              <w:top w:val="nil"/>
              <w:left w:val="nil"/>
              <w:bottom w:val="single" w:color="auto" w:sz="4" w:space="0"/>
              <w:right w:val="nil"/>
            </w:tcBorders>
            <w:vAlign w:val="center"/>
          </w:tcPr>
          <w:p w14:paraId="3E8F1E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2FC6B11">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07239CA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750" w:type="dxa"/>
            <w:tcBorders>
              <w:top w:val="nil"/>
              <w:left w:val="nil"/>
              <w:bottom w:val="nil"/>
              <w:right w:val="single" w:color="auto" w:sz="4" w:space="0"/>
            </w:tcBorders>
            <w:vAlign w:val="center"/>
          </w:tcPr>
          <w:p w14:paraId="7C3C5A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3279F8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0C370A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36A6EF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3D3590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4AE4B4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B289980">
        <w:tblPrEx>
          <w:tblCellMar>
            <w:top w:w="0" w:type="dxa"/>
            <w:left w:w="108" w:type="dxa"/>
            <w:bottom w:w="0" w:type="dxa"/>
            <w:right w:w="108" w:type="dxa"/>
          </w:tblCellMar>
        </w:tblPrEx>
        <w:trPr>
          <w:trHeight w:val="397" w:hRule="exact"/>
          <w:jc w:val="center"/>
        </w:trPr>
        <w:tc>
          <w:tcPr>
            <w:tcW w:w="1930" w:type="dxa"/>
            <w:vMerge w:val="continue"/>
            <w:tcBorders>
              <w:top w:val="nil"/>
              <w:left w:val="nil"/>
              <w:bottom w:val="single" w:color="auto" w:sz="4" w:space="0"/>
              <w:right w:val="single" w:color="auto" w:sz="4" w:space="0"/>
            </w:tcBorders>
            <w:vAlign w:val="center"/>
          </w:tcPr>
          <w:p w14:paraId="68A435A7">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EAB36A2">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095BE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57D7B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59E8CC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567" w:type="dxa"/>
            <w:tcBorders>
              <w:top w:val="nil"/>
              <w:left w:val="nil"/>
              <w:bottom w:val="single" w:color="auto" w:sz="4" w:space="0"/>
              <w:right w:val="single" w:color="auto" w:sz="4" w:space="0"/>
            </w:tcBorders>
            <w:vAlign w:val="center"/>
          </w:tcPr>
          <w:p w14:paraId="52F335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1486" w:type="dxa"/>
            <w:tcBorders>
              <w:top w:val="nil"/>
              <w:left w:val="nil"/>
              <w:bottom w:val="single" w:color="auto" w:sz="4" w:space="0"/>
              <w:right w:val="nil"/>
            </w:tcBorders>
            <w:vAlign w:val="center"/>
          </w:tcPr>
          <w:p w14:paraId="576725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3E530413">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4F95876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750" w:type="dxa"/>
            <w:tcBorders>
              <w:top w:val="nil"/>
              <w:left w:val="nil"/>
              <w:bottom w:val="nil"/>
              <w:right w:val="single" w:color="auto" w:sz="4" w:space="0"/>
            </w:tcBorders>
            <w:vAlign w:val="center"/>
          </w:tcPr>
          <w:p w14:paraId="3677AA2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27C81F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43627A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866" w:type="dxa"/>
            <w:tcBorders>
              <w:top w:val="nil"/>
              <w:left w:val="nil"/>
              <w:bottom w:val="nil"/>
              <w:right w:val="single" w:color="auto" w:sz="4" w:space="0"/>
            </w:tcBorders>
            <w:vAlign w:val="center"/>
          </w:tcPr>
          <w:p w14:paraId="3411449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567" w:type="dxa"/>
            <w:tcBorders>
              <w:top w:val="nil"/>
              <w:left w:val="nil"/>
              <w:bottom w:val="nil"/>
              <w:right w:val="single" w:color="auto" w:sz="4" w:space="0"/>
            </w:tcBorders>
            <w:vAlign w:val="center"/>
          </w:tcPr>
          <w:p w14:paraId="1581EE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1486" w:type="dxa"/>
            <w:tcBorders>
              <w:top w:val="nil"/>
              <w:left w:val="nil"/>
              <w:bottom w:val="nil"/>
              <w:right w:val="nil"/>
            </w:tcBorders>
            <w:vAlign w:val="center"/>
          </w:tcPr>
          <w:p w14:paraId="34B928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2508D9B">
        <w:tblPrEx>
          <w:tblCellMar>
            <w:top w:w="0" w:type="dxa"/>
            <w:left w:w="108" w:type="dxa"/>
            <w:bottom w:w="0" w:type="dxa"/>
            <w:right w:w="108" w:type="dxa"/>
          </w:tblCellMar>
        </w:tblPrEx>
        <w:trPr>
          <w:trHeight w:val="754" w:hRule="exact"/>
          <w:jc w:val="center"/>
        </w:trPr>
        <w:tc>
          <w:tcPr>
            <w:tcW w:w="1930" w:type="dxa"/>
            <w:vMerge w:val="continue"/>
            <w:tcBorders>
              <w:top w:val="nil"/>
              <w:left w:val="nil"/>
              <w:bottom w:val="single" w:color="auto" w:sz="4" w:space="0"/>
              <w:right w:val="single" w:color="auto" w:sz="4" w:space="0"/>
            </w:tcBorders>
            <w:vAlign w:val="center"/>
          </w:tcPr>
          <w:p w14:paraId="11D01D61">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803C8DC">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443D89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07D943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351138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567" w:type="dxa"/>
            <w:tcBorders>
              <w:top w:val="nil"/>
              <w:left w:val="nil"/>
              <w:bottom w:val="single" w:color="auto" w:sz="4" w:space="0"/>
              <w:right w:val="single" w:color="auto" w:sz="4" w:space="0"/>
            </w:tcBorders>
            <w:vAlign w:val="center"/>
          </w:tcPr>
          <w:p w14:paraId="70B8AF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78355D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D63DF58">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7553D4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750" w:type="dxa"/>
            <w:tcBorders>
              <w:top w:val="nil"/>
              <w:left w:val="nil"/>
              <w:bottom w:val="nil"/>
              <w:right w:val="single" w:color="auto" w:sz="4" w:space="0"/>
            </w:tcBorders>
            <w:vAlign w:val="center"/>
          </w:tcPr>
          <w:p w14:paraId="7C1C17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5CCD7C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523D02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9931A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6B674A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1486" w:type="dxa"/>
            <w:tcBorders>
              <w:top w:val="nil"/>
              <w:left w:val="nil"/>
              <w:bottom w:val="nil"/>
              <w:right w:val="nil"/>
            </w:tcBorders>
            <w:vAlign w:val="center"/>
          </w:tcPr>
          <w:p w14:paraId="74B1A0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748053B">
        <w:tblPrEx>
          <w:tblCellMar>
            <w:top w:w="0" w:type="dxa"/>
            <w:left w:w="108" w:type="dxa"/>
            <w:bottom w:w="0" w:type="dxa"/>
            <w:right w:w="108" w:type="dxa"/>
          </w:tblCellMar>
        </w:tblPrEx>
        <w:trPr>
          <w:trHeight w:val="643" w:hRule="exact"/>
          <w:jc w:val="center"/>
        </w:trPr>
        <w:tc>
          <w:tcPr>
            <w:tcW w:w="1930" w:type="dxa"/>
            <w:vMerge w:val="continue"/>
            <w:tcBorders>
              <w:top w:val="nil"/>
              <w:left w:val="nil"/>
              <w:bottom w:val="single" w:color="auto" w:sz="4" w:space="0"/>
              <w:right w:val="single" w:color="auto" w:sz="4" w:space="0"/>
            </w:tcBorders>
            <w:vAlign w:val="center"/>
          </w:tcPr>
          <w:p w14:paraId="5B7C0EE8">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4154AF40">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8D403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890F95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66" w:type="dxa"/>
            <w:tcBorders>
              <w:top w:val="nil"/>
              <w:left w:val="nil"/>
              <w:bottom w:val="single" w:color="auto" w:sz="4" w:space="0"/>
              <w:right w:val="single" w:color="auto" w:sz="4" w:space="0"/>
            </w:tcBorders>
            <w:vAlign w:val="center"/>
          </w:tcPr>
          <w:p w14:paraId="5CB99B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567" w:type="dxa"/>
            <w:tcBorders>
              <w:top w:val="nil"/>
              <w:left w:val="nil"/>
              <w:bottom w:val="single" w:color="auto" w:sz="4" w:space="0"/>
              <w:right w:val="single" w:color="auto" w:sz="4" w:space="0"/>
            </w:tcBorders>
            <w:vAlign w:val="center"/>
          </w:tcPr>
          <w:p w14:paraId="577D26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77287C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9911A86">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50FD9CF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750" w:type="dxa"/>
            <w:tcBorders>
              <w:top w:val="nil"/>
              <w:left w:val="nil"/>
              <w:bottom w:val="nil"/>
              <w:right w:val="single" w:color="auto" w:sz="4" w:space="0"/>
            </w:tcBorders>
            <w:vAlign w:val="center"/>
          </w:tcPr>
          <w:p w14:paraId="2C7ADB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032C4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36B8FF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7221533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38210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2FCEBF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D1104CD">
        <w:tblPrEx>
          <w:tblCellMar>
            <w:top w:w="0" w:type="dxa"/>
            <w:left w:w="108" w:type="dxa"/>
            <w:bottom w:w="0" w:type="dxa"/>
            <w:right w:w="108" w:type="dxa"/>
          </w:tblCellMar>
        </w:tblPrEx>
        <w:trPr>
          <w:trHeight w:val="737" w:hRule="exact"/>
          <w:jc w:val="center"/>
        </w:trPr>
        <w:tc>
          <w:tcPr>
            <w:tcW w:w="1930" w:type="dxa"/>
            <w:vMerge w:val="continue"/>
            <w:tcBorders>
              <w:top w:val="nil"/>
              <w:left w:val="nil"/>
              <w:bottom w:val="single" w:color="auto" w:sz="4" w:space="0"/>
              <w:right w:val="single" w:color="auto" w:sz="4" w:space="0"/>
            </w:tcBorders>
            <w:vAlign w:val="center"/>
          </w:tcPr>
          <w:p w14:paraId="3EB34D30">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FA5015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7831CE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9CC31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19A571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7AEDD8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118597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DCCF26C">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20F21261">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750" w:type="dxa"/>
            <w:tcBorders>
              <w:top w:val="nil"/>
              <w:left w:val="nil"/>
              <w:bottom w:val="nil"/>
              <w:right w:val="single" w:color="auto" w:sz="4" w:space="0"/>
            </w:tcBorders>
            <w:vAlign w:val="center"/>
          </w:tcPr>
          <w:p w14:paraId="01B7C7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27D2A1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16C44B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039D2F6C">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4030EB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2FC042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DECDD96">
        <w:tblPrEx>
          <w:tblCellMar>
            <w:top w:w="0" w:type="dxa"/>
            <w:left w:w="108" w:type="dxa"/>
            <w:bottom w:w="0" w:type="dxa"/>
            <w:right w:w="108" w:type="dxa"/>
          </w:tblCellMar>
        </w:tblPrEx>
        <w:trPr>
          <w:trHeight w:val="954" w:hRule="exact"/>
          <w:jc w:val="center"/>
        </w:trPr>
        <w:tc>
          <w:tcPr>
            <w:tcW w:w="1930" w:type="dxa"/>
            <w:vMerge w:val="continue"/>
            <w:tcBorders>
              <w:top w:val="nil"/>
              <w:left w:val="nil"/>
              <w:bottom w:val="single" w:color="auto" w:sz="4" w:space="0"/>
              <w:right w:val="single" w:color="auto" w:sz="4" w:space="0"/>
            </w:tcBorders>
            <w:vAlign w:val="center"/>
          </w:tcPr>
          <w:p w14:paraId="3A7D080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9AACD70">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58981F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5EEBF5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1D3B45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567" w:type="dxa"/>
            <w:tcBorders>
              <w:top w:val="nil"/>
              <w:left w:val="nil"/>
              <w:bottom w:val="single" w:color="auto" w:sz="4" w:space="0"/>
              <w:right w:val="single" w:color="auto" w:sz="4" w:space="0"/>
            </w:tcBorders>
            <w:vAlign w:val="center"/>
          </w:tcPr>
          <w:p w14:paraId="05EEF6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1486" w:type="dxa"/>
            <w:tcBorders>
              <w:top w:val="nil"/>
              <w:left w:val="nil"/>
              <w:bottom w:val="single" w:color="auto" w:sz="4" w:space="0"/>
              <w:right w:val="nil"/>
            </w:tcBorders>
            <w:vAlign w:val="center"/>
          </w:tcPr>
          <w:p w14:paraId="3B7DA3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9CBCE8A">
        <w:tblPrEx>
          <w:tblCellMar>
            <w:top w:w="0" w:type="dxa"/>
            <w:left w:w="108" w:type="dxa"/>
            <w:bottom w:w="0" w:type="dxa"/>
            <w:right w:w="108" w:type="dxa"/>
          </w:tblCellMar>
        </w:tblPrEx>
        <w:trPr>
          <w:trHeight w:val="397" w:hRule="exact"/>
          <w:jc w:val="center"/>
        </w:trPr>
        <w:tc>
          <w:tcPr>
            <w:tcW w:w="1930" w:type="dxa"/>
            <w:vMerge w:val="restart"/>
            <w:tcBorders>
              <w:top w:val="nil"/>
              <w:left w:val="nil"/>
              <w:bottom w:val="single" w:color="auto" w:sz="4" w:space="0"/>
              <w:right w:val="single" w:color="auto" w:sz="4" w:space="0"/>
            </w:tcBorders>
            <w:vAlign w:val="center"/>
          </w:tcPr>
          <w:p w14:paraId="62FDAFB0">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750" w:type="dxa"/>
            <w:tcBorders>
              <w:top w:val="nil"/>
              <w:left w:val="nil"/>
              <w:bottom w:val="nil"/>
              <w:right w:val="single" w:color="auto" w:sz="4" w:space="0"/>
            </w:tcBorders>
            <w:vAlign w:val="center"/>
          </w:tcPr>
          <w:p w14:paraId="3949D7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0EB2C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392377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866" w:type="dxa"/>
            <w:tcBorders>
              <w:top w:val="nil"/>
              <w:left w:val="nil"/>
              <w:bottom w:val="nil"/>
              <w:right w:val="single" w:color="auto" w:sz="4" w:space="0"/>
            </w:tcBorders>
            <w:vAlign w:val="center"/>
          </w:tcPr>
          <w:p w14:paraId="20BD11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567" w:type="dxa"/>
            <w:tcBorders>
              <w:top w:val="nil"/>
              <w:left w:val="nil"/>
              <w:bottom w:val="nil"/>
              <w:right w:val="single" w:color="auto" w:sz="4" w:space="0"/>
            </w:tcBorders>
            <w:vAlign w:val="center"/>
          </w:tcPr>
          <w:p w14:paraId="105510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2A715B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C64586E">
        <w:tblPrEx>
          <w:tblCellMar>
            <w:top w:w="0" w:type="dxa"/>
            <w:left w:w="108" w:type="dxa"/>
            <w:bottom w:w="0" w:type="dxa"/>
            <w:right w:w="108" w:type="dxa"/>
          </w:tblCellMar>
        </w:tblPrEx>
        <w:trPr>
          <w:trHeight w:val="904" w:hRule="exact"/>
          <w:jc w:val="center"/>
        </w:trPr>
        <w:tc>
          <w:tcPr>
            <w:tcW w:w="1930" w:type="dxa"/>
            <w:vMerge w:val="continue"/>
            <w:tcBorders>
              <w:top w:val="nil"/>
              <w:left w:val="nil"/>
              <w:bottom w:val="single" w:color="auto" w:sz="4" w:space="0"/>
              <w:right w:val="single" w:color="auto" w:sz="4" w:space="0"/>
            </w:tcBorders>
            <w:vAlign w:val="center"/>
          </w:tcPr>
          <w:p w14:paraId="7ABF5B59">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1A204FA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649CB0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6A2382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66" w:type="dxa"/>
            <w:tcBorders>
              <w:top w:val="nil"/>
              <w:left w:val="nil"/>
              <w:bottom w:val="single" w:color="auto" w:sz="4" w:space="0"/>
              <w:right w:val="single" w:color="auto" w:sz="4" w:space="0"/>
            </w:tcBorders>
            <w:vAlign w:val="center"/>
          </w:tcPr>
          <w:p w14:paraId="6F482D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567" w:type="dxa"/>
            <w:tcBorders>
              <w:top w:val="nil"/>
              <w:left w:val="nil"/>
              <w:bottom w:val="single" w:color="auto" w:sz="4" w:space="0"/>
              <w:right w:val="single" w:color="auto" w:sz="4" w:space="0"/>
            </w:tcBorders>
            <w:vAlign w:val="center"/>
          </w:tcPr>
          <w:p w14:paraId="3F17FB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single" w:color="auto" w:sz="4" w:space="0"/>
              <w:right w:val="nil"/>
            </w:tcBorders>
            <w:vAlign w:val="center"/>
          </w:tcPr>
          <w:p w14:paraId="160517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FDF44BB">
        <w:tblPrEx>
          <w:tblCellMar>
            <w:top w:w="0" w:type="dxa"/>
            <w:left w:w="108" w:type="dxa"/>
            <w:bottom w:w="0" w:type="dxa"/>
            <w:right w:w="108" w:type="dxa"/>
          </w:tblCellMar>
        </w:tblPrEx>
        <w:trPr>
          <w:trHeight w:val="639" w:hRule="exact"/>
          <w:jc w:val="center"/>
        </w:trPr>
        <w:tc>
          <w:tcPr>
            <w:tcW w:w="1930" w:type="dxa"/>
            <w:vMerge w:val="restart"/>
            <w:tcBorders>
              <w:top w:val="single" w:color="auto" w:sz="4" w:space="0"/>
              <w:left w:val="nil"/>
              <w:bottom w:val="single" w:color="auto" w:sz="4" w:space="0"/>
              <w:right w:val="single" w:color="auto" w:sz="4" w:space="0"/>
            </w:tcBorders>
            <w:vAlign w:val="center"/>
          </w:tcPr>
          <w:p w14:paraId="10A14B41">
            <w:pPr>
              <w:widowControl/>
              <w:spacing w:line="240" w:lineRule="exact"/>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750" w:type="dxa"/>
            <w:tcBorders>
              <w:top w:val="nil"/>
              <w:left w:val="nil"/>
              <w:bottom w:val="nil"/>
              <w:right w:val="single" w:color="auto" w:sz="4" w:space="0"/>
            </w:tcBorders>
            <w:vAlign w:val="center"/>
          </w:tcPr>
          <w:p w14:paraId="16D0C7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6283EB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9F041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1115B385">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0894A5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498C8B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B55D4CB">
        <w:tblPrEx>
          <w:tblCellMar>
            <w:top w:w="0" w:type="dxa"/>
            <w:left w:w="108" w:type="dxa"/>
            <w:bottom w:w="0" w:type="dxa"/>
            <w:right w:w="108" w:type="dxa"/>
          </w:tblCellMar>
        </w:tblPrEx>
        <w:trPr>
          <w:trHeight w:val="747" w:hRule="exact"/>
          <w:jc w:val="center"/>
        </w:trPr>
        <w:tc>
          <w:tcPr>
            <w:tcW w:w="1930" w:type="dxa"/>
            <w:vMerge w:val="continue"/>
            <w:tcBorders>
              <w:top w:val="single" w:color="auto" w:sz="4" w:space="0"/>
              <w:left w:val="nil"/>
              <w:bottom w:val="single" w:color="auto" w:sz="4" w:space="0"/>
              <w:right w:val="single" w:color="auto" w:sz="4" w:space="0"/>
            </w:tcBorders>
            <w:vAlign w:val="center"/>
          </w:tcPr>
          <w:p w14:paraId="235C756E">
            <w:pPr>
              <w:widowControl/>
              <w:jc w:val="left"/>
              <w:rPr>
                <w:rFonts w:ascii="宋体" w:hAnsi="宋体" w:cs="宋体"/>
                <w:color w:val="auto"/>
                <w:spacing w:val="-12"/>
                <w:kern w:val="0"/>
                <w:szCs w:val="21"/>
                <w:highlight w:val="none"/>
              </w:rPr>
            </w:pPr>
          </w:p>
        </w:tc>
        <w:tc>
          <w:tcPr>
            <w:tcW w:w="1750" w:type="dxa"/>
            <w:tcBorders>
              <w:top w:val="nil"/>
              <w:left w:val="nil"/>
              <w:bottom w:val="single" w:color="auto" w:sz="4" w:space="0"/>
              <w:right w:val="single" w:color="auto" w:sz="4" w:space="0"/>
            </w:tcBorders>
            <w:vAlign w:val="center"/>
          </w:tcPr>
          <w:p w14:paraId="2D11B8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1BF23B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36E5EC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66" w:type="dxa"/>
            <w:tcBorders>
              <w:top w:val="nil"/>
              <w:left w:val="nil"/>
              <w:bottom w:val="single" w:color="auto" w:sz="4" w:space="0"/>
              <w:right w:val="single" w:color="auto" w:sz="4" w:space="0"/>
            </w:tcBorders>
            <w:vAlign w:val="center"/>
          </w:tcPr>
          <w:p w14:paraId="2DA8E4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567" w:type="dxa"/>
            <w:tcBorders>
              <w:top w:val="nil"/>
              <w:left w:val="nil"/>
              <w:bottom w:val="single" w:color="auto" w:sz="4" w:space="0"/>
              <w:right w:val="single" w:color="auto" w:sz="4" w:space="0"/>
            </w:tcBorders>
            <w:vAlign w:val="center"/>
          </w:tcPr>
          <w:p w14:paraId="436252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1486" w:type="dxa"/>
            <w:tcBorders>
              <w:top w:val="nil"/>
              <w:left w:val="nil"/>
              <w:bottom w:val="single" w:color="auto" w:sz="4" w:space="0"/>
              <w:right w:val="nil"/>
            </w:tcBorders>
            <w:vAlign w:val="center"/>
          </w:tcPr>
          <w:p w14:paraId="2DF858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A62B336">
        <w:tblPrEx>
          <w:tblCellMar>
            <w:top w:w="0" w:type="dxa"/>
            <w:left w:w="108" w:type="dxa"/>
            <w:bottom w:w="0" w:type="dxa"/>
            <w:right w:w="108" w:type="dxa"/>
          </w:tblCellMar>
        </w:tblPrEx>
        <w:trPr>
          <w:trHeight w:val="640" w:hRule="exact"/>
          <w:jc w:val="center"/>
        </w:trPr>
        <w:tc>
          <w:tcPr>
            <w:tcW w:w="1930" w:type="dxa"/>
            <w:vMerge w:val="restart"/>
            <w:tcBorders>
              <w:top w:val="nil"/>
              <w:left w:val="nil"/>
              <w:bottom w:val="single" w:color="auto" w:sz="4" w:space="0"/>
              <w:right w:val="single" w:color="auto" w:sz="4" w:space="0"/>
            </w:tcBorders>
            <w:vAlign w:val="center"/>
          </w:tcPr>
          <w:p w14:paraId="16D137D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750" w:type="dxa"/>
            <w:tcBorders>
              <w:top w:val="nil"/>
              <w:left w:val="nil"/>
              <w:bottom w:val="nil"/>
              <w:right w:val="single" w:color="auto" w:sz="4" w:space="0"/>
            </w:tcBorders>
            <w:vAlign w:val="center"/>
          </w:tcPr>
          <w:p w14:paraId="73578F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nil"/>
              <w:right w:val="single" w:color="auto" w:sz="4" w:space="0"/>
            </w:tcBorders>
            <w:vAlign w:val="center"/>
          </w:tcPr>
          <w:p w14:paraId="013509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nil"/>
              <w:right w:val="single" w:color="auto" w:sz="4" w:space="0"/>
            </w:tcBorders>
            <w:vAlign w:val="center"/>
          </w:tcPr>
          <w:p w14:paraId="6ABC9B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66" w:type="dxa"/>
            <w:tcBorders>
              <w:top w:val="nil"/>
              <w:left w:val="nil"/>
              <w:bottom w:val="nil"/>
              <w:right w:val="single" w:color="auto" w:sz="4" w:space="0"/>
            </w:tcBorders>
            <w:vAlign w:val="center"/>
          </w:tcPr>
          <w:p w14:paraId="60A559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567" w:type="dxa"/>
            <w:tcBorders>
              <w:top w:val="nil"/>
              <w:left w:val="nil"/>
              <w:bottom w:val="nil"/>
              <w:right w:val="single" w:color="auto" w:sz="4" w:space="0"/>
            </w:tcBorders>
            <w:vAlign w:val="center"/>
          </w:tcPr>
          <w:p w14:paraId="426F57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1486" w:type="dxa"/>
            <w:tcBorders>
              <w:top w:val="nil"/>
              <w:left w:val="nil"/>
              <w:bottom w:val="nil"/>
              <w:right w:val="nil"/>
            </w:tcBorders>
            <w:vAlign w:val="center"/>
          </w:tcPr>
          <w:p w14:paraId="447CFF8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F032EE9">
        <w:tblPrEx>
          <w:tblCellMar>
            <w:top w:w="0" w:type="dxa"/>
            <w:left w:w="108" w:type="dxa"/>
            <w:bottom w:w="0" w:type="dxa"/>
            <w:right w:w="108" w:type="dxa"/>
          </w:tblCellMar>
        </w:tblPrEx>
        <w:trPr>
          <w:trHeight w:val="797" w:hRule="exact"/>
          <w:jc w:val="center"/>
        </w:trPr>
        <w:tc>
          <w:tcPr>
            <w:tcW w:w="1930" w:type="dxa"/>
            <w:vMerge w:val="continue"/>
            <w:tcBorders>
              <w:top w:val="nil"/>
              <w:left w:val="nil"/>
              <w:bottom w:val="single" w:color="auto" w:sz="4" w:space="0"/>
              <w:right w:val="single" w:color="auto" w:sz="4" w:space="0"/>
            </w:tcBorders>
            <w:vAlign w:val="center"/>
          </w:tcPr>
          <w:p w14:paraId="0781CCB4">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1996BDB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46F871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442A87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66" w:type="dxa"/>
            <w:tcBorders>
              <w:top w:val="nil"/>
              <w:left w:val="nil"/>
              <w:bottom w:val="single" w:color="auto" w:sz="4" w:space="0"/>
              <w:right w:val="single" w:color="auto" w:sz="4" w:space="0"/>
            </w:tcBorders>
            <w:vAlign w:val="center"/>
          </w:tcPr>
          <w:p w14:paraId="2E9BE9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567" w:type="dxa"/>
            <w:tcBorders>
              <w:top w:val="nil"/>
              <w:left w:val="nil"/>
              <w:bottom w:val="single" w:color="auto" w:sz="4" w:space="0"/>
              <w:right w:val="single" w:color="auto" w:sz="4" w:space="0"/>
            </w:tcBorders>
            <w:vAlign w:val="center"/>
          </w:tcPr>
          <w:p w14:paraId="2E6243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1486" w:type="dxa"/>
            <w:tcBorders>
              <w:top w:val="nil"/>
              <w:left w:val="nil"/>
              <w:bottom w:val="single" w:color="auto" w:sz="4" w:space="0"/>
              <w:right w:val="nil"/>
            </w:tcBorders>
            <w:vAlign w:val="center"/>
          </w:tcPr>
          <w:p w14:paraId="0AD601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5223F3BC">
        <w:tblPrEx>
          <w:tblCellMar>
            <w:top w:w="0" w:type="dxa"/>
            <w:left w:w="108" w:type="dxa"/>
            <w:bottom w:w="0" w:type="dxa"/>
            <w:right w:w="108" w:type="dxa"/>
          </w:tblCellMar>
        </w:tblPrEx>
        <w:trPr>
          <w:trHeight w:val="557" w:hRule="exact"/>
          <w:jc w:val="center"/>
        </w:trPr>
        <w:tc>
          <w:tcPr>
            <w:tcW w:w="1930" w:type="dxa"/>
            <w:vMerge w:val="restart"/>
            <w:tcBorders>
              <w:top w:val="nil"/>
              <w:left w:val="nil"/>
              <w:bottom w:val="single" w:color="auto" w:sz="4" w:space="0"/>
              <w:right w:val="single" w:color="auto" w:sz="4" w:space="0"/>
            </w:tcBorders>
            <w:vAlign w:val="center"/>
          </w:tcPr>
          <w:p w14:paraId="482B841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750" w:type="dxa"/>
            <w:tcBorders>
              <w:top w:val="nil"/>
              <w:left w:val="nil"/>
              <w:bottom w:val="nil"/>
              <w:right w:val="single" w:color="auto" w:sz="4" w:space="0"/>
            </w:tcBorders>
            <w:vAlign w:val="center"/>
          </w:tcPr>
          <w:p w14:paraId="4876A8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0B1E36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211399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866" w:type="dxa"/>
            <w:tcBorders>
              <w:top w:val="nil"/>
              <w:left w:val="nil"/>
              <w:bottom w:val="nil"/>
              <w:right w:val="single" w:color="auto" w:sz="4" w:space="0"/>
            </w:tcBorders>
            <w:vAlign w:val="center"/>
          </w:tcPr>
          <w:p w14:paraId="0806E1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567" w:type="dxa"/>
            <w:tcBorders>
              <w:top w:val="nil"/>
              <w:left w:val="nil"/>
              <w:bottom w:val="nil"/>
              <w:right w:val="single" w:color="auto" w:sz="4" w:space="0"/>
            </w:tcBorders>
            <w:vAlign w:val="center"/>
          </w:tcPr>
          <w:p w14:paraId="0AF8DD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486" w:type="dxa"/>
            <w:tcBorders>
              <w:top w:val="nil"/>
              <w:left w:val="nil"/>
              <w:bottom w:val="nil"/>
              <w:right w:val="nil"/>
            </w:tcBorders>
            <w:vAlign w:val="center"/>
          </w:tcPr>
          <w:p w14:paraId="0862D2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D055AA1">
        <w:tblPrEx>
          <w:tblCellMar>
            <w:top w:w="0" w:type="dxa"/>
            <w:left w:w="108" w:type="dxa"/>
            <w:bottom w:w="0" w:type="dxa"/>
            <w:right w:w="108" w:type="dxa"/>
          </w:tblCellMar>
        </w:tblPrEx>
        <w:trPr>
          <w:trHeight w:val="747" w:hRule="exact"/>
          <w:jc w:val="center"/>
        </w:trPr>
        <w:tc>
          <w:tcPr>
            <w:tcW w:w="1930" w:type="dxa"/>
            <w:vMerge w:val="continue"/>
            <w:tcBorders>
              <w:top w:val="nil"/>
              <w:left w:val="nil"/>
              <w:bottom w:val="single" w:color="auto" w:sz="4" w:space="0"/>
              <w:right w:val="single" w:color="auto" w:sz="4" w:space="0"/>
            </w:tcBorders>
            <w:vAlign w:val="center"/>
          </w:tcPr>
          <w:p w14:paraId="484A5288">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664D001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84" w:type="dxa"/>
            <w:tcBorders>
              <w:top w:val="nil"/>
              <w:left w:val="nil"/>
              <w:bottom w:val="single" w:color="auto" w:sz="4" w:space="0"/>
              <w:right w:val="single" w:color="auto" w:sz="4" w:space="0"/>
            </w:tcBorders>
            <w:vAlign w:val="center"/>
          </w:tcPr>
          <w:p w14:paraId="3308BC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7133A3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866" w:type="dxa"/>
            <w:tcBorders>
              <w:top w:val="nil"/>
              <w:left w:val="nil"/>
              <w:bottom w:val="single" w:color="auto" w:sz="4" w:space="0"/>
              <w:right w:val="single" w:color="auto" w:sz="4" w:space="0"/>
            </w:tcBorders>
            <w:vAlign w:val="center"/>
          </w:tcPr>
          <w:p w14:paraId="6522EFD6">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567" w:type="dxa"/>
            <w:tcBorders>
              <w:top w:val="nil"/>
              <w:left w:val="nil"/>
              <w:bottom w:val="single" w:color="auto" w:sz="4" w:space="0"/>
              <w:right w:val="single" w:color="auto" w:sz="4" w:space="0"/>
            </w:tcBorders>
            <w:vAlign w:val="center"/>
          </w:tcPr>
          <w:p w14:paraId="0857E3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1486" w:type="dxa"/>
            <w:tcBorders>
              <w:top w:val="nil"/>
              <w:left w:val="nil"/>
              <w:bottom w:val="single" w:color="auto" w:sz="4" w:space="0"/>
              <w:right w:val="nil"/>
            </w:tcBorders>
            <w:vAlign w:val="center"/>
          </w:tcPr>
          <w:p w14:paraId="2EC8EB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6210B015">
        <w:tblPrEx>
          <w:tblCellMar>
            <w:top w:w="0" w:type="dxa"/>
            <w:left w:w="108" w:type="dxa"/>
            <w:bottom w:w="0" w:type="dxa"/>
            <w:right w:w="108" w:type="dxa"/>
          </w:tblCellMar>
        </w:tblPrEx>
        <w:trPr>
          <w:trHeight w:val="540" w:hRule="exact"/>
          <w:jc w:val="center"/>
        </w:trPr>
        <w:tc>
          <w:tcPr>
            <w:tcW w:w="1930" w:type="dxa"/>
            <w:vMerge w:val="restart"/>
            <w:tcBorders>
              <w:top w:val="nil"/>
              <w:left w:val="nil"/>
              <w:bottom w:val="single" w:color="auto" w:sz="4" w:space="0"/>
              <w:right w:val="single" w:color="auto" w:sz="4" w:space="0"/>
            </w:tcBorders>
            <w:vAlign w:val="center"/>
          </w:tcPr>
          <w:p w14:paraId="0172C116">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750" w:type="dxa"/>
            <w:tcBorders>
              <w:top w:val="nil"/>
              <w:left w:val="nil"/>
              <w:bottom w:val="nil"/>
              <w:right w:val="single" w:color="auto" w:sz="4" w:space="0"/>
            </w:tcBorders>
            <w:vAlign w:val="center"/>
          </w:tcPr>
          <w:p w14:paraId="2A6620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nil"/>
              <w:right w:val="single" w:color="auto" w:sz="4" w:space="0"/>
            </w:tcBorders>
            <w:vAlign w:val="center"/>
          </w:tcPr>
          <w:p w14:paraId="2AF472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nil"/>
              <w:right w:val="single" w:color="auto" w:sz="4" w:space="0"/>
            </w:tcBorders>
            <w:vAlign w:val="center"/>
          </w:tcPr>
          <w:p w14:paraId="7EDB0C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nil"/>
              <w:right w:val="single" w:color="auto" w:sz="4" w:space="0"/>
            </w:tcBorders>
            <w:vAlign w:val="center"/>
          </w:tcPr>
          <w:p w14:paraId="348B10A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nil"/>
              <w:right w:val="single" w:color="auto" w:sz="4" w:space="0"/>
            </w:tcBorders>
            <w:vAlign w:val="center"/>
          </w:tcPr>
          <w:p w14:paraId="560A12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nil"/>
              <w:right w:val="nil"/>
            </w:tcBorders>
            <w:vAlign w:val="center"/>
          </w:tcPr>
          <w:p w14:paraId="5B658E4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50E2731">
        <w:tblPrEx>
          <w:tblCellMar>
            <w:top w:w="0" w:type="dxa"/>
            <w:left w:w="108" w:type="dxa"/>
            <w:bottom w:w="0" w:type="dxa"/>
            <w:right w:w="108" w:type="dxa"/>
          </w:tblCellMar>
        </w:tblPrEx>
        <w:trPr>
          <w:trHeight w:val="630" w:hRule="exact"/>
          <w:jc w:val="center"/>
        </w:trPr>
        <w:tc>
          <w:tcPr>
            <w:tcW w:w="1930" w:type="dxa"/>
            <w:vMerge w:val="continue"/>
            <w:tcBorders>
              <w:top w:val="nil"/>
              <w:left w:val="nil"/>
              <w:bottom w:val="single" w:color="auto" w:sz="4" w:space="0"/>
              <w:right w:val="single" w:color="auto" w:sz="4" w:space="0"/>
            </w:tcBorders>
            <w:vAlign w:val="center"/>
          </w:tcPr>
          <w:p w14:paraId="353FF17E">
            <w:pPr>
              <w:widowControl/>
              <w:jc w:val="left"/>
              <w:rPr>
                <w:rFonts w:ascii="宋体" w:hAnsi="宋体" w:cs="宋体"/>
                <w:color w:val="auto"/>
                <w:kern w:val="0"/>
                <w:szCs w:val="21"/>
                <w:highlight w:val="none"/>
              </w:rPr>
            </w:pPr>
          </w:p>
        </w:tc>
        <w:tc>
          <w:tcPr>
            <w:tcW w:w="1750" w:type="dxa"/>
            <w:tcBorders>
              <w:top w:val="nil"/>
              <w:left w:val="nil"/>
              <w:bottom w:val="single" w:color="auto" w:sz="4" w:space="0"/>
              <w:right w:val="single" w:color="auto" w:sz="4" w:space="0"/>
            </w:tcBorders>
            <w:vAlign w:val="center"/>
          </w:tcPr>
          <w:p w14:paraId="71203CC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84" w:type="dxa"/>
            <w:tcBorders>
              <w:top w:val="nil"/>
              <w:left w:val="nil"/>
              <w:bottom w:val="single" w:color="auto" w:sz="4" w:space="0"/>
              <w:right w:val="single" w:color="auto" w:sz="4" w:space="0"/>
            </w:tcBorders>
            <w:vAlign w:val="center"/>
          </w:tcPr>
          <w:p w14:paraId="7CC855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00" w:type="dxa"/>
            <w:tcBorders>
              <w:top w:val="nil"/>
              <w:left w:val="nil"/>
              <w:bottom w:val="single" w:color="auto" w:sz="4" w:space="0"/>
              <w:right w:val="single" w:color="auto" w:sz="4" w:space="0"/>
            </w:tcBorders>
            <w:vAlign w:val="center"/>
          </w:tcPr>
          <w:p w14:paraId="2C771E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66" w:type="dxa"/>
            <w:tcBorders>
              <w:top w:val="nil"/>
              <w:left w:val="nil"/>
              <w:bottom w:val="single" w:color="auto" w:sz="4" w:space="0"/>
              <w:right w:val="single" w:color="auto" w:sz="4" w:space="0"/>
            </w:tcBorders>
            <w:vAlign w:val="center"/>
          </w:tcPr>
          <w:p w14:paraId="70D6CE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567" w:type="dxa"/>
            <w:tcBorders>
              <w:top w:val="nil"/>
              <w:left w:val="nil"/>
              <w:bottom w:val="single" w:color="auto" w:sz="4" w:space="0"/>
              <w:right w:val="single" w:color="auto" w:sz="4" w:space="0"/>
            </w:tcBorders>
            <w:vAlign w:val="center"/>
          </w:tcPr>
          <w:p w14:paraId="7BC4B5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1486" w:type="dxa"/>
            <w:tcBorders>
              <w:top w:val="nil"/>
              <w:left w:val="nil"/>
              <w:bottom w:val="single" w:color="auto" w:sz="4" w:space="0"/>
              <w:right w:val="nil"/>
            </w:tcBorders>
            <w:vAlign w:val="center"/>
          </w:tcPr>
          <w:p w14:paraId="447199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274AB392">
        <w:tblPrEx>
          <w:tblCellMar>
            <w:top w:w="0" w:type="dxa"/>
            <w:left w:w="108" w:type="dxa"/>
            <w:bottom w:w="0" w:type="dxa"/>
            <w:right w:w="108" w:type="dxa"/>
          </w:tblCellMar>
        </w:tblPrEx>
        <w:trPr>
          <w:trHeight w:val="397" w:hRule="exact"/>
          <w:jc w:val="center"/>
        </w:trPr>
        <w:tc>
          <w:tcPr>
            <w:tcW w:w="1930" w:type="dxa"/>
            <w:tcBorders>
              <w:top w:val="nil"/>
              <w:left w:val="nil"/>
              <w:bottom w:val="single" w:color="auto" w:sz="4" w:space="0"/>
              <w:right w:val="single" w:color="auto" w:sz="4" w:space="0"/>
            </w:tcBorders>
            <w:vAlign w:val="center"/>
          </w:tcPr>
          <w:p w14:paraId="1B02667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750" w:type="dxa"/>
            <w:tcBorders>
              <w:top w:val="nil"/>
              <w:left w:val="nil"/>
              <w:bottom w:val="single" w:color="auto" w:sz="4" w:space="0"/>
              <w:right w:val="single" w:color="auto" w:sz="4" w:space="0"/>
            </w:tcBorders>
            <w:vAlign w:val="center"/>
          </w:tcPr>
          <w:p w14:paraId="462160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84" w:type="dxa"/>
            <w:tcBorders>
              <w:top w:val="nil"/>
              <w:left w:val="nil"/>
              <w:bottom w:val="single" w:color="auto" w:sz="4" w:space="0"/>
              <w:right w:val="single" w:color="auto" w:sz="4" w:space="0"/>
            </w:tcBorders>
            <w:vAlign w:val="center"/>
          </w:tcPr>
          <w:p w14:paraId="09788D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00" w:type="dxa"/>
            <w:tcBorders>
              <w:top w:val="nil"/>
              <w:left w:val="nil"/>
              <w:bottom w:val="single" w:color="auto" w:sz="4" w:space="0"/>
              <w:right w:val="single" w:color="auto" w:sz="4" w:space="0"/>
            </w:tcBorders>
            <w:vAlign w:val="center"/>
          </w:tcPr>
          <w:p w14:paraId="70D235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866" w:type="dxa"/>
            <w:tcBorders>
              <w:top w:val="nil"/>
              <w:left w:val="nil"/>
              <w:bottom w:val="single" w:color="auto" w:sz="4" w:space="0"/>
              <w:right w:val="single" w:color="auto" w:sz="4" w:space="0"/>
            </w:tcBorders>
            <w:vAlign w:val="center"/>
          </w:tcPr>
          <w:p w14:paraId="4B5621ED">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567" w:type="dxa"/>
            <w:tcBorders>
              <w:top w:val="nil"/>
              <w:left w:val="nil"/>
              <w:bottom w:val="single" w:color="auto" w:sz="4" w:space="0"/>
              <w:right w:val="single" w:color="auto" w:sz="4" w:space="0"/>
            </w:tcBorders>
            <w:vAlign w:val="center"/>
          </w:tcPr>
          <w:p w14:paraId="426065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1486" w:type="dxa"/>
            <w:tcBorders>
              <w:top w:val="nil"/>
              <w:left w:val="nil"/>
              <w:bottom w:val="single" w:color="auto" w:sz="4" w:space="0"/>
              <w:right w:val="nil"/>
            </w:tcBorders>
            <w:vAlign w:val="center"/>
          </w:tcPr>
          <w:p w14:paraId="072B68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77D79F7C">
      <w:pPr>
        <w:widowControl/>
        <w:spacing w:line="540" w:lineRule="exact"/>
        <w:rPr>
          <w:rFonts w:ascii="宋体" w:hAnsi="宋体" w:cs="宋体"/>
          <w:color w:val="auto"/>
          <w:spacing w:val="8"/>
          <w:kern w:val="0"/>
          <w:sz w:val="28"/>
          <w:szCs w:val="28"/>
          <w:highlight w:val="none"/>
        </w:rPr>
      </w:pPr>
      <w:r>
        <w:rPr>
          <w:rFonts w:hint="eastAsia" w:ascii="宋体" w:hAnsi="宋体" w:cs="宋体"/>
          <w:color w:val="auto"/>
          <w:spacing w:val="8"/>
          <w:kern w:val="0"/>
          <w:sz w:val="28"/>
          <w:szCs w:val="28"/>
          <w:highlight w:val="none"/>
        </w:rPr>
        <w:t>说明：</w:t>
      </w:r>
    </w:p>
    <w:p w14:paraId="260E41C6">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0BFE07CC">
      <w:pPr>
        <w:spacing w:line="54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7DDFCC">
      <w:pPr>
        <w:spacing w:line="5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6FF61EA">
      <w:pPr>
        <w:pStyle w:val="4"/>
        <w:spacing w:line="460" w:lineRule="exact"/>
        <w:jc w:val="both"/>
        <w:rPr>
          <w:rFonts w:ascii="宋体" w:hAnsi="宋体"/>
          <w:bCs w:val="0"/>
          <w:color w:val="auto"/>
          <w:sz w:val="21"/>
          <w:szCs w:val="21"/>
          <w:highlight w:val="none"/>
        </w:rPr>
      </w:pPr>
    </w:p>
    <w:p w14:paraId="5E5C0873">
      <w:pPr>
        <w:pStyle w:val="4"/>
        <w:spacing w:line="460" w:lineRule="exact"/>
        <w:jc w:val="both"/>
        <w:rPr>
          <w:rFonts w:ascii="宋体" w:hAnsi="宋体"/>
          <w:bCs w:val="0"/>
          <w:color w:val="auto"/>
          <w:sz w:val="21"/>
          <w:szCs w:val="21"/>
          <w:highlight w:val="none"/>
        </w:rPr>
      </w:pPr>
      <w:r>
        <w:rPr>
          <w:rFonts w:hint="eastAsia" w:ascii="宋体" w:hAnsi="宋体"/>
          <w:bCs w:val="0"/>
          <w:color w:val="auto"/>
          <w:sz w:val="21"/>
          <w:szCs w:val="21"/>
          <w:highlight w:val="none"/>
        </w:rPr>
        <w:t>1.总则</w:t>
      </w:r>
      <w:bookmarkEnd w:id="20"/>
      <w:bookmarkEnd w:id="21"/>
      <w:bookmarkEnd w:id="22"/>
      <w:bookmarkEnd w:id="23"/>
    </w:p>
    <w:p w14:paraId="0BBD17B2">
      <w:pPr>
        <w:spacing w:line="460" w:lineRule="exact"/>
        <w:rPr>
          <w:rFonts w:ascii="宋体" w:hAnsi="宋体"/>
          <w:b/>
          <w:color w:val="auto"/>
          <w:szCs w:val="21"/>
          <w:highlight w:val="none"/>
        </w:rPr>
      </w:pPr>
      <w:r>
        <w:rPr>
          <w:rFonts w:hint="eastAsia" w:ascii="宋体" w:hAnsi="宋体"/>
          <w:b/>
          <w:color w:val="auto"/>
          <w:szCs w:val="21"/>
          <w:highlight w:val="none"/>
        </w:rPr>
        <w:t>1.1 项目概况</w:t>
      </w:r>
    </w:p>
    <w:p w14:paraId="7042BB1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14:paraId="4B0F45E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14:paraId="23F8A65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14:paraId="151192F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14:paraId="5E40259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1.1.5 服务地点：见供应商须知前附表。</w:t>
      </w:r>
    </w:p>
    <w:p w14:paraId="5DEFB2A1">
      <w:pPr>
        <w:spacing w:line="460" w:lineRule="exact"/>
        <w:rPr>
          <w:rFonts w:ascii="宋体" w:hAnsi="宋体"/>
          <w:b/>
          <w:color w:val="auto"/>
          <w:szCs w:val="21"/>
          <w:highlight w:val="none"/>
        </w:rPr>
      </w:pPr>
      <w:r>
        <w:rPr>
          <w:rFonts w:hint="eastAsia" w:ascii="宋体" w:hAnsi="宋体"/>
          <w:b/>
          <w:color w:val="auto"/>
          <w:szCs w:val="21"/>
          <w:highlight w:val="none"/>
        </w:rPr>
        <w:t>1.2 资金来源和落实情况</w:t>
      </w:r>
    </w:p>
    <w:p w14:paraId="4FA4A5F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14:paraId="7A80395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14:paraId="2424B06C">
      <w:pPr>
        <w:spacing w:line="460" w:lineRule="exact"/>
        <w:rPr>
          <w:rFonts w:ascii="宋体" w:hAnsi="宋体"/>
          <w:b/>
          <w:color w:val="auto"/>
          <w:szCs w:val="21"/>
          <w:highlight w:val="none"/>
        </w:rPr>
      </w:pPr>
      <w:r>
        <w:rPr>
          <w:rFonts w:hint="eastAsia" w:ascii="宋体" w:hAnsi="宋体"/>
          <w:b/>
          <w:color w:val="auto"/>
          <w:szCs w:val="21"/>
          <w:highlight w:val="none"/>
        </w:rPr>
        <w:t>1.3 采购内容和服务期限</w:t>
      </w:r>
    </w:p>
    <w:p w14:paraId="2E90F5C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采购要求：见供应商须知前附表。</w:t>
      </w:r>
    </w:p>
    <w:p w14:paraId="0A31A5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1.3.2 服务周期：见供应商须知前附表。</w:t>
      </w:r>
    </w:p>
    <w:p w14:paraId="2D9DF09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14:paraId="1F24280D">
      <w:pPr>
        <w:spacing w:line="460" w:lineRule="exact"/>
        <w:rPr>
          <w:rFonts w:ascii="宋体" w:hAnsi="宋体"/>
          <w:b/>
          <w:color w:val="auto"/>
          <w:szCs w:val="21"/>
          <w:highlight w:val="none"/>
        </w:rPr>
      </w:pPr>
      <w:r>
        <w:rPr>
          <w:rFonts w:hint="eastAsia" w:ascii="宋体" w:hAnsi="宋体"/>
          <w:b/>
          <w:color w:val="auto"/>
          <w:szCs w:val="21"/>
          <w:highlight w:val="none"/>
        </w:rPr>
        <w:t>1.4 供应商资格要求</w:t>
      </w:r>
    </w:p>
    <w:p w14:paraId="492147F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14:paraId="1CD2FFB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14:paraId="65A8C44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14:paraId="167FC05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14:paraId="3E02F24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）与采购人存在利害关系且可能影响采购公正性；</w:t>
      </w:r>
    </w:p>
    <w:p w14:paraId="1215160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14:paraId="4DFB305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14:paraId="387B122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14:paraId="6473A4F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14:paraId="438BEF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14:paraId="6A6140D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14:paraId="30025ED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14:paraId="65FE126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14:paraId="5F1617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（11）法律法规或供应商须知前附表规定的其他情形。</w:t>
      </w:r>
    </w:p>
    <w:p w14:paraId="6D8F4D0E">
      <w:pPr>
        <w:spacing w:line="460" w:lineRule="exact"/>
        <w:rPr>
          <w:rFonts w:ascii="宋体" w:hAnsi="宋体"/>
          <w:b/>
          <w:color w:val="auto"/>
          <w:szCs w:val="21"/>
          <w:highlight w:val="none"/>
        </w:rPr>
      </w:pPr>
      <w:r>
        <w:rPr>
          <w:rFonts w:hint="eastAsia" w:ascii="宋体" w:hAnsi="宋体"/>
          <w:b/>
          <w:color w:val="auto"/>
          <w:szCs w:val="21"/>
          <w:highlight w:val="none"/>
        </w:rPr>
        <w:t>1.5 踏勘现场</w:t>
      </w:r>
    </w:p>
    <w:p w14:paraId="2D8BF29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1.5.1采购人不统一组织，由供应商自行安排；</w:t>
      </w:r>
    </w:p>
    <w:p w14:paraId="6CE6894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1.5.2 供应商踏勘现场发生的费用自理。</w:t>
      </w:r>
    </w:p>
    <w:p w14:paraId="632C933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1.5.3供应商自行负责在踏勘现场中所发生的人员伤亡和财产损失。</w:t>
      </w:r>
    </w:p>
    <w:p w14:paraId="4018E16D">
      <w:pPr>
        <w:spacing w:line="460" w:lineRule="exact"/>
        <w:rPr>
          <w:rFonts w:ascii="宋体" w:hAnsi="宋体"/>
          <w:b/>
          <w:color w:val="auto"/>
          <w:szCs w:val="21"/>
          <w:highlight w:val="none"/>
        </w:rPr>
      </w:pPr>
      <w:r>
        <w:rPr>
          <w:rFonts w:hint="eastAsia" w:ascii="宋体" w:hAnsi="宋体"/>
          <w:b/>
          <w:color w:val="auto"/>
          <w:szCs w:val="21"/>
          <w:highlight w:val="none"/>
        </w:rPr>
        <w:t>1.6投标预备会</w:t>
      </w:r>
    </w:p>
    <w:p w14:paraId="158CE5C5">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14:paraId="595781DE">
      <w:pPr>
        <w:spacing w:line="460" w:lineRule="exact"/>
        <w:rPr>
          <w:rFonts w:ascii="宋体" w:hAnsi="宋体"/>
          <w:b/>
          <w:color w:val="auto"/>
          <w:szCs w:val="21"/>
          <w:highlight w:val="none"/>
        </w:rPr>
      </w:pPr>
      <w:r>
        <w:rPr>
          <w:rFonts w:hint="eastAsia" w:ascii="宋体" w:hAnsi="宋体"/>
          <w:b/>
          <w:color w:val="auto"/>
          <w:szCs w:val="21"/>
          <w:highlight w:val="none"/>
        </w:rPr>
        <w:t>1.7 费用承担</w:t>
      </w:r>
    </w:p>
    <w:p w14:paraId="0D1E108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556D77BE">
      <w:pPr>
        <w:spacing w:line="460" w:lineRule="exact"/>
        <w:rPr>
          <w:rFonts w:ascii="宋体" w:hAnsi="宋体"/>
          <w:b/>
          <w:color w:val="auto"/>
          <w:szCs w:val="21"/>
          <w:highlight w:val="none"/>
        </w:rPr>
      </w:pPr>
      <w:r>
        <w:rPr>
          <w:rFonts w:hint="eastAsia" w:ascii="宋体" w:hAnsi="宋体"/>
          <w:b/>
          <w:color w:val="auto"/>
          <w:szCs w:val="21"/>
          <w:highlight w:val="none"/>
        </w:rPr>
        <w:t>1.8 保密</w:t>
      </w:r>
    </w:p>
    <w:p w14:paraId="6397864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14:paraId="4707D605">
      <w:pPr>
        <w:spacing w:line="460" w:lineRule="exact"/>
        <w:rPr>
          <w:rFonts w:ascii="宋体" w:hAnsi="宋体"/>
          <w:b/>
          <w:color w:val="auto"/>
          <w:szCs w:val="21"/>
          <w:highlight w:val="none"/>
        </w:rPr>
      </w:pPr>
      <w:r>
        <w:rPr>
          <w:rFonts w:hint="eastAsia" w:ascii="宋体" w:hAnsi="宋体"/>
          <w:b/>
          <w:color w:val="auto"/>
          <w:szCs w:val="21"/>
          <w:highlight w:val="none"/>
        </w:rPr>
        <w:t>1.9 语言文字</w:t>
      </w:r>
    </w:p>
    <w:p w14:paraId="12AA517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14:paraId="2B030470">
      <w:pPr>
        <w:spacing w:line="460" w:lineRule="exact"/>
        <w:rPr>
          <w:rFonts w:ascii="宋体" w:hAnsi="宋体"/>
          <w:b/>
          <w:color w:val="auto"/>
          <w:szCs w:val="21"/>
          <w:highlight w:val="none"/>
        </w:rPr>
      </w:pPr>
      <w:r>
        <w:rPr>
          <w:rFonts w:hint="eastAsia" w:ascii="宋体" w:hAnsi="宋体"/>
          <w:b/>
          <w:color w:val="auto"/>
          <w:szCs w:val="21"/>
          <w:highlight w:val="none"/>
        </w:rPr>
        <w:t>1.10 计量单位</w:t>
      </w:r>
    </w:p>
    <w:p w14:paraId="2DCE12D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24" w:name="_Toc8031"/>
      <w:bookmarkStart w:id="25" w:name="_Toc19826"/>
      <w:bookmarkStart w:id="26" w:name="_Toc5269842"/>
      <w:bookmarkStart w:id="27" w:name="_Toc10284"/>
    </w:p>
    <w:p w14:paraId="55B6310D">
      <w:pPr>
        <w:pStyle w:val="4"/>
        <w:spacing w:line="460" w:lineRule="exact"/>
        <w:jc w:val="both"/>
        <w:rPr>
          <w:rFonts w:ascii="宋体" w:hAnsi="宋体"/>
          <w:bCs w:val="0"/>
          <w:color w:val="auto"/>
          <w:sz w:val="21"/>
          <w:szCs w:val="21"/>
          <w:highlight w:val="none"/>
        </w:rPr>
      </w:pPr>
      <w:bookmarkStart w:id="28" w:name="_Toc7943"/>
      <w:bookmarkStart w:id="29" w:name="_Toc24310"/>
      <w:r>
        <w:rPr>
          <w:rFonts w:hint="eastAsia" w:ascii="宋体" w:hAnsi="宋体"/>
          <w:bCs w:val="0"/>
          <w:color w:val="auto"/>
          <w:sz w:val="21"/>
          <w:szCs w:val="21"/>
          <w:highlight w:val="none"/>
        </w:rPr>
        <w:t>2.磋商文件</w:t>
      </w:r>
      <w:bookmarkEnd w:id="24"/>
      <w:bookmarkEnd w:id="25"/>
      <w:bookmarkEnd w:id="26"/>
      <w:bookmarkEnd w:id="27"/>
      <w:bookmarkEnd w:id="28"/>
      <w:bookmarkEnd w:id="29"/>
    </w:p>
    <w:p w14:paraId="4984A33A">
      <w:pPr>
        <w:spacing w:line="460" w:lineRule="exact"/>
        <w:rPr>
          <w:rFonts w:ascii="宋体" w:hAnsi="宋体"/>
          <w:b/>
          <w:color w:val="auto"/>
          <w:szCs w:val="21"/>
          <w:highlight w:val="none"/>
        </w:rPr>
      </w:pPr>
      <w:r>
        <w:rPr>
          <w:rFonts w:hint="eastAsia" w:ascii="宋体" w:hAnsi="宋体"/>
          <w:b/>
          <w:color w:val="auto"/>
          <w:szCs w:val="21"/>
          <w:highlight w:val="none"/>
        </w:rPr>
        <w:t>2.1 磋商文件的组成</w:t>
      </w:r>
    </w:p>
    <w:p w14:paraId="0076CA4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2.1.1本磋商文件包括：</w:t>
      </w:r>
    </w:p>
    <w:p w14:paraId="683BCAD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（1）竞争性磋商公告</w:t>
      </w:r>
    </w:p>
    <w:p w14:paraId="58E1259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506B2F5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（3）磋商程序及办法（综合评分法）</w:t>
      </w:r>
    </w:p>
    <w:p w14:paraId="3B03627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（4）项目内容及需求</w:t>
      </w:r>
    </w:p>
    <w:p w14:paraId="0BE5248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（5）合同条款（参考文本）</w:t>
      </w:r>
    </w:p>
    <w:p w14:paraId="70B6485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（6）竞争性磋商响应文件格式</w:t>
      </w:r>
    </w:p>
    <w:p w14:paraId="1C015B5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2.1.2根据本章第2.1 款对磋商文件所作的澄清、修改，构成磋商文件的组成部分。</w:t>
      </w:r>
    </w:p>
    <w:p w14:paraId="7B1AD613">
      <w:pPr>
        <w:spacing w:line="460" w:lineRule="exact"/>
        <w:rPr>
          <w:rFonts w:ascii="宋体" w:hAnsi="宋体"/>
          <w:b/>
          <w:color w:val="auto"/>
          <w:szCs w:val="21"/>
          <w:highlight w:val="none"/>
        </w:rPr>
      </w:pPr>
      <w:r>
        <w:rPr>
          <w:rFonts w:hint="eastAsia" w:ascii="宋体" w:hAnsi="宋体"/>
          <w:b/>
          <w:color w:val="auto"/>
          <w:szCs w:val="21"/>
          <w:highlight w:val="none"/>
        </w:rPr>
        <w:t>2.2 谈判文件的澄清、修改、补充的通知及响应时间变更</w:t>
      </w:r>
    </w:p>
    <w:p w14:paraId="4F938831">
      <w:pPr>
        <w:pStyle w:val="21"/>
        <w:spacing w:before="0" w:after="0" w:line="360" w:lineRule="auto"/>
        <w:ind w:firstLine="420" w:firstLineChars="200"/>
        <w:jc w:val="left"/>
        <w:rPr>
          <w:rFonts w:ascii="宋体" w:hAnsi="宋体" w:cs="Times New Roman"/>
          <w:b w:val="0"/>
          <w:bCs w:val="0"/>
          <w:color w:val="auto"/>
          <w:sz w:val="21"/>
          <w:szCs w:val="21"/>
          <w:highlight w:val="none"/>
        </w:rPr>
      </w:pPr>
      <w:bookmarkStart w:id="30" w:name="_Toc26324"/>
      <w:bookmarkStart w:id="31" w:name="_Toc2092"/>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0"/>
      <w:bookmarkEnd w:id="31"/>
    </w:p>
    <w:p w14:paraId="69DCB237">
      <w:pPr>
        <w:pStyle w:val="21"/>
        <w:spacing w:before="0" w:after="0" w:line="360" w:lineRule="auto"/>
        <w:ind w:firstLine="420" w:firstLineChars="200"/>
        <w:jc w:val="left"/>
        <w:rPr>
          <w:rFonts w:ascii="宋体" w:hAnsi="宋体" w:cs="Times New Roman"/>
          <w:b w:val="0"/>
          <w:bCs w:val="0"/>
          <w:color w:val="auto"/>
          <w:sz w:val="21"/>
          <w:szCs w:val="21"/>
          <w:highlight w:val="none"/>
        </w:rPr>
      </w:pPr>
      <w:bookmarkStart w:id="32" w:name="_Toc31453"/>
      <w:bookmarkStart w:id="33" w:name="_Toc20102"/>
      <w:r>
        <w:rPr>
          <w:rFonts w:hint="eastAsia" w:ascii="宋体" w:hAnsi="宋体" w:cs="Times New Roman"/>
          <w:b w:val="0"/>
          <w:bCs w:val="0"/>
          <w:color w:val="auto"/>
          <w:sz w:val="21"/>
          <w:szCs w:val="21"/>
          <w:highlight w:val="none"/>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32"/>
      <w:bookmarkEnd w:id="33"/>
    </w:p>
    <w:p w14:paraId="52ADCFD5">
      <w:pPr>
        <w:pStyle w:val="4"/>
        <w:spacing w:line="460" w:lineRule="exact"/>
        <w:jc w:val="left"/>
        <w:rPr>
          <w:rFonts w:ascii="宋体" w:hAnsi="宋体"/>
          <w:bCs w:val="0"/>
          <w:color w:val="auto"/>
          <w:sz w:val="21"/>
          <w:szCs w:val="21"/>
          <w:highlight w:val="none"/>
        </w:rPr>
      </w:pPr>
      <w:bookmarkStart w:id="34" w:name="_Toc7192"/>
      <w:bookmarkStart w:id="35" w:name="_Toc1784"/>
      <w:bookmarkStart w:id="36" w:name="_Toc9362"/>
      <w:bookmarkStart w:id="37" w:name="_Toc30789"/>
      <w:bookmarkStart w:id="38" w:name="_Toc332"/>
      <w:bookmarkStart w:id="39" w:name="_Toc5269843"/>
      <w:r>
        <w:rPr>
          <w:rFonts w:hint="eastAsia" w:ascii="宋体" w:hAnsi="宋体"/>
          <w:bCs w:val="0"/>
          <w:color w:val="auto"/>
          <w:sz w:val="21"/>
          <w:szCs w:val="21"/>
          <w:highlight w:val="none"/>
        </w:rPr>
        <w:t>3.磋商响应文件</w:t>
      </w:r>
      <w:bookmarkEnd w:id="34"/>
      <w:bookmarkEnd w:id="35"/>
      <w:bookmarkEnd w:id="36"/>
      <w:bookmarkEnd w:id="37"/>
      <w:bookmarkEnd w:id="38"/>
      <w:bookmarkEnd w:id="39"/>
    </w:p>
    <w:p w14:paraId="710AEEC6">
      <w:pPr>
        <w:spacing w:line="460" w:lineRule="exact"/>
        <w:rPr>
          <w:rFonts w:ascii="宋体" w:hAnsi="宋体"/>
          <w:b/>
          <w:color w:val="auto"/>
          <w:szCs w:val="21"/>
          <w:highlight w:val="none"/>
        </w:rPr>
      </w:pPr>
      <w:r>
        <w:rPr>
          <w:rFonts w:hint="eastAsia" w:ascii="宋体" w:hAnsi="宋体"/>
          <w:b/>
          <w:color w:val="auto"/>
          <w:szCs w:val="21"/>
          <w:highlight w:val="none"/>
        </w:rPr>
        <w:t>3.1 磋商响应文件的组成</w:t>
      </w:r>
    </w:p>
    <w:p w14:paraId="4B771E4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14:paraId="33D2A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1.磋商响应承诺书</w:t>
      </w:r>
    </w:p>
    <w:p w14:paraId="33E85B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2.磋商响应函附录（第一轮报价）</w:t>
      </w:r>
    </w:p>
    <w:p w14:paraId="73FD7B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3.报价明细表</w:t>
      </w:r>
    </w:p>
    <w:p w14:paraId="5E87F2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4.中小企业声明函</w:t>
      </w:r>
    </w:p>
    <w:p w14:paraId="207432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5.商务条款偏差表</w:t>
      </w:r>
    </w:p>
    <w:p w14:paraId="24B8B5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6.售后服务承诺</w:t>
      </w:r>
    </w:p>
    <w:p w14:paraId="5D1F05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7.资格证明材料</w:t>
      </w:r>
    </w:p>
    <w:p w14:paraId="0A1424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8.法定代表人授权书</w:t>
      </w:r>
    </w:p>
    <w:p w14:paraId="41BA73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9.供应商基本情况</w:t>
      </w:r>
    </w:p>
    <w:p w14:paraId="28DBD5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10.类似项目业绩情况表</w:t>
      </w:r>
    </w:p>
    <w:p w14:paraId="149935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11.服务方案</w:t>
      </w:r>
    </w:p>
    <w:p w14:paraId="549654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12.供应商认为必要的其它材料</w:t>
      </w:r>
    </w:p>
    <w:p w14:paraId="262DCAFF">
      <w:pPr>
        <w:pStyle w:val="48"/>
        <w:spacing w:line="360" w:lineRule="auto"/>
        <w:ind w:firstLine="420" w:firstLineChars="200"/>
        <w:rPr>
          <w:color w:val="auto"/>
          <w:sz w:val="21"/>
          <w:szCs w:val="21"/>
          <w:highlight w:val="none"/>
        </w:rPr>
      </w:pPr>
      <w:r>
        <w:rPr>
          <w:rFonts w:hint="eastAsia" w:hAnsi="宋体"/>
          <w:color w:val="auto"/>
          <w:sz w:val="21"/>
          <w:szCs w:val="21"/>
          <w:highlight w:val="none"/>
        </w:rPr>
        <w:t>13.磋商报价（第二轮）</w:t>
      </w:r>
    </w:p>
    <w:p w14:paraId="45D1601E">
      <w:pPr>
        <w:spacing w:line="460" w:lineRule="exact"/>
        <w:rPr>
          <w:rFonts w:ascii="宋体" w:hAnsi="宋体"/>
          <w:b/>
          <w:color w:val="auto"/>
          <w:szCs w:val="21"/>
          <w:highlight w:val="none"/>
        </w:rPr>
      </w:pPr>
      <w:r>
        <w:rPr>
          <w:rFonts w:hint="eastAsia" w:ascii="宋体" w:hAnsi="宋体"/>
          <w:b/>
          <w:color w:val="auto"/>
          <w:szCs w:val="21"/>
          <w:highlight w:val="none"/>
        </w:rPr>
        <w:t>3.2 磋商报价</w:t>
      </w:r>
    </w:p>
    <w:p w14:paraId="0C6143A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供应商应根据本文件规定的工作内容和工作量，自行测算费用。此费用应包括完成本采购项目全过程的一切费用。</w:t>
      </w:r>
    </w:p>
    <w:p w14:paraId="0A6E297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14:paraId="3F39064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3.2.3 供应商不得以任何理由在磋商完成后对最终磋商报价予以修改，报价在磋商有效期内是固定的，不因任何原因而改变。</w:t>
      </w:r>
    </w:p>
    <w:p w14:paraId="09B3BCE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4F627FDF">
      <w:pPr>
        <w:spacing w:line="460" w:lineRule="exact"/>
        <w:rPr>
          <w:rFonts w:ascii="宋体" w:hAnsi="宋体"/>
          <w:b/>
          <w:color w:val="auto"/>
          <w:szCs w:val="21"/>
          <w:highlight w:val="none"/>
        </w:rPr>
      </w:pPr>
      <w:r>
        <w:rPr>
          <w:rFonts w:hint="eastAsia" w:ascii="宋体" w:hAnsi="宋体"/>
          <w:b/>
          <w:color w:val="auto"/>
          <w:szCs w:val="21"/>
          <w:highlight w:val="none"/>
        </w:rPr>
        <w:t>3.3 磋商有效期</w:t>
      </w:r>
    </w:p>
    <w:p w14:paraId="10D0705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14:paraId="2771B94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50DCC6AF">
      <w:pPr>
        <w:spacing w:line="460" w:lineRule="exact"/>
        <w:rPr>
          <w:rFonts w:ascii="宋体" w:hAnsi="宋体"/>
          <w:b/>
          <w:color w:val="auto"/>
          <w:szCs w:val="21"/>
          <w:highlight w:val="none"/>
        </w:rPr>
      </w:pPr>
      <w:r>
        <w:rPr>
          <w:rFonts w:hint="eastAsia" w:ascii="宋体" w:hAnsi="宋体"/>
          <w:b/>
          <w:color w:val="auto"/>
          <w:szCs w:val="21"/>
          <w:highlight w:val="none"/>
        </w:rPr>
        <w:t>3.4 资格审查资料</w:t>
      </w:r>
    </w:p>
    <w:p w14:paraId="40BEF9C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3.4.1 “供应商基本情况表”应附供应商营业执照副本等材料的复印件或扫描件。</w:t>
      </w:r>
    </w:p>
    <w:p w14:paraId="7980DE5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FDFBA40">
      <w:pPr>
        <w:spacing w:line="460" w:lineRule="exact"/>
        <w:rPr>
          <w:rFonts w:ascii="宋体" w:hAnsi="宋体"/>
          <w:b/>
          <w:color w:val="auto"/>
          <w:szCs w:val="21"/>
          <w:highlight w:val="none"/>
        </w:rPr>
      </w:pPr>
      <w:r>
        <w:rPr>
          <w:rFonts w:hint="eastAsia" w:ascii="宋体" w:hAnsi="宋体"/>
          <w:b/>
          <w:color w:val="auto"/>
          <w:szCs w:val="21"/>
          <w:highlight w:val="none"/>
        </w:rPr>
        <w:t>3.5备选磋商方案</w:t>
      </w:r>
    </w:p>
    <w:p w14:paraId="24F91E1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14:paraId="04032C79">
      <w:pPr>
        <w:spacing w:line="460" w:lineRule="exact"/>
        <w:rPr>
          <w:rFonts w:ascii="宋体" w:hAnsi="宋体"/>
          <w:b/>
          <w:color w:val="auto"/>
          <w:szCs w:val="21"/>
          <w:highlight w:val="none"/>
        </w:rPr>
      </w:pPr>
      <w:r>
        <w:rPr>
          <w:rFonts w:hint="eastAsia" w:ascii="宋体" w:hAnsi="宋体"/>
          <w:b/>
          <w:color w:val="auto"/>
          <w:szCs w:val="21"/>
          <w:highlight w:val="none"/>
        </w:rPr>
        <w:t>3.6磋商响应文件的编制</w:t>
      </w:r>
    </w:p>
    <w:p w14:paraId="08CDDD9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14:paraId="5CBA0C0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磋商响应文件应当对磋商文件有关服务期限、质量要求、采购内容等实质性内容作出响应。</w:t>
      </w:r>
    </w:p>
    <w:p w14:paraId="686CF250">
      <w:pPr>
        <w:spacing w:line="460" w:lineRule="exact"/>
        <w:ind w:firstLine="420" w:firstLineChars="200"/>
        <w:rPr>
          <w:rFonts w:ascii="宋体" w:hAnsi="宋体"/>
          <w:color w:val="auto"/>
          <w:szCs w:val="21"/>
          <w:highlight w:val="none"/>
        </w:rPr>
      </w:pPr>
      <w:bookmarkStart w:id="40" w:name="_Toc13875"/>
      <w:bookmarkStart w:id="41" w:name="_Toc10111"/>
      <w:bookmarkStart w:id="42" w:name="_Toc22190"/>
      <w:bookmarkStart w:id="43" w:name="_Toc5269844"/>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密钥窗口办理电子认证，所有要求法定代表人或其委托代理人签字（或盖章）的都应用法定代表人或其委托代理人的签字或盖章或电子签章。</w:t>
      </w:r>
    </w:p>
    <w:p w14:paraId="3698CB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1EC83D19">
      <w:pPr>
        <w:pStyle w:val="4"/>
        <w:spacing w:line="360" w:lineRule="auto"/>
        <w:jc w:val="left"/>
        <w:rPr>
          <w:rFonts w:ascii="宋体" w:hAnsi="宋体"/>
          <w:bCs w:val="0"/>
          <w:color w:val="auto"/>
          <w:sz w:val="21"/>
          <w:szCs w:val="21"/>
          <w:highlight w:val="none"/>
        </w:rPr>
      </w:pPr>
      <w:bookmarkStart w:id="44" w:name="_Toc24115"/>
      <w:bookmarkStart w:id="45" w:name="_Toc30188"/>
      <w:r>
        <w:rPr>
          <w:rFonts w:hint="eastAsia" w:ascii="宋体" w:hAnsi="宋体"/>
          <w:bCs w:val="0"/>
          <w:color w:val="auto"/>
          <w:sz w:val="21"/>
          <w:szCs w:val="21"/>
          <w:highlight w:val="none"/>
        </w:rPr>
        <w:t>4.</w:t>
      </w:r>
      <w:bookmarkEnd w:id="40"/>
      <w:bookmarkEnd w:id="41"/>
      <w:r>
        <w:rPr>
          <w:rFonts w:hint="eastAsia" w:ascii="宋体" w:hAnsi="宋体"/>
          <w:bCs w:val="0"/>
          <w:color w:val="auto"/>
          <w:sz w:val="21"/>
          <w:szCs w:val="21"/>
          <w:highlight w:val="none"/>
        </w:rPr>
        <w:t>磋商响应文件的递交</w:t>
      </w:r>
      <w:bookmarkEnd w:id="42"/>
      <w:bookmarkEnd w:id="43"/>
      <w:bookmarkEnd w:id="44"/>
      <w:bookmarkEnd w:id="45"/>
    </w:p>
    <w:p w14:paraId="02DCB39D">
      <w:pPr>
        <w:spacing w:line="460" w:lineRule="exact"/>
        <w:rPr>
          <w:rFonts w:ascii="宋体" w:hAnsi="宋体"/>
          <w:b/>
          <w:color w:val="auto"/>
          <w:szCs w:val="21"/>
          <w:highlight w:val="none"/>
        </w:rPr>
      </w:pPr>
      <w:r>
        <w:rPr>
          <w:rFonts w:hint="eastAsia" w:ascii="宋体" w:hAnsi="宋体"/>
          <w:b/>
          <w:color w:val="auto"/>
          <w:szCs w:val="21"/>
          <w:highlight w:val="none"/>
        </w:rPr>
        <w:t>4.1 磋商响应文件的密封和标记</w:t>
      </w:r>
    </w:p>
    <w:p w14:paraId="67E3451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4.1.1 供应商应当按照磋商文件和电子招标投标交易平台的要求加密响应文件，具体要求见供应商须知前附表。 </w:t>
      </w:r>
    </w:p>
    <w:p w14:paraId="14DF0A0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14:paraId="4B91A57C">
      <w:pPr>
        <w:spacing w:line="460" w:lineRule="exact"/>
        <w:rPr>
          <w:rFonts w:ascii="宋体" w:hAnsi="宋体"/>
          <w:b/>
          <w:color w:val="auto"/>
          <w:szCs w:val="21"/>
          <w:highlight w:val="none"/>
        </w:rPr>
      </w:pPr>
      <w:r>
        <w:rPr>
          <w:rFonts w:hint="eastAsia" w:ascii="宋体" w:hAnsi="宋体"/>
          <w:b/>
          <w:color w:val="auto"/>
          <w:szCs w:val="21"/>
          <w:highlight w:val="none"/>
        </w:rPr>
        <w:t>4.2 磋商响应文件的递交</w:t>
      </w:r>
    </w:p>
    <w:p w14:paraId="2D865D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14:paraId="16B1DD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14:paraId="409689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14:paraId="6A142B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14:paraId="22DEA2BE">
      <w:pPr>
        <w:spacing w:line="360" w:lineRule="auto"/>
        <w:ind w:firstLine="420" w:firstLineChars="200"/>
        <w:rPr>
          <w:color w:val="auto"/>
          <w:highlight w:val="none"/>
        </w:rPr>
      </w:pPr>
      <w:r>
        <w:rPr>
          <w:rFonts w:hint="eastAsia" w:ascii="宋体" w:hAnsi="宋体"/>
          <w:color w:val="auto"/>
          <w:szCs w:val="21"/>
          <w:highlight w:val="none"/>
        </w:rPr>
        <w:t>4.2.5</w:t>
      </w:r>
      <w:r>
        <w:rPr>
          <w:rFonts w:hint="eastAsia"/>
          <w:color w:val="auto"/>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52160586">
      <w:pPr>
        <w:spacing w:line="360" w:lineRule="auto"/>
        <w:ind w:firstLine="420" w:firstLineChars="200"/>
        <w:rPr>
          <w:color w:val="auto"/>
          <w:highlight w:val="none"/>
        </w:rPr>
      </w:pPr>
      <w:r>
        <w:rPr>
          <w:rFonts w:hint="eastAsia" w:ascii="宋体" w:hAnsi="宋体"/>
          <w:color w:val="auto"/>
          <w:szCs w:val="21"/>
          <w:highlight w:val="none"/>
        </w:rPr>
        <w:t>4.2.6</w:t>
      </w:r>
      <w:r>
        <w:rPr>
          <w:rFonts w:hint="eastAsia"/>
          <w:color w:val="auto"/>
          <w:highlight w:val="none"/>
        </w:rPr>
        <w:t>供应商（供应商）在交易中心投标系统无法上传电子磋商响应文件时，请在工作时间及时与荥阳市公共资源交易中心联系。</w:t>
      </w:r>
    </w:p>
    <w:p w14:paraId="31DECFDB">
      <w:pPr>
        <w:pStyle w:val="9"/>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rPr>
        <w:t>4.2.7逾期上传/送达的或者未上传/未送达指定地点的磋商响应文件，采购人不予受理。</w:t>
      </w:r>
    </w:p>
    <w:p w14:paraId="4BD8C6CB">
      <w:pPr>
        <w:pStyle w:val="4"/>
        <w:spacing w:line="460" w:lineRule="exact"/>
        <w:jc w:val="left"/>
        <w:rPr>
          <w:rFonts w:ascii="宋体" w:hAnsi="宋体"/>
          <w:bCs w:val="0"/>
          <w:color w:val="auto"/>
          <w:sz w:val="21"/>
          <w:szCs w:val="21"/>
          <w:highlight w:val="none"/>
        </w:rPr>
      </w:pPr>
      <w:bookmarkStart w:id="46" w:name="_Toc24941"/>
      <w:bookmarkStart w:id="47" w:name="_Toc31868"/>
      <w:bookmarkStart w:id="48" w:name="_Toc21992"/>
      <w:bookmarkStart w:id="49" w:name="_Toc5269845"/>
      <w:bookmarkStart w:id="50" w:name="_Toc30971"/>
      <w:bookmarkStart w:id="51" w:name="_Toc12772"/>
      <w:r>
        <w:rPr>
          <w:rFonts w:hint="eastAsia" w:ascii="宋体" w:hAnsi="宋体"/>
          <w:bCs w:val="0"/>
          <w:color w:val="auto"/>
          <w:sz w:val="21"/>
          <w:szCs w:val="21"/>
          <w:highlight w:val="none"/>
        </w:rPr>
        <w:t>5.磋商</w:t>
      </w:r>
      <w:bookmarkEnd w:id="46"/>
      <w:bookmarkEnd w:id="47"/>
      <w:bookmarkEnd w:id="48"/>
      <w:bookmarkEnd w:id="49"/>
      <w:bookmarkEnd w:id="50"/>
      <w:bookmarkEnd w:id="51"/>
    </w:p>
    <w:p w14:paraId="564F4977">
      <w:pPr>
        <w:spacing w:line="460" w:lineRule="exact"/>
        <w:rPr>
          <w:rFonts w:ascii="宋体" w:hAnsi="宋体"/>
          <w:color w:val="auto"/>
          <w:szCs w:val="21"/>
          <w:highlight w:val="none"/>
        </w:rPr>
      </w:pPr>
      <w:r>
        <w:rPr>
          <w:rFonts w:hint="eastAsia" w:ascii="宋体" w:hAnsi="宋体"/>
          <w:b/>
          <w:color w:val="auto"/>
          <w:szCs w:val="21"/>
          <w:highlight w:val="none"/>
        </w:rPr>
        <w:t>5.1 磋商时间和地点</w:t>
      </w:r>
    </w:p>
    <w:p w14:paraId="3AC22D6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项规定的响应截止时间前，准时参加磋商活动并进行磋商谈判、答疑澄清、二次报价。</w:t>
      </w:r>
    </w:p>
    <w:p w14:paraId="465493B9">
      <w:pPr>
        <w:spacing w:line="460" w:lineRule="exact"/>
        <w:rPr>
          <w:rFonts w:ascii="宋体" w:hAnsi="宋体"/>
          <w:b/>
          <w:color w:val="auto"/>
          <w:szCs w:val="21"/>
          <w:highlight w:val="none"/>
        </w:rPr>
      </w:pPr>
      <w:r>
        <w:rPr>
          <w:rFonts w:hint="eastAsia" w:ascii="宋体" w:hAnsi="宋体"/>
          <w:b/>
          <w:color w:val="auto"/>
          <w:szCs w:val="21"/>
          <w:highlight w:val="none"/>
        </w:rPr>
        <w:t>5.2 开标程序</w:t>
      </w:r>
    </w:p>
    <w:p w14:paraId="35B3E8BD">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5.2.1主持人按下列程序进行开标：</w:t>
      </w:r>
    </w:p>
    <w:p w14:paraId="51F46DE8">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（1）宣布磋商纪律。</w:t>
      </w:r>
    </w:p>
    <w:p w14:paraId="29292F8E">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（2）宣布采购人、监标人等有关人员姓名；</w:t>
      </w:r>
    </w:p>
    <w:p w14:paraId="2C121EFF">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（3）检查磋商响应文件的密封情况，并对上传至交易平台的加密磋商响应文件进行解密；</w:t>
      </w:r>
    </w:p>
    <w:p w14:paraId="4E3BF042">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（4）供应商代表、采购人代表、监标人等有关人员在磋商记录上签字确认。</w:t>
      </w:r>
    </w:p>
    <w:p w14:paraId="6C7CE2B9">
      <w:pPr>
        <w:pStyle w:val="55"/>
        <w:widowControl/>
        <w:adjustRightInd w:val="0"/>
        <w:snapToGrid w:val="0"/>
        <w:spacing w:line="360" w:lineRule="auto"/>
        <w:ind w:left="420" w:leftChars="200" w:firstLine="0" w:firstLineChars="0"/>
        <w:jc w:val="left"/>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（5）开标结束。</w:t>
      </w:r>
    </w:p>
    <w:p w14:paraId="0E12CFBE">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5.2.2磋商工作由磋商小组主持，对所有供应商的竞争性磋商响应文件进行评审，并推荐候选成交供应商。磋商工作按下列程序进行：</w:t>
      </w:r>
    </w:p>
    <w:p w14:paraId="02B85B4F">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14:paraId="75938A69">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14:paraId="3831DE80">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14:paraId="6C31A4BF">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（4）候选成交供应商的确定。</w:t>
      </w:r>
    </w:p>
    <w:p w14:paraId="478A21D5">
      <w:pPr>
        <w:pStyle w:val="9"/>
        <w:rPr>
          <w:color w:val="auto"/>
          <w:sz w:val="21"/>
          <w:szCs w:val="21"/>
          <w:highlight w:val="none"/>
        </w:rPr>
      </w:pPr>
      <w:r>
        <w:rPr>
          <w:rFonts w:hint="eastAsia"/>
          <w:color w:val="auto"/>
          <w:sz w:val="21"/>
          <w:szCs w:val="21"/>
          <w:highlight w:val="none"/>
        </w:rPr>
        <w:t>5.3磋商时出现下列情况的，采购人将拒绝其响应文件</w:t>
      </w:r>
    </w:p>
    <w:p w14:paraId="1940B855">
      <w:pPr>
        <w:pStyle w:val="9"/>
        <w:rPr>
          <w:b w:val="0"/>
          <w:bCs w:val="0"/>
          <w:color w:val="auto"/>
          <w:sz w:val="21"/>
          <w:szCs w:val="21"/>
          <w:highlight w:val="none"/>
        </w:rPr>
      </w:pPr>
      <w:r>
        <w:rPr>
          <w:rFonts w:hint="eastAsia"/>
          <w:b w:val="0"/>
          <w:bCs w:val="0"/>
          <w:color w:val="auto"/>
          <w:sz w:val="21"/>
          <w:szCs w:val="21"/>
          <w:highlight w:val="none"/>
        </w:rPr>
        <w:t>（1）经检查数字证书无效的响应文件；</w:t>
      </w:r>
    </w:p>
    <w:p w14:paraId="62EC4116">
      <w:pPr>
        <w:pStyle w:val="9"/>
        <w:rPr>
          <w:b w:val="0"/>
          <w:bCs w:val="0"/>
          <w:color w:val="auto"/>
          <w:sz w:val="21"/>
          <w:szCs w:val="21"/>
          <w:highlight w:val="none"/>
        </w:rPr>
      </w:pPr>
      <w:r>
        <w:rPr>
          <w:rFonts w:hint="eastAsia"/>
          <w:b w:val="0"/>
          <w:bCs w:val="0"/>
          <w:color w:val="auto"/>
          <w:sz w:val="21"/>
          <w:szCs w:val="21"/>
          <w:highlight w:val="none"/>
        </w:rPr>
        <w:t>（2）供应商未按供应商须知表 5.1 项规定完成响应文件解密的；</w:t>
      </w:r>
    </w:p>
    <w:p w14:paraId="1C89C947">
      <w:pPr>
        <w:pStyle w:val="9"/>
        <w:rPr>
          <w:b w:val="0"/>
          <w:bCs w:val="0"/>
          <w:color w:val="auto"/>
          <w:sz w:val="21"/>
          <w:szCs w:val="21"/>
          <w:highlight w:val="none"/>
        </w:rPr>
      </w:pPr>
      <w:r>
        <w:rPr>
          <w:rFonts w:hint="eastAsia"/>
          <w:b w:val="0"/>
          <w:bCs w:val="0"/>
          <w:color w:val="auto"/>
          <w:sz w:val="21"/>
          <w:szCs w:val="21"/>
          <w:highlight w:val="none"/>
        </w:rPr>
        <w:t>（3）供应商法定代表人或其委托代理人未按时参加磋商会的。</w:t>
      </w:r>
    </w:p>
    <w:p w14:paraId="6CFB6BED">
      <w:pPr>
        <w:pStyle w:val="4"/>
        <w:spacing w:line="460" w:lineRule="exact"/>
        <w:jc w:val="left"/>
        <w:rPr>
          <w:rFonts w:ascii="宋体" w:hAnsi="宋体"/>
          <w:bCs w:val="0"/>
          <w:color w:val="auto"/>
          <w:sz w:val="21"/>
          <w:szCs w:val="21"/>
          <w:highlight w:val="none"/>
        </w:rPr>
      </w:pPr>
      <w:bookmarkStart w:id="52" w:name="_Toc16420"/>
      <w:bookmarkStart w:id="53" w:name="_Toc3665"/>
      <w:bookmarkStart w:id="54" w:name="_Toc30601"/>
      <w:bookmarkStart w:id="55" w:name="_Toc1681"/>
      <w:bookmarkStart w:id="56" w:name="_Toc22776"/>
      <w:bookmarkStart w:id="57" w:name="_Toc5269846"/>
      <w:r>
        <w:rPr>
          <w:rFonts w:hint="eastAsia" w:ascii="宋体" w:hAnsi="宋体"/>
          <w:bCs w:val="0"/>
          <w:color w:val="auto"/>
          <w:sz w:val="21"/>
          <w:szCs w:val="21"/>
          <w:highlight w:val="none"/>
        </w:rPr>
        <w:t>6.磋商评审</w:t>
      </w:r>
      <w:bookmarkEnd w:id="52"/>
      <w:bookmarkEnd w:id="53"/>
      <w:bookmarkEnd w:id="54"/>
      <w:bookmarkEnd w:id="55"/>
      <w:bookmarkEnd w:id="56"/>
      <w:bookmarkEnd w:id="57"/>
    </w:p>
    <w:p w14:paraId="046859B7">
      <w:pPr>
        <w:spacing w:line="460" w:lineRule="exact"/>
        <w:rPr>
          <w:rFonts w:ascii="宋体" w:hAnsi="宋体"/>
          <w:b/>
          <w:color w:val="auto"/>
          <w:szCs w:val="21"/>
          <w:highlight w:val="none"/>
        </w:rPr>
      </w:pPr>
      <w:r>
        <w:rPr>
          <w:rFonts w:hint="eastAsia" w:ascii="宋体" w:hAnsi="宋体"/>
          <w:b/>
          <w:color w:val="auto"/>
          <w:szCs w:val="21"/>
          <w:highlight w:val="none"/>
        </w:rPr>
        <w:t>6.1 磋商小组</w:t>
      </w:r>
    </w:p>
    <w:p w14:paraId="3246634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515B4B3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14:paraId="3660A40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3481FC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79C1D2A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14:paraId="1BBA79E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（4）曾因在采购、评标以及其他与采购投标有关活动中从事违法行为而受过行政处罚或刑事处罚的。</w:t>
      </w:r>
    </w:p>
    <w:p w14:paraId="5BE35FDE">
      <w:pPr>
        <w:spacing w:line="460" w:lineRule="exact"/>
        <w:rPr>
          <w:rFonts w:ascii="宋体" w:hAnsi="宋体"/>
          <w:b/>
          <w:color w:val="auto"/>
          <w:szCs w:val="21"/>
          <w:highlight w:val="none"/>
        </w:rPr>
      </w:pPr>
      <w:r>
        <w:rPr>
          <w:rFonts w:hint="eastAsia" w:ascii="宋体" w:hAnsi="宋体"/>
          <w:b/>
          <w:color w:val="auto"/>
          <w:szCs w:val="21"/>
          <w:highlight w:val="none"/>
        </w:rPr>
        <w:t>6.2 磋商原则</w:t>
      </w:r>
    </w:p>
    <w:p w14:paraId="3CE1B665">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14:paraId="3A1F0600">
      <w:pPr>
        <w:spacing w:line="460" w:lineRule="exact"/>
        <w:rPr>
          <w:rFonts w:ascii="宋体" w:hAnsi="宋体"/>
          <w:b/>
          <w:color w:val="auto"/>
          <w:szCs w:val="21"/>
          <w:highlight w:val="none"/>
        </w:rPr>
      </w:pPr>
      <w:r>
        <w:rPr>
          <w:rFonts w:hint="eastAsia" w:ascii="宋体" w:hAnsi="宋体"/>
          <w:b/>
          <w:color w:val="auto"/>
          <w:szCs w:val="21"/>
          <w:highlight w:val="none"/>
        </w:rPr>
        <w:t>6.3 评审办法</w:t>
      </w:r>
    </w:p>
    <w:p w14:paraId="5336088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8" w:name="_Toc5269847"/>
      <w:bookmarkStart w:id="59" w:name="_Toc30878"/>
      <w:bookmarkStart w:id="60" w:name="_Toc23215"/>
      <w:bookmarkStart w:id="61" w:name="_Toc22917"/>
    </w:p>
    <w:p w14:paraId="5AF1739D">
      <w:pPr>
        <w:pStyle w:val="4"/>
        <w:spacing w:line="460" w:lineRule="exact"/>
        <w:jc w:val="left"/>
        <w:rPr>
          <w:rFonts w:ascii="宋体" w:hAnsi="宋体"/>
          <w:bCs w:val="0"/>
          <w:color w:val="auto"/>
          <w:sz w:val="21"/>
          <w:szCs w:val="21"/>
          <w:highlight w:val="none"/>
        </w:rPr>
      </w:pPr>
      <w:bookmarkStart w:id="62" w:name="_Toc26159"/>
      <w:bookmarkStart w:id="63" w:name="_Toc14519"/>
      <w:r>
        <w:rPr>
          <w:rFonts w:hint="eastAsia" w:ascii="宋体" w:hAnsi="宋体"/>
          <w:bCs w:val="0"/>
          <w:color w:val="auto"/>
          <w:sz w:val="21"/>
          <w:szCs w:val="21"/>
          <w:highlight w:val="none"/>
        </w:rPr>
        <w:t>7.合同授予</w:t>
      </w:r>
      <w:bookmarkEnd w:id="58"/>
      <w:bookmarkEnd w:id="59"/>
      <w:bookmarkEnd w:id="60"/>
      <w:bookmarkEnd w:id="61"/>
      <w:bookmarkEnd w:id="62"/>
      <w:bookmarkEnd w:id="63"/>
    </w:p>
    <w:p w14:paraId="7BED28B2">
      <w:pPr>
        <w:spacing w:line="460" w:lineRule="exact"/>
        <w:rPr>
          <w:rFonts w:ascii="宋体" w:hAnsi="宋体"/>
          <w:b/>
          <w:color w:val="auto"/>
          <w:szCs w:val="21"/>
          <w:highlight w:val="none"/>
        </w:rPr>
      </w:pPr>
      <w:r>
        <w:rPr>
          <w:rFonts w:hint="eastAsia" w:ascii="宋体" w:hAnsi="宋体"/>
          <w:b/>
          <w:color w:val="auto"/>
          <w:szCs w:val="21"/>
          <w:highlight w:val="none"/>
        </w:rPr>
        <w:t>7.1 定标方式</w:t>
      </w:r>
    </w:p>
    <w:p w14:paraId="543F2CA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推荐1-3名成交候选人。</w:t>
      </w:r>
    </w:p>
    <w:p w14:paraId="169FC8A0">
      <w:pPr>
        <w:spacing w:line="460" w:lineRule="exact"/>
        <w:rPr>
          <w:rFonts w:ascii="宋体" w:hAnsi="宋体"/>
          <w:b/>
          <w:color w:val="auto"/>
          <w:szCs w:val="21"/>
          <w:highlight w:val="none"/>
        </w:rPr>
      </w:pPr>
      <w:r>
        <w:rPr>
          <w:rFonts w:hint="eastAsia" w:ascii="宋体" w:hAnsi="宋体"/>
          <w:b/>
          <w:color w:val="auto"/>
          <w:szCs w:val="21"/>
          <w:highlight w:val="none"/>
        </w:rPr>
        <w:t>7.2 成交通知</w:t>
      </w:r>
    </w:p>
    <w:p w14:paraId="0AE0551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14:paraId="5B2CA785">
      <w:pPr>
        <w:spacing w:line="460" w:lineRule="exact"/>
        <w:rPr>
          <w:rFonts w:ascii="宋体" w:hAnsi="宋体"/>
          <w:b/>
          <w:color w:val="auto"/>
          <w:szCs w:val="21"/>
          <w:highlight w:val="none"/>
        </w:rPr>
      </w:pPr>
      <w:r>
        <w:rPr>
          <w:rFonts w:hint="eastAsia" w:ascii="宋体" w:hAnsi="宋体"/>
          <w:b/>
          <w:color w:val="auto"/>
          <w:szCs w:val="21"/>
          <w:highlight w:val="none"/>
        </w:rPr>
        <w:t>7.3 履约担保</w:t>
      </w:r>
    </w:p>
    <w:p w14:paraId="5B238F8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14:paraId="7E47062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14:paraId="05C543D8">
      <w:pPr>
        <w:spacing w:line="460" w:lineRule="exact"/>
        <w:rPr>
          <w:rFonts w:ascii="宋体" w:hAnsi="宋体"/>
          <w:b/>
          <w:color w:val="auto"/>
          <w:szCs w:val="21"/>
          <w:highlight w:val="none"/>
        </w:rPr>
      </w:pPr>
      <w:r>
        <w:rPr>
          <w:rFonts w:hint="eastAsia" w:ascii="宋体" w:hAnsi="宋体"/>
          <w:b/>
          <w:color w:val="auto"/>
          <w:szCs w:val="21"/>
          <w:highlight w:val="none"/>
        </w:rPr>
        <w:t>7.4 签订合同</w:t>
      </w:r>
    </w:p>
    <w:p w14:paraId="7BC8783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54B9433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14:paraId="6253FEBA">
      <w:pPr>
        <w:pStyle w:val="4"/>
        <w:spacing w:line="460" w:lineRule="exact"/>
        <w:jc w:val="left"/>
        <w:rPr>
          <w:rFonts w:ascii="宋体" w:hAnsi="宋体"/>
          <w:bCs w:val="0"/>
          <w:color w:val="auto"/>
          <w:sz w:val="21"/>
          <w:szCs w:val="21"/>
          <w:highlight w:val="none"/>
        </w:rPr>
      </w:pPr>
      <w:bookmarkStart w:id="64" w:name="_Toc19153"/>
      <w:bookmarkStart w:id="65" w:name="_Toc31926"/>
      <w:bookmarkStart w:id="66" w:name="_Toc7113"/>
      <w:bookmarkStart w:id="67" w:name="_Toc29552"/>
      <w:bookmarkStart w:id="68" w:name="_Toc5269848"/>
      <w:bookmarkStart w:id="69" w:name="_Toc19828"/>
      <w:r>
        <w:rPr>
          <w:rFonts w:hint="eastAsia" w:ascii="宋体" w:hAnsi="宋体"/>
          <w:bCs w:val="0"/>
          <w:color w:val="auto"/>
          <w:sz w:val="21"/>
          <w:szCs w:val="21"/>
          <w:highlight w:val="none"/>
        </w:rPr>
        <w:t>8.重新</w:t>
      </w:r>
      <w:bookmarkEnd w:id="64"/>
      <w:r>
        <w:rPr>
          <w:rFonts w:hint="eastAsia" w:ascii="宋体" w:hAnsi="宋体"/>
          <w:bCs w:val="0"/>
          <w:color w:val="auto"/>
          <w:sz w:val="21"/>
          <w:szCs w:val="21"/>
          <w:highlight w:val="none"/>
        </w:rPr>
        <w:t>采购</w:t>
      </w:r>
      <w:bookmarkEnd w:id="65"/>
      <w:bookmarkEnd w:id="66"/>
      <w:bookmarkEnd w:id="67"/>
      <w:bookmarkEnd w:id="68"/>
      <w:bookmarkEnd w:id="69"/>
    </w:p>
    <w:p w14:paraId="4B60016F">
      <w:pPr>
        <w:spacing w:line="460" w:lineRule="exact"/>
        <w:rPr>
          <w:rFonts w:ascii="宋体" w:hAnsi="宋体"/>
          <w:b/>
          <w:color w:val="auto"/>
          <w:szCs w:val="21"/>
          <w:highlight w:val="none"/>
        </w:rPr>
      </w:pPr>
      <w:r>
        <w:rPr>
          <w:rFonts w:hint="eastAsia" w:ascii="宋体" w:hAnsi="宋体"/>
          <w:b/>
          <w:color w:val="auto"/>
          <w:szCs w:val="21"/>
          <w:highlight w:val="none"/>
        </w:rPr>
        <w:t>8.1 重新采购</w:t>
      </w:r>
    </w:p>
    <w:p w14:paraId="3D23CD5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14:paraId="2188C65E">
      <w:pPr>
        <w:numPr>
          <w:ilvl w:val="0"/>
          <w:numId w:val="4"/>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14:paraId="172EB621">
      <w:pPr>
        <w:numPr>
          <w:ilvl w:val="0"/>
          <w:numId w:val="4"/>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14:paraId="760DC961">
      <w:pPr>
        <w:pStyle w:val="4"/>
        <w:spacing w:line="460" w:lineRule="exact"/>
        <w:jc w:val="left"/>
        <w:rPr>
          <w:rFonts w:ascii="宋体" w:hAnsi="宋体"/>
          <w:bCs w:val="0"/>
          <w:color w:val="auto"/>
          <w:sz w:val="21"/>
          <w:szCs w:val="21"/>
          <w:highlight w:val="none"/>
        </w:rPr>
      </w:pPr>
      <w:bookmarkStart w:id="70" w:name="_Toc27321"/>
      <w:bookmarkStart w:id="71" w:name="_Toc15001"/>
      <w:bookmarkStart w:id="72" w:name="_Toc12498"/>
      <w:bookmarkStart w:id="73" w:name="_Toc14198"/>
      <w:bookmarkStart w:id="74" w:name="_Toc14953"/>
      <w:bookmarkStart w:id="75" w:name="_Toc5269849"/>
      <w:r>
        <w:rPr>
          <w:rFonts w:hint="eastAsia" w:ascii="宋体" w:hAnsi="宋体"/>
          <w:bCs w:val="0"/>
          <w:color w:val="auto"/>
          <w:sz w:val="21"/>
          <w:szCs w:val="21"/>
          <w:highlight w:val="none"/>
        </w:rPr>
        <w:t>9.纪律和监督</w:t>
      </w:r>
      <w:bookmarkEnd w:id="70"/>
      <w:bookmarkEnd w:id="71"/>
      <w:bookmarkEnd w:id="72"/>
      <w:bookmarkEnd w:id="73"/>
      <w:bookmarkEnd w:id="74"/>
      <w:bookmarkEnd w:id="75"/>
    </w:p>
    <w:p w14:paraId="09F393B0">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14:paraId="60758DB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18CBA4D1">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14:paraId="577EA3E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306243FC">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14:paraId="44D6F27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14:paraId="051F8F01">
      <w:pPr>
        <w:pStyle w:val="4"/>
        <w:spacing w:line="460" w:lineRule="exact"/>
        <w:jc w:val="left"/>
        <w:rPr>
          <w:rFonts w:ascii="宋体" w:hAnsi="宋体"/>
          <w:bCs w:val="0"/>
          <w:color w:val="auto"/>
          <w:sz w:val="21"/>
          <w:szCs w:val="21"/>
          <w:highlight w:val="none"/>
        </w:rPr>
      </w:pPr>
      <w:bookmarkStart w:id="76" w:name="_Toc21492"/>
      <w:bookmarkStart w:id="77" w:name="_Toc4660"/>
      <w:bookmarkStart w:id="78" w:name="_Toc10859"/>
      <w:bookmarkStart w:id="79" w:name="_Toc23359"/>
      <w:bookmarkStart w:id="80" w:name="_Toc5269850"/>
      <w:bookmarkStart w:id="81" w:name="_Toc32183"/>
      <w:r>
        <w:rPr>
          <w:rFonts w:hint="eastAsia" w:ascii="宋体" w:hAnsi="宋体"/>
          <w:bCs w:val="0"/>
          <w:color w:val="auto"/>
          <w:sz w:val="21"/>
          <w:szCs w:val="21"/>
          <w:highlight w:val="none"/>
        </w:rPr>
        <w:t>10.需要补充的其他内容</w:t>
      </w:r>
      <w:bookmarkEnd w:id="76"/>
      <w:bookmarkEnd w:id="77"/>
      <w:bookmarkEnd w:id="78"/>
      <w:bookmarkEnd w:id="79"/>
      <w:bookmarkEnd w:id="80"/>
      <w:bookmarkEnd w:id="81"/>
    </w:p>
    <w:p w14:paraId="26BDC47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14:paraId="59263443">
      <w:pPr>
        <w:pStyle w:val="2"/>
        <w:numPr>
          <w:ilvl w:val="0"/>
          <w:numId w:val="0"/>
        </w:numPr>
        <w:tabs>
          <w:tab w:val="clear" w:pos="432"/>
        </w:tabs>
        <w:rPr>
          <w:color w:val="auto"/>
          <w:highlight w:val="none"/>
        </w:rPr>
      </w:pPr>
      <w:bookmarkStart w:id="82" w:name="_Toc30573"/>
      <w:bookmarkStart w:id="83" w:name="_Toc22459"/>
      <w:r>
        <w:rPr>
          <w:rFonts w:hint="eastAsia"/>
          <w:color w:val="auto"/>
          <w:highlight w:val="none"/>
        </w:rPr>
        <w:br w:type="page"/>
      </w:r>
      <w:bookmarkStart w:id="84" w:name="_Toc19616"/>
      <w:r>
        <w:rPr>
          <w:rFonts w:hint="eastAsia"/>
          <w:b/>
          <w:bCs/>
          <w:color w:val="auto"/>
          <w:highlight w:val="none"/>
        </w:rPr>
        <w:t>第三章 磋商程序及办法（综合评分法）</w:t>
      </w:r>
      <w:bookmarkEnd w:id="82"/>
      <w:bookmarkEnd w:id="83"/>
      <w:bookmarkEnd w:id="84"/>
    </w:p>
    <w:tbl>
      <w:tblPr>
        <w:tblStyle w:val="24"/>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14:paraId="41E5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14:paraId="29AFC8EE">
            <w:pPr>
              <w:spacing w:line="400" w:lineRule="exact"/>
              <w:jc w:val="center"/>
              <w:rPr>
                <w:rFonts w:ascii="宋体" w:hAnsi="宋体" w:eastAsia="Times New Roman"/>
                <w:color w:val="auto"/>
                <w:szCs w:val="21"/>
                <w:highlight w:val="none"/>
              </w:rPr>
            </w:pPr>
            <w:bookmarkStart w:id="85" w:name="_Toc28209"/>
            <w:bookmarkStart w:id="86" w:name="_Toc409023135"/>
            <w:bookmarkStart w:id="87" w:name="_Toc17131"/>
            <w:bookmarkStart w:id="88" w:name="_Toc5269852"/>
            <w:bookmarkStart w:id="89" w:name="_Toc6653"/>
            <w:bookmarkStart w:id="90" w:name="_Toc433093355"/>
            <w:r>
              <w:rPr>
                <w:rFonts w:hint="eastAsia" w:ascii="宋体" w:hAnsi="宋体" w:eastAsia="Times New Roman"/>
                <w:color w:val="auto"/>
                <w:szCs w:val="21"/>
                <w:highlight w:val="none"/>
              </w:rPr>
              <w:t>条款号</w:t>
            </w:r>
          </w:p>
        </w:tc>
        <w:tc>
          <w:tcPr>
            <w:tcW w:w="2121" w:type="dxa"/>
            <w:tcBorders>
              <w:top w:val="double" w:color="auto" w:sz="4" w:space="0"/>
            </w:tcBorders>
            <w:vAlign w:val="center"/>
          </w:tcPr>
          <w:p w14:paraId="57BC1D17">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评审因素</w:t>
            </w:r>
          </w:p>
        </w:tc>
        <w:tc>
          <w:tcPr>
            <w:tcW w:w="5972" w:type="dxa"/>
            <w:tcBorders>
              <w:top w:val="double" w:color="auto" w:sz="4" w:space="0"/>
              <w:right w:val="double" w:color="auto" w:sz="4" w:space="0"/>
            </w:tcBorders>
            <w:vAlign w:val="center"/>
          </w:tcPr>
          <w:p w14:paraId="66B4D1E5">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141D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14:paraId="1169A7F2">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2.1.1</w:t>
            </w:r>
          </w:p>
        </w:tc>
        <w:tc>
          <w:tcPr>
            <w:tcW w:w="851" w:type="dxa"/>
            <w:vMerge w:val="restart"/>
            <w:tcBorders>
              <w:top w:val="double" w:color="auto" w:sz="4" w:space="0"/>
              <w:left w:val="double" w:color="auto" w:sz="4" w:space="0"/>
            </w:tcBorders>
            <w:vAlign w:val="center"/>
          </w:tcPr>
          <w:p w14:paraId="1D5CACA8">
            <w:pPr>
              <w:spacing w:line="400" w:lineRule="exact"/>
              <w:jc w:val="center"/>
              <w:rPr>
                <w:rFonts w:ascii="宋体" w:hAnsi="宋体" w:eastAsia="Times New Roman"/>
                <w:color w:val="auto"/>
                <w:szCs w:val="21"/>
                <w:highlight w:val="none"/>
              </w:rPr>
            </w:pPr>
            <w:r>
              <w:rPr>
                <w:rFonts w:hint="eastAsia" w:ascii="宋体" w:hAnsi="宋体" w:eastAsia="Times New Roman" w:cs="宋体"/>
                <w:color w:val="auto"/>
                <w:kern w:val="0"/>
                <w:szCs w:val="21"/>
                <w:highlight w:val="none"/>
              </w:rPr>
              <w:t>形式评审标准</w:t>
            </w:r>
          </w:p>
        </w:tc>
        <w:tc>
          <w:tcPr>
            <w:tcW w:w="2121" w:type="dxa"/>
            <w:tcBorders>
              <w:top w:val="double" w:color="auto" w:sz="4" w:space="0"/>
            </w:tcBorders>
            <w:vAlign w:val="center"/>
          </w:tcPr>
          <w:p w14:paraId="07587649">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供应商名称</w:t>
            </w:r>
          </w:p>
        </w:tc>
        <w:tc>
          <w:tcPr>
            <w:tcW w:w="5972" w:type="dxa"/>
            <w:tcBorders>
              <w:top w:val="double" w:color="auto" w:sz="4" w:space="0"/>
              <w:right w:val="double" w:color="auto" w:sz="4" w:space="0"/>
            </w:tcBorders>
            <w:vAlign w:val="center"/>
          </w:tcPr>
          <w:p w14:paraId="67BE8C69">
            <w:pPr>
              <w:adjustRightInd w:val="0"/>
              <w:snapToGrid w:val="0"/>
              <w:spacing w:line="360" w:lineRule="auto"/>
              <w:rPr>
                <w:rFonts w:ascii="宋体" w:hAnsi="宋体" w:cs="宋体"/>
                <w:color w:val="auto"/>
                <w:szCs w:val="21"/>
                <w:highlight w:val="none"/>
              </w:rPr>
            </w:pPr>
            <w:r>
              <w:rPr>
                <w:rFonts w:hint="eastAsia" w:ascii="宋体" w:hAnsi="宋体" w:eastAsia="Times New Roman" w:cs="宋体"/>
                <w:color w:val="auto"/>
                <w:szCs w:val="21"/>
                <w:highlight w:val="none"/>
              </w:rPr>
              <w:t>与营业执照一致</w:t>
            </w:r>
          </w:p>
        </w:tc>
      </w:tr>
      <w:tr w14:paraId="28CC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48DE5FE4">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161189C5">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9DEF92C">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磋商响应函签字盖章</w:t>
            </w:r>
          </w:p>
        </w:tc>
        <w:tc>
          <w:tcPr>
            <w:tcW w:w="5972" w:type="dxa"/>
            <w:tcBorders>
              <w:top w:val="double" w:color="auto" w:sz="4" w:space="0"/>
              <w:right w:val="double" w:color="auto" w:sz="4" w:space="0"/>
            </w:tcBorders>
            <w:vAlign w:val="center"/>
          </w:tcPr>
          <w:p w14:paraId="3A09E613">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有法定代表人或其委托代理人签字并加盖单位公章或电子签章</w:t>
            </w:r>
          </w:p>
        </w:tc>
      </w:tr>
      <w:tr w14:paraId="2325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14:paraId="3EB16CA3">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37A173B2">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47E03C45">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响应文件格式</w:t>
            </w:r>
          </w:p>
        </w:tc>
        <w:tc>
          <w:tcPr>
            <w:tcW w:w="5972" w:type="dxa"/>
            <w:tcBorders>
              <w:top w:val="double" w:color="auto" w:sz="4" w:space="0"/>
              <w:right w:val="double" w:color="auto" w:sz="4" w:space="0"/>
            </w:tcBorders>
            <w:vAlign w:val="center"/>
          </w:tcPr>
          <w:p w14:paraId="0074FD49">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符合第六章“竞争性磋商响应文件格式”的要求</w:t>
            </w:r>
          </w:p>
        </w:tc>
      </w:tr>
      <w:tr w14:paraId="5057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70DE787B">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21C108A6">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5759137">
            <w:pPr>
              <w:widowControl/>
              <w:adjustRightInd w:val="0"/>
              <w:snapToGrid w:val="0"/>
              <w:spacing w:line="360" w:lineRule="auto"/>
              <w:jc w:val="center"/>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报价唯一</w:t>
            </w:r>
          </w:p>
        </w:tc>
        <w:tc>
          <w:tcPr>
            <w:tcW w:w="5972" w:type="dxa"/>
            <w:tcBorders>
              <w:top w:val="double" w:color="auto" w:sz="4" w:space="0"/>
              <w:right w:val="double" w:color="auto" w:sz="4" w:space="0"/>
            </w:tcBorders>
            <w:vAlign w:val="center"/>
          </w:tcPr>
          <w:p w14:paraId="0A509458">
            <w:pPr>
              <w:widowControl/>
              <w:adjustRightInd w:val="0"/>
              <w:snapToGrid w:val="0"/>
              <w:spacing w:line="360" w:lineRule="auto"/>
              <w:textAlignment w:val="baseline"/>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只能有一个有效报价</w:t>
            </w:r>
          </w:p>
        </w:tc>
      </w:tr>
      <w:tr w14:paraId="75B1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14:paraId="4F46807F">
            <w:pPr>
              <w:spacing w:line="400" w:lineRule="exact"/>
              <w:jc w:val="center"/>
              <w:rPr>
                <w:rFonts w:ascii="宋体" w:hAnsi="宋体"/>
                <w:color w:val="auto"/>
                <w:szCs w:val="21"/>
                <w:highlight w:val="none"/>
              </w:rPr>
            </w:pPr>
            <w:r>
              <w:rPr>
                <w:rFonts w:hint="eastAsia" w:ascii="宋体" w:hAnsi="宋体" w:eastAsia="Times New Roman"/>
                <w:color w:val="auto"/>
                <w:szCs w:val="21"/>
                <w:highlight w:val="none"/>
              </w:rPr>
              <w:t>2.1.2</w:t>
            </w:r>
          </w:p>
        </w:tc>
        <w:tc>
          <w:tcPr>
            <w:tcW w:w="851" w:type="dxa"/>
            <w:vMerge w:val="restart"/>
            <w:tcBorders>
              <w:left w:val="double" w:color="auto" w:sz="4" w:space="0"/>
            </w:tcBorders>
            <w:vAlign w:val="center"/>
          </w:tcPr>
          <w:p w14:paraId="5EBC7083">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响应性</w:t>
            </w:r>
          </w:p>
          <w:p w14:paraId="7E352C66">
            <w:pPr>
              <w:spacing w:line="400" w:lineRule="exact"/>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c>
          <w:tcPr>
            <w:tcW w:w="2121" w:type="dxa"/>
            <w:tcBorders>
              <w:top w:val="double" w:color="auto" w:sz="4" w:space="0"/>
            </w:tcBorders>
            <w:vAlign w:val="center"/>
          </w:tcPr>
          <w:p w14:paraId="58F54AF3">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服务周期</w:t>
            </w:r>
          </w:p>
        </w:tc>
        <w:tc>
          <w:tcPr>
            <w:tcW w:w="5972" w:type="dxa"/>
            <w:tcBorders>
              <w:top w:val="double" w:color="auto" w:sz="4" w:space="0"/>
              <w:right w:val="double" w:color="auto" w:sz="4" w:space="0"/>
            </w:tcBorders>
            <w:vAlign w:val="center"/>
          </w:tcPr>
          <w:p w14:paraId="55493CE5">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5076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47675F31">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3BBA7E6">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31251F3D">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质量要求</w:t>
            </w:r>
          </w:p>
        </w:tc>
        <w:tc>
          <w:tcPr>
            <w:tcW w:w="5972" w:type="dxa"/>
            <w:tcBorders>
              <w:top w:val="double" w:color="auto" w:sz="4" w:space="0"/>
              <w:right w:val="double" w:color="auto" w:sz="4" w:space="0"/>
            </w:tcBorders>
            <w:vAlign w:val="center"/>
          </w:tcPr>
          <w:p w14:paraId="782C2439">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6CA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71F1C002">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25FF27A">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15E625F0">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磋商有效期</w:t>
            </w:r>
          </w:p>
        </w:tc>
        <w:tc>
          <w:tcPr>
            <w:tcW w:w="5972" w:type="dxa"/>
            <w:tcBorders>
              <w:top w:val="double" w:color="auto" w:sz="4" w:space="0"/>
              <w:right w:val="double" w:color="auto" w:sz="4" w:space="0"/>
            </w:tcBorders>
            <w:vAlign w:val="center"/>
          </w:tcPr>
          <w:p w14:paraId="394A2614">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2620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14:paraId="5D824627">
            <w:pPr>
              <w:spacing w:line="400" w:lineRule="exact"/>
              <w:jc w:val="center"/>
              <w:rPr>
                <w:rFonts w:ascii="宋体" w:hAnsi="宋体" w:eastAsia="Times New Roman"/>
                <w:color w:val="auto"/>
                <w:szCs w:val="21"/>
                <w:highlight w:val="none"/>
              </w:rPr>
            </w:pPr>
          </w:p>
        </w:tc>
        <w:tc>
          <w:tcPr>
            <w:tcW w:w="851" w:type="dxa"/>
            <w:vMerge w:val="continue"/>
            <w:tcBorders>
              <w:left w:val="double" w:color="auto" w:sz="4" w:space="0"/>
            </w:tcBorders>
            <w:vAlign w:val="center"/>
          </w:tcPr>
          <w:p w14:paraId="69CA221A">
            <w:pPr>
              <w:spacing w:line="400" w:lineRule="exact"/>
              <w:jc w:val="center"/>
              <w:rPr>
                <w:rFonts w:ascii="宋体" w:hAnsi="宋体" w:eastAsia="Times New Roman"/>
                <w:color w:val="auto"/>
                <w:szCs w:val="21"/>
                <w:highlight w:val="none"/>
              </w:rPr>
            </w:pPr>
          </w:p>
        </w:tc>
        <w:tc>
          <w:tcPr>
            <w:tcW w:w="2121" w:type="dxa"/>
            <w:tcBorders>
              <w:top w:val="double" w:color="auto" w:sz="4" w:space="0"/>
            </w:tcBorders>
            <w:vAlign w:val="center"/>
          </w:tcPr>
          <w:p w14:paraId="0A8B3AC8">
            <w:pPr>
              <w:spacing w:line="360" w:lineRule="auto"/>
              <w:jc w:val="center"/>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采购内容</w:t>
            </w:r>
          </w:p>
        </w:tc>
        <w:tc>
          <w:tcPr>
            <w:tcW w:w="5972" w:type="dxa"/>
            <w:tcBorders>
              <w:top w:val="double" w:color="auto" w:sz="4" w:space="0"/>
              <w:right w:val="double" w:color="auto" w:sz="4" w:space="0"/>
            </w:tcBorders>
            <w:vAlign w:val="center"/>
          </w:tcPr>
          <w:p w14:paraId="1A5ABD63">
            <w:pPr>
              <w:spacing w:line="360" w:lineRule="auto"/>
              <w:rPr>
                <w:rFonts w:ascii="宋体" w:hAnsi="宋体" w:eastAsia="Times New Roman" w:cs="宋体"/>
                <w:color w:val="auto"/>
                <w:kern w:val="0"/>
                <w:szCs w:val="21"/>
                <w:highlight w:val="none"/>
              </w:rPr>
            </w:pPr>
            <w:r>
              <w:rPr>
                <w:rFonts w:hint="eastAsia" w:ascii="宋体" w:hAnsi="宋体" w:eastAsia="Times New Roman" w:cs="宋体"/>
                <w:color w:val="auto"/>
                <w:szCs w:val="21"/>
                <w:highlight w:val="none"/>
              </w:rPr>
              <w:t>符合第二章“供应商须知”项规定</w:t>
            </w:r>
          </w:p>
        </w:tc>
      </w:tr>
      <w:tr w14:paraId="0A08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3C10CCAA">
            <w:pPr>
              <w:widowControl/>
              <w:spacing w:line="400" w:lineRule="exact"/>
              <w:jc w:val="center"/>
              <w:rPr>
                <w:rFonts w:ascii="宋体" w:hAnsi="宋体" w:cs="宋体"/>
                <w:color w:val="auto"/>
                <w:kern w:val="0"/>
                <w:szCs w:val="21"/>
                <w:highlight w:val="none"/>
              </w:rPr>
            </w:pPr>
            <w:r>
              <w:rPr>
                <w:rFonts w:hint="eastAsia" w:ascii="宋体" w:hAnsi="宋体" w:eastAsia="Times New Roman" w:cs="宋体"/>
                <w:color w:val="auto"/>
                <w:kern w:val="0"/>
                <w:szCs w:val="21"/>
                <w:highlight w:val="none"/>
              </w:rPr>
              <w:t>2.1.3</w:t>
            </w:r>
          </w:p>
        </w:tc>
        <w:tc>
          <w:tcPr>
            <w:tcW w:w="851" w:type="dxa"/>
            <w:vMerge w:val="restart"/>
            <w:vAlign w:val="center"/>
          </w:tcPr>
          <w:p w14:paraId="6B88603C">
            <w:pPr>
              <w:widowControl/>
              <w:spacing w:line="400" w:lineRule="exact"/>
              <w:jc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资格性评审标准</w:t>
            </w:r>
          </w:p>
        </w:tc>
        <w:tc>
          <w:tcPr>
            <w:tcW w:w="2121" w:type="dxa"/>
            <w:vAlign w:val="center"/>
          </w:tcPr>
          <w:p w14:paraId="69E0CCC3">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具有独立承担民事责任的能力</w:t>
            </w:r>
          </w:p>
        </w:tc>
        <w:tc>
          <w:tcPr>
            <w:tcW w:w="5972" w:type="dxa"/>
            <w:tcBorders>
              <w:right w:val="double" w:color="auto" w:sz="4" w:space="0"/>
            </w:tcBorders>
            <w:vAlign w:val="center"/>
          </w:tcPr>
          <w:p w14:paraId="701C557D">
            <w:pPr>
              <w:spacing w:line="360" w:lineRule="exact"/>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需提供有效的营业执照</w:t>
            </w:r>
          </w:p>
        </w:tc>
      </w:tr>
      <w:tr w14:paraId="78E3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14:paraId="06B7ECDC">
            <w:pPr>
              <w:widowControl/>
              <w:spacing w:line="400" w:lineRule="exact"/>
              <w:jc w:val="center"/>
              <w:rPr>
                <w:rFonts w:ascii="宋体" w:hAnsi="宋体" w:eastAsia="Times New Roman" w:cs="宋体"/>
                <w:color w:val="auto"/>
                <w:kern w:val="0"/>
                <w:szCs w:val="21"/>
                <w:highlight w:val="none"/>
              </w:rPr>
            </w:pPr>
          </w:p>
        </w:tc>
        <w:tc>
          <w:tcPr>
            <w:tcW w:w="851" w:type="dxa"/>
            <w:vMerge w:val="continue"/>
            <w:vAlign w:val="center"/>
          </w:tcPr>
          <w:p w14:paraId="59065E08">
            <w:pPr>
              <w:widowControl/>
              <w:spacing w:line="400" w:lineRule="exact"/>
              <w:jc w:val="center"/>
              <w:rPr>
                <w:rFonts w:ascii="宋体" w:hAnsi="宋体" w:eastAsia="Times New Roman" w:cs="宋体"/>
                <w:color w:val="auto"/>
                <w:kern w:val="0"/>
                <w:szCs w:val="21"/>
                <w:highlight w:val="none"/>
              </w:rPr>
            </w:pPr>
          </w:p>
        </w:tc>
        <w:tc>
          <w:tcPr>
            <w:tcW w:w="2121" w:type="dxa"/>
            <w:vAlign w:val="center"/>
          </w:tcPr>
          <w:p w14:paraId="645235E4">
            <w:pPr>
              <w:pStyle w:val="50"/>
              <w:ind w:left="86" w:right="78"/>
              <w:jc w:val="center"/>
              <w:rPr>
                <w:rFonts w:ascii="Times New Roman" w:hAnsi="Times New Roman" w:eastAsia="Times New Roman"/>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5972" w:type="dxa"/>
            <w:tcBorders>
              <w:right w:val="double" w:color="auto" w:sz="4" w:space="0"/>
            </w:tcBorders>
            <w:vAlign w:val="center"/>
          </w:tcPr>
          <w:p w14:paraId="40EA55A1">
            <w:pPr>
              <w:spacing w:line="360" w:lineRule="exact"/>
              <w:rPr>
                <w:rFonts w:ascii="Times New Roman" w:hAnsi="Times New Roman" w:eastAsia="Times New Roman"/>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400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14:paraId="555F99D9">
            <w:pPr>
              <w:spacing w:line="400" w:lineRule="exact"/>
              <w:jc w:val="center"/>
              <w:rPr>
                <w:rFonts w:ascii="宋体" w:hAnsi="宋体" w:eastAsia="Times New Roman"/>
                <w:color w:val="auto"/>
                <w:szCs w:val="21"/>
                <w:highlight w:val="none"/>
              </w:rPr>
            </w:pPr>
          </w:p>
        </w:tc>
        <w:tc>
          <w:tcPr>
            <w:tcW w:w="851" w:type="dxa"/>
            <w:vMerge w:val="continue"/>
            <w:vAlign w:val="center"/>
          </w:tcPr>
          <w:p w14:paraId="4F9DEB47">
            <w:pPr>
              <w:spacing w:line="400" w:lineRule="exact"/>
              <w:jc w:val="center"/>
              <w:rPr>
                <w:rFonts w:ascii="宋体" w:hAnsi="宋体" w:eastAsia="Times New Roman"/>
                <w:color w:val="auto"/>
                <w:szCs w:val="21"/>
                <w:highlight w:val="none"/>
              </w:rPr>
            </w:pPr>
          </w:p>
        </w:tc>
        <w:tc>
          <w:tcPr>
            <w:tcW w:w="2121" w:type="dxa"/>
            <w:vAlign w:val="center"/>
          </w:tcPr>
          <w:p w14:paraId="7857EDA3">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具有履行合同所必需的设备和专业技术能力</w:t>
            </w:r>
          </w:p>
        </w:tc>
        <w:tc>
          <w:tcPr>
            <w:tcW w:w="5972" w:type="dxa"/>
            <w:tcBorders>
              <w:right w:val="double" w:color="auto" w:sz="4" w:space="0"/>
            </w:tcBorders>
            <w:vAlign w:val="center"/>
          </w:tcPr>
          <w:p w14:paraId="6044872A">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7087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327718AA">
            <w:pPr>
              <w:spacing w:line="400" w:lineRule="exact"/>
              <w:jc w:val="center"/>
              <w:rPr>
                <w:rFonts w:ascii="宋体" w:hAnsi="宋体" w:eastAsia="Times New Roman"/>
                <w:color w:val="auto"/>
                <w:szCs w:val="21"/>
                <w:highlight w:val="none"/>
              </w:rPr>
            </w:pPr>
          </w:p>
        </w:tc>
        <w:tc>
          <w:tcPr>
            <w:tcW w:w="851" w:type="dxa"/>
            <w:vMerge w:val="continue"/>
            <w:vAlign w:val="center"/>
          </w:tcPr>
          <w:p w14:paraId="1DF9FF9C">
            <w:pPr>
              <w:spacing w:line="400" w:lineRule="exact"/>
              <w:jc w:val="center"/>
              <w:rPr>
                <w:rFonts w:ascii="宋体" w:hAnsi="宋体" w:eastAsia="Times New Roman"/>
                <w:color w:val="auto"/>
                <w:szCs w:val="21"/>
                <w:highlight w:val="none"/>
              </w:rPr>
            </w:pPr>
          </w:p>
        </w:tc>
        <w:tc>
          <w:tcPr>
            <w:tcW w:w="2121" w:type="dxa"/>
            <w:vAlign w:val="center"/>
          </w:tcPr>
          <w:p w14:paraId="1ACFD2F3">
            <w:pPr>
              <w:spacing w:line="360" w:lineRule="exact"/>
              <w:jc w:val="center"/>
              <w:rPr>
                <w:rFonts w:ascii="Times New Roman" w:hAnsi="Times New Roman" w:eastAsia="Times New Roman"/>
                <w:color w:val="auto"/>
                <w:szCs w:val="21"/>
                <w:highlight w:val="none"/>
              </w:rPr>
            </w:pPr>
            <w:r>
              <w:rPr>
                <w:rFonts w:hint="eastAsia" w:ascii="宋体" w:hAnsi="宋体" w:cs="宋体"/>
                <w:color w:val="auto"/>
                <w:szCs w:val="21"/>
                <w:highlight w:val="none"/>
              </w:rPr>
              <w:t>具有依法缴纳税收和社会保障资金的良好记录</w:t>
            </w:r>
          </w:p>
        </w:tc>
        <w:tc>
          <w:tcPr>
            <w:tcW w:w="5972" w:type="dxa"/>
            <w:tcBorders>
              <w:right w:val="double" w:color="auto" w:sz="4" w:space="0"/>
            </w:tcBorders>
            <w:vAlign w:val="center"/>
          </w:tcPr>
          <w:p w14:paraId="31DC6E7F">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1A82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273BBA92">
            <w:pPr>
              <w:spacing w:line="360" w:lineRule="exact"/>
              <w:rPr>
                <w:rFonts w:ascii="Times New Roman" w:hAnsi="Times New Roman" w:eastAsia="Times New Roman"/>
                <w:color w:val="auto"/>
                <w:szCs w:val="21"/>
                <w:highlight w:val="none"/>
              </w:rPr>
            </w:pPr>
          </w:p>
        </w:tc>
        <w:tc>
          <w:tcPr>
            <w:tcW w:w="851" w:type="dxa"/>
            <w:vMerge w:val="continue"/>
            <w:vAlign w:val="center"/>
          </w:tcPr>
          <w:p w14:paraId="39713CB2">
            <w:pPr>
              <w:spacing w:line="360" w:lineRule="exact"/>
              <w:rPr>
                <w:rFonts w:ascii="Times New Roman" w:hAnsi="Times New Roman" w:eastAsia="Times New Roman"/>
                <w:color w:val="auto"/>
                <w:szCs w:val="21"/>
                <w:highlight w:val="none"/>
              </w:rPr>
            </w:pPr>
          </w:p>
        </w:tc>
        <w:tc>
          <w:tcPr>
            <w:tcW w:w="2121" w:type="dxa"/>
            <w:vAlign w:val="center"/>
          </w:tcPr>
          <w:p w14:paraId="48324158">
            <w:pPr>
              <w:spacing w:line="360" w:lineRule="exact"/>
              <w:jc w:val="center"/>
              <w:rPr>
                <w:rFonts w:ascii="Times New Roman" w:hAnsi="Times New Roman"/>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972" w:type="dxa"/>
            <w:tcBorders>
              <w:right w:val="double" w:color="auto" w:sz="4" w:space="0"/>
            </w:tcBorders>
            <w:vAlign w:val="center"/>
          </w:tcPr>
          <w:p w14:paraId="4B01AE27">
            <w:pPr>
              <w:spacing w:line="360" w:lineRule="exact"/>
              <w:rPr>
                <w:color w:val="auto"/>
                <w:szCs w:val="21"/>
                <w:highlight w:val="none"/>
              </w:rPr>
            </w:pPr>
            <w:r>
              <w:rPr>
                <w:rFonts w:hint="eastAsia" w:ascii="宋体" w:hAnsi="宋体" w:eastAsia="Times New Roman" w:cs="宋体"/>
                <w:color w:val="auto"/>
                <w:kern w:val="0"/>
                <w:szCs w:val="21"/>
                <w:highlight w:val="none"/>
              </w:rPr>
              <w:t>符合第二章“供应商须知前附表”规定</w:t>
            </w:r>
          </w:p>
        </w:tc>
      </w:tr>
      <w:tr w14:paraId="3737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14:paraId="28ACE1B0">
            <w:pPr>
              <w:spacing w:line="360" w:lineRule="exact"/>
              <w:rPr>
                <w:rFonts w:ascii="Times New Roman" w:hAnsi="Times New Roman" w:eastAsia="Times New Roman"/>
                <w:color w:val="auto"/>
                <w:szCs w:val="21"/>
                <w:highlight w:val="none"/>
              </w:rPr>
            </w:pPr>
          </w:p>
        </w:tc>
        <w:tc>
          <w:tcPr>
            <w:tcW w:w="851" w:type="dxa"/>
            <w:vMerge w:val="continue"/>
            <w:vAlign w:val="center"/>
          </w:tcPr>
          <w:p w14:paraId="0B5AE985">
            <w:pPr>
              <w:spacing w:line="360" w:lineRule="exact"/>
              <w:rPr>
                <w:rFonts w:ascii="Times New Roman" w:hAnsi="Times New Roman" w:eastAsia="Times New Roman"/>
                <w:color w:val="auto"/>
                <w:szCs w:val="21"/>
                <w:highlight w:val="none"/>
              </w:rPr>
            </w:pPr>
          </w:p>
        </w:tc>
        <w:tc>
          <w:tcPr>
            <w:tcW w:w="2121" w:type="dxa"/>
            <w:vAlign w:val="center"/>
          </w:tcPr>
          <w:p w14:paraId="39BD38DB">
            <w:pPr>
              <w:spacing w:line="360" w:lineRule="exact"/>
              <w:jc w:val="center"/>
              <w:rPr>
                <w:rFonts w:ascii="Times New Roman" w:hAnsi="Times New Roman"/>
                <w:color w:val="auto"/>
                <w:szCs w:val="21"/>
                <w:highlight w:val="none"/>
              </w:rPr>
            </w:pPr>
            <w:r>
              <w:rPr>
                <w:rFonts w:hint="eastAsia" w:ascii="Times New Roman" w:hAnsi="Times New Roman" w:eastAsia="Times New Roman"/>
                <w:color w:val="auto"/>
                <w:szCs w:val="21"/>
                <w:highlight w:val="none"/>
              </w:rPr>
              <w:t>特定资格要求</w:t>
            </w:r>
          </w:p>
        </w:tc>
        <w:tc>
          <w:tcPr>
            <w:tcW w:w="5972" w:type="dxa"/>
            <w:tcBorders>
              <w:right w:val="double" w:color="auto" w:sz="4" w:space="0"/>
            </w:tcBorders>
            <w:vAlign w:val="center"/>
          </w:tcPr>
          <w:p w14:paraId="2B3B037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120111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4E0CEFDA">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15A4CCB">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6040F657">
            <w:pPr>
              <w:pStyle w:val="23"/>
              <w:spacing w:line="360" w:lineRule="auto"/>
              <w:ind w:left="0" w:leftChars="0" w:firstLine="420"/>
              <w:rPr>
                <w:rFonts w:ascii="Times New Roman" w:hAnsi="Times New Roman"/>
                <w:color w:val="auto"/>
                <w:szCs w:val="21"/>
                <w:highlight w:val="none"/>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bl>
    <w:p w14:paraId="5E6BFD5C">
      <w:pPr>
        <w:jc w:val="left"/>
        <w:rPr>
          <w:bCs/>
          <w:color w:val="auto"/>
          <w:highlight w:val="none"/>
        </w:rPr>
      </w:pPr>
      <w:r>
        <w:rPr>
          <w:rFonts w:hint="eastAsia" w:ascii="宋体" w:hAnsi="宋体"/>
          <w:bCs/>
          <w:color w:val="auto"/>
          <w:sz w:val="30"/>
          <w:szCs w:val="30"/>
          <w:highlight w:val="none"/>
        </w:rPr>
        <w:t>1.磋商程序及办法前附表</w:t>
      </w:r>
      <w:bookmarkEnd w:id="85"/>
      <w:bookmarkEnd w:id="86"/>
      <w:bookmarkEnd w:id="87"/>
      <w:bookmarkEnd w:id="88"/>
      <w:bookmarkEnd w:id="89"/>
      <w:bookmarkEnd w:id="90"/>
    </w:p>
    <w:p w14:paraId="6FE39BB2">
      <w:pPr>
        <w:rPr>
          <w:color w:val="auto"/>
          <w:highlight w:val="none"/>
        </w:rPr>
      </w:pPr>
    </w:p>
    <w:p w14:paraId="09D8DD60">
      <w:pPr>
        <w:numPr>
          <w:ilvl w:val="0"/>
          <w:numId w:val="5"/>
        </w:numPr>
        <w:rPr>
          <w:color w:val="auto"/>
          <w:sz w:val="30"/>
          <w:szCs w:val="30"/>
          <w:highlight w:val="none"/>
        </w:rPr>
      </w:pPr>
      <w:r>
        <w:rPr>
          <w:rFonts w:hint="eastAsia"/>
          <w:color w:val="auto"/>
          <w:sz w:val="30"/>
          <w:szCs w:val="30"/>
          <w:highlight w:val="none"/>
        </w:rPr>
        <w:t>详细评审</w:t>
      </w:r>
    </w:p>
    <w:tbl>
      <w:tblPr>
        <w:tblStyle w:val="24"/>
        <w:tblW w:w="98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4"/>
        <w:gridCol w:w="1251"/>
        <w:gridCol w:w="1753"/>
        <w:gridCol w:w="5665"/>
      </w:tblGrid>
      <w:tr w14:paraId="77A7D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154" w:type="dxa"/>
            <w:vMerge w:val="restart"/>
            <w:tcBorders>
              <w:top w:val="single" w:color="auto" w:sz="4" w:space="0"/>
              <w:left w:val="single" w:color="auto" w:sz="4" w:space="0"/>
              <w:right w:val="single" w:color="auto" w:sz="4" w:space="0"/>
            </w:tcBorders>
            <w:vAlign w:val="center"/>
          </w:tcPr>
          <w:p w14:paraId="5FB159F4">
            <w:pPr>
              <w:widowControl/>
              <w:spacing w:line="360" w:lineRule="auto"/>
              <w:jc w:val="left"/>
              <w:rPr>
                <w:rFonts w:ascii="宋体" w:hAnsi="宋体" w:eastAsia="Times New Roman" w:cs="宋体"/>
                <w:color w:val="auto"/>
                <w:szCs w:val="21"/>
                <w:highlight w:val="none"/>
              </w:rPr>
            </w:pPr>
            <w:bookmarkStart w:id="91" w:name="_Toc10657"/>
            <w:bookmarkStart w:id="92" w:name="_Toc12526"/>
            <w:bookmarkStart w:id="93" w:name="_Toc5269853"/>
            <w:bookmarkStart w:id="94" w:name="_Toc11164"/>
          </w:p>
          <w:p w14:paraId="31D4DAAE">
            <w:pPr>
              <w:widowControl/>
              <w:spacing w:line="360" w:lineRule="auto"/>
              <w:jc w:val="left"/>
              <w:rPr>
                <w:rFonts w:ascii="宋体" w:hAnsi="宋体" w:eastAsia="Times New Roman" w:cs="宋体"/>
                <w:color w:val="auto"/>
                <w:szCs w:val="21"/>
                <w:highlight w:val="none"/>
              </w:rPr>
            </w:pPr>
          </w:p>
          <w:p w14:paraId="4DD61469">
            <w:pPr>
              <w:widowControl/>
              <w:spacing w:line="360" w:lineRule="auto"/>
              <w:jc w:val="left"/>
              <w:rPr>
                <w:rFonts w:ascii="宋体" w:hAnsi="宋体" w:eastAsia="Times New Roman" w:cs="宋体"/>
                <w:color w:val="auto"/>
                <w:szCs w:val="21"/>
                <w:highlight w:val="none"/>
              </w:rPr>
            </w:pPr>
          </w:p>
          <w:p w14:paraId="28D9D9C3">
            <w:pPr>
              <w:widowControl/>
              <w:spacing w:line="360" w:lineRule="auto"/>
              <w:jc w:val="left"/>
              <w:rPr>
                <w:rFonts w:ascii="宋体" w:hAnsi="宋体" w:eastAsia="Times New Roman" w:cs="宋体"/>
                <w:color w:val="auto"/>
                <w:szCs w:val="21"/>
                <w:highlight w:val="none"/>
              </w:rPr>
            </w:pPr>
          </w:p>
          <w:p w14:paraId="4883CA9B">
            <w:pPr>
              <w:widowControl/>
              <w:spacing w:line="360" w:lineRule="auto"/>
              <w:jc w:val="left"/>
              <w:rPr>
                <w:rFonts w:ascii="宋体" w:hAnsi="宋体" w:eastAsia="Times New Roman" w:cs="宋体"/>
                <w:color w:val="auto"/>
                <w:szCs w:val="21"/>
                <w:highlight w:val="none"/>
              </w:rPr>
            </w:pPr>
          </w:p>
          <w:p w14:paraId="03008211">
            <w:pPr>
              <w:widowControl/>
              <w:spacing w:line="360" w:lineRule="auto"/>
              <w:jc w:val="left"/>
              <w:rPr>
                <w:rFonts w:ascii="宋体" w:hAnsi="宋体" w:eastAsia="Times New Roman" w:cs="宋体"/>
                <w:color w:val="auto"/>
                <w:szCs w:val="21"/>
                <w:highlight w:val="none"/>
              </w:rPr>
            </w:pPr>
          </w:p>
          <w:p w14:paraId="458A6CEA">
            <w:pPr>
              <w:widowControl/>
              <w:spacing w:line="360" w:lineRule="auto"/>
              <w:jc w:val="left"/>
              <w:rPr>
                <w:rFonts w:ascii="宋体" w:hAnsi="宋体" w:eastAsia="Times New Roman" w:cs="宋体"/>
                <w:color w:val="auto"/>
                <w:szCs w:val="21"/>
                <w:highlight w:val="none"/>
              </w:rPr>
            </w:pPr>
          </w:p>
          <w:p w14:paraId="6A812353">
            <w:pPr>
              <w:widowControl/>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详细评审</w:t>
            </w:r>
          </w:p>
        </w:tc>
        <w:tc>
          <w:tcPr>
            <w:tcW w:w="1251" w:type="dxa"/>
            <w:tcBorders>
              <w:top w:val="single" w:color="auto" w:sz="4" w:space="0"/>
              <w:left w:val="single" w:color="auto" w:sz="4" w:space="0"/>
              <w:bottom w:val="single" w:color="auto" w:sz="4" w:space="0"/>
              <w:right w:val="single" w:color="auto" w:sz="4" w:space="0"/>
            </w:tcBorders>
            <w:vAlign w:val="center"/>
          </w:tcPr>
          <w:p w14:paraId="77352195">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2.2.1</w:t>
            </w:r>
          </w:p>
        </w:tc>
        <w:tc>
          <w:tcPr>
            <w:tcW w:w="1753" w:type="dxa"/>
            <w:tcBorders>
              <w:top w:val="single" w:color="auto" w:sz="4" w:space="0"/>
              <w:left w:val="single" w:color="auto" w:sz="4" w:space="0"/>
              <w:bottom w:val="single" w:color="auto" w:sz="4" w:space="0"/>
              <w:right w:val="single" w:color="auto" w:sz="4" w:space="0"/>
            </w:tcBorders>
            <w:vAlign w:val="center"/>
          </w:tcPr>
          <w:p w14:paraId="4C5649B0">
            <w:pPr>
              <w:adjustRightInd w:val="0"/>
              <w:spacing w:line="360" w:lineRule="auto"/>
              <w:jc w:val="center"/>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 xml:space="preserve"> 分值构成</w:t>
            </w:r>
          </w:p>
          <w:p w14:paraId="2555C8D2">
            <w:pPr>
              <w:pStyle w:val="22"/>
              <w:ind w:firstLine="0" w:firstLineChars="0"/>
              <w:jc w:val="center"/>
              <w:rPr>
                <w:rFonts w:ascii="Times New Roman" w:hAnsi="Times New Roman" w:eastAsia="Times New Roman"/>
                <w:color w:val="auto"/>
                <w:sz w:val="21"/>
                <w:szCs w:val="21"/>
                <w:highlight w:val="none"/>
              </w:rPr>
            </w:pPr>
            <w:r>
              <w:rPr>
                <w:rFonts w:hint="eastAsia" w:ascii="Times New Roman" w:hAnsi="Times New Roman" w:eastAsia="Times New Roman"/>
                <w:color w:val="auto"/>
                <w:sz w:val="21"/>
                <w:szCs w:val="21"/>
                <w:highlight w:val="none"/>
              </w:rPr>
              <w:t>（总分100分）</w:t>
            </w:r>
          </w:p>
        </w:tc>
        <w:tc>
          <w:tcPr>
            <w:tcW w:w="5665" w:type="dxa"/>
            <w:tcBorders>
              <w:top w:val="single" w:color="auto" w:sz="4" w:space="0"/>
              <w:left w:val="single" w:color="auto" w:sz="4" w:space="0"/>
              <w:bottom w:val="single" w:color="auto" w:sz="4" w:space="0"/>
              <w:right w:val="single" w:color="auto" w:sz="4" w:space="0"/>
            </w:tcBorders>
            <w:vAlign w:val="center"/>
          </w:tcPr>
          <w:p w14:paraId="6705D8A2">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经济标评分：</w:t>
            </w:r>
            <w:r>
              <w:rPr>
                <w:rFonts w:hint="eastAsia" w:ascii="Times New Roman" w:hAnsi="Times New Roman"/>
                <w:color w:val="auto"/>
                <w:szCs w:val="21"/>
                <w:highlight w:val="none"/>
              </w:rPr>
              <w:t>1</w:t>
            </w:r>
            <w:r>
              <w:rPr>
                <w:rFonts w:hint="eastAsia" w:ascii="Times New Roman" w:hAnsi="Times New Roman" w:eastAsia="Times New Roman"/>
                <w:color w:val="auto"/>
                <w:szCs w:val="21"/>
                <w:highlight w:val="none"/>
              </w:rPr>
              <w:t>0分</w:t>
            </w:r>
          </w:p>
          <w:p w14:paraId="6654AF77">
            <w:pPr>
              <w:adjustRightInd w:val="0"/>
              <w:spacing w:line="360" w:lineRule="auto"/>
              <w:jc w:val="left"/>
              <w:textAlignment w:val="baseline"/>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技术标评分：</w:t>
            </w:r>
            <w:r>
              <w:rPr>
                <w:rFonts w:hint="eastAsia" w:ascii="Times New Roman" w:hAnsi="Times New Roman"/>
                <w:color w:val="auto"/>
                <w:szCs w:val="21"/>
                <w:highlight w:val="none"/>
              </w:rPr>
              <w:t>65</w:t>
            </w:r>
            <w:r>
              <w:rPr>
                <w:rFonts w:hint="eastAsia" w:ascii="Times New Roman" w:hAnsi="Times New Roman" w:eastAsia="Times New Roman"/>
                <w:color w:val="auto"/>
                <w:szCs w:val="21"/>
                <w:highlight w:val="none"/>
              </w:rPr>
              <w:t>分</w:t>
            </w:r>
          </w:p>
          <w:p w14:paraId="59DC68A8">
            <w:pPr>
              <w:adjustRightInd w:val="0"/>
              <w:spacing w:line="360" w:lineRule="auto"/>
              <w:jc w:val="left"/>
              <w:textAlignment w:val="baseline"/>
              <w:rPr>
                <w:rFonts w:ascii="宋体" w:hAnsi="宋体" w:eastAsia="Times New Roman" w:cs="宋体"/>
                <w:color w:val="auto"/>
                <w:szCs w:val="21"/>
                <w:highlight w:val="none"/>
              </w:rPr>
            </w:pPr>
            <w:r>
              <w:rPr>
                <w:rFonts w:hint="eastAsia" w:ascii="Times New Roman" w:hAnsi="Times New Roman" w:eastAsia="Times New Roman"/>
                <w:color w:val="auto"/>
                <w:szCs w:val="21"/>
                <w:highlight w:val="none"/>
              </w:rPr>
              <w:t>综合标评分：</w:t>
            </w:r>
            <w:r>
              <w:rPr>
                <w:rFonts w:hint="eastAsia" w:ascii="Times New Roman" w:hAnsi="Times New Roman"/>
                <w:color w:val="auto"/>
                <w:szCs w:val="21"/>
                <w:highlight w:val="none"/>
              </w:rPr>
              <w:t>25</w:t>
            </w:r>
            <w:r>
              <w:rPr>
                <w:rFonts w:hint="eastAsia" w:ascii="Times New Roman" w:hAnsi="Times New Roman" w:eastAsia="Times New Roman"/>
                <w:color w:val="auto"/>
                <w:szCs w:val="21"/>
                <w:highlight w:val="none"/>
              </w:rPr>
              <w:t>分</w:t>
            </w:r>
          </w:p>
        </w:tc>
      </w:tr>
      <w:tr w14:paraId="6E787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jc w:val="center"/>
        </w:trPr>
        <w:tc>
          <w:tcPr>
            <w:tcW w:w="1154" w:type="dxa"/>
            <w:vMerge w:val="continue"/>
            <w:tcBorders>
              <w:left w:val="single" w:color="auto" w:sz="4" w:space="0"/>
              <w:right w:val="single" w:color="auto" w:sz="4" w:space="0"/>
            </w:tcBorders>
            <w:vAlign w:val="center"/>
          </w:tcPr>
          <w:p w14:paraId="7DA0BCB2">
            <w:pPr>
              <w:widowControl/>
              <w:spacing w:line="360" w:lineRule="auto"/>
              <w:jc w:val="left"/>
              <w:rPr>
                <w:rFonts w:ascii="宋体" w:hAnsi="宋体" w:eastAsia="Times New Roman" w:cs="宋体"/>
                <w:color w:val="auto"/>
                <w:szCs w:val="21"/>
                <w:highlight w:val="none"/>
              </w:rPr>
            </w:pPr>
          </w:p>
        </w:tc>
        <w:tc>
          <w:tcPr>
            <w:tcW w:w="1251" w:type="dxa"/>
            <w:tcBorders>
              <w:top w:val="single" w:color="auto" w:sz="4" w:space="0"/>
              <w:left w:val="nil"/>
              <w:bottom w:val="single" w:color="auto" w:sz="4" w:space="0"/>
              <w:right w:val="single" w:color="auto" w:sz="4" w:space="0"/>
            </w:tcBorders>
            <w:vAlign w:val="center"/>
          </w:tcPr>
          <w:p w14:paraId="1A73EE61">
            <w:pPr>
              <w:widowControl/>
              <w:spacing w:line="360" w:lineRule="auto"/>
              <w:rPr>
                <w:rFonts w:ascii="宋体" w:hAnsi="宋体" w:eastAsia="Times New Roman" w:cs="宋体"/>
                <w:color w:val="auto"/>
                <w:szCs w:val="21"/>
                <w:highlight w:val="none"/>
              </w:rPr>
            </w:pPr>
          </w:p>
          <w:p w14:paraId="6C8CC080">
            <w:pPr>
              <w:widowControl/>
              <w:spacing w:line="360" w:lineRule="auto"/>
              <w:jc w:val="center"/>
              <w:rPr>
                <w:rFonts w:ascii="宋体" w:hAnsi="宋体" w:eastAsia="Times New Roman" w:cs="宋体"/>
                <w:color w:val="auto"/>
                <w:szCs w:val="21"/>
                <w:highlight w:val="none"/>
              </w:rPr>
            </w:pPr>
          </w:p>
          <w:p w14:paraId="6EC1D05B">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2.2.2（1）经济标评分（</w:t>
            </w:r>
            <w:r>
              <w:rPr>
                <w:rFonts w:hint="eastAsia" w:ascii="宋体" w:hAnsi="宋体" w:cs="宋体"/>
                <w:color w:val="auto"/>
                <w:szCs w:val="21"/>
                <w:highlight w:val="none"/>
              </w:rPr>
              <w:t>1</w:t>
            </w:r>
            <w:r>
              <w:rPr>
                <w:rFonts w:hint="eastAsia" w:ascii="宋体" w:hAnsi="宋体" w:eastAsia="Times New Roman" w:cs="宋体"/>
                <w:color w:val="auto"/>
                <w:szCs w:val="21"/>
                <w:highlight w:val="none"/>
              </w:rPr>
              <w:t>0分）</w:t>
            </w:r>
          </w:p>
        </w:tc>
        <w:tc>
          <w:tcPr>
            <w:tcW w:w="1753" w:type="dxa"/>
            <w:tcBorders>
              <w:top w:val="single" w:color="auto" w:sz="4" w:space="0"/>
              <w:left w:val="single" w:color="auto" w:sz="4" w:space="0"/>
              <w:bottom w:val="single" w:color="auto" w:sz="4" w:space="0"/>
              <w:right w:val="single" w:color="auto" w:sz="4" w:space="0"/>
            </w:tcBorders>
            <w:vAlign w:val="center"/>
          </w:tcPr>
          <w:p w14:paraId="1C631598">
            <w:pPr>
              <w:spacing w:line="360" w:lineRule="auto"/>
              <w:rPr>
                <w:rFonts w:ascii="Times New Roman" w:hAnsi="Times New Roman" w:eastAsia="Times New Roman"/>
                <w:color w:val="auto"/>
                <w:szCs w:val="21"/>
                <w:highlight w:val="none"/>
              </w:rPr>
            </w:pPr>
          </w:p>
          <w:p w14:paraId="2040164D">
            <w:pPr>
              <w:adjustRightInd w:val="0"/>
              <w:spacing w:line="360" w:lineRule="auto"/>
              <w:jc w:val="center"/>
              <w:textAlignment w:val="baseline"/>
              <w:rPr>
                <w:rFonts w:ascii="宋体" w:hAnsi="宋体" w:cs="宋体"/>
                <w:color w:val="auto"/>
                <w:szCs w:val="21"/>
                <w:highlight w:val="none"/>
              </w:rPr>
            </w:pPr>
          </w:p>
          <w:p w14:paraId="55A456A5">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磋商报价</w:t>
            </w:r>
          </w:p>
          <w:p w14:paraId="1C9CED82">
            <w:pPr>
              <w:adjustRightInd w:val="0"/>
              <w:spacing w:line="360" w:lineRule="auto"/>
              <w:jc w:val="center"/>
              <w:textAlignment w:val="baseline"/>
              <w:rPr>
                <w:rFonts w:ascii="宋体" w:hAnsi="宋体" w:eastAsia="Times New Roman" w:cs="宋体"/>
                <w:color w:val="auto"/>
                <w:szCs w:val="21"/>
                <w:highlight w:val="none"/>
              </w:rPr>
            </w:pPr>
            <w:r>
              <w:rPr>
                <w:rFonts w:hint="eastAsia" w:ascii="宋体" w:hAnsi="宋体" w:cs="宋体"/>
                <w:color w:val="auto"/>
                <w:szCs w:val="21"/>
                <w:highlight w:val="none"/>
              </w:rPr>
              <w:t>（10分）</w:t>
            </w:r>
          </w:p>
        </w:tc>
        <w:tc>
          <w:tcPr>
            <w:tcW w:w="5665" w:type="dxa"/>
            <w:tcBorders>
              <w:top w:val="single" w:color="auto" w:sz="4" w:space="0"/>
              <w:left w:val="single" w:color="auto" w:sz="4" w:space="0"/>
              <w:bottom w:val="single" w:color="auto" w:sz="4" w:space="0"/>
              <w:right w:val="single" w:color="auto" w:sz="4" w:space="0"/>
            </w:tcBorders>
            <w:vAlign w:val="center"/>
          </w:tcPr>
          <w:p w14:paraId="4B50477A">
            <w:pPr>
              <w:shd w:val="clear" w:color="auto" w:fill="FFFFFF"/>
              <w:adjustRightInd w:val="0"/>
              <w:snapToGrid w:val="0"/>
              <w:spacing w:line="360" w:lineRule="auto"/>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评标基准价：</w:t>
            </w:r>
          </w:p>
          <w:p w14:paraId="61D2F673">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满足招标文件要求且价格最低的评标价（含小微企业评标价）为评标基准价，</w:t>
            </w:r>
          </w:p>
          <w:p w14:paraId="75457F87">
            <w:pPr>
              <w:shd w:val="clear" w:color="auto" w:fill="FFFFFF"/>
              <w:adjustRightInd w:val="0"/>
              <w:snapToGrid w:val="0"/>
              <w:spacing w:line="360" w:lineRule="auto"/>
              <w:rPr>
                <w:rFonts w:ascii="Times New Roman" w:hAnsi="Times New Roman" w:eastAsia="Times New Roman"/>
                <w:b/>
                <w:bCs/>
                <w:color w:val="auto"/>
                <w:szCs w:val="21"/>
                <w:highlight w:val="none"/>
              </w:rPr>
            </w:pPr>
            <w:r>
              <w:rPr>
                <w:rFonts w:hint="eastAsia" w:ascii="Times New Roman" w:hAnsi="Times New Roman" w:eastAsia="Times New Roman"/>
                <w:b/>
                <w:bCs/>
                <w:color w:val="auto"/>
                <w:szCs w:val="21"/>
                <w:highlight w:val="none"/>
              </w:rPr>
              <w:t>投标报价得分计算：</w:t>
            </w:r>
          </w:p>
          <w:p w14:paraId="063A5183">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投标报价等于评标基准价其价格分为</w:t>
            </w:r>
            <w:r>
              <w:rPr>
                <w:rFonts w:hint="eastAsia" w:ascii="Times New Roman" w:hAnsi="Times New Roman"/>
                <w:color w:val="auto"/>
                <w:szCs w:val="21"/>
                <w:highlight w:val="none"/>
              </w:rPr>
              <w:t>10</w:t>
            </w:r>
            <w:r>
              <w:rPr>
                <w:rFonts w:hint="eastAsia" w:ascii="Times New Roman" w:hAnsi="Times New Roman" w:eastAsia="Times New Roman"/>
                <w:color w:val="auto"/>
                <w:szCs w:val="21"/>
                <w:highlight w:val="none"/>
              </w:rPr>
              <w:t>分。</w:t>
            </w:r>
          </w:p>
          <w:p w14:paraId="0655BE9F">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其他投标人的价格分统一按照下列公式计算：</w:t>
            </w:r>
          </w:p>
          <w:p w14:paraId="227E9DCC">
            <w:pPr>
              <w:shd w:val="clear" w:color="auto" w:fill="FFFFFF"/>
              <w:adjustRightInd w:val="0"/>
              <w:snapToGrid w:val="0"/>
              <w:spacing w:line="360" w:lineRule="auto"/>
              <w:rPr>
                <w:rFonts w:ascii="Times New Roman" w:hAnsi="Times New Roman" w:eastAsia="Times New Roman"/>
                <w:color w:val="auto"/>
                <w:szCs w:val="21"/>
                <w:highlight w:val="none"/>
              </w:rPr>
            </w:pPr>
            <w:r>
              <w:rPr>
                <w:rFonts w:hint="eastAsia" w:ascii="Times New Roman" w:hAnsi="Times New Roman" w:eastAsia="Times New Roman"/>
                <w:color w:val="auto"/>
                <w:szCs w:val="21"/>
                <w:highlight w:val="none"/>
              </w:rPr>
              <w:t>报价得分=(评标基准价／报价)×价格权值（</w:t>
            </w:r>
            <w:r>
              <w:rPr>
                <w:rFonts w:hint="eastAsia" w:ascii="Times New Roman" w:hAnsi="Times New Roman"/>
                <w:color w:val="auto"/>
                <w:szCs w:val="21"/>
                <w:highlight w:val="none"/>
              </w:rPr>
              <w:t>10</w:t>
            </w:r>
            <w:r>
              <w:rPr>
                <w:rFonts w:hint="eastAsia" w:ascii="Times New Roman" w:hAnsi="Times New Roman" w:eastAsia="Times New Roman"/>
                <w:color w:val="auto"/>
                <w:szCs w:val="21"/>
                <w:highlight w:val="none"/>
              </w:rPr>
              <w:t>分）（四舍五入后保留小数点后两位）</w:t>
            </w:r>
          </w:p>
        </w:tc>
      </w:tr>
      <w:tr w14:paraId="4787F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154" w:type="dxa"/>
            <w:vMerge w:val="continue"/>
            <w:tcBorders>
              <w:left w:val="single" w:color="auto" w:sz="4" w:space="0"/>
              <w:right w:val="single" w:color="auto" w:sz="4" w:space="0"/>
            </w:tcBorders>
            <w:vAlign w:val="center"/>
          </w:tcPr>
          <w:p w14:paraId="1DC3E49B">
            <w:pPr>
              <w:widowControl/>
              <w:spacing w:line="360" w:lineRule="auto"/>
              <w:jc w:val="left"/>
              <w:rPr>
                <w:rFonts w:ascii="宋体" w:hAnsi="宋体" w:eastAsia="Times New Roman" w:cs="宋体"/>
                <w:color w:val="auto"/>
                <w:szCs w:val="21"/>
                <w:highlight w:val="none"/>
              </w:rPr>
            </w:pPr>
          </w:p>
        </w:tc>
        <w:tc>
          <w:tcPr>
            <w:tcW w:w="1251" w:type="dxa"/>
            <w:vMerge w:val="restart"/>
            <w:tcBorders>
              <w:top w:val="single" w:color="auto" w:sz="4" w:space="0"/>
              <w:left w:val="single" w:color="auto" w:sz="4" w:space="0"/>
              <w:right w:val="single" w:color="auto" w:sz="4" w:space="0"/>
            </w:tcBorders>
            <w:vAlign w:val="center"/>
          </w:tcPr>
          <w:p w14:paraId="7F25E2C0">
            <w:pPr>
              <w:widowControl/>
              <w:spacing w:line="360" w:lineRule="auto"/>
              <w:jc w:val="center"/>
              <w:rPr>
                <w:rFonts w:ascii="宋体" w:hAnsi="宋体" w:eastAsia="Times New Roman" w:cs="宋体"/>
                <w:color w:val="auto"/>
                <w:szCs w:val="21"/>
                <w:highlight w:val="none"/>
              </w:rPr>
            </w:pPr>
          </w:p>
          <w:p w14:paraId="6B78D4C9">
            <w:pPr>
              <w:widowControl/>
              <w:spacing w:line="360" w:lineRule="auto"/>
              <w:jc w:val="center"/>
              <w:rPr>
                <w:rFonts w:ascii="宋体" w:hAnsi="宋体" w:eastAsia="Times New Roman" w:cs="宋体"/>
                <w:color w:val="auto"/>
                <w:szCs w:val="21"/>
                <w:highlight w:val="none"/>
              </w:rPr>
            </w:pPr>
          </w:p>
          <w:p w14:paraId="158818BC">
            <w:pPr>
              <w:widowControl/>
              <w:spacing w:line="360" w:lineRule="auto"/>
              <w:jc w:val="center"/>
              <w:rPr>
                <w:rFonts w:ascii="宋体" w:hAnsi="宋体" w:eastAsia="Times New Roman" w:cs="宋体"/>
                <w:color w:val="auto"/>
                <w:szCs w:val="21"/>
                <w:highlight w:val="none"/>
              </w:rPr>
            </w:pPr>
          </w:p>
          <w:p w14:paraId="2129A590">
            <w:pPr>
              <w:widowControl/>
              <w:spacing w:line="360" w:lineRule="auto"/>
              <w:jc w:val="center"/>
              <w:rPr>
                <w:rFonts w:ascii="宋体" w:hAnsi="宋体" w:eastAsia="Times New Roman" w:cs="宋体"/>
                <w:color w:val="auto"/>
                <w:szCs w:val="21"/>
                <w:highlight w:val="none"/>
              </w:rPr>
            </w:pPr>
          </w:p>
          <w:p w14:paraId="55C140CE">
            <w:pPr>
              <w:widowControl/>
              <w:spacing w:line="360" w:lineRule="auto"/>
              <w:jc w:val="center"/>
              <w:rPr>
                <w:rFonts w:ascii="宋体" w:hAnsi="宋体" w:eastAsia="Times New Roman" w:cs="宋体"/>
                <w:color w:val="auto"/>
                <w:szCs w:val="21"/>
                <w:highlight w:val="none"/>
              </w:rPr>
            </w:pPr>
          </w:p>
          <w:p w14:paraId="71E00137">
            <w:pPr>
              <w:widowControl/>
              <w:spacing w:line="360" w:lineRule="auto"/>
              <w:jc w:val="center"/>
              <w:rPr>
                <w:rFonts w:ascii="宋体" w:hAnsi="宋体" w:eastAsia="Times New Roman" w:cs="宋体"/>
                <w:color w:val="auto"/>
                <w:szCs w:val="21"/>
                <w:highlight w:val="none"/>
              </w:rPr>
            </w:pPr>
          </w:p>
          <w:p w14:paraId="399B87C7">
            <w:pPr>
              <w:widowControl/>
              <w:spacing w:line="360" w:lineRule="auto"/>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2.2.2（2）</w:t>
            </w:r>
            <w:r>
              <w:rPr>
                <w:rFonts w:hint="eastAsia" w:ascii="Times New Roman" w:hAnsi="Times New Roman" w:eastAsia="Times New Roman"/>
                <w:color w:val="auto"/>
                <w:szCs w:val="21"/>
                <w:highlight w:val="none"/>
              </w:rPr>
              <w:t>技术标评分（</w:t>
            </w:r>
            <w:r>
              <w:rPr>
                <w:rFonts w:hint="eastAsia" w:ascii="Times New Roman" w:hAnsi="Times New Roman"/>
                <w:color w:val="auto"/>
                <w:szCs w:val="21"/>
                <w:highlight w:val="none"/>
              </w:rPr>
              <w:t>65</w:t>
            </w:r>
            <w:r>
              <w:rPr>
                <w:rFonts w:hint="eastAsia" w:ascii="Times New Roman" w:hAnsi="Times New Roman" w:eastAsia="Times New Roman"/>
                <w:color w:val="auto"/>
                <w:szCs w:val="21"/>
                <w:highlight w:val="none"/>
              </w:rPr>
              <w:t>分）</w:t>
            </w:r>
          </w:p>
        </w:tc>
        <w:tc>
          <w:tcPr>
            <w:tcW w:w="1753" w:type="dxa"/>
            <w:vMerge w:val="restart"/>
            <w:tcBorders>
              <w:top w:val="single" w:color="auto" w:sz="4" w:space="0"/>
              <w:left w:val="single" w:color="auto" w:sz="4" w:space="0"/>
              <w:right w:val="single" w:color="auto" w:sz="4" w:space="0"/>
            </w:tcBorders>
            <w:vAlign w:val="center"/>
          </w:tcPr>
          <w:p w14:paraId="1EB4AD3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技</w:t>
            </w:r>
            <w:bookmarkStart w:id="95" w:name="OLE_LINK9"/>
            <w:bookmarkStart w:id="96" w:name="OLE_LINK10"/>
            <w:r>
              <w:rPr>
                <w:rFonts w:hint="eastAsia" w:ascii="宋体" w:hAnsi="宋体" w:cs="宋体"/>
                <w:color w:val="auto"/>
                <w:szCs w:val="21"/>
                <w:highlight w:val="none"/>
              </w:rPr>
              <w:t>术实施</w:t>
            </w:r>
            <w:bookmarkEnd w:id="95"/>
            <w:bookmarkEnd w:id="96"/>
            <w:r>
              <w:rPr>
                <w:rFonts w:hint="eastAsia" w:ascii="宋体" w:hAnsi="宋体" w:cs="宋体"/>
                <w:color w:val="auto"/>
                <w:szCs w:val="21"/>
                <w:highlight w:val="none"/>
              </w:rPr>
              <w:t>方案（25分）</w:t>
            </w:r>
          </w:p>
        </w:tc>
        <w:tc>
          <w:tcPr>
            <w:tcW w:w="5665" w:type="dxa"/>
            <w:tcBorders>
              <w:top w:val="single" w:color="auto" w:sz="4" w:space="0"/>
              <w:left w:val="single" w:color="auto" w:sz="4" w:space="0"/>
              <w:bottom w:val="single" w:color="auto" w:sz="4" w:space="0"/>
              <w:right w:val="single" w:color="auto" w:sz="4" w:space="0"/>
            </w:tcBorders>
            <w:vAlign w:val="center"/>
          </w:tcPr>
          <w:p w14:paraId="21DD72C0">
            <w:pPr>
              <w:spacing w:line="360" w:lineRule="auto"/>
              <w:jc w:val="left"/>
              <w:rPr>
                <w:rFonts w:ascii="宋体" w:hAnsi="宋体" w:cs="宋体"/>
                <w:color w:val="auto"/>
                <w:szCs w:val="21"/>
                <w:highlight w:val="none"/>
              </w:rPr>
            </w:pPr>
            <w:r>
              <w:rPr>
                <w:rFonts w:hint="eastAsia"/>
                <w:color w:val="auto"/>
                <w:highlight w:val="none"/>
              </w:rPr>
              <w:t>1、对项目背景、规划原则、项目内容理解的准确性、全面性与深入程度进行横向对比后打分；分析透彻、理解全面深入的得7分，分析较为透彻、理解较为深入的得4分；分析不够透彻、理解不够深入的得2分；</w:t>
            </w:r>
            <w:r>
              <w:rPr>
                <w:rFonts w:hint="eastAsia" w:ascii="宋体" w:hAnsi="宋体" w:cs="宋体"/>
                <w:color w:val="auto"/>
                <w:szCs w:val="21"/>
                <w:highlight w:val="none"/>
              </w:rPr>
              <w:t>未针对本项目描述或没有的得0分</w:t>
            </w:r>
            <w:r>
              <w:rPr>
                <w:rFonts w:hint="eastAsia"/>
                <w:color w:val="auto"/>
                <w:highlight w:val="none"/>
              </w:rPr>
              <w:t>。</w:t>
            </w:r>
          </w:p>
        </w:tc>
      </w:tr>
      <w:tr w14:paraId="70C73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154" w:type="dxa"/>
            <w:vMerge w:val="continue"/>
            <w:tcBorders>
              <w:left w:val="single" w:color="auto" w:sz="4" w:space="0"/>
              <w:right w:val="single" w:color="auto" w:sz="4" w:space="0"/>
            </w:tcBorders>
            <w:vAlign w:val="center"/>
          </w:tcPr>
          <w:p w14:paraId="0967B942">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6B3AC46F">
            <w:pPr>
              <w:widowControl/>
              <w:spacing w:line="360" w:lineRule="auto"/>
              <w:jc w:val="center"/>
              <w:rPr>
                <w:rFonts w:ascii="宋体" w:hAnsi="宋体" w:eastAsia="Times New Roman" w:cs="宋体"/>
                <w:color w:val="auto"/>
                <w:szCs w:val="21"/>
                <w:highlight w:val="none"/>
              </w:rPr>
            </w:pPr>
          </w:p>
        </w:tc>
        <w:tc>
          <w:tcPr>
            <w:tcW w:w="1753" w:type="dxa"/>
            <w:vMerge w:val="continue"/>
            <w:tcBorders>
              <w:left w:val="single" w:color="auto" w:sz="4" w:space="0"/>
              <w:right w:val="single" w:color="auto" w:sz="4" w:space="0"/>
            </w:tcBorders>
            <w:vAlign w:val="center"/>
          </w:tcPr>
          <w:p w14:paraId="488EBDA6">
            <w:pPr>
              <w:adjustRightInd w:val="0"/>
              <w:spacing w:line="360" w:lineRule="auto"/>
              <w:jc w:val="left"/>
              <w:textAlignment w:val="baseline"/>
              <w:rPr>
                <w:rFonts w:ascii="宋体" w:hAnsi="宋体" w:cs="宋体"/>
                <w:color w:val="auto"/>
                <w:szCs w:val="21"/>
                <w:highlight w:val="none"/>
              </w:rPr>
            </w:pPr>
          </w:p>
        </w:tc>
        <w:tc>
          <w:tcPr>
            <w:tcW w:w="5665" w:type="dxa"/>
            <w:tcBorders>
              <w:top w:val="single" w:color="auto" w:sz="4" w:space="0"/>
              <w:left w:val="single" w:color="auto" w:sz="4" w:space="0"/>
              <w:bottom w:val="single" w:color="auto" w:sz="4" w:space="0"/>
              <w:right w:val="single" w:color="auto" w:sz="4" w:space="0"/>
            </w:tcBorders>
            <w:vAlign w:val="center"/>
          </w:tcPr>
          <w:p w14:paraId="270E75BA">
            <w:pPr>
              <w:spacing w:line="360" w:lineRule="auto"/>
              <w:jc w:val="left"/>
              <w:rPr>
                <w:rFonts w:ascii="宋体" w:hAnsi="宋体" w:cs="宋体"/>
                <w:color w:val="auto"/>
                <w:szCs w:val="21"/>
                <w:highlight w:val="none"/>
              </w:rPr>
            </w:pPr>
            <w:r>
              <w:rPr>
                <w:rFonts w:hint="eastAsia"/>
                <w:color w:val="auto"/>
                <w:highlight w:val="none"/>
              </w:rPr>
              <w:t>2、对荥阳市现状问题、城市体检中的问题，提出解决思路；问题分析透彻，建议合理的得8分，分析较为透彻、建议较为合理的得5分；分析不够透彻、建议不够合理的得2分；</w:t>
            </w:r>
            <w:r>
              <w:rPr>
                <w:rFonts w:hint="eastAsia" w:ascii="宋体" w:hAnsi="宋体" w:cs="宋体"/>
                <w:color w:val="auto"/>
                <w:szCs w:val="21"/>
                <w:highlight w:val="none"/>
              </w:rPr>
              <w:t>未针对本项目描述或没有的得0分。</w:t>
            </w:r>
          </w:p>
        </w:tc>
      </w:tr>
      <w:tr w14:paraId="6A683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154" w:type="dxa"/>
            <w:vMerge w:val="continue"/>
            <w:tcBorders>
              <w:left w:val="single" w:color="auto" w:sz="4" w:space="0"/>
              <w:right w:val="single" w:color="auto" w:sz="4" w:space="0"/>
            </w:tcBorders>
            <w:vAlign w:val="center"/>
          </w:tcPr>
          <w:p w14:paraId="25244AD0">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7C56C5AE">
            <w:pPr>
              <w:widowControl/>
              <w:spacing w:line="360" w:lineRule="auto"/>
              <w:jc w:val="center"/>
              <w:rPr>
                <w:rFonts w:ascii="宋体" w:hAnsi="宋体" w:eastAsia="Times New Roman" w:cs="宋体"/>
                <w:color w:val="auto"/>
                <w:szCs w:val="21"/>
                <w:highlight w:val="none"/>
              </w:rPr>
            </w:pPr>
          </w:p>
        </w:tc>
        <w:tc>
          <w:tcPr>
            <w:tcW w:w="1753" w:type="dxa"/>
            <w:vMerge w:val="continue"/>
            <w:tcBorders>
              <w:left w:val="single" w:color="auto" w:sz="4" w:space="0"/>
              <w:bottom w:val="single" w:color="auto" w:sz="4" w:space="0"/>
              <w:right w:val="single" w:color="auto" w:sz="4" w:space="0"/>
            </w:tcBorders>
            <w:vAlign w:val="center"/>
          </w:tcPr>
          <w:p w14:paraId="27EAA64A">
            <w:pPr>
              <w:adjustRightInd w:val="0"/>
              <w:spacing w:line="360" w:lineRule="auto"/>
              <w:jc w:val="left"/>
              <w:textAlignment w:val="baseline"/>
              <w:rPr>
                <w:rFonts w:ascii="宋体" w:hAnsi="宋体" w:cs="宋体"/>
                <w:color w:val="auto"/>
                <w:szCs w:val="21"/>
                <w:highlight w:val="none"/>
              </w:rPr>
            </w:pPr>
          </w:p>
        </w:tc>
        <w:tc>
          <w:tcPr>
            <w:tcW w:w="5665" w:type="dxa"/>
            <w:tcBorders>
              <w:top w:val="single" w:color="auto" w:sz="4" w:space="0"/>
              <w:left w:val="single" w:color="auto" w:sz="4" w:space="0"/>
              <w:bottom w:val="single" w:color="auto" w:sz="4" w:space="0"/>
              <w:right w:val="single" w:color="auto" w:sz="4" w:space="0"/>
            </w:tcBorders>
            <w:vAlign w:val="center"/>
          </w:tcPr>
          <w:p w14:paraId="6FFA24F2">
            <w:pPr>
              <w:spacing w:line="360" w:lineRule="auto"/>
              <w:jc w:val="left"/>
              <w:rPr>
                <w:rFonts w:ascii="宋体" w:hAnsi="宋体" w:cs="宋体"/>
                <w:color w:val="auto"/>
                <w:szCs w:val="21"/>
                <w:highlight w:val="none"/>
              </w:rPr>
            </w:pPr>
            <w:r>
              <w:rPr>
                <w:rFonts w:hint="eastAsia"/>
                <w:color w:val="auto"/>
                <w:highlight w:val="none"/>
              </w:rPr>
              <w:t>3、对规划编制工作框架及工作内容进行打分；框架及内容全面得10分，框架较为全面得7分，框架不够全面得4分，缺项不得分。</w:t>
            </w:r>
          </w:p>
        </w:tc>
      </w:tr>
      <w:tr w14:paraId="2F9D9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1154" w:type="dxa"/>
            <w:vMerge w:val="continue"/>
            <w:tcBorders>
              <w:left w:val="single" w:color="auto" w:sz="4" w:space="0"/>
              <w:right w:val="single" w:color="auto" w:sz="4" w:space="0"/>
            </w:tcBorders>
            <w:vAlign w:val="center"/>
          </w:tcPr>
          <w:p w14:paraId="33FBDAEB">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600A4648">
            <w:pPr>
              <w:widowControl/>
              <w:spacing w:line="360" w:lineRule="auto"/>
              <w:jc w:val="center"/>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0AD08848">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项目实施难点及关键点分析</w:t>
            </w:r>
          </w:p>
          <w:p w14:paraId="05371AF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（8分）</w:t>
            </w:r>
          </w:p>
        </w:tc>
        <w:tc>
          <w:tcPr>
            <w:tcW w:w="5665" w:type="dxa"/>
            <w:tcBorders>
              <w:top w:val="single" w:color="auto" w:sz="4" w:space="0"/>
              <w:left w:val="single" w:color="auto" w:sz="4" w:space="0"/>
              <w:bottom w:val="single" w:color="auto" w:sz="4" w:space="0"/>
              <w:right w:val="single" w:color="auto" w:sz="4" w:space="0"/>
            </w:tcBorders>
          </w:tcPr>
          <w:p w14:paraId="6D860CC9">
            <w:pPr>
              <w:spacing w:line="360" w:lineRule="auto"/>
              <w:rPr>
                <w:rFonts w:ascii="宋体" w:hAnsi="宋体" w:cs="宋体"/>
                <w:color w:val="auto"/>
                <w:szCs w:val="21"/>
                <w:highlight w:val="none"/>
              </w:rPr>
            </w:pPr>
            <w:r>
              <w:rPr>
                <w:rFonts w:hint="eastAsia" w:ascii="宋体" w:hAnsi="宋体" w:cs="宋体"/>
                <w:color w:val="auto"/>
                <w:szCs w:val="21"/>
                <w:highlight w:val="none"/>
              </w:rPr>
              <w:t>实施方案中项目实施难点及关键点理解分析透彻，难点解决方法和方案科学合理，关键点分析得当得8分；</w:t>
            </w:r>
          </w:p>
          <w:p w14:paraId="4AA56245">
            <w:pPr>
              <w:spacing w:line="360" w:lineRule="auto"/>
              <w:rPr>
                <w:rFonts w:ascii="宋体" w:hAnsi="宋体" w:cs="宋体"/>
                <w:color w:val="auto"/>
                <w:szCs w:val="21"/>
                <w:highlight w:val="none"/>
              </w:rPr>
            </w:pPr>
            <w:r>
              <w:rPr>
                <w:rFonts w:hint="eastAsia" w:ascii="宋体" w:hAnsi="宋体" w:cs="宋体"/>
                <w:color w:val="auto"/>
                <w:szCs w:val="21"/>
                <w:highlight w:val="none"/>
              </w:rPr>
              <w:t>分析较透彻、方案较合理、过程控制较得当的得5分；</w:t>
            </w:r>
          </w:p>
          <w:p w14:paraId="45B7D698">
            <w:pPr>
              <w:spacing w:line="360" w:lineRule="auto"/>
              <w:rPr>
                <w:rFonts w:ascii="宋体" w:hAnsi="宋体" w:cs="宋体"/>
                <w:color w:val="auto"/>
                <w:szCs w:val="21"/>
                <w:highlight w:val="none"/>
              </w:rPr>
            </w:pPr>
            <w:r>
              <w:rPr>
                <w:rFonts w:hint="eastAsia" w:ascii="宋体" w:hAnsi="宋体" w:cs="宋体"/>
                <w:color w:val="auto"/>
                <w:szCs w:val="21"/>
                <w:highlight w:val="none"/>
              </w:rPr>
              <w:t>分析不够透彻、方案不够合理、过程控制不够得当的得2分。</w:t>
            </w:r>
          </w:p>
          <w:p w14:paraId="2E1325CA">
            <w:pPr>
              <w:spacing w:line="360" w:lineRule="auto"/>
              <w:rPr>
                <w:rFonts w:ascii="宋体" w:hAnsi="宋体" w:cs="宋体"/>
                <w:color w:val="auto"/>
                <w:szCs w:val="21"/>
                <w:highlight w:val="none"/>
              </w:rPr>
            </w:pPr>
            <w:r>
              <w:rPr>
                <w:rFonts w:hint="eastAsia" w:ascii="宋体" w:hAnsi="宋体" w:cs="宋体"/>
                <w:color w:val="auto"/>
                <w:szCs w:val="21"/>
                <w:highlight w:val="none"/>
              </w:rPr>
              <w:t>未针对本项目描述或没有的得0分。</w:t>
            </w:r>
          </w:p>
        </w:tc>
      </w:tr>
      <w:tr w14:paraId="698D0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1154" w:type="dxa"/>
            <w:vMerge w:val="continue"/>
            <w:tcBorders>
              <w:left w:val="single" w:color="auto" w:sz="4" w:space="0"/>
              <w:right w:val="single" w:color="auto" w:sz="4" w:space="0"/>
            </w:tcBorders>
            <w:vAlign w:val="center"/>
          </w:tcPr>
          <w:p w14:paraId="33C41368">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04294D09">
            <w:pPr>
              <w:widowControl/>
              <w:spacing w:line="360" w:lineRule="auto"/>
              <w:jc w:val="center"/>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3F7CF3FD">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项目实施合理化建议（8分）</w:t>
            </w:r>
          </w:p>
        </w:tc>
        <w:tc>
          <w:tcPr>
            <w:tcW w:w="5665" w:type="dxa"/>
            <w:tcBorders>
              <w:top w:val="single" w:color="auto" w:sz="4" w:space="0"/>
              <w:left w:val="single" w:color="auto" w:sz="4" w:space="0"/>
              <w:bottom w:val="single" w:color="auto" w:sz="4" w:space="0"/>
              <w:right w:val="single" w:color="auto" w:sz="4" w:space="0"/>
            </w:tcBorders>
          </w:tcPr>
          <w:p w14:paraId="78FCD566">
            <w:pPr>
              <w:spacing w:line="360" w:lineRule="auto"/>
              <w:rPr>
                <w:rFonts w:ascii="宋体" w:hAnsi="宋体" w:cs="宋体"/>
                <w:color w:val="auto"/>
                <w:szCs w:val="21"/>
                <w:highlight w:val="none"/>
              </w:rPr>
            </w:pPr>
            <w:r>
              <w:rPr>
                <w:rFonts w:hint="eastAsia" w:ascii="宋体" w:hAnsi="宋体" w:cs="宋体"/>
                <w:color w:val="auto"/>
                <w:szCs w:val="21"/>
                <w:highlight w:val="none"/>
              </w:rPr>
              <w:t>实施方案中项目实施合理化建议全面的得8分；</w:t>
            </w:r>
          </w:p>
          <w:p w14:paraId="16939F18">
            <w:pPr>
              <w:spacing w:line="360" w:lineRule="auto"/>
              <w:rPr>
                <w:rFonts w:ascii="宋体" w:hAnsi="宋体" w:cs="宋体"/>
                <w:color w:val="auto"/>
                <w:szCs w:val="21"/>
                <w:highlight w:val="none"/>
              </w:rPr>
            </w:pPr>
            <w:r>
              <w:rPr>
                <w:rFonts w:hint="eastAsia" w:ascii="宋体" w:hAnsi="宋体" w:cs="宋体"/>
                <w:color w:val="auto"/>
                <w:szCs w:val="21"/>
                <w:highlight w:val="none"/>
              </w:rPr>
              <w:t>分析较透彻、方案较合理、过程控制较全</w:t>
            </w:r>
            <w:bookmarkStart w:id="97" w:name="OLE_LINK1"/>
            <w:r>
              <w:rPr>
                <w:rFonts w:hint="eastAsia" w:ascii="宋体" w:hAnsi="宋体" w:cs="宋体"/>
                <w:color w:val="auto"/>
                <w:szCs w:val="21"/>
                <w:highlight w:val="none"/>
              </w:rPr>
              <w:t>面</w:t>
            </w:r>
            <w:bookmarkEnd w:id="97"/>
            <w:r>
              <w:rPr>
                <w:rFonts w:hint="eastAsia" w:ascii="宋体" w:hAnsi="宋体" w:cs="宋体"/>
                <w:color w:val="auto"/>
                <w:szCs w:val="21"/>
                <w:highlight w:val="none"/>
              </w:rPr>
              <w:t>得5分；</w:t>
            </w:r>
          </w:p>
          <w:p w14:paraId="384B2B12">
            <w:pPr>
              <w:spacing w:line="360" w:lineRule="auto"/>
              <w:rPr>
                <w:rFonts w:ascii="宋体" w:hAnsi="宋体" w:cs="宋体"/>
                <w:color w:val="auto"/>
                <w:szCs w:val="21"/>
                <w:highlight w:val="none"/>
              </w:rPr>
            </w:pPr>
            <w:r>
              <w:rPr>
                <w:rFonts w:hint="eastAsia" w:ascii="宋体" w:hAnsi="宋体" w:cs="宋体"/>
                <w:color w:val="auto"/>
                <w:szCs w:val="21"/>
                <w:highlight w:val="none"/>
              </w:rPr>
              <w:t>分析不够透彻、方案不够合理、过程控制不够全面的得2分。</w:t>
            </w:r>
          </w:p>
          <w:p w14:paraId="37A900B6">
            <w:pPr>
              <w:spacing w:line="360" w:lineRule="auto"/>
              <w:rPr>
                <w:rFonts w:ascii="宋体" w:hAnsi="宋体" w:cs="宋体"/>
                <w:color w:val="auto"/>
                <w:szCs w:val="21"/>
                <w:highlight w:val="none"/>
              </w:rPr>
            </w:pPr>
            <w:r>
              <w:rPr>
                <w:rFonts w:hint="eastAsia" w:ascii="宋体" w:hAnsi="宋体" w:cs="宋体"/>
                <w:color w:val="auto"/>
                <w:szCs w:val="21"/>
                <w:highlight w:val="none"/>
              </w:rPr>
              <w:t>未针对本项目描述或没有的得0分。</w:t>
            </w:r>
          </w:p>
        </w:tc>
      </w:tr>
      <w:tr w14:paraId="48EA2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1154" w:type="dxa"/>
            <w:vMerge w:val="continue"/>
            <w:tcBorders>
              <w:left w:val="single" w:color="auto" w:sz="4" w:space="0"/>
              <w:right w:val="single" w:color="auto" w:sz="4" w:space="0"/>
            </w:tcBorders>
            <w:vAlign w:val="center"/>
          </w:tcPr>
          <w:p w14:paraId="12FA0295">
            <w:pPr>
              <w:widowControl/>
              <w:spacing w:line="360" w:lineRule="auto"/>
              <w:jc w:val="left"/>
              <w:rPr>
                <w:rFonts w:ascii="宋体" w:hAnsi="宋体" w:eastAsia="Times New Roman" w:cs="宋体"/>
                <w:color w:val="auto"/>
                <w:szCs w:val="21"/>
                <w:highlight w:val="none"/>
              </w:rPr>
            </w:pPr>
          </w:p>
        </w:tc>
        <w:tc>
          <w:tcPr>
            <w:tcW w:w="1251" w:type="dxa"/>
            <w:vMerge w:val="continue"/>
            <w:tcBorders>
              <w:left w:val="single" w:color="auto" w:sz="4" w:space="0"/>
              <w:right w:val="single" w:color="auto" w:sz="4" w:space="0"/>
            </w:tcBorders>
            <w:vAlign w:val="center"/>
          </w:tcPr>
          <w:p w14:paraId="1C41C43B">
            <w:pPr>
              <w:widowControl/>
              <w:spacing w:line="360" w:lineRule="auto"/>
              <w:jc w:val="center"/>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2211C475">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质量保证措施</w:t>
            </w:r>
            <w:bookmarkStart w:id="98" w:name="OLE_LINK2"/>
            <w:r>
              <w:rPr>
                <w:rFonts w:hint="eastAsia" w:ascii="宋体" w:hAnsi="宋体" w:cs="宋体"/>
                <w:color w:val="auto"/>
                <w:szCs w:val="21"/>
                <w:highlight w:val="none"/>
              </w:rPr>
              <w:t>（8分）</w:t>
            </w:r>
            <w:bookmarkEnd w:id="98"/>
          </w:p>
        </w:tc>
        <w:tc>
          <w:tcPr>
            <w:tcW w:w="5665" w:type="dxa"/>
            <w:tcBorders>
              <w:top w:val="single" w:color="auto" w:sz="4" w:space="0"/>
              <w:left w:val="single" w:color="auto" w:sz="4" w:space="0"/>
              <w:bottom w:val="single" w:color="auto" w:sz="4" w:space="0"/>
              <w:right w:val="single" w:color="auto" w:sz="4" w:space="0"/>
            </w:tcBorders>
            <w:vAlign w:val="center"/>
          </w:tcPr>
          <w:p w14:paraId="1EAA78C0">
            <w:pPr>
              <w:spacing w:line="360" w:lineRule="auto"/>
              <w:rPr>
                <w:rFonts w:ascii="宋体" w:hAnsi="宋体" w:cs="宋体"/>
                <w:color w:val="auto"/>
                <w:szCs w:val="21"/>
                <w:highlight w:val="none"/>
              </w:rPr>
            </w:pPr>
            <w:r>
              <w:rPr>
                <w:rFonts w:hint="eastAsia" w:ascii="宋体" w:hAnsi="宋体" w:cs="宋体"/>
                <w:color w:val="auto"/>
                <w:szCs w:val="21"/>
                <w:highlight w:val="none"/>
              </w:rPr>
              <w:t>实施方案中质量保证措施科学合理、内容详尽、针对性及可操作性强，措施合理、切合实际的得8分；</w:t>
            </w:r>
          </w:p>
          <w:p w14:paraId="0CE712BA">
            <w:pPr>
              <w:spacing w:line="360" w:lineRule="auto"/>
              <w:rPr>
                <w:rFonts w:ascii="宋体" w:hAnsi="宋体" w:cs="宋体"/>
                <w:color w:val="auto"/>
                <w:szCs w:val="21"/>
                <w:highlight w:val="none"/>
              </w:rPr>
            </w:pPr>
            <w:r>
              <w:rPr>
                <w:rFonts w:hint="eastAsia" w:ascii="宋体" w:hAnsi="宋体" w:cs="宋体"/>
                <w:color w:val="auto"/>
                <w:szCs w:val="21"/>
                <w:highlight w:val="none"/>
              </w:rPr>
              <w:t>措施较合理、较切合实际的得4分；</w:t>
            </w:r>
          </w:p>
          <w:p w14:paraId="17C62D29">
            <w:pPr>
              <w:spacing w:line="360" w:lineRule="auto"/>
              <w:rPr>
                <w:rFonts w:ascii="宋体" w:hAnsi="宋体" w:cs="宋体"/>
                <w:color w:val="auto"/>
                <w:szCs w:val="21"/>
                <w:highlight w:val="none"/>
              </w:rPr>
            </w:pPr>
            <w:r>
              <w:rPr>
                <w:rFonts w:hint="eastAsia" w:ascii="宋体" w:hAnsi="宋体" w:cs="宋体"/>
                <w:color w:val="auto"/>
                <w:szCs w:val="21"/>
                <w:highlight w:val="none"/>
              </w:rPr>
              <w:t>措施不够合理、不够切合实际的得2分；</w:t>
            </w:r>
          </w:p>
          <w:p w14:paraId="28BF2B3A">
            <w:pPr>
              <w:spacing w:line="360" w:lineRule="auto"/>
              <w:rPr>
                <w:rFonts w:ascii="宋体" w:hAnsi="宋体" w:cs="宋体"/>
                <w:color w:val="auto"/>
                <w:szCs w:val="21"/>
                <w:highlight w:val="none"/>
              </w:rPr>
            </w:pPr>
            <w:r>
              <w:rPr>
                <w:rFonts w:hint="eastAsia" w:ascii="宋体" w:hAnsi="宋体" w:cs="宋体"/>
                <w:color w:val="auto"/>
                <w:szCs w:val="21"/>
                <w:highlight w:val="none"/>
              </w:rPr>
              <w:t>未针对本项目描述或没有的得0分。</w:t>
            </w:r>
          </w:p>
        </w:tc>
      </w:tr>
      <w:tr w14:paraId="590FC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54" w:type="dxa"/>
            <w:vMerge w:val="continue"/>
            <w:tcBorders>
              <w:left w:val="single" w:color="auto" w:sz="4" w:space="0"/>
              <w:right w:val="single" w:color="auto" w:sz="4" w:space="0"/>
            </w:tcBorders>
            <w:vAlign w:val="center"/>
          </w:tcPr>
          <w:p w14:paraId="19B3AEA4">
            <w:pPr>
              <w:spacing w:line="360" w:lineRule="auto"/>
              <w:rPr>
                <w:rFonts w:ascii="Times New Roman" w:hAnsi="Times New Roman" w:eastAsia="Times New Roman"/>
                <w:color w:val="auto"/>
                <w:szCs w:val="21"/>
                <w:highlight w:val="none"/>
              </w:rPr>
            </w:pPr>
          </w:p>
        </w:tc>
        <w:tc>
          <w:tcPr>
            <w:tcW w:w="1251" w:type="dxa"/>
            <w:vMerge w:val="continue"/>
            <w:tcBorders>
              <w:left w:val="single" w:color="auto" w:sz="4" w:space="0"/>
              <w:right w:val="single" w:color="auto" w:sz="4" w:space="0"/>
            </w:tcBorders>
            <w:vAlign w:val="center"/>
          </w:tcPr>
          <w:p w14:paraId="1D3F7EDB">
            <w:pPr>
              <w:spacing w:line="360" w:lineRule="auto"/>
              <w:rPr>
                <w:rFonts w:ascii="Times New Roman" w:hAnsi="Times New Roman" w:eastAsia="Times New Roman"/>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27F250A8">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进度保证措施</w:t>
            </w:r>
          </w:p>
          <w:p w14:paraId="160D003F">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（8分）</w:t>
            </w:r>
          </w:p>
        </w:tc>
        <w:tc>
          <w:tcPr>
            <w:tcW w:w="5665" w:type="dxa"/>
            <w:tcBorders>
              <w:top w:val="single" w:color="auto" w:sz="4" w:space="0"/>
              <w:left w:val="single" w:color="auto" w:sz="4" w:space="0"/>
              <w:bottom w:val="single" w:color="auto" w:sz="4" w:space="0"/>
              <w:right w:val="single" w:color="auto" w:sz="4" w:space="0"/>
            </w:tcBorders>
          </w:tcPr>
          <w:p w14:paraId="0BCF21BE">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服务期承诺满足磋商文件要求，进度保证措施合理且有针对性，项目进度安排及周期合理，能按时完成技术服务，有具体的违约责任承诺得8分；</w:t>
            </w:r>
          </w:p>
          <w:p w14:paraId="244E39FC">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服务期承诺满足磋商文件要求，进度保证措施基本合理，项目进度安排及周期基本合理，能满足要求的，有具体的违约责任承诺得5分；</w:t>
            </w:r>
          </w:p>
          <w:p w14:paraId="681348B8">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服务期承诺满足磋商文件要求，有进度保证措施的，项目进度安排及周期一般，基本满足要求得3分；</w:t>
            </w:r>
          </w:p>
          <w:p w14:paraId="46D9A252">
            <w:pPr>
              <w:spacing w:line="360" w:lineRule="auto"/>
              <w:rPr>
                <w:rFonts w:ascii="宋体" w:hAnsi="宋体" w:cs="宋体"/>
                <w:color w:val="auto"/>
                <w:szCs w:val="21"/>
                <w:highlight w:val="none"/>
              </w:rPr>
            </w:pPr>
            <w:r>
              <w:rPr>
                <w:rFonts w:hint="eastAsia" w:ascii="宋体" w:hAnsi="宋体" w:cs="宋体"/>
                <w:color w:val="auto"/>
                <w:szCs w:val="21"/>
                <w:highlight w:val="none"/>
              </w:rPr>
              <w:t>服务期承诺满足磋商文件要求，有进度保证措施的，得1分；</w:t>
            </w:r>
          </w:p>
          <w:p w14:paraId="2634F7B6">
            <w:pPr>
              <w:spacing w:line="360" w:lineRule="auto"/>
              <w:rPr>
                <w:rFonts w:ascii="宋体" w:hAnsi="宋体" w:cs="宋体"/>
                <w:color w:val="auto"/>
                <w:szCs w:val="21"/>
                <w:highlight w:val="none"/>
              </w:rPr>
            </w:pPr>
            <w:r>
              <w:rPr>
                <w:rFonts w:hint="eastAsia" w:ascii="宋体" w:hAnsi="宋体" w:cs="宋体"/>
                <w:color w:val="auto"/>
                <w:szCs w:val="21"/>
                <w:highlight w:val="none"/>
              </w:rPr>
              <w:t>未提供本项内容得0分。</w:t>
            </w:r>
          </w:p>
        </w:tc>
      </w:tr>
      <w:tr w14:paraId="5DF93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54" w:type="dxa"/>
            <w:vMerge w:val="continue"/>
            <w:tcBorders>
              <w:left w:val="single" w:color="auto" w:sz="4" w:space="0"/>
              <w:right w:val="single" w:color="auto" w:sz="4" w:space="0"/>
            </w:tcBorders>
            <w:vAlign w:val="center"/>
          </w:tcPr>
          <w:p w14:paraId="29BDA27F">
            <w:pPr>
              <w:spacing w:line="360" w:lineRule="auto"/>
              <w:rPr>
                <w:rFonts w:ascii="Times New Roman" w:hAnsi="Times New Roman" w:eastAsia="Times New Roman"/>
                <w:color w:val="auto"/>
                <w:szCs w:val="21"/>
                <w:highlight w:val="none"/>
              </w:rPr>
            </w:pPr>
          </w:p>
        </w:tc>
        <w:tc>
          <w:tcPr>
            <w:tcW w:w="1251" w:type="dxa"/>
            <w:tcBorders>
              <w:left w:val="single" w:color="auto" w:sz="4" w:space="0"/>
              <w:right w:val="single" w:color="auto" w:sz="4" w:space="0"/>
            </w:tcBorders>
            <w:vAlign w:val="center"/>
          </w:tcPr>
          <w:p w14:paraId="6B0FB3CF">
            <w:pPr>
              <w:spacing w:line="360" w:lineRule="auto"/>
              <w:rPr>
                <w:rFonts w:ascii="Times New Roman" w:hAnsi="Times New Roman" w:eastAsia="Times New Roman"/>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5471F33A">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售后服务方案（8分）</w:t>
            </w:r>
          </w:p>
        </w:tc>
        <w:tc>
          <w:tcPr>
            <w:tcW w:w="5665" w:type="dxa"/>
            <w:tcBorders>
              <w:top w:val="single" w:color="auto" w:sz="4" w:space="0"/>
              <w:left w:val="single" w:color="auto" w:sz="4" w:space="0"/>
              <w:bottom w:val="single" w:color="auto" w:sz="4" w:space="0"/>
              <w:right w:val="single" w:color="auto" w:sz="4" w:space="0"/>
            </w:tcBorders>
          </w:tcPr>
          <w:p w14:paraId="6839375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包括但不限于：配备稳定的技术服务人员、响应时间、服务承诺及服务便利性等针对性强，全面到位得8分，</w:t>
            </w:r>
          </w:p>
          <w:p w14:paraId="33ED8B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基本符合且合理得5分，</w:t>
            </w:r>
          </w:p>
          <w:p w14:paraId="5A8EBB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较合理可行2分，</w:t>
            </w:r>
          </w:p>
          <w:p w14:paraId="0E6C51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可行不合理得1分，</w:t>
            </w:r>
          </w:p>
          <w:p w14:paraId="328CC89F">
            <w:pPr>
              <w:spacing w:line="360" w:lineRule="auto"/>
              <w:rPr>
                <w:rFonts w:ascii="宋体" w:hAnsi="宋体" w:cs="宋体"/>
                <w:color w:val="auto"/>
                <w:szCs w:val="21"/>
                <w:highlight w:val="none"/>
              </w:rPr>
            </w:pPr>
            <w:r>
              <w:rPr>
                <w:rFonts w:hint="eastAsia" w:ascii="宋体" w:hAnsi="宋体" w:cs="宋体"/>
                <w:color w:val="auto"/>
                <w:szCs w:val="21"/>
                <w:highlight w:val="none"/>
              </w:rPr>
              <w:t>不提供不得分。</w:t>
            </w:r>
          </w:p>
        </w:tc>
      </w:tr>
      <w:tr w14:paraId="7BDDB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1154" w:type="dxa"/>
            <w:vMerge w:val="continue"/>
            <w:tcBorders>
              <w:left w:val="single" w:color="auto" w:sz="4" w:space="0"/>
              <w:right w:val="single" w:color="auto" w:sz="4" w:space="0"/>
            </w:tcBorders>
            <w:vAlign w:val="center"/>
          </w:tcPr>
          <w:p w14:paraId="3D1A1760">
            <w:pPr>
              <w:spacing w:line="360" w:lineRule="auto"/>
              <w:jc w:val="left"/>
              <w:rPr>
                <w:rFonts w:ascii="宋体" w:hAnsi="宋体" w:eastAsia="Times New Roman" w:cs="宋体"/>
                <w:color w:val="auto"/>
                <w:spacing w:val="1"/>
                <w:kern w:val="0"/>
                <w:szCs w:val="21"/>
                <w:highlight w:val="none"/>
              </w:rPr>
            </w:pPr>
          </w:p>
        </w:tc>
        <w:tc>
          <w:tcPr>
            <w:tcW w:w="1251" w:type="dxa"/>
            <w:vMerge w:val="restart"/>
            <w:tcBorders>
              <w:top w:val="single" w:color="auto" w:sz="4" w:space="0"/>
              <w:left w:val="single" w:color="auto" w:sz="4" w:space="0"/>
              <w:right w:val="single" w:color="auto" w:sz="4" w:space="0"/>
            </w:tcBorders>
            <w:vAlign w:val="center"/>
          </w:tcPr>
          <w:p w14:paraId="2CFF8402">
            <w:pPr>
              <w:spacing w:line="360" w:lineRule="auto"/>
              <w:jc w:val="left"/>
              <w:rPr>
                <w:rFonts w:ascii="宋体" w:hAnsi="宋体" w:eastAsia="Times New Roman" w:cs="宋体"/>
                <w:color w:val="auto"/>
                <w:szCs w:val="21"/>
                <w:highlight w:val="none"/>
              </w:rPr>
            </w:pPr>
          </w:p>
          <w:p w14:paraId="61781B2A">
            <w:pPr>
              <w:spacing w:line="360" w:lineRule="auto"/>
              <w:jc w:val="left"/>
              <w:rPr>
                <w:rFonts w:ascii="宋体" w:hAnsi="宋体" w:eastAsia="Times New Roman" w:cs="宋体"/>
                <w:color w:val="auto"/>
                <w:szCs w:val="21"/>
                <w:highlight w:val="none"/>
              </w:rPr>
            </w:pPr>
          </w:p>
          <w:p w14:paraId="57B6FD50">
            <w:pPr>
              <w:spacing w:line="360" w:lineRule="auto"/>
              <w:jc w:val="left"/>
              <w:rPr>
                <w:rFonts w:ascii="宋体" w:hAnsi="宋体" w:eastAsia="Times New Roman" w:cs="宋体"/>
                <w:color w:val="auto"/>
                <w:szCs w:val="21"/>
                <w:highlight w:val="none"/>
              </w:rPr>
            </w:pPr>
          </w:p>
          <w:p w14:paraId="2220C4D9">
            <w:pPr>
              <w:spacing w:line="360" w:lineRule="auto"/>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2.2.2（3）综合标评分</w:t>
            </w:r>
            <w:r>
              <w:rPr>
                <w:rFonts w:hint="eastAsia" w:ascii="宋体" w:hAnsi="宋体" w:eastAsia="Times New Roman" w:cs="宋体"/>
                <w:color w:val="auto"/>
                <w:spacing w:val="1"/>
                <w:kern w:val="0"/>
                <w:szCs w:val="21"/>
                <w:highlight w:val="none"/>
              </w:rPr>
              <w:t>（</w:t>
            </w:r>
            <w:r>
              <w:rPr>
                <w:rFonts w:hint="eastAsia" w:ascii="宋体" w:hAnsi="宋体" w:cs="宋体"/>
                <w:color w:val="auto"/>
                <w:spacing w:val="1"/>
                <w:kern w:val="0"/>
                <w:szCs w:val="21"/>
                <w:highlight w:val="none"/>
              </w:rPr>
              <w:t>25</w:t>
            </w:r>
            <w:r>
              <w:rPr>
                <w:rFonts w:hint="eastAsia" w:ascii="宋体" w:hAnsi="宋体" w:eastAsia="Times New Roman" w:cs="宋体"/>
                <w:color w:val="auto"/>
                <w:spacing w:val="1"/>
                <w:kern w:val="0"/>
                <w:szCs w:val="21"/>
                <w:highlight w:val="none"/>
              </w:rPr>
              <w:t>分）</w:t>
            </w:r>
          </w:p>
        </w:tc>
        <w:tc>
          <w:tcPr>
            <w:tcW w:w="1753" w:type="dxa"/>
            <w:tcBorders>
              <w:top w:val="single" w:color="auto" w:sz="4" w:space="0"/>
              <w:left w:val="single" w:color="auto" w:sz="4" w:space="0"/>
              <w:bottom w:val="single" w:color="auto" w:sz="4" w:space="0"/>
              <w:right w:val="single" w:color="auto" w:sz="4" w:space="0"/>
            </w:tcBorders>
            <w:vAlign w:val="center"/>
          </w:tcPr>
          <w:p w14:paraId="5E2C8A0E">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拟投入项目组成员 （13分）</w:t>
            </w:r>
          </w:p>
        </w:tc>
        <w:tc>
          <w:tcPr>
            <w:tcW w:w="5665" w:type="dxa"/>
            <w:tcBorders>
              <w:top w:val="single" w:color="auto" w:sz="4" w:space="0"/>
              <w:left w:val="single" w:color="auto" w:sz="4" w:space="0"/>
              <w:bottom w:val="single" w:color="auto" w:sz="4" w:space="0"/>
              <w:right w:val="single" w:color="auto" w:sz="4" w:space="0"/>
            </w:tcBorders>
            <w:vAlign w:val="center"/>
          </w:tcPr>
          <w:p w14:paraId="6DB91107">
            <w:pPr>
              <w:spacing w:line="360" w:lineRule="auto"/>
              <w:rPr>
                <w:rFonts w:ascii="宋体" w:hAnsi="宋体" w:cs="宋体"/>
                <w:color w:val="auto"/>
                <w:szCs w:val="21"/>
                <w:highlight w:val="none"/>
              </w:rPr>
            </w:pPr>
            <w:r>
              <w:rPr>
                <w:rFonts w:hint="eastAsia" w:ascii="宋体" w:hAnsi="宋体" w:cs="宋体"/>
                <w:color w:val="auto"/>
                <w:szCs w:val="21"/>
                <w:highlight w:val="none"/>
              </w:rPr>
              <w:t>1.技术负责人：拟投入本项目的技术负责人具有城乡规划专业高级工程师同时具有</w:t>
            </w:r>
            <w:bookmarkStart w:id="99" w:name="OLE_LINK17"/>
            <w:bookmarkStart w:id="100" w:name="OLE_LINK15"/>
            <w:bookmarkStart w:id="101" w:name="OLE_LINK16"/>
            <w:r>
              <w:rPr>
                <w:rFonts w:hint="eastAsia" w:ascii="宋体" w:hAnsi="宋体" w:cs="宋体"/>
                <w:color w:val="auto"/>
                <w:szCs w:val="21"/>
                <w:highlight w:val="none"/>
              </w:rPr>
              <w:t>注册城乡规划师证书职称证书</w:t>
            </w:r>
            <w:bookmarkEnd w:id="99"/>
            <w:bookmarkEnd w:id="100"/>
            <w:bookmarkEnd w:id="101"/>
            <w:r>
              <w:rPr>
                <w:rFonts w:hint="eastAsia" w:ascii="宋体" w:hAnsi="宋体" w:cs="宋体"/>
                <w:color w:val="auto"/>
                <w:szCs w:val="21"/>
                <w:highlight w:val="none"/>
              </w:rPr>
              <w:t>，得4分；具有城乡规划专业工程师同时具有注册城乡规划师证书职称证书，得3分；具有城乡规划专业高级工程师或者注册城乡规划师证书职称证书得2分；不具备不得分。</w:t>
            </w:r>
          </w:p>
          <w:p w14:paraId="6FCF207E">
            <w:pPr>
              <w:spacing w:line="360" w:lineRule="auto"/>
              <w:rPr>
                <w:rFonts w:ascii="宋体" w:hAnsi="宋体" w:cs="宋体"/>
                <w:color w:val="auto"/>
                <w:szCs w:val="21"/>
                <w:highlight w:val="none"/>
              </w:rPr>
            </w:pPr>
            <w:r>
              <w:rPr>
                <w:rFonts w:hint="eastAsia" w:ascii="宋体" w:hAnsi="宋体" w:cs="宋体"/>
                <w:color w:val="auto"/>
                <w:szCs w:val="21"/>
                <w:highlight w:val="none"/>
              </w:rPr>
              <w:t>2.除项目负责人、技术负责人外，拟投入本项目的其他人员中具有中级工程师职称证书，每个1分；具有高级工程师职称证书，每个1.5分，此项最多得9分；</w:t>
            </w:r>
          </w:p>
          <w:p w14:paraId="781E71CA">
            <w:pPr>
              <w:spacing w:line="360" w:lineRule="auto"/>
              <w:rPr>
                <w:rFonts w:ascii="宋体" w:hAnsi="宋体" w:cs="宋体"/>
                <w:color w:val="auto"/>
                <w:szCs w:val="21"/>
                <w:highlight w:val="none"/>
              </w:rPr>
            </w:pPr>
            <w:r>
              <w:rPr>
                <w:rFonts w:hint="eastAsia" w:ascii="宋体" w:hAnsi="宋体" w:cs="宋体"/>
                <w:color w:val="auto"/>
                <w:szCs w:val="21"/>
                <w:highlight w:val="none"/>
              </w:rPr>
              <w:t>以上具备资格的人员不可以重复。</w:t>
            </w:r>
          </w:p>
          <w:p w14:paraId="43004180">
            <w:pPr>
              <w:spacing w:line="360" w:lineRule="auto"/>
              <w:rPr>
                <w:rFonts w:ascii="宋体" w:hAnsi="宋体" w:cs="宋体"/>
                <w:color w:val="auto"/>
                <w:szCs w:val="21"/>
                <w:highlight w:val="none"/>
              </w:rPr>
            </w:pPr>
            <w:r>
              <w:rPr>
                <w:rFonts w:hint="eastAsia" w:ascii="宋体" w:hAnsi="宋体" w:cs="宋体"/>
                <w:color w:val="auto"/>
                <w:szCs w:val="21"/>
                <w:highlight w:val="none"/>
              </w:rPr>
              <w:t>（以上所有项目拟投入人员需提供证书和近1个月的社保证明复印件，否则本项不得分。）</w:t>
            </w:r>
          </w:p>
        </w:tc>
      </w:tr>
      <w:tr w14:paraId="1DDC1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1" w:hRule="atLeast"/>
          <w:jc w:val="center"/>
        </w:trPr>
        <w:tc>
          <w:tcPr>
            <w:tcW w:w="1154" w:type="dxa"/>
            <w:vMerge w:val="continue"/>
            <w:tcBorders>
              <w:left w:val="single" w:color="auto" w:sz="4" w:space="0"/>
              <w:right w:val="single" w:color="auto" w:sz="4" w:space="0"/>
            </w:tcBorders>
            <w:vAlign w:val="center"/>
          </w:tcPr>
          <w:p w14:paraId="0344B373">
            <w:pPr>
              <w:spacing w:line="360" w:lineRule="auto"/>
              <w:jc w:val="left"/>
              <w:rPr>
                <w:rFonts w:ascii="宋体" w:hAnsi="宋体" w:eastAsia="Times New Roman" w:cs="宋体"/>
                <w:color w:val="auto"/>
                <w:spacing w:val="1"/>
                <w:kern w:val="0"/>
                <w:szCs w:val="21"/>
                <w:highlight w:val="none"/>
              </w:rPr>
            </w:pPr>
          </w:p>
        </w:tc>
        <w:tc>
          <w:tcPr>
            <w:tcW w:w="1251" w:type="dxa"/>
            <w:vMerge w:val="continue"/>
            <w:tcBorders>
              <w:left w:val="single" w:color="auto" w:sz="4" w:space="0"/>
              <w:right w:val="single" w:color="auto" w:sz="4" w:space="0"/>
            </w:tcBorders>
            <w:vAlign w:val="center"/>
          </w:tcPr>
          <w:p w14:paraId="7DA50456">
            <w:pPr>
              <w:spacing w:line="360" w:lineRule="auto"/>
              <w:jc w:val="left"/>
              <w:rPr>
                <w:rFonts w:ascii="宋体" w:hAnsi="宋体" w:eastAsia="Times New Roman" w:cs="宋体"/>
                <w:color w:val="auto"/>
                <w:szCs w:val="21"/>
                <w:highlight w:val="none"/>
              </w:rPr>
            </w:pPr>
          </w:p>
        </w:tc>
        <w:tc>
          <w:tcPr>
            <w:tcW w:w="1753" w:type="dxa"/>
            <w:tcBorders>
              <w:top w:val="single" w:color="auto" w:sz="4" w:space="0"/>
              <w:left w:val="single" w:color="auto" w:sz="4" w:space="0"/>
              <w:bottom w:val="single" w:color="auto" w:sz="4" w:space="0"/>
              <w:right w:val="single" w:color="auto" w:sz="4" w:space="0"/>
            </w:tcBorders>
            <w:vAlign w:val="center"/>
          </w:tcPr>
          <w:p w14:paraId="3EA454FA">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企业业绩 （12分）</w:t>
            </w:r>
          </w:p>
        </w:tc>
        <w:tc>
          <w:tcPr>
            <w:tcW w:w="5665" w:type="dxa"/>
            <w:tcBorders>
              <w:top w:val="single" w:color="auto" w:sz="4" w:space="0"/>
              <w:left w:val="single" w:color="auto" w:sz="4" w:space="0"/>
              <w:bottom w:val="single" w:color="auto" w:sz="4" w:space="0"/>
              <w:right w:val="single" w:color="auto" w:sz="4" w:space="0"/>
            </w:tcBorders>
          </w:tcPr>
          <w:p w14:paraId="415CBD6F">
            <w:pPr>
              <w:spacing w:line="360" w:lineRule="auto"/>
              <w:rPr>
                <w:rFonts w:ascii="宋体" w:hAnsi="宋体" w:cs="宋体"/>
                <w:color w:val="auto"/>
                <w:szCs w:val="21"/>
                <w:highlight w:val="none"/>
              </w:rPr>
            </w:pPr>
            <w:r>
              <w:rPr>
                <w:rFonts w:hint="eastAsia" w:ascii="宋体" w:hAnsi="宋体" w:cs="宋体"/>
                <w:color w:val="auto"/>
                <w:szCs w:val="21"/>
                <w:highlight w:val="none"/>
              </w:rPr>
              <w:t>2023年1月1日以来承担过乡镇及以上（含开发区等）国土空间总体规划项目的业绩，每提供1个得4分，最多得12分。注：须将类似业绩中标通知书或采购合同清晰可见的原件扫描件制作在响应文件中并加盖电子公章，否则不得分。</w:t>
            </w:r>
          </w:p>
        </w:tc>
      </w:tr>
      <w:tr w14:paraId="1CD92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405" w:type="dxa"/>
            <w:gridSpan w:val="2"/>
            <w:vMerge w:val="restart"/>
            <w:tcBorders>
              <w:top w:val="single" w:color="auto" w:sz="4" w:space="0"/>
              <w:left w:val="single" w:color="auto" w:sz="4" w:space="0"/>
              <w:right w:val="single" w:color="auto" w:sz="4" w:space="0"/>
            </w:tcBorders>
            <w:vAlign w:val="center"/>
          </w:tcPr>
          <w:p w14:paraId="64BD273F">
            <w:pPr>
              <w:widowControl/>
              <w:spacing w:line="360" w:lineRule="auto"/>
              <w:jc w:val="center"/>
              <w:rPr>
                <w:rFonts w:ascii="Times New Roman" w:hAnsi="Times New Roman" w:eastAsia="Times New Roman"/>
                <w:color w:val="auto"/>
                <w:szCs w:val="21"/>
                <w:highlight w:val="none"/>
              </w:rPr>
            </w:pPr>
            <w:r>
              <w:rPr>
                <w:rFonts w:hint="eastAsia" w:ascii="宋体" w:hAnsi="宋体" w:eastAsia="Times New Roman" w:cs="宋体"/>
                <w:color w:val="auto"/>
                <w:spacing w:val="1"/>
                <w:kern w:val="0"/>
                <w:szCs w:val="21"/>
                <w:highlight w:val="none"/>
              </w:rPr>
              <w:t>废标条款</w:t>
            </w: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4797926C">
            <w:pPr>
              <w:spacing w:line="360" w:lineRule="auto"/>
              <w:jc w:val="left"/>
              <w:rPr>
                <w:rFonts w:ascii="宋体" w:hAnsi="宋体" w:cs="宋体"/>
                <w:color w:val="auto"/>
                <w:spacing w:val="1"/>
                <w:kern w:val="0"/>
                <w:szCs w:val="21"/>
                <w:highlight w:val="none"/>
              </w:rPr>
            </w:pPr>
            <w:r>
              <w:rPr>
                <w:rFonts w:hint="eastAsia" w:ascii="宋体" w:hAnsi="宋体" w:cs="宋体"/>
                <w:color w:val="auto"/>
                <w:szCs w:val="21"/>
                <w:highlight w:val="none"/>
              </w:rPr>
              <w:t>投标截止时间止，投标人少于3个的</w:t>
            </w:r>
            <w:r>
              <w:rPr>
                <w:rFonts w:hint="eastAsia" w:ascii="宋体" w:hAnsi="宋体" w:eastAsia="Times New Roman" w:cs="宋体"/>
                <w:color w:val="auto"/>
                <w:szCs w:val="21"/>
                <w:highlight w:val="none"/>
              </w:rPr>
              <w:t>。</w:t>
            </w:r>
          </w:p>
        </w:tc>
      </w:tr>
      <w:tr w14:paraId="723B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05" w:type="dxa"/>
            <w:gridSpan w:val="2"/>
            <w:vMerge w:val="continue"/>
            <w:tcBorders>
              <w:left w:val="single" w:color="auto" w:sz="4" w:space="0"/>
              <w:right w:val="single" w:color="auto" w:sz="4" w:space="0"/>
            </w:tcBorders>
            <w:vAlign w:val="center"/>
          </w:tcPr>
          <w:p w14:paraId="50C8BA09">
            <w:pPr>
              <w:widowControl/>
              <w:spacing w:line="360" w:lineRule="auto"/>
              <w:jc w:val="center"/>
              <w:rPr>
                <w:rFonts w:ascii="Times New Roman" w:hAnsi="Times New Roman" w:eastAsia="Times New Roman"/>
                <w:color w:val="auto"/>
                <w:szCs w:val="21"/>
                <w:highlight w:val="none"/>
              </w:rPr>
            </w:pP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3F95D5E5">
            <w:pPr>
              <w:spacing w:line="360" w:lineRule="auto"/>
              <w:jc w:val="left"/>
              <w:rPr>
                <w:rFonts w:ascii="宋体" w:hAnsi="宋体" w:cs="宋体"/>
                <w:color w:val="auto"/>
                <w:spacing w:val="1"/>
                <w:kern w:val="0"/>
                <w:szCs w:val="21"/>
                <w:highlight w:val="none"/>
              </w:rPr>
            </w:pPr>
            <w:r>
              <w:rPr>
                <w:rFonts w:hint="eastAsia" w:ascii="宋体" w:hAnsi="宋体" w:cs="宋体"/>
                <w:bCs/>
                <w:color w:val="auto"/>
                <w:szCs w:val="21"/>
                <w:highlight w:val="none"/>
              </w:rPr>
              <w:t>投标人的投标报价高于最高投标限价。</w:t>
            </w:r>
          </w:p>
        </w:tc>
      </w:tr>
      <w:tr w14:paraId="6A27D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05" w:type="dxa"/>
            <w:gridSpan w:val="2"/>
            <w:vMerge w:val="continue"/>
            <w:tcBorders>
              <w:left w:val="single" w:color="auto" w:sz="4" w:space="0"/>
              <w:right w:val="single" w:color="auto" w:sz="4" w:space="0"/>
            </w:tcBorders>
            <w:vAlign w:val="center"/>
          </w:tcPr>
          <w:p w14:paraId="6E72A35D">
            <w:pPr>
              <w:widowControl/>
              <w:spacing w:line="360" w:lineRule="auto"/>
              <w:jc w:val="center"/>
              <w:rPr>
                <w:rFonts w:ascii="Times New Roman" w:hAnsi="Times New Roman" w:eastAsia="Times New Roman"/>
                <w:color w:val="auto"/>
                <w:szCs w:val="21"/>
                <w:highlight w:val="none"/>
              </w:rPr>
            </w:pP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3EF222A4">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bCs/>
                <w:color w:val="auto"/>
                <w:szCs w:val="21"/>
                <w:highlight w:val="none"/>
              </w:rPr>
              <w:t>投标人投标文件制作机器码一致的。</w:t>
            </w:r>
          </w:p>
        </w:tc>
      </w:tr>
      <w:tr w14:paraId="0AB17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05" w:type="dxa"/>
            <w:gridSpan w:val="2"/>
            <w:vMerge w:val="continue"/>
            <w:tcBorders>
              <w:left w:val="single" w:color="auto" w:sz="4" w:space="0"/>
              <w:right w:val="single" w:color="auto" w:sz="4" w:space="0"/>
            </w:tcBorders>
            <w:vAlign w:val="center"/>
          </w:tcPr>
          <w:p w14:paraId="148FD4BC">
            <w:pPr>
              <w:widowControl/>
              <w:spacing w:line="360" w:lineRule="auto"/>
              <w:jc w:val="center"/>
              <w:rPr>
                <w:rFonts w:ascii="Times New Roman" w:hAnsi="Times New Roman" w:eastAsia="Times New Roman"/>
                <w:color w:val="auto"/>
                <w:szCs w:val="21"/>
                <w:highlight w:val="none"/>
              </w:rPr>
            </w:pPr>
          </w:p>
        </w:tc>
        <w:tc>
          <w:tcPr>
            <w:tcW w:w="7418" w:type="dxa"/>
            <w:gridSpan w:val="2"/>
            <w:tcBorders>
              <w:top w:val="single" w:color="auto" w:sz="4" w:space="0"/>
              <w:left w:val="single" w:color="auto" w:sz="4" w:space="0"/>
              <w:bottom w:val="single" w:color="auto" w:sz="4" w:space="0"/>
              <w:right w:val="single" w:color="auto" w:sz="4" w:space="0"/>
            </w:tcBorders>
            <w:vAlign w:val="center"/>
          </w:tcPr>
          <w:p w14:paraId="6CE0E4AB">
            <w:pPr>
              <w:spacing w:line="360" w:lineRule="auto"/>
              <w:jc w:val="left"/>
              <w:rPr>
                <w:rFonts w:ascii="宋体" w:hAnsi="宋体" w:eastAsia="Times New Roman" w:cs="宋体"/>
                <w:bCs/>
                <w:color w:val="auto"/>
                <w:szCs w:val="21"/>
                <w:highlight w:val="none"/>
              </w:rPr>
            </w:pPr>
            <w:r>
              <w:rPr>
                <w:rFonts w:hint="eastAsia" w:ascii="宋体" w:hAnsi="宋体" w:eastAsia="Times New Roman" w:cs="宋体"/>
                <w:color w:val="auto"/>
                <w:spacing w:val="1"/>
                <w:kern w:val="0"/>
                <w:szCs w:val="21"/>
                <w:highlight w:val="none"/>
              </w:rPr>
              <w:t>法律法规规定的其他内容。</w:t>
            </w:r>
          </w:p>
        </w:tc>
      </w:tr>
      <w:bookmarkEnd w:id="91"/>
      <w:bookmarkEnd w:id="92"/>
    </w:tbl>
    <w:p w14:paraId="5497882C">
      <w:pPr>
        <w:pStyle w:val="4"/>
        <w:spacing w:line="460" w:lineRule="exact"/>
        <w:jc w:val="left"/>
        <w:rPr>
          <w:rFonts w:ascii="宋体" w:hAnsi="宋体"/>
          <w:bCs w:val="0"/>
          <w:color w:val="auto"/>
          <w:sz w:val="21"/>
          <w:szCs w:val="21"/>
          <w:highlight w:val="none"/>
        </w:rPr>
      </w:pPr>
      <w:bookmarkStart w:id="102" w:name="_Toc25442"/>
      <w:bookmarkStart w:id="103" w:name="_Toc2654"/>
      <w:r>
        <w:rPr>
          <w:rFonts w:hint="eastAsia" w:ascii="宋体" w:hAnsi="宋体"/>
          <w:bCs w:val="0"/>
          <w:color w:val="auto"/>
          <w:sz w:val="21"/>
          <w:szCs w:val="21"/>
          <w:highlight w:val="none"/>
        </w:rPr>
        <w:t>1.磋商程序及方法</w:t>
      </w:r>
      <w:bookmarkEnd w:id="93"/>
      <w:bookmarkEnd w:id="94"/>
      <w:bookmarkEnd w:id="102"/>
      <w:bookmarkEnd w:id="103"/>
    </w:p>
    <w:p w14:paraId="544FE0A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14:paraId="1769D98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14:paraId="52CBFE9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14:paraId="76F2D72C">
      <w:pPr>
        <w:pStyle w:val="4"/>
        <w:spacing w:line="460" w:lineRule="exact"/>
        <w:jc w:val="left"/>
        <w:rPr>
          <w:rFonts w:ascii="宋体" w:hAnsi="宋体"/>
          <w:bCs w:val="0"/>
          <w:color w:val="auto"/>
          <w:sz w:val="21"/>
          <w:szCs w:val="21"/>
          <w:highlight w:val="none"/>
        </w:rPr>
      </w:pPr>
      <w:bookmarkStart w:id="104" w:name="_Toc27667"/>
      <w:bookmarkStart w:id="105" w:name="_Toc14560"/>
      <w:bookmarkStart w:id="106" w:name="_Toc20027"/>
      <w:bookmarkStart w:id="107" w:name="_Toc5269854"/>
      <w:r>
        <w:rPr>
          <w:rFonts w:hint="eastAsia" w:ascii="宋体" w:hAnsi="宋体"/>
          <w:bCs w:val="0"/>
          <w:color w:val="auto"/>
          <w:sz w:val="21"/>
          <w:szCs w:val="21"/>
          <w:highlight w:val="none"/>
        </w:rPr>
        <w:t>2.确定成交供应商原则</w:t>
      </w:r>
      <w:bookmarkEnd w:id="104"/>
      <w:bookmarkEnd w:id="105"/>
      <w:bookmarkEnd w:id="106"/>
      <w:bookmarkEnd w:id="107"/>
    </w:p>
    <w:p w14:paraId="5D359789">
      <w:pPr>
        <w:tabs>
          <w:tab w:val="left" w:pos="720"/>
          <w:tab w:val="left" w:pos="1980"/>
        </w:tabs>
        <w:spacing w:line="460" w:lineRule="exact"/>
        <w:ind w:firstLine="422" w:firstLineChars="200"/>
        <w:rPr>
          <w:rFonts w:ascii="宋体" w:hAnsi="宋体"/>
          <w:b/>
          <w:color w:val="auto"/>
          <w:szCs w:val="21"/>
          <w:highlight w:val="none"/>
        </w:rPr>
      </w:pPr>
      <w:bookmarkStart w:id="108" w:name="_Toc152045601"/>
      <w:bookmarkStart w:id="109" w:name="_Toc152042378"/>
      <w:bookmarkStart w:id="110" w:name="_Toc179632619"/>
      <w:bookmarkStart w:id="111" w:name="_Toc409023137"/>
      <w:bookmarkStart w:id="112" w:name="_Toc144974568"/>
      <w:r>
        <w:rPr>
          <w:rFonts w:hint="eastAsia" w:ascii="宋体" w:hAnsi="宋体"/>
          <w:b/>
          <w:color w:val="auto"/>
          <w:szCs w:val="21"/>
          <w:highlight w:val="none"/>
        </w:rPr>
        <w:t>响应文件满足磋商文件全部实质性要求且按评审因素的量化指标评审得分最高的供应商为成交供应商。</w:t>
      </w:r>
    </w:p>
    <w:bookmarkEnd w:id="108"/>
    <w:bookmarkEnd w:id="109"/>
    <w:bookmarkEnd w:id="110"/>
    <w:bookmarkEnd w:id="111"/>
    <w:bookmarkEnd w:id="112"/>
    <w:p w14:paraId="6C0359FA">
      <w:pPr>
        <w:pStyle w:val="4"/>
        <w:spacing w:line="460" w:lineRule="exact"/>
        <w:jc w:val="left"/>
        <w:rPr>
          <w:rFonts w:ascii="宋体" w:hAnsi="宋体"/>
          <w:bCs w:val="0"/>
          <w:color w:val="auto"/>
          <w:sz w:val="21"/>
          <w:szCs w:val="21"/>
          <w:highlight w:val="none"/>
        </w:rPr>
      </w:pPr>
      <w:bookmarkStart w:id="113" w:name="_Toc19301"/>
      <w:bookmarkStart w:id="114" w:name="_Toc5269855"/>
      <w:bookmarkStart w:id="115" w:name="_Toc10826"/>
      <w:bookmarkStart w:id="116" w:name="_Toc32254"/>
      <w:bookmarkStart w:id="117" w:name="_Toc152045602"/>
      <w:bookmarkStart w:id="118" w:name="_Toc179632620"/>
      <w:bookmarkStart w:id="119" w:name="_Toc152042379"/>
      <w:bookmarkStart w:id="120" w:name="_Toc144974569"/>
      <w:r>
        <w:rPr>
          <w:rFonts w:hint="eastAsia" w:ascii="宋体" w:hAnsi="宋体"/>
          <w:bCs w:val="0"/>
          <w:color w:val="auto"/>
          <w:sz w:val="21"/>
          <w:szCs w:val="21"/>
          <w:highlight w:val="none"/>
        </w:rPr>
        <w:t>3.初步评审</w:t>
      </w:r>
      <w:bookmarkEnd w:id="113"/>
      <w:bookmarkEnd w:id="114"/>
      <w:bookmarkEnd w:id="115"/>
      <w:bookmarkEnd w:id="116"/>
    </w:p>
    <w:p w14:paraId="579FCB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17"/>
      <w:bookmarkEnd w:id="118"/>
      <w:bookmarkEnd w:id="119"/>
      <w:bookmarkEnd w:id="120"/>
    </w:p>
    <w:p w14:paraId="285474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14:paraId="4B0BD9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14:paraId="20B22A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14:paraId="6E14B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供应商有以下情形之一的，其磋商响应文件作废标处理：</w:t>
      </w:r>
    </w:p>
    <w:p w14:paraId="2B769E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（1）串通投标或弄虚作假或有其他违法行为的；</w:t>
      </w:r>
    </w:p>
    <w:p w14:paraId="00B599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（2）不按磋商小组要求澄清、说明或补正的；</w:t>
      </w:r>
    </w:p>
    <w:p w14:paraId="51DFC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（3）响应文件中载明的标准和方法等不符合谈判文件的要求；</w:t>
      </w:r>
    </w:p>
    <w:p w14:paraId="105A6AF3">
      <w:pPr>
        <w:pStyle w:val="9"/>
        <w:spacing w:line="360" w:lineRule="auto"/>
        <w:ind w:firstLine="420" w:firstLineChars="200"/>
        <w:rPr>
          <w:rFonts w:ascii="宋体" w:eastAsia="宋体" w:cs="宋体"/>
          <w:b w:val="0"/>
          <w:bCs w:val="0"/>
          <w:color w:val="auto"/>
          <w:spacing w:val="0"/>
          <w:sz w:val="21"/>
          <w:szCs w:val="21"/>
          <w:highlight w:val="none"/>
        </w:rPr>
      </w:pPr>
      <w:r>
        <w:rPr>
          <w:rFonts w:hint="eastAsia" w:ascii="宋体" w:eastAsia="宋体" w:cs="宋体"/>
          <w:b w:val="0"/>
          <w:bCs w:val="0"/>
          <w:color w:val="auto"/>
          <w:spacing w:val="0"/>
          <w:sz w:val="21"/>
          <w:szCs w:val="21"/>
          <w:highlight w:val="none"/>
        </w:rPr>
        <w:t>（4）不符合供应商须知前附表“供应商资格要求”的</w:t>
      </w:r>
    </w:p>
    <w:p w14:paraId="77C5A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（5）不符合法律、法规和采购文件中规定的其他实质性要求和无效情形的。</w:t>
      </w:r>
    </w:p>
    <w:p w14:paraId="75772ACC">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（6）响应文件制作机器码一致的。</w:t>
      </w:r>
    </w:p>
    <w:p w14:paraId="77B1C9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7A9864E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磋商小组要求供应商澄清、说明或者更正响应文件应在磋商规定的时间内提出盖单位章或电子签章。</w:t>
      </w:r>
    </w:p>
    <w:p w14:paraId="436446F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磋商报价有算术错误的，磋商小组按以下原则对磋商报价进行修正，修正的价格经供应商盖单位章或电子签章确认后具有约束力。供应商不接受修正价格的，其磋商响应文件作废标处理。</w:t>
      </w:r>
      <w:bookmarkStart w:id="121" w:name="_Toc152042383"/>
    </w:p>
    <w:p w14:paraId="79024E9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21"/>
    </w:p>
    <w:p w14:paraId="688EA65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438F3DC7">
      <w:pPr>
        <w:pStyle w:val="4"/>
        <w:spacing w:line="460" w:lineRule="exact"/>
        <w:jc w:val="left"/>
        <w:rPr>
          <w:rFonts w:ascii="宋体" w:hAnsi="宋体"/>
          <w:bCs w:val="0"/>
          <w:color w:val="auto"/>
          <w:sz w:val="21"/>
          <w:szCs w:val="21"/>
          <w:highlight w:val="none"/>
        </w:rPr>
      </w:pPr>
      <w:bookmarkStart w:id="122" w:name="_Toc152045606"/>
      <w:bookmarkStart w:id="123" w:name="_Toc152042384"/>
      <w:bookmarkStart w:id="124" w:name="_Toc179632624"/>
      <w:bookmarkStart w:id="125" w:name="_Toc144974573"/>
      <w:bookmarkStart w:id="126" w:name="_Toc5269856"/>
      <w:bookmarkStart w:id="127" w:name="_Toc4653"/>
      <w:bookmarkStart w:id="128" w:name="_Toc24174"/>
      <w:bookmarkStart w:id="129" w:name="_Toc24256"/>
      <w:r>
        <w:rPr>
          <w:rFonts w:hint="eastAsia" w:ascii="宋体" w:hAnsi="宋体"/>
          <w:bCs w:val="0"/>
          <w:color w:val="auto"/>
          <w:sz w:val="21"/>
          <w:szCs w:val="21"/>
          <w:highlight w:val="none"/>
        </w:rPr>
        <w:t>4.</w:t>
      </w:r>
      <w:bookmarkEnd w:id="122"/>
      <w:bookmarkEnd w:id="123"/>
      <w:bookmarkEnd w:id="124"/>
      <w:bookmarkEnd w:id="125"/>
      <w:r>
        <w:rPr>
          <w:rFonts w:hint="eastAsia" w:ascii="宋体" w:hAnsi="宋体"/>
          <w:bCs w:val="0"/>
          <w:color w:val="auto"/>
          <w:sz w:val="21"/>
          <w:szCs w:val="21"/>
          <w:highlight w:val="none"/>
        </w:rPr>
        <w:t>磋商</w:t>
      </w:r>
      <w:bookmarkEnd w:id="126"/>
      <w:bookmarkEnd w:id="127"/>
      <w:bookmarkEnd w:id="128"/>
      <w:bookmarkEnd w:id="129"/>
    </w:p>
    <w:p w14:paraId="6941D8A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14:paraId="1E2164F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30" w:name="_Toc1923"/>
      <w:bookmarkStart w:id="131" w:name="_Toc5269857"/>
      <w:bookmarkStart w:id="132" w:name="_Toc152045608"/>
      <w:bookmarkStart w:id="133" w:name="_Toc144974576"/>
      <w:bookmarkStart w:id="134" w:name="_Toc152042386"/>
      <w:bookmarkStart w:id="135" w:name="_Toc179632626"/>
    </w:p>
    <w:p w14:paraId="022A6F6F">
      <w:pPr>
        <w:pStyle w:val="4"/>
        <w:spacing w:line="460" w:lineRule="exact"/>
        <w:jc w:val="left"/>
        <w:rPr>
          <w:rFonts w:ascii="宋体" w:hAnsi="宋体"/>
          <w:bCs w:val="0"/>
          <w:color w:val="auto"/>
          <w:sz w:val="21"/>
          <w:szCs w:val="21"/>
          <w:highlight w:val="none"/>
        </w:rPr>
      </w:pPr>
      <w:bookmarkStart w:id="136" w:name="_Toc19795"/>
      <w:bookmarkStart w:id="137" w:name="_Toc31429"/>
      <w:r>
        <w:rPr>
          <w:rFonts w:hint="eastAsia" w:ascii="宋体" w:hAnsi="宋体"/>
          <w:bCs w:val="0"/>
          <w:color w:val="auto"/>
          <w:sz w:val="21"/>
          <w:szCs w:val="21"/>
          <w:highlight w:val="none"/>
        </w:rPr>
        <w:t>5.综合评分</w:t>
      </w:r>
      <w:bookmarkEnd w:id="130"/>
      <w:bookmarkEnd w:id="131"/>
      <w:bookmarkEnd w:id="136"/>
      <w:bookmarkEnd w:id="137"/>
    </w:p>
    <w:p w14:paraId="3101AEC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289B87C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14:paraId="71B59D1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14:paraId="5F5838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14:paraId="566DE317">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14:paraId="50ADBD6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14:paraId="3448D0C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14:paraId="687EDF8C">
      <w:pPr>
        <w:pStyle w:val="4"/>
        <w:spacing w:line="460" w:lineRule="exact"/>
        <w:jc w:val="left"/>
        <w:rPr>
          <w:rFonts w:ascii="宋体" w:hAnsi="宋体"/>
          <w:bCs w:val="0"/>
          <w:color w:val="auto"/>
          <w:sz w:val="21"/>
          <w:szCs w:val="21"/>
          <w:highlight w:val="none"/>
        </w:rPr>
      </w:pPr>
      <w:bookmarkStart w:id="138" w:name="_Toc11290"/>
      <w:bookmarkStart w:id="139" w:name="_Toc5269858"/>
      <w:bookmarkStart w:id="140" w:name="_Toc3554"/>
      <w:bookmarkStart w:id="141" w:name="_Toc6801"/>
      <w:r>
        <w:rPr>
          <w:rFonts w:hint="eastAsia" w:ascii="宋体" w:hAnsi="宋体"/>
          <w:bCs w:val="0"/>
          <w:color w:val="auto"/>
          <w:sz w:val="21"/>
          <w:szCs w:val="21"/>
          <w:highlight w:val="none"/>
        </w:rPr>
        <w:t>6.磋商结果</w:t>
      </w:r>
      <w:bookmarkEnd w:id="138"/>
      <w:bookmarkEnd w:id="139"/>
      <w:bookmarkEnd w:id="140"/>
      <w:bookmarkEnd w:id="141"/>
    </w:p>
    <w:bookmarkEnd w:id="132"/>
    <w:bookmarkEnd w:id="133"/>
    <w:bookmarkEnd w:id="134"/>
    <w:bookmarkEnd w:id="135"/>
    <w:p w14:paraId="6652FBF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1899011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CC427F">
      <w:pPr>
        <w:pStyle w:val="4"/>
        <w:spacing w:line="460" w:lineRule="exact"/>
        <w:jc w:val="left"/>
        <w:rPr>
          <w:rFonts w:ascii="宋体" w:hAnsi="宋体"/>
          <w:bCs w:val="0"/>
          <w:color w:val="auto"/>
          <w:sz w:val="21"/>
          <w:szCs w:val="21"/>
          <w:highlight w:val="none"/>
        </w:rPr>
      </w:pPr>
      <w:r>
        <w:rPr>
          <w:rFonts w:hint="eastAsia" w:ascii="宋体" w:hAnsi="宋体"/>
          <w:bCs w:val="0"/>
          <w:color w:val="auto"/>
          <w:sz w:val="21"/>
          <w:szCs w:val="21"/>
          <w:highlight w:val="none"/>
        </w:rPr>
        <w:t>7.其它</w:t>
      </w:r>
    </w:p>
    <w:p w14:paraId="771FEC3B">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7.1本采购文件未尽事宜按现行招标投标的有关法律法规和规定执行。如供应商在本次磋商活动中有违反相关法律法规的将根据相关法律法规和规定对其进行处罚。</w:t>
      </w:r>
    </w:p>
    <w:p w14:paraId="1EB69B6E">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7.2本采购文件根椐国家有关规定，解释权属采购人。</w:t>
      </w:r>
    </w:p>
    <w:p w14:paraId="5E759883">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7.3评审中出现下列情形之一的，评审委员会应当启动异常低价投标（响应）审查程序：</w:t>
      </w:r>
    </w:p>
    <w:p w14:paraId="6068B35A">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（1）投标（响应）报价低于全部通过符合性审查供应商投标（响应）报价平均值65%的，即投标（响应）报价&lt;全部通过符合性审查供应商投标（响应）报价平均值×65%；</w:t>
      </w:r>
    </w:p>
    <w:p w14:paraId="2BB574C3">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（2）投标（响应）报价低于通过符合性审查的次低报价供应商投标（响应）报价65%的，即投标（响应）报价&lt;通过符合性审查的次低报价供应商投标（响应）报价×65%；</w:t>
      </w:r>
    </w:p>
    <w:p w14:paraId="6B4D3A59">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（3）投标（响应）报价低于采购项目最高限价65%的，即投标（响应）报价&lt;采购项目最高限价×65%；</w:t>
      </w:r>
    </w:p>
    <w:p w14:paraId="0CC45C8D">
      <w:pPr>
        <w:pStyle w:val="23"/>
        <w:spacing w:line="360" w:lineRule="auto"/>
        <w:ind w:left="0" w:leftChars="0" w:firstLine="420"/>
        <w:jc w:val="left"/>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641F3635">
      <w:pPr>
        <w:pStyle w:val="23"/>
        <w:spacing w:line="360" w:lineRule="auto"/>
        <w:ind w:left="0" w:leftChars="0" w:firstLine="420"/>
        <w:jc w:val="left"/>
        <w:rPr>
          <w:color w:val="auto"/>
          <w:highlight w:val="none"/>
        </w:rPr>
      </w:pPr>
      <w:r>
        <w:rPr>
          <w:rFonts w:hint="eastAsia" w:ascii="宋体" w:hAnsi="宋体" w:cs="宋体"/>
          <w:color w:val="auto"/>
          <w:szCs w:val="21"/>
          <w:highlight w:val="none"/>
        </w:rPr>
        <w:t>7.4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1C6F76CF">
      <w:pPr>
        <w:spacing w:line="360" w:lineRule="auto"/>
        <w:rPr>
          <w:rStyle w:val="60"/>
          <w:color w:val="auto"/>
          <w:highlight w:val="none"/>
        </w:rPr>
        <w:sectPr>
          <w:footerReference r:id="rId6" w:type="default"/>
          <w:pgSz w:w="11911" w:h="16838"/>
          <w:pgMar w:top="1440" w:right="1701" w:bottom="1440" w:left="1701" w:header="720" w:footer="720" w:gutter="0"/>
          <w:pgNumType w:start="1"/>
          <w:cols w:space="720" w:num="1"/>
        </w:sectPr>
      </w:pPr>
    </w:p>
    <w:p w14:paraId="7B2D97B8">
      <w:pPr>
        <w:pStyle w:val="2"/>
        <w:rPr>
          <w:b/>
          <w:bCs/>
          <w:color w:val="auto"/>
          <w:sz w:val="28"/>
          <w:szCs w:val="28"/>
          <w:highlight w:val="none"/>
        </w:rPr>
      </w:pPr>
      <w:bookmarkStart w:id="142" w:name="_Toc12540"/>
      <w:bookmarkStart w:id="143" w:name="_Toc11800"/>
      <w:r>
        <w:rPr>
          <w:rStyle w:val="60"/>
          <w:rFonts w:hint="eastAsia"/>
          <w:b/>
          <w:bCs/>
          <w:color w:val="auto"/>
          <w:highlight w:val="none"/>
        </w:rPr>
        <w:t xml:space="preserve">第四章 </w:t>
      </w:r>
      <w:bookmarkEnd w:id="142"/>
      <w:bookmarkEnd w:id="143"/>
      <w:r>
        <w:rPr>
          <w:rStyle w:val="60"/>
          <w:rFonts w:hint="eastAsia"/>
          <w:b/>
          <w:bCs/>
          <w:color w:val="auto"/>
          <w:highlight w:val="none"/>
        </w:rPr>
        <w:t>采购内容及需求</w:t>
      </w:r>
    </w:p>
    <w:p w14:paraId="5B1B7A93">
      <w:pPr>
        <w:spacing w:line="360" w:lineRule="auto"/>
        <w:ind w:firstLine="420" w:firstLineChars="200"/>
        <w:jc w:val="center"/>
        <w:rPr>
          <w:rFonts w:hint="eastAsia" w:ascii="宋体" w:hAnsi="宋体" w:eastAsia="宋体" w:cs="宋体"/>
          <w:color w:val="auto"/>
          <w:sz w:val="21"/>
          <w:szCs w:val="21"/>
          <w:highlight w:val="none"/>
          <w:lang w:val="zh-CN"/>
        </w:rPr>
      </w:pPr>
      <w:bookmarkStart w:id="144" w:name="_Toc28515"/>
    </w:p>
    <w:tbl>
      <w:tblPr>
        <w:tblStyle w:val="25"/>
        <w:tblpPr w:leftFromText="180" w:rightFromText="180" w:vertAnchor="text" w:horzAnchor="page" w:tblpX="1530" w:tblpY="3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3048"/>
        <w:gridCol w:w="3145"/>
      </w:tblGrid>
      <w:tr w14:paraId="099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7429862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维护类别</w:t>
            </w:r>
          </w:p>
        </w:tc>
        <w:tc>
          <w:tcPr>
            <w:tcW w:w="3048" w:type="dxa"/>
            <w:vAlign w:val="center"/>
          </w:tcPr>
          <w:p w14:paraId="57817D6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w:t>
            </w:r>
          </w:p>
        </w:tc>
        <w:tc>
          <w:tcPr>
            <w:tcW w:w="3145" w:type="dxa"/>
            <w:vAlign w:val="center"/>
          </w:tcPr>
          <w:p w14:paraId="131C844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需求</w:t>
            </w:r>
          </w:p>
        </w:tc>
      </w:tr>
      <w:tr w14:paraId="16C8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restart"/>
            <w:vAlign w:val="center"/>
          </w:tcPr>
          <w:p w14:paraId="13A170F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三条控制线</w:t>
            </w:r>
          </w:p>
        </w:tc>
        <w:tc>
          <w:tcPr>
            <w:tcW w:w="3048" w:type="dxa"/>
            <w:vAlign w:val="center"/>
          </w:tcPr>
          <w:p w14:paraId="58DBE4D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生态保护红线</w:t>
            </w:r>
          </w:p>
        </w:tc>
        <w:tc>
          <w:tcPr>
            <w:tcW w:w="3145" w:type="dxa"/>
            <w:vAlign w:val="center"/>
          </w:tcPr>
          <w:p w14:paraId="64BFC62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不涉及</w:t>
            </w:r>
          </w:p>
        </w:tc>
      </w:tr>
      <w:tr w14:paraId="009C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7287EF09">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3F2F637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永久基本农田</w:t>
            </w:r>
          </w:p>
        </w:tc>
        <w:tc>
          <w:tcPr>
            <w:tcW w:w="3145" w:type="dxa"/>
            <w:vAlign w:val="center"/>
          </w:tcPr>
          <w:p w14:paraId="4E72DA4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需要基于荥阳市调整需求对永农进行动态维护</w:t>
            </w:r>
          </w:p>
        </w:tc>
      </w:tr>
      <w:tr w14:paraId="3A5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16FF660A">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13BB1DA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城镇开发边界</w:t>
            </w:r>
          </w:p>
        </w:tc>
        <w:tc>
          <w:tcPr>
            <w:tcW w:w="3145" w:type="dxa"/>
            <w:vAlign w:val="center"/>
          </w:tcPr>
          <w:p w14:paraId="0A09B2B9">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结合荥阳市</w:t>
            </w:r>
            <w:r>
              <w:rPr>
                <w:rFonts w:hint="eastAsia" w:ascii="宋体" w:hAnsi="宋体" w:cs="宋体"/>
                <w:color w:val="auto"/>
                <w:sz w:val="21"/>
                <w:szCs w:val="21"/>
                <w:highlight w:val="none"/>
                <w:lang w:val="en-US" w:eastAsia="zh-CN"/>
              </w:rPr>
              <w:t>发展</w:t>
            </w:r>
            <w:r>
              <w:rPr>
                <w:rFonts w:hint="eastAsia" w:ascii="宋体" w:hAnsi="宋体" w:eastAsia="宋体" w:cs="宋体"/>
                <w:color w:val="auto"/>
                <w:sz w:val="21"/>
                <w:szCs w:val="21"/>
                <w:highlight w:val="none"/>
                <w:lang w:val="zh-CN"/>
              </w:rPr>
              <w:t>需求对</w:t>
            </w:r>
            <w:r>
              <w:rPr>
                <w:rFonts w:hint="eastAsia" w:ascii="宋体" w:hAnsi="宋体" w:cs="宋体"/>
                <w:color w:val="auto"/>
                <w:sz w:val="21"/>
                <w:szCs w:val="21"/>
                <w:highlight w:val="none"/>
                <w:lang w:val="en-US" w:eastAsia="zh-CN"/>
              </w:rPr>
              <w:t>城镇开发</w:t>
            </w:r>
            <w:r>
              <w:rPr>
                <w:rFonts w:hint="eastAsia" w:ascii="宋体" w:hAnsi="宋体" w:eastAsia="宋体" w:cs="宋体"/>
                <w:color w:val="auto"/>
                <w:sz w:val="21"/>
                <w:szCs w:val="21"/>
                <w:highlight w:val="none"/>
                <w:lang w:val="zh-CN"/>
              </w:rPr>
              <w:t>边界进行动态维护</w:t>
            </w:r>
          </w:p>
        </w:tc>
      </w:tr>
      <w:tr w14:paraId="4D4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restart"/>
            <w:vAlign w:val="center"/>
          </w:tcPr>
          <w:p w14:paraId="6EF461D3">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其他空间管控边界</w:t>
            </w:r>
          </w:p>
        </w:tc>
        <w:tc>
          <w:tcPr>
            <w:tcW w:w="3048" w:type="dxa"/>
            <w:vAlign w:val="center"/>
          </w:tcPr>
          <w:p w14:paraId="4306B22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历史文化保护线</w:t>
            </w:r>
          </w:p>
        </w:tc>
        <w:tc>
          <w:tcPr>
            <w:tcW w:w="3145" w:type="dxa"/>
            <w:vAlign w:val="center"/>
          </w:tcPr>
          <w:p w14:paraId="1E44055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文本保护目录需要更新</w:t>
            </w:r>
          </w:p>
        </w:tc>
      </w:tr>
      <w:tr w14:paraId="25ED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119CCC08">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5489763A">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洪涝风险控制线</w:t>
            </w:r>
          </w:p>
        </w:tc>
        <w:tc>
          <w:tcPr>
            <w:tcW w:w="3145" w:type="dxa"/>
            <w:vAlign w:val="center"/>
          </w:tcPr>
          <w:p w14:paraId="6EE82D56">
            <w:pPr>
              <w:spacing w:line="360" w:lineRule="auto"/>
              <w:jc w:val="center"/>
              <w:rPr>
                <w:rFonts w:hint="eastAsia" w:ascii="宋体" w:hAnsi="宋体" w:eastAsia="宋体" w:cs="宋体"/>
                <w:color w:val="auto"/>
                <w:sz w:val="21"/>
                <w:szCs w:val="21"/>
                <w:highlight w:val="none"/>
                <w:lang w:val="zh-CN"/>
              </w:rPr>
            </w:pPr>
            <w:bookmarkStart w:id="145" w:name="OLE_LINK47"/>
            <w:bookmarkStart w:id="146" w:name="OLE_LINK48"/>
            <w:r>
              <w:rPr>
                <w:rFonts w:hint="eastAsia" w:ascii="宋体" w:hAnsi="宋体" w:eastAsia="宋体" w:cs="宋体"/>
                <w:color w:val="auto"/>
                <w:sz w:val="21"/>
                <w:szCs w:val="21"/>
                <w:highlight w:val="none"/>
                <w:lang w:val="zh-CN"/>
              </w:rPr>
              <w:t>需要依据荥阳市河道蓝线划定专项成果对其进行动态维护</w:t>
            </w:r>
            <w:bookmarkEnd w:id="145"/>
            <w:bookmarkEnd w:id="146"/>
          </w:p>
        </w:tc>
      </w:tr>
      <w:tr w14:paraId="7822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Merge w:val="continue"/>
            <w:vAlign w:val="center"/>
          </w:tcPr>
          <w:p w14:paraId="731AE9D6">
            <w:pPr>
              <w:spacing w:line="360" w:lineRule="auto"/>
              <w:jc w:val="center"/>
              <w:rPr>
                <w:rFonts w:hint="eastAsia" w:ascii="宋体" w:hAnsi="宋体" w:eastAsia="宋体" w:cs="宋体"/>
                <w:color w:val="auto"/>
                <w:sz w:val="21"/>
                <w:szCs w:val="21"/>
                <w:highlight w:val="none"/>
                <w:lang w:val="zh-CN"/>
              </w:rPr>
            </w:pPr>
          </w:p>
        </w:tc>
        <w:tc>
          <w:tcPr>
            <w:tcW w:w="3048" w:type="dxa"/>
            <w:vAlign w:val="center"/>
          </w:tcPr>
          <w:p w14:paraId="4261076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矿产资源控制线</w:t>
            </w:r>
          </w:p>
        </w:tc>
        <w:tc>
          <w:tcPr>
            <w:tcW w:w="3145" w:type="dxa"/>
            <w:vAlign w:val="center"/>
          </w:tcPr>
          <w:p w14:paraId="05E6E8E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需要依据郑州市最新矿产资源保护专项对其进行动态维护</w:t>
            </w:r>
          </w:p>
        </w:tc>
      </w:tr>
      <w:tr w14:paraId="3BFE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436CB9C0">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规划分区</w:t>
            </w:r>
          </w:p>
        </w:tc>
        <w:tc>
          <w:tcPr>
            <w:tcW w:w="3048" w:type="dxa"/>
            <w:vAlign w:val="center"/>
          </w:tcPr>
          <w:p w14:paraId="76771925">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强化国土空间用途管制，结合三条控制线动态维护方案，同步开展规划分区动态维护，保障动态维护方案中空间管控边界布局与规划分区内容相匹配</w:t>
            </w:r>
          </w:p>
        </w:tc>
        <w:tc>
          <w:tcPr>
            <w:tcW w:w="3145" w:type="dxa"/>
            <w:vAlign w:val="center"/>
          </w:tcPr>
          <w:p w14:paraId="37D53205">
            <w:pPr>
              <w:spacing w:line="360" w:lineRule="auto"/>
              <w:jc w:val="center"/>
              <w:rPr>
                <w:rFonts w:hint="eastAsia" w:ascii="宋体" w:hAnsi="宋体" w:eastAsia="宋体" w:cs="宋体"/>
                <w:color w:val="auto"/>
                <w:sz w:val="21"/>
                <w:szCs w:val="21"/>
                <w:highlight w:val="none"/>
                <w:lang w:val="zh-CN"/>
              </w:rPr>
            </w:pPr>
            <w:bookmarkStart w:id="147" w:name="OLE_LINK56"/>
            <w:bookmarkStart w:id="148" w:name="OLE_LINK57"/>
            <w:bookmarkStart w:id="149" w:name="OLE_LINK55"/>
            <w:bookmarkStart w:id="150" w:name="OLE_LINK54"/>
            <w:r>
              <w:rPr>
                <w:rFonts w:hint="eastAsia" w:ascii="宋体" w:hAnsi="宋体" w:eastAsia="宋体" w:cs="宋体"/>
                <w:color w:val="auto"/>
                <w:sz w:val="21"/>
                <w:szCs w:val="21"/>
                <w:highlight w:val="none"/>
                <w:lang w:val="zh-CN"/>
              </w:rPr>
              <w:t>结合控制线调整对其动态维护，此次不涉及生态保护区，</w:t>
            </w: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zh-CN"/>
              </w:rPr>
              <w:t>涉及生态控制区、农田保护区、城镇发展区和乡村发展区。</w:t>
            </w:r>
            <w:bookmarkEnd w:id="147"/>
            <w:bookmarkEnd w:id="148"/>
            <w:bookmarkEnd w:id="149"/>
            <w:bookmarkEnd w:id="150"/>
          </w:p>
        </w:tc>
      </w:tr>
      <w:tr w14:paraId="0B54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696BDEF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中心城区用地用海规划布局</w:t>
            </w:r>
          </w:p>
        </w:tc>
        <w:tc>
          <w:tcPr>
            <w:tcW w:w="3048" w:type="dxa"/>
            <w:vAlign w:val="center"/>
          </w:tcPr>
          <w:p w14:paraId="2129144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结合三条控制线、规划用途分区动态维护，聚焦规划实施评估中存在的主要问题，因地制宜、系统统筹，对中心城区用地用海规划布局进行动态维护，制定加强中心城区高质量发展的优化布局方案</w:t>
            </w:r>
          </w:p>
        </w:tc>
        <w:tc>
          <w:tcPr>
            <w:tcW w:w="3145" w:type="dxa"/>
            <w:vAlign w:val="center"/>
          </w:tcPr>
          <w:p w14:paraId="7D74DB15">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基于既定城镇开发边界，实施全域空间精准管控。调入边界区域须以单元功能为导向，科学核定用地性质；边界内区域实施用地性质动态维护，确保空间布局符合发展实际，支撑高质量发展。</w:t>
            </w:r>
          </w:p>
        </w:tc>
      </w:tr>
      <w:tr w14:paraId="499C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57095CC8">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重要控制线</w:t>
            </w:r>
          </w:p>
        </w:tc>
        <w:tc>
          <w:tcPr>
            <w:tcW w:w="3048" w:type="dxa"/>
            <w:vAlign w:val="center"/>
          </w:tcPr>
          <w:p w14:paraId="751122B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确保布局和规模基本稳定、功能不降低，服务范围不改变的前提下，结合绿地系统专项、城市水系安全、公共交通、供水、防灾减灾等专项规划，对城市绿线、蓝线、黄线、紫线等进行优化</w:t>
            </w:r>
          </w:p>
        </w:tc>
        <w:tc>
          <w:tcPr>
            <w:tcW w:w="3145" w:type="dxa"/>
            <w:vAlign w:val="center"/>
          </w:tcPr>
          <w:p w14:paraId="560D3778">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根据高质量发展需求，对城市其他管控边界进行优化</w:t>
            </w:r>
          </w:p>
        </w:tc>
      </w:tr>
      <w:tr w14:paraId="29EB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77FF5F5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重点建设项目清单</w:t>
            </w:r>
          </w:p>
        </w:tc>
        <w:tc>
          <w:tcPr>
            <w:tcW w:w="3048" w:type="dxa"/>
            <w:vAlign w:val="center"/>
          </w:tcPr>
          <w:p w14:paraId="6BC491D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衔接地方“十五五”发展规划和各专项规划空间需求，充分发挥规划的统筹协调作用，因地制宜动态增补、调序或清退项目，制定</w:t>
            </w:r>
            <w:bookmarkStart w:id="151" w:name="OLE_LINK39"/>
            <w:bookmarkStart w:id="152" w:name="OLE_LINK38"/>
            <w:bookmarkStart w:id="153" w:name="OLE_LINK36"/>
            <w:bookmarkStart w:id="154" w:name="OLE_LINK37"/>
            <w:r>
              <w:rPr>
                <w:rFonts w:hint="eastAsia" w:ascii="宋体" w:hAnsi="宋体" w:eastAsia="宋体" w:cs="宋体"/>
                <w:color w:val="auto"/>
                <w:sz w:val="21"/>
                <w:szCs w:val="21"/>
                <w:highlight w:val="none"/>
                <w:lang w:val="zh-CN"/>
              </w:rPr>
              <w:t>重点建设项目清单</w:t>
            </w:r>
            <w:bookmarkEnd w:id="151"/>
            <w:bookmarkEnd w:id="152"/>
            <w:bookmarkEnd w:id="153"/>
            <w:bookmarkEnd w:id="154"/>
            <w:r>
              <w:rPr>
                <w:rFonts w:hint="eastAsia" w:ascii="宋体" w:hAnsi="宋体" w:eastAsia="宋体" w:cs="宋体"/>
                <w:color w:val="auto"/>
                <w:sz w:val="21"/>
                <w:szCs w:val="21"/>
                <w:highlight w:val="none"/>
                <w:lang w:val="zh-CN"/>
              </w:rPr>
              <w:t>动态维护方案</w:t>
            </w:r>
          </w:p>
        </w:tc>
        <w:tc>
          <w:tcPr>
            <w:tcW w:w="3145" w:type="dxa"/>
            <w:vAlign w:val="center"/>
          </w:tcPr>
          <w:p w14:paraId="5998AF3A">
            <w:pPr>
              <w:spacing w:line="360" w:lineRule="auto"/>
              <w:jc w:val="center"/>
              <w:rPr>
                <w:rFonts w:hint="eastAsia" w:ascii="宋体" w:hAnsi="宋体" w:eastAsia="宋体" w:cs="宋体"/>
                <w:color w:val="auto"/>
                <w:sz w:val="21"/>
                <w:szCs w:val="21"/>
                <w:highlight w:val="none"/>
                <w:lang w:val="zh-CN"/>
              </w:rPr>
            </w:pPr>
            <w:bookmarkStart w:id="155" w:name="OLE_LINK63"/>
            <w:bookmarkStart w:id="156" w:name="OLE_LINK62"/>
            <w:r>
              <w:rPr>
                <w:rFonts w:hint="eastAsia" w:ascii="宋体" w:hAnsi="宋体" w:eastAsia="宋体" w:cs="宋体"/>
                <w:color w:val="auto"/>
                <w:sz w:val="21"/>
                <w:szCs w:val="21"/>
                <w:highlight w:val="none"/>
                <w:lang w:val="zh-CN"/>
              </w:rPr>
              <w:t>和荥阳市《“十五五”》重点建设项目对接，动态维护重点建设项目清单，增补市政府遴选重点项目</w:t>
            </w:r>
            <w:bookmarkEnd w:id="155"/>
            <w:bookmarkEnd w:id="156"/>
          </w:p>
        </w:tc>
      </w:tr>
      <w:tr w14:paraId="1448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6" w:type="dxa"/>
            <w:vAlign w:val="center"/>
          </w:tcPr>
          <w:p w14:paraId="6D4B5CF3">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其他需要维护的内容</w:t>
            </w:r>
          </w:p>
        </w:tc>
        <w:tc>
          <w:tcPr>
            <w:tcW w:w="3048" w:type="dxa"/>
            <w:vAlign w:val="center"/>
          </w:tcPr>
          <w:p w14:paraId="7834B500">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对总体规划中乡镇主体功能细化、村庄建设边界和村庄分类等其他涉及需要动态调整的内容进行优化</w:t>
            </w:r>
          </w:p>
        </w:tc>
        <w:tc>
          <w:tcPr>
            <w:tcW w:w="3145" w:type="dxa"/>
            <w:vAlign w:val="center"/>
          </w:tcPr>
          <w:p w14:paraId="23211B16">
            <w:pPr>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依据</w:t>
            </w:r>
            <w:r>
              <w:rPr>
                <w:rFonts w:hint="eastAsia" w:ascii="宋体" w:hAnsi="宋体" w:eastAsia="宋体" w:cs="宋体"/>
                <w:color w:val="auto"/>
                <w:sz w:val="21"/>
                <w:szCs w:val="21"/>
                <w:highlight w:val="none"/>
                <w:lang w:val="zh-CN"/>
              </w:rPr>
              <w:t>各乡镇</w:t>
            </w:r>
            <w:r>
              <w:rPr>
                <w:rFonts w:hint="eastAsia" w:ascii="宋体" w:hAnsi="宋体" w:cs="宋体"/>
                <w:color w:val="auto"/>
                <w:sz w:val="21"/>
                <w:szCs w:val="21"/>
                <w:highlight w:val="none"/>
                <w:lang w:val="en-US" w:eastAsia="zh-CN"/>
              </w:rPr>
              <w:t>国空</w:t>
            </w:r>
            <w:r>
              <w:rPr>
                <w:rFonts w:hint="eastAsia" w:ascii="宋体" w:hAnsi="宋体" w:eastAsia="宋体" w:cs="宋体"/>
                <w:color w:val="auto"/>
                <w:sz w:val="21"/>
                <w:szCs w:val="21"/>
                <w:highlight w:val="none"/>
                <w:lang w:val="zh-CN"/>
              </w:rPr>
              <w:t>划定的村庄建设边界和村庄分类，对国空</w:t>
            </w:r>
            <w:r>
              <w:rPr>
                <w:rFonts w:hint="eastAsia" w:ascii="宋体" w:hAnsi="宋体" w:cs="宋体"/>
                <w:color w:val="auto"/>
                <w:sz w:val="21"/>
                <w:szCs w:val="21"/>
                <w:highlight w:val="none"/>
                <w:lang w:val="en-US" w:eastAsia="zh-CN"/>
              </w:rPr>
              <w:t>涉及</w:t>
            </w:r>
            <w:r>
              <w:rPr>
                <w:rFonts w:hint="eastAsia" w:ascii="宋体" w:hAnsi="宋体" w:eastAsia="宋体" w:cs="宋体"/>
                <w:color w:val="auto"/>
                <w:sz w:val="21"/>
                <w:szCs w:val="21"/>
                <w:highlight w:val="none"/>
                <w:lang w:val="zh-CN"/>
              </w:rPr>
              <w:t>内容进行更新维护</w:t>
            </w:r>
          </w:p>
        </w:tc>
      </w:tr>
    </w:tbl>
    <w:p w14:paraId="4917B41A">
      <w:pPr>
        <w:pStyle w:val="45"/>
        <w:ind w:firstLine="24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注：1、未尽事宜，执行国家、省相关政策文件。</w:t>
      </w:r>
    </w:p>
    <w:p w14:paraId="2D6527DB">
      <w:pPr>
        <w:pStyle w:val="45"/>
        <w:numPr>
          <w:ilvl w:val="0"/>
          <w:numId w:val="6"/>
        </w:numPr>
        <w:ind w:firstLine="723" w:firstLineChars="3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跟本项目相关的其他要求，成交供应商按采购人实际规定为准。</w:t>
      </w:r>
    </w:p>
    <w:p w14:paraId="1CB6D14E">
      <w:pPr>
        <w:pStyle w:val="45"/>
        <w:ind w:firstLine="0" w:firstLineChars="0"/>
        <w:rPr>
          <w:rFonts w:ascii="宋体" w:hAnsi="宋体" w:eastAsia="宋体" w:cs="宋体"/>
          <w:b/>
          <w:bCs/>
          <w:color w:val="auto"/>
          <w:sz w:val="24"/>
          <w:szCs w:val="24"/>
          <w:highlight w:val="none"/>
        </w:rPr>
      </w:pPr>
    </w:p>
    <w:p w14:paraId="2C886186">
      <w:pPr>
        <w:pStyle w:val="45"/>
        <w:ind w:firstLine="0" w:firstLineChars="0"/>
        <w:rPr>
          <w:rFonts w:ascii="宋体" w:hAnsi="宋体" w:eastAsia="宋体" w:cs="宋体"/>
          <w:b/>
          <w:bCs/>
          <w:color w:val="auto"/>
          <w:sz w:val="24"/>
          <w:szCs w:val="24"/>
          <w:highlight w:val="none"/>
        </w:rPr>
      </w:pPr>
    </w:p>
    <w:p w14:paraId="07121066">
      <w:pPr>
        <w:pStyle w:val="45"/>
        <w:ind w:firstLine="0" w:firstLineChars="0"/>
        <w:rPr>
          <w:rFonts w:ascii="宋体" w:hAnsi="宋体" w:eastAsia="宋体" w:cs="宋体"/>
          <w:b/>
          <w:bCs/>
          <w:color w:val="auto"/>
          <w:sz w:val="24"/>
          <w:szCs w:val="24"/>
          <w:highlight w:val="none"/>
        </w:rPr>
        <w:sectPr>
          <w:headerReference r:id="rId7" w:type="default"/>
          <w:footerReference r:id="rId8" w:type="default"/>
          <w:pgSz w:w="11911" w:h="16838"/>
          <w:pgMar w:top="1134" w:right="1689" w:bottom="1440" w:left="1689" w:header="720" w:footer="720" w:gutter="0"/>
          <w:cols w:space="720" w:num="1"/>
        </w:sectPr>
      </w:pPr>
    </w:p>
    <w:p w14:paraId="5B0BCDCE">
      <w:pPr>
        <w:pStyle w:val="2"/>
        <w:numPr>
          <w:ilvl w:val="0"/>
          <w:numId w:val="7"/>
        </w:numPr>
        <w:rPr>
          <w:rStyle w:val="60"/>
          <w:b/>
          <w:bCs/>
          <w:color w:val="auto"/>
          <w:highlight w:val="none"/>
        </w:rPr>
      </w:pPr>
      <w:bookmarkStart w:id="157" w:name="_Toc5092"/>
      <w:r>
        <w:rPr>
          <w:rStyle w:val="60"/>
          <w:rFonts w:hint="eastAsia"/>
          <w:b/>
          <w:bCs/>
          <w:color w:val="auto"/>
          <w:highlight w:val="none"/>
        </w:rPr>
        <w:t>合同条款</w:t>
      </w:r>
      <w:bookmarkEnd w:id="144"/>
    </w:p>
    <w:p w14:paraId="6EE32CE1">
      <w:pPr>
        <w:pStyle w:val="2"/>
        <w:numPr>
          <w:ilvl w:val="0"/>
          <w:numId w:val="0"/>
        </w:numPr>
        <w:rPr>
          <w:rStyle w:val="60"/>
          <w:color w:val="auto"/>
          <w:highlight w:val="none"/>
        </w:rPr>
      </w:pPr>
      <w:r>
        <w:rPr>
          <w:rStyle w:val="60"/>
          <w:rFonts w:hint="eastAsia"/>
          <w:color w:val="auto"/>
          <w:highlight w:val="none"/>
        </w:rPr>
        <w:t>（合同范本仅供参考，</w:t>
      </w:r>
      <w:r>
        <w:rPr>
          <w:rFonts w:hint="eastAsia"/>
          <w:color w:val="auto"/>
          <w:highlight w:val="none"/>
        </w:rPr>
        <w:t>以实际签订为准</w:t>
      </w:r>
      <w:r>
        <w:rPr>
          <w:rStyle w:val="60"/>
          <w:rFonts w:hint="eastAsia"/>
          <w:color w:val="auto"/>
          <w:highlight w:val="none"/>
        </w:rPr>
        <w:t>）</w:t>
      </w:r>
      <w:bookmarkEnd w:id="157"/>
    </w:p>
    <w:p w14:paraId="1C3D93CD">
      <w:pPr>
        <w:spacing w:line="600" w:lineRule="exact"/>
        <w:ind w:firstLine="560" w:firstLineChars="200"/>
        <w:rPr>
          <w:rFonts w:ascii="宋体" w:hAnsi="宋体"/>
          <w:color w:val="auto"/>
          <w:sz w:val="28"/>
          <w:highlight w:val="none"/>
        </w:rPr>
      </w:pPr>
      <w:bookmarkStart w:id="158" w:name="_Toc22163"/>
      <w:bookmarkStart w:id="159" w:name="_Toc21006"/>
    </w:p>
    <w:p w14:paraId="015BCDDC">
      <w:pPr>
        <w:spacing w:line="600" w:lineRule="exact"/>
        <w:ind w:firstLine="560" w:firstLineChars="200"/>
        <w:rPr>
          <w:rFonts w:ascii="宋体" w:hAnsi="宋体"/>
          <w:color w:val="auto"/>
          <w:sz w:val="28"/>
          <w:highlight w:val="none"/>
        </w:rPr>
      </w:pPr>
    </w:p>
    <w:bookmarkEnd w:id="158"/>
    <w:bookmarkEnd w:id="159"/>
    <w:p w14:paraId="39F50EBE">
      <w:pPr>
        <w:spacing w:line="360" w:lineRule="auto"/>
        <w:ind w:firstLine="201" w:firstLineChars="50"/>
        <w:jc w:val="center"/>
        <w:rPr>
          <w:rFonts w:hint="eastAsia" w:ascii="宋体" w:hAnsi="宋体" w:eastAsia="宋体"/>
          <w:b/>
          <w:color w:val="auto"/>
          <w:sz w:val="36"/>
          <w:szCs w:val="36"/>
          <w:highlight w:val="none"/>
          <w:lang w:eastAsia="zh-CN"/>
        </w:rPr>
      </w:pPr>
      <w:bookmarkStart w:id="160" w:name="_Toc8695"/>
      <w:r>
        <w:rPr>
          <w:rFonts w:hint="eastAsia"/>
          <w:b/>
          <w:color w:val="auto"/>
          <w:sz w:val="40"/>
          <w:szCs w:val="28"/>
          <w:highlight w:val="none"/>
          <w:lang w:eastAsia="zh-CN"/>
        </w:rPr>
        <w:t>荥阳市自然资源和规划局2026年度荥阳市国土空间总体规划动态调整完善方案项目</w:t>
      </w:r>
    </w:p>
    <w:p w14:paraId="0943741B">
      <w:pPr>
        <w:spacing w:line="360" w:lineRule="auto"/>
        <w:ind w:firstLine="181" w:firstLineChars="50"/>
        <w:jc w:val="center"/>
        <w:rPr>
          <w:rFonts w:ascii="宋体" w:hAnsi="宋体"/>
          <w:b/>
          <w:color w:val="auto"/>
          <w:sz w:val="36"/>
          <w:szCs w:val="36"/>
          <w:highlight w:val="none"/>
        </w:rPr>
      </w:pPr>
    </w:p>
    <w:p w14:paraId="7BC9F005">
      <w:pPr>
        <w:spacing w:line="360" w:lineRule="auto"/>
        <w:ind w:firstLine="181" w:firstLineChars="50"/>
        <w:jc w:val="center"/>
        <w:rPr>
          <w:rFonts w:ascii="宋体" w:hAnsi="宋体"/>
          <w:b/>
          <w:color w:val="auto"/>
          <w:sz w:val="36"/>
          <w:szCs w:val="36"/>
          <w:highlight w:val="none"/>
        </w:rPr>
      </w:pPr>
      <w:r>
        <w:rPr>
          <w:rFonts w:hint="eastAsia" w:ascii="宋体" w:hAnsi="宋体"/>
          <w:b/>
          <w:color w:val="auto"/>
          <w:sz w:val="36"/>
          <w:szCs w:val="36"/>
          <w:highlight w:val="none"/>
        </w:rPr>
        <w:t>技术服务合同</w:t>
      </w:r>
    </w:p>
    <w:p w14:paraId="0D09E336">
      <w:pPr>
        <w:spacing w:line="360" w:lineRule="auto"/>
        <w:jc w:val="center"/>
        <w:rPr>
          <w:rFonts w:ascii="宋体" w:hAnsi="宋体"/>
          <w:b/>
          <w:color w:val="auto"/>
          <w:sz w:val="30"/>
          <w:szCs w:val="30"/>
          <w:highlight w:val="none"/>
        </w:rPr>
      </w:pPr>
    </w:p>
    <w:p w14:paraId="4F5E379A">
      <w:pPr>
        <w:spacing w:line="360" w:lineRule="auto"/>
        <w:jc w:val="center"/>
        <w:rPr>
          <w:rFonts w:ascii="宋体" w:hAnsi="宋体"/>
          <w:b/>
          <w:color w:val="auto"/>
          <w:sz w:val="30"/>
          <w:szCs w:val="30"/>
          <w:highlight w:val="none"/>
        </w:rPr>
      </w:pPr>
    </w:p>
    <w:p w14:paraId="6C87F67E">
      <w:pPr>
        <w:spacing w:line="360" w:lineRule="auto"/>
        <w:ind w:firstLine="472" w:firstLineChars="147"/>
        <w:rPr>
          <w:rFonts w:ascii="宋体" w:hAnsi="宋体"/>
          <w:b/>
          <w:color w:val="auto"/>
          <w:sz w:val="32"/>
          <w:szCs w:val="32"/>
          <w:highlight w:val="none"/>
        </w:rPr>
      </w:pPr>
    </w:p>
    <w:p w14:paraId="37084107">
      <w:pPr>
        <w:spacing w:line="360" w:lineRule="auto"/>
        <w:ind w:firstLine="472" w:firstLineChars="147"/>
        <w:rPr>
          <w:rFonts w:ascii="宋体" w:hAnsi="宋体"/>
          <w:b/>
          <w:color w:val="auto"/>
          <w:sz w:val="32"/>
          <w:szCs w:val="32"/>
          <w:highlight w:val="none"/>
        </w:rPr>
      </w:pPr>
    </w:p>
    <w:p w14:paraId="52B369C1">
      <w:pPr>
        <w:pStyle w:val="23"/>
        <w:tabs>
          <w:tab w:val="left" w:pos="180"/>
        </w:tabs>
        <w:ind w:left="420" w:firstLine="643"/>
        <w:rPr>
          <w:rFonts w:ascii="宋体" w:hAnsi="宋体"/>
          <w:b/>
          <w:color w:val="auto"/>
          <w:sz w:val="32"/>
          <w:szCs w:val="32"/>
          <w:highlight w:val="none"/>
        </w:rPr>
      </w:pPr>
    </w:p>
    <w:p w14:paraId="47ED0481">
      <w:pPr>
        <w:spacing w:line="360" w:lineRule="auto"/>
        <w:rPr>
          <w:rFonts w:ascii="宋体" w:hAnsi="宋体"/>
          <w:b/>
          <w:color w:val="auto"/>
          <w:sz w:val="32"/>
          <w:szCs w:val="32"/>
          <w:highlight w:val="none"/>
        </w:rPr>
      </w:pPr>
    </w:p>
    <w:p w14:paraId="6AD29836">
      <w:pPr>
        <w:pStyle w:val="40"/>
        <w:ind w:firstLine="480"/>
        <w:rPr>
          <w:color w:val="auto"/>
          <w:highlight w:val="none"/>
        </w:rPr>
      </w:pPr>
    </w:p>
    <w:p w14:paraId="2C26372B">
      <w:pPr>
        <w:spacing w:line="360" w:lineRule="auto"/>
        <w:rPr>
          <w:rFonts w:ascii="宋体" w:hAnsi="宋体"/>
          <w:b/>
          <w:color w:val="auto"/>
          <w:sz w:val="32"/>
          <w:szCs w:val="32"/>
          <w:highlight w:val="none"/>
        </w:rPr>
      </w:pPr>
    </w:p>
    <w:p w14:paraId="511F47A9">
      <w:pPr>
        <w:spacing w:line="360" w:lineRule="auto"/>
        <w:rPr>
          <w:rFonts w:ascii="宋体" w:hAnsi="宋体"/>
          <w:b/>
          <w:color w:val="auto"/>
          <w:sz w:val="32"/>
          <w:szCs w:val="32"/>
          <w:highlight w:val="none"/>
        </w:rPr>
      </w:pPr>
    </w:p>
    <w:p w14:paraId="380CEC78">
      <w:pPr>
        <w:spacing w:line="360" w:lineRule="auto"/>
        <w:jc w:val="center"/>
        <w:rPr>
          <w:rFonts w:ascii="宋体" w:hAnsi="宋体"/>
          <w:bCs/>
          <w:color w:val="auto"/>
          <w:sz w:val="30"/>
          <w:szCs w:val="30"/>
          <w:highlight w:val="none"/>
        </w:rPr>
      </w:pPr>
      <w:r>
        <w:rPr>
          <w:rFonts w:hint="eastAsia" w:ascii="宋体" w:hAnsi="宋体"/>
          <w:bCs/>
          <w:color w:val="auto"/>
          <w:sz w:val="30"/>
          <w:szCs w:val="30"/>
          <w:highlight w:val="none"/>
        </w:rPr>
        <w:t>甲  方：荥阳市自然资源和规划局</w:t>
      </w:r>
    </w:p>
    <w:p w14:paraId="62D89BC5">
      <w:pPr>
        <w:spacing w:line="360" w:lineRule="auto"/>
        <w:ind w:firstLine="1950" w:firstLineChars="650"/>
        <w:rPr>
          <w:rFonts w:ascii="宋体" w:hAnsi="宋体"/>
          <w:bCs/>
          <w:color w:val="auto"/>
          <w:sz w:val="30"/>
          <w:szCs w:val="30"/>
          <w:highlight w:val="none"/>
        </w:rPr>
      </w:pPr>
      <w:r>
        <w:rPr>
          <w:rFonts w:hint="eastAsia" w:ascii="宋体" w:hAnsi="宋体"/>
          <w:bCs/>
          <w:color w:val="auto"/>
          <w:sz w:val="30"/>
          <w:szCs w:val="30"/>
          <w:highlight w:val="none"/>
        </w:rPr>
        <w:t>乙  方：</w:t>
      </w:r>
    </w:p>
    <w:p w14:paraId="2ADCCF27">
      <w:pPr>
        <w:pStyle w:val="23"/>
        <w:tabs>
          <w:tab w:val="left" w:pos="180"/>
        </w:tabs>
        <w:ind w:left="420" w:firstLine="1540" w:firstLineChars="550"/>
        <w:rPr>
          <w:color w:val="auto"/>
          <w:highlight w:val="none"/>
        </w:rPr>
      </w:pPr>
      <w:r>
        <w:rPr>
          <w:rFonts w:hint="eastAsia" w:ascii="宋体" w:hAnsi="宋体"/>
          <w:color w:val="auto"/>
          <w:kern w:val="28"/>
          <w:sz w:val="28"/>
          <w:szCs w:val="28"/>
          <w:highlight w:val="none"/>
        </w:rPr>
        <w:t>签订时间</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7403C4EF">
      <w:pPr>
        <w:jc w:val="center"/>
        <w:rPr>
          <w:rFonts w:ascii="黑体" w:eastAsia="黑体"/>
          <w:color w:val="auto"/>
          <w:sz w:val="28"/>
          <w:highlight w:val="none"/>
        </w:rPr>
      </w:pPr>
    </w:p>
    <w:p w14:paraId="4FA706C0">
      <w:pPr>
        <w:pStyle w:val="23"/>
        <w:tabs>
          <w:tab w:val="left" w:pos="180"/>
        </w:tabs>
        <w:ind w:left="420" w:firstLine="420"/>
        <w:rPr>
          <w:color w:val="auto"/>
          <w:highlight w:val="none"/>
        </w:rPr>
      </w:pPr>
    </w:p>
    <w:p w14:paraId="55BACC64">
      <w:pPr>
        <w:pStyle w:val="23"/>
        <w:tabs>
          <w:tab w:val="left" w:pos="180"/>
        </w:tabs>
        <w:ind w:left="420" w:firstLine="420"/>
        <w:rPr>
          <w:color w:val="auto"/>
          <w:highlight w:val="none"/>
        </w:rPr>
      </w:pPr>
    </w:p>
    <w:p w14:paraId="7A3FED98">
      <w:pPr>
        <w:spacing w:line="480" w:lineRule="exact"/>
        <w:ind w:firstLine="480" w:firstLineChars="200"/>
        <w:rPr>
          <w:rFonts w:ascii="仿宋_GB2312" w:eastAsia="仿宋_GB2312"/>
          <w:color w:val="auto"/>
          <w:sz w:val="24"/>
          <w:highlight w:val="none"/>
        </w:rPr>
      </w:pPr>
    </w:p>
    <w:p w14:paraId="018AD530">
      <w:pPr>
        <w:pStyle w:val="40"/>
        <w:ind w:firstLine="480"/>
        <w:rPr>
          <w:color w:val="auto"/>
          <w:highlight w:val="none"/>
        </w:rPr>
      </w:pPr>
    </w:p>
    <w:p w14:paraId="46213461">
      <w:pPr>
        <w:rPr>
          <w:color w:val="auto"/>
          <w:highlight w:val="none"/>
        </w:rPr>
      </w:pPr>
    </w:p>
    <w:p w14:paraId="02E351F2">
      <w:pPr>
        <w:pStyle w:val="40"/>
        <w:ind w:firstLine="480"/>
        <w:rPr>
          <w:color w:val="auto"/>
          <w:highlight w:val="none"/>
        </w:rPr>
      </w:pPr>
    </w:p>
    <w:p w14:paraId="65CB74A6">
      <w:pPr>
        <w:pStyle w:val="23"/>
        <w:ind w:left="420" w:firstLine="420"/>
        <w:rPr>
          <w:color w:val="auto"/>
          <w:highlight w:val="none"/>
        </w:rPr>
      </w:pPr>
    </w:p>
    <w:p w14:paraId="4946E5F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依据《中华人民共和国</w:t>
      </w:r>
      <w:r>
        <w:rPr>
          <w:rFonts w:hint="eastAsia" w:ascii="宋体" w:hAnsi="宋体" w:cs="宋体"/>
          <w:color w:val="auto"/>
          <w:szCs w:val="21"/>
          <w:highlight w:val="none"/>
        </w:rPr>
        <w:t>民法典</w:t>
      </w:r>
      <w:r>
        <w:rPr>
          <w:rFonts w:hint="eastAsia" w:ascii="宋体" w:hAnsi="宋体" w:cs="宋体"/>
          <w:color w:val="auto"/>
          <w:szCs w:val="21"/>
          <w:highlight w:val="none"/>
          <w:lang w:val="zh-CN"/>
        </w:rPr>
        <w:t>》、《中华人民共和国政府采购法》与项目行业有关的法律法规，以及____项目（项目编号：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）的《招标文件》，乙方的《投标文件》及《中标通知书》，甲、乙双方</w:t>
      </w:r>
      <w:r>
        <w:rPr>
          <w:rFonts w:hint="eastAsia" w:ascii="宋体" w:hAnsi="宋体" w:cs="宋体"/>
          <w:color w:val="auto"/>
          <w:szCs w:val="21"/>
          <w:highlight w:val="none"/>
        </w:rPr>
        <w:t>同</w:t>
      </w:r>
      <w:r>
        <w:rPr>
          <w:rFonts w:hint="eastAsia" w:ascii="宋体" w:hAnsi="宋体" w:cs="宋体"/>
          <w:color w:val="auto"/>
          <w:szCs w:val="21"/>
          <w:highlight w:val="none"/>
          <w:lang w:val="zh-CN"/>
        </w:rPr>
        <w:t>意签订本合同。约定以下合同条款，以兹共同遵守、全面履行。</w:t>
      </w:r>
    </w:p>
    <w:p w14:paraId="3FF00CAB">
      <w:pPr>
        <w:spacing w:line="360" w:lineRule="auto"/>
        <w:ind w:firstLine="422" w:firstLineChars="200"/>
        <w:rPr>
          <w:rFonts w:ascii="宋体" w:hAnsi="宋体" w:cs="宋体"/>
          <w:b/>
          <w:bCs/>
          <w:color w:val="auto"/>
          <w:szCs w:val="21"/>
          <w:highlight w:val="none"/>
          <w:lang w:val="zh-CN"/>
        </w:rPr>
      </w:pPr>
      <w:bookmarkStart w:id="161" w:name="bookmark125"/>
      <w:bookmarkStart w:id="162" w:name="_Toc13993"/>
      <w:bookmarkStart w:id="163" w:name="_Toc22185"/>
      <w:bookmarkStart w:id="164" w:name="_Toc6311"/>
      <w:bookmarkStart w:id="165" w:name="_Toc18585"/>
      <w:bookmarkStart w:id="166" w:name="_Toc2918"/>
      <w:bookmarkStart w:id="167" w:name="_Toc21456"/>
      <w:bookmarkStart w:id="168" w:name="_Toc6773"/>
      <w:r>
        <w:rPr>
          <w:rFonts w:hint="eastAsia" w:ascii="宋体" w:hAnsi="宋体" w:cs="宋体"/>
          <w:b/>
          <w:bCs/>
          <w:color w:val="auto"/>
          <w:szCs w:val="21"/>
          <w:highlight w:val="none"/>
          <w:lang w:val="zh-CN"/>
        </w:rPr>
        <w:t>一</w:t>
      </w:r>
      <w:bookmarkEnd w:id="161"/>
      <w:r>
        <w:rPr>
          <w:rFonts w:hint="eastAsia" w:ascii="宋体" w:hAnsi="宋体" w:cs="宋体"/>
          <w:b/>
          <w:bCs/>
          <w:color w:val="auto"/>
          <w:szCs w:val="21"/>
          <w:highlight w:val="none"/>
          <w:lang w:val="zh-CN"/>
        </w:rPr>
        <w:t>、项目基本情况：</w:t>
      </w:r>
    </w:p>
    <w:p w14:paraId="7722C5D9">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依据国家及行业规范标准，对荥阳市国土空间总体规划（2021-2035年）进行2026年度动态调整完善。总面积为荥阳市行政区域范围943.19平方公里。</w:t>
      </w:r>
    </w:p>
    <w:p w14:paraId="0C0D0BD9">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二、主要内容：</w:t>
      </w:r>
    </w:p>
    <w:bookmarkEnd w:id="162"/>
    <w:bookmarkEnd w:id="163"/>
    <w:bookmarkEnd w:id="164"/>
    <w:bookmarkEnd w:id="165"/>
    <w:bookmarkEnd w:id="166"/>
    <w:bookmarkEnd w:id="167"/>
    <w:bookmarkEnd w:id="168"/>
    <w:p w14:paraId="6B8C3A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1.1工作要求</w:t>
      </w:r>
    </w:p>
    <w:p w14:paraId="770755E2">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以2024年度荥阳市国土空间总体规划城市体检结果为支撑，；</w:t>
      </w:r>
      <w:r>
        <w:rPr>
          <w:rFonts w:ascii="宋体" w:hAnsi="宋体" w:cs="宋体"/>
          <w:color w:val="auto"/>
          <w:szCs w:val="21"/>
          <w:highlight w:val="none"/>
          <w:lang w:val="zh-CN"/>
        </w:rPr>
        <w:t>总结成效</w:t>
      </w:r>
      <w:r>
        <w:rPr>
          <w:rFonts w:hint="eastAsia" w:ascii="宋体" w:hAnsi="宋体" w:cs="宋体"/>
          <w:color w:val="auto"/>
          <w:szCs w:val="21"/>
          <w:highlight w:val="none"/>
          <w:lang w:val="zh-CN"/>
        </w:rPr>
        <w:t>；</w:t>
      </w:r>
      <w:r>
        <w:rPr>
          <w:rFonts w:ascii="宋体" w:hAnsi="宋体" w:cs="宋体"/>
          <w:color w:val="auto"/>
          <w:szCs w:val="21"/>
          <w:highlight w:val="none"/>
          <w:lang w:val="zh-CN"/>
        </w:rPr>
        <w:t>结合国家战略、区域发展趋势，国家、省和地方“十五五”规划发展要求，研判未来空间需求与潜在风险挑战。提出有待解决的主要问题和有待提升完善的短板</w:t>
      </w:r>
      <w:r>
        <w:rPr>
          <w:rFonts w:hint="eastAsia" w:ascii="宋体" w:hAnsi="宋体" w:cs="宋体"/>
          <w:color w:val="auto"/>
          <w:szCs w:val="21"/>
          <w:highlight w:val="none"/>
          <w:lang w:val="zh-CN"/>
        </w:rPr>
        <w:t>；</w:t>
      </w:r>
      <w:r>
        <w:rPr>
          <w:rFonts w:ascii="宋体" w:hAnsi="宋体" w:cs="宋体"/>
          <w:color w:val="auto"/>
          <w:szCs w:val="21"/>
          <w:highlight w:val="none"/>
          <w:lang w:val="zh-CN"/>
        </w:rPr>
        <w:t>从重大战略落实、空间格局优化、空间利用品质提升、传导支撑体系强化等几个方面提出动态维护建议。</w:t>
      </w:r>
    </w:p>
    <w:p w14:paraId="0ECC80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1.2工作内容</w:t>
      </w:r>
    </w:p>
    <w:p w14:paraId="566090E1">
      <w:pPr>
        <w:spacing w:line="360" w:lineRule="auto"/>
        <w:ind w:firstLine="420" w:firstLineChars="200"/>
        <w:rPr>
          <w:rFonts w:ascii="宋体" w:hAnsi="宋体" w:cs="宋体"/>
          <w:color w:val="auto"/>
          <w:szCs w:val="21"/>
          <w:highlight w:val="none"/>
          <w:lang w:val="zh-CN"/>
        </w:rPr>
      </w:pPr>
      <w:bookmarkStart w:id="169" w:name="_Toc7196"/>
      <w:r>
        <w:rPr>
          <w:rFonts w:hint="eastAsia" w:ascii="宋体" w:hAnsi="宋体" w:cs="宋体"/>
          <w:color w:val="auto"/>
          <w:szCs w:val="21"/>
          <w:highlight w:val="none"/>
          <w:lang w:val="zh-CN"/>
        </w:rPr>
        <w:t>（一）调整完善方案内容</w:t>
      </w:r>
      <w:bookmarkEnd w:id="169"/>
    </w:p>
    <w:p w14:paraId="026588EE">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空间管控边界包含耕地和永久基本农田、生态保护红线、城镇开发边界三条控制线，以及历史文化保护线、洪涝风险控制线等其他空间管控边界。</w:t>
      </w:r>
    </w:p>
    <w:p w14:paraId="0C42BFCC">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1、三条控制线</w:t>
      </w:r>
    </w:p>
    <w:p w14:paraId="77C4A477">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精准有效维护耕地和永久基本农田、生态保护红线、城镇开发边界三条控制线，结合城市基底条件和实际发展情况分别确定三条控制线的动态维护方案。其中，耕地和永久基本农田要在有效落实耕地和永久基本农田保护任务基础上，以进一步提高永久基本农田中优质耕地的比例为目标；生态保护红线优化要有利于巩固总体规划确定的生态保护格局，提高生态系统的连通度和完整性；城镇开发边界的正向优化要有利于提高节约集约程度和人居环境改善。</w:t>
      </w:r>
    </w:p>
    <w:p w14:paraId="4DE65245">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2、其他空间管控边界</w:t>
      </w:r>
    </w:p>
    <w:p w14:paraId="17EF0519">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结合地方实际各部门需求对历史文化保护线、洪涝风险控制线、矿产资源控制线等其他空间管控边界进一步正向优化，形成具体的调出和调入方案，符合省级自然资源主管部门制定的明确管控要求。</w:t>
      </w:r>
    </w:p>
    <w:p w14:paraId="47A3565D">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1</w:t>
      </w:r>
      <w:r>
        <w:rPr>
          <w:rFonts w:ascii="宋体" w:hAnsi="宋体" w:cs="宋体"/>
          <w:color w:val="auto"/>
          <w:szCs w:val="21"/>
          <w:highlight w:val="none"/>
          <w:lang w:val="zh-CN"/>
        </w:rPr>
        <w:t>)规划分区维护</w:t>
      </w:r>
    </w:p>
    <w:p w14:paraId="60351629">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强化国土空间用途管制，结合三条控制线动态维护方案，同步开展规划分区动态维护，保障动态维护方案中空间管控边界布局与规划分区内容相匹配。</w:t>
      </w:r>
    </w:p>
    <w:p w14:paraId="6F9FFDB4">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2</w:t>
      </w:r>
      <w:r>
        <w:rPr>
          <w:rFonts w:ascii="宋体" w:hAnsi="宋体" w:cs="宋体"/>
          <w:color w:val="auto"/>
          <w:szCs w:val="21"/>
          <w:highlight w:val="none"/>
          <w:lang w:val="zh-CN"/>
        </w:rPr>
        <w:t>)中心城区用地用海规划布局维护</w:t>
      </w:r>
    </w:p>
    <w:p w14:paraId="665E74C7">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结合三条控制线、规划用途分区动态维护，聚焦规划实施评估中存在的主要问题，因地制宜、系统统筹，对中心城</w:t>
      </w:r>
      <w:bookmarkStart w:id="170" w:name="OLE_LINK14"/>
      <w:bookmarkStart w:id="171" w:name="OLE_LINK13"/>
      <w:r>
        <w:rPr>
          <w:rFonts w:ascii="宋体" w:hAnsi="宋体" w:cs="宋体"/>
          <w:color w:val="auto"/>
          <w:szCs w:val="21"/>
          <w:highlight w:val="none"/>
          <w:lang w:val="zh-CN"/>
        </w:rPr>
        <w:t>区用地用海规划布局进行动态维护，制定加强中心城区高质量发展的优化布局方案。</w:t>
      </w:r>
    </w:p>
    <w:bookmarkEnd w:id="170"/>
    <w:bookmarkEnd w:id="171"/>
    <w:p w14:paraId="19208F85">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3</w:t>
      </w:r>
      <w:r>
        <w:rPr>
          <w:rFonts w:ascii="宋体" w:hAnsi="宋体" w:cs="宋体"/>
          <w:color w:val="auto"/>
          <w:szCs w:val="21"/>
          <w:highlight w:val="none"/>
          <w:lang w:val="zh-CN"/>
        </w:rPr>
        <w:t>)</w:t>
      </w:r>
      <w:r>
        <w:rPr>
          <w:rFonts w:hint="eastAsia" w:ascii="宋体" w:hAnsi="宋体" w:cs="宋体"/>
          <w:color w:val="auto"/>
          <w:szCs w:val="21"/>
          <w:highlight w:val="none"/>
          <w:lang w:val="zh-CN"/>
        </w:rPr>
        <w:t>重要</w:t>
      </w:r>
      <w:r>
        <w:rPr>
          <w:rFonts w:ascii="宋体" w:hAnsi="宋体" w:cs="宋体"/>
          <w:color w:val="auto"/>
          <w:szCs w:val="21"/>
          <w:highlight w:val="none"/>
          <w:lang w:val="zh-CN"/>
        </w:rPr>
        <w:t>控制线维护</w:t>
      </w:r>
    </w:p>
    <w:p w14:paraId="1ED9806D">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结合中心城区用地用海规划布局动态维护方案，在确保布局和规模基本稳定、功能不降低，服务范围不改变的前提下，结合绿地系统专项、城市水系安全、公共交通、供水、防灾减灾等专项规划，对城市绿线、蓝线、黄线、紫线等制</w:t>
      </w:r>
      <w:r>
        <w:rPr>
          <w:rFonts w:hint="eastAsia" w:ascii="宋体" w:hAnsi="宋体" w:cs="宋体"/>
          <w:color w:val="auto"/>
          <w:szCs w:val="21"/>
          <w:highlight w:val="none"/>
          <w:lang w:val="zh-CN"/>
        </w:rPr>
        <w:t>进行</w:t>
      </w:r>
      <w:r>
        <w:rPr>
          <w:rFonts w:ascii="宋体" w:hAnsi="宋体" w:cs="宋体"/>
          <w:color w:val="auto"/>
          <w:szCs w:val="21"/>
          <w:highlight w:val="none"/>
          <w:lang w:val="zh-CN"/>
        </w:rPr>
        <w:t>优化。</w:t>
      </w:r>
    </w:p>
    <w:p w14:paraId="50B2E3EA">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4</w:t>
      </w:r>
      <w:r>
        <w:rPr>
          <w:rFonts w:ascii="宋体" w:hAnsi="宋体" w:cs="宋体"/>
          <w:color w:val="auto"/>
          <w:szCs w:val="21"/>
          <w:highlight w:val="none"/>
          <w:lang w:val="zh-CN"/>
        </w:rPr>
        <w:t>）重点建设项目清单维护</w:t>
      </w:r>
    </w:p>
    <w:p w14:paraId="79DE57E1">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落实国家“十五五”发展规划和国家级专项规划确定的重大任务、重大工程空间需求，衔接地方各级“十五五”发展规划和各专项规划空间需求，充分发挥规划的统筹协调作用，因地制宜动态增补、调序或清退项目，制定重点建设项目清单动态维护方案。</w:t>
      </w:r>
    </w:p>
    <w:p w14:paraId="44553093">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5</w:t>
      </w:r>
      <w:r>
        <w:rPr>
          <w:rFonts w:ascii="宋体" w:hAnsi="宋体" w:cs="宋体"/>
          <w:color w:val="auto"/>
          <w:szCs w:val="21"/>
          <w:highlight w:val="none"/>
          <w:lang w:val="zh-CN"/>
        </w:rPr>
        <w:t>）</w:t>
      </w:r>
      <w:r>
        <w:rPr>
          <w:rFonts w:hint="eastAsia" w:ascii="宋体" w:hAnsi="宋体" w:cs="宋体"/>
          <w:color w:val="auto"/>
          <w:szCs w:val="21"/>
          <w:highlight w:val="none"/>
          <w:lang w:val="zh-CN"/>
        </w:rPr>
        <w:t>其他需要维护的内容</w:t>
      </w:r>
    </w:p>
    <w:p w14:paraId="65061D9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对总体规划中乡镇主体功能细化、村庄建设边界和村庄分类等其他涉及需要动态调整的内容进行优化。</w:t>
      </w:r>
    </w:p>
    <w:p w14:paraId="7058A146">
      <w:pPr>
        <w:spacing w:line="360" w:lineRule="auto"/>
        <w:ind w:firstLine="420" w:firstLineChars="200"/>
        <w:rPr>
          <w:rFonts w:ascii="宋体" w:hAnsi="宋体" w:cs="宋体"/>
          <w:color w:val="auto"/>
          <w:szCs w:val="21"/>
          <w:highlight w:val="none"/>
          <w:lang w:val="zh-CN"/>
        </w:rPr>
      </w:pPr>
      <w:bookmarkStart w:id="172" w:name="_Toc9875"/>
      <w:r>
        <w:rPr>
          <w:rFonts w:hint="eastAsia" w:ascii="宋体" w:hAnsi="宋体" w:cs="宋体"/>
          <w:color w:val="auto"/>
          <w:szCs w:val="21"/>
          <w:highlight w:val="none"/>
          <w:lang w:val="zh-CN"/>
        </w:rPr>
        <w:t>（二）</w:t>
      </w:r>
      <w:bookmarkStart w:id="173" w:name="OLE_LINK3"/>
      <w:r>
        <w:rPr>
          <w:rFonts w:hint="eastAsia" w:ascii="宋体" w:hAnsi="宋体" w:cs="宋体"/>
          <w:color w:val="auto"/>
          <w:szCs w:val="21"/>
          <w:highlight w:val="none"/>
          <w:lang w:val="zh-CN"/>
        </w:rPr>
        <w:t>调整完善方案</w:t>
      </w:r>
      <w:bookmarkEnd w:id="173"/>
      <w:r>
        <w:rPr>
          <w:rFonts w:hint="eastAsia" w:ascii="宋体" w:hAnsi="宋体" w:cs="宋体"/>
          <w:color w:val="auto"/>
          <w:szCs w:val="21"/>
          <w:highlight w:val="none"/>
          <w:lang w:val="zh-CN"/>
        </w:rPr>
        <w:t>范围</w:t>
      </w:r>
      <w:bookmarkEnd w:id="172"/>
    </w:p>
    <w:p w14:paraId="4C50112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荥阳市国土空间总体规划（2021-2035年）所涉及的所有需要维护调整内容。</w:t>
      </w:r>
    </w:p>
    <w:p w14:paraId="36ADC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1.3工作要求</w:t>
      </w:r>
    </w:p>
    <w:p w14:paraId="686645B0">
      <w:pPr>
        <w:spacing w:line="360" w:lineRule="auto"/>
        <w:ind w:firstLine="420" w:firstLineChars="200"/>
        <w:rPr>
          <w:rFonts w:ascii="宋体" w:hAnsi="宋体" w:cs="宋体"/>
          <w:color w:val="auto"/>
          <w:szCs w:val="21"/>
          <w:highlight w:val="none"/>
          <w:lang w:val="zh-CN"/>
        </w:rPr>
      </w:pPr>
      <w:r>
        <w:rPr>
          <w:rFonts w:ascii="宋体" w:hAnsi="宋体" w:cs="宋体"/>
          <w:color w:val="auto"/>
          <w:szCs w:val="21"/>
          <w:highlight w:val="none"/>
          <w:lang w:val="zh-CN"/>
        </w:rPr>
        <w:t>保障方案有效实施，应提出对乡镇总体规划、专项规划、重大建设项目的向下指引要求；加强实施监管，将动态维护方案内容的执行情况纳入国土空间监测。依托国土空间规划“一张图”系统和国土空间规划实施监测网络，对动态维护方案编制、汇交、审查、实施等工作进行全生命周期管理。</w:t>
      </w:r>
    </w:p>
    <w:p w14:paraId="55D626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1.4主要成果</w:t>
      </w:r>
    </w:p>
    <w:p w14:paraId="1A979726">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按照正向优化标准要求全，编制年度动态维护成果。成果包含“一个方案和一个数据库”。</w:t>
      </w:r>
    </w:p>
    <w:p w14:paraId="435EF4F3">
      <w:pPr>
        <w:spacing w:line="360" w:lineRule="auto"/>
        <w:ind w:firstLine="420" w:firstLineChars="200"/>
        <w:rPr>
          <w:rFonts w:ascii="宋体" w:hAnsi="宋体" w:cs="宋体"/>
          <w:color w:val="auto"/>
          <w:szCs w:val="21"/>
          <w:highlight w:val="none"/>
          <w:lang w:val="zh-CN"/>
        </w:rPr>
      </w:pPr>
      <w:bookmarkStart w:id="174" w:name="_Toc16421"/>
      <w:r>
        <w:rPr>
          <w:rFonts w:hint="eastAsia" w:ascii="宋体" w:hAnsi="宋体" w:cs="宋体"/>
          <w:color w:val="auto"/>
          <w:szCs w:val="21"/>
          <w:highlight w:val="none"/>
          <w:lang w:val="zh-CN"/>
        </w:rPr>
        <w:t>（1）</w:t>
      </w:r>
      <w:bookmarkEnd w:id="174"/>
      <w:r>
        <w:rPr>
          <w:rFonts w:hint="eastAsia" w:ascii="宋体" w:hAnsi="宋体" w:cs="宋体"/>
          <w:color w:val="auto"/>
          <w:szCs w:val="21"/>
          <w:highlight w:val="none"/>
          <w:lang w:val="zh-CN"/>
        </w:rPr>
        <w:t>调整完善工作方案文本</w:t>
      </w:r>
    </w:p>
    <w:p w14:paraId="2CE7F2AF">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按照统一要求，形成工作方案文本。</w:t>
      </w:r>
    </w:p>
    <w:p w14:paraId="5955E656">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1．文本更新内容（含文本附表）；</w:t>
      </w:r>
    </w:p>
    <w:p w14:paraId="4F72450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2．附表和附图；</w:t>
      </w:r>
    </w:p>
    <w:p w14:paraId="4514E8F4">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3．相关附件。</w:t>
      </w:r>
    </w:p>
    <w:p w14:paraId="4E39B806">
      <w:pPr>
        <w:spacing w:line="360" w:lineRule="auto"/>
        <w:ind w:firstLine="420" w:firstLineChars="200"/>
        <w:rPr>
          <w:rFonts w:ascii="宋体" w:hAnsi="宋体" w:cs="宋体"/>
          <w:color w:val="auto"/>
          <w:szCs w:val="21"/>
          <w:highlight w:val="none"/>
          <w:lang w:val="zh-CN"/>
        </w:rPr>
      </w:pPr>
      <w:bookmarkStart w:id="175" w:name="_Toc30891"/>
      <w:r>
        <w:rPr>
          <w:rFonts w:hint="eastAsia" w:ascii="宋体" w:hAnsi="宋体" w:cs="宋体"/>
          <w:color w:val="auto"/>
          <w:szCs w:val="21"/>
          <w:highlight w:val="none"/>
          <w:lang w:val="zh-CN"/>
        </w:rPr>
        <w:t>（2）</w:t>
      </w:r>
      <w:bookmarkEnd w:id="175"/>
      <w:r>
        <w:rPr>
          <w:rFonts w:hint="eastAsia" w:ascii="宋体" w:hAnsi="宋体" w:cs="宋体"/>
          <w:color w:val="auto"/>
          <w:szCs w:val="21"/>
          <w:highlight w:val="none"/>
          <w:lang w:val="zh-CN"/>
        </w:rPr>
        <w:t>数据库</w:t>
      </w:r>
    </w:p>
    <w:p w14:paraId="1755AC41">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基于方案文本成果进行汇总统计形成的数据库。</w:t>
      </w:r>
    </w:p>
    <w:p w14:paraId="24A91042">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四、 工期要求</w:t>
      </w:r>
    </w:p>
    <w:p w14:paraId="04E16AAE">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根据自然资源部、河南省自然资源厅时间要求报批及数据库建设、成果汇总等。</w:t>
      </w:r>
    </w:p>
    <w:p w14:paraId="56C6394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工期为签订合同之日起至项目完工通过报批及入库。</w:t>
      </w:r>
    </w:p>
    <w:p w14:paraId="0D8F344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五、 成果资料查验(验收交付)</w:t>
      </w:r>
    </w:p>
    <w:p w14:paraId="49D45996">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1、验收时间：以省、郑州市成果具体安排的交付时间为准。</w:t>
      </w:r>
    </w:p>
    <w:p w14:paraId="727D9D44">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2、验收方式：省级组织对提交的成果进行验收。</w:t>
      </w:r>
    </w:p>
    <w:p w14:paraId="5807285F">
      <w:pPr>
        <w:spacing w:line="360" w:lineRule="auto"/>
        <w:ind w:firstLine="420" w:firstLineChars="200"/>
        <w:rPr>
          <w:rFonts w:ascii="宋体" w:hAnsi="宋体" w:cs="宋体"/>
          <w:color w:val="auto"/>
          <w:szCs w:val="21"/>
          <w:highlight w:val="none"/>
          <w:lang w:val="zh-TW" w:eastAsia="zh-TW"/>
        </w:rPr>
      </w:pPr>
      <w:r>
        <w:rPr>
          <w:rFonts w:hint="eastAsia" w:ascii="宋体" w:hAnsi="宋体" w:cs="宋体"/>
          <w:color w:val="auto"/>
          <w:szCs w:val="21"/>
          <w:highlight w:val="none"/>
          <w:lang w:val="zh-CN"/>
        </w:rPr>
        <w:t>3、验收标准：成果资料规范、完整、真实、准确，上报省市的成果通过省市审查，符合国家相关规范和质量标准要求。</w:t>
      </w:r>
    </w:p>
    <w:p w14:paraId="25A4A94B">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六</w:t>
      </w:r>
      <w:r>
        <w:rPr>
          <w:rFonts w:hint="eastAsia" w:ascii="宋体" w:hAnsi="宋体" w:cs="宋体"/>
          <w:b/>
          <w:bCs/>
          <w:color w:val="auto"/>
          <w:szCs w:val="21"/>
          <w:highlight w:val="none"/>
          <w:lang w:val="zh-CN"/>
        </w:rPr>
        <w:t>、知识产权</w:t>
      </w:r>
    </w:p>
    <w:p w14:paraId="38FF617D">
      <w:pPr>
        <w:spacing w:line="360" w:lineRule="auto"/>
        <w:ind w:firstLine="420" w:firstLineChars="200"/>
        <w:rPr>
          <w:rFonts w:ascii="宋体" w:hAnsi="宋体" w:cs="宋体"/>
          <w:color w:val="auto"/>
          <w:szCs w:val="21"/>
          <w:highlight w:val="none"/>
          <w:lang w:val="zh-CN"/>
        </w:rPr>
      </w:pPr>
      <w:bookmarkStart w:id="176" w:name="bookmark130"/>
      <w:bookmarkEnd w:id="176"/>
      <w:r>
        <w:rPr>
          <w:rFonts w:hint="eastAsia" w:ascii="宋体" w:hAnsi="宋体" w:cs="宋体"/>
          <w:color w:val="auto"/>
          <w:szCs w:val="21"/>
          <w:highlight w:val="none"/>
        </w:rPr>
        <w:t>1、</w:t>
      </w:r>
      <w:r>
        <w:rPr>
          <w:rFonts w:hint="eastAsia" w:ascii="宋体" w:hAnsi="宋体" w:cs="宋体"/>
          <w:color w:val="auto"/>
          <w:szCs w:val="21"/>
          <w:highlight w:val="none"/>
          <w:lang w:val="zh-CN"/>
        </w:rPr>
        <w:t>乙方应保证所提供的服务或其任何一部分均不会侵犯任何第三方的专利权、商标权或著作权。</w:t>
      </w:r>
    </w:p>
    <w:p w14:paraId="384BB793">
      <w:pPr>
        <w:spacing w:line="360" w:lineRule="auto"/>
        <w:ind w:firstLine="420" w:firstLineChars="200"/>
        <w:rPr>
          <w:rFonts w:ascii="宋体" w:hAnsi="宋体" w:cs="宋体"/>
          <w:color w:val="auto"/>
          <w:szCs w:val="21"/>
          <w:highlight w:val="none"/>
          <w:lang w:val="zh-CN"/>
        </w:rPr>
      </w:pPr>
      <w:bookmarkStart w:id="177" w:name="bookmark131"/>
      <w:bookmarkEnd w:id="177"/>
      <w:r>
        <w:rPr>
          <w:rFonts w:hint="eastAsia" w:ascii="宋体" w:hAnsi="宋体" w:cs="宋体"/>
          <w:color w:val="auto"/>
          <w:szCs w:val="21"/>
          <w:highlight w:val="none"/>
        </w:rPr>
        <w:t>2、</w:t>
      </w:r>
      <w:r>
        <w:rPr>
          <w:rFonts w:hint="eastAsia" w:ascii="宋体" w:hAnsi="宋体" w:cs="宋体"/>
          <w:color w:val="auto"/>
          <w:szCs w:val="21"/>
          <w:highlight w:val="none"/>
          <w:lang w:val="zh-CN"/>
        </w:rPr>
        <w:t>乙方保证所提供的服务的所有权完全属于乙方且无任何抵押、查封等产权瑕疵。如有产权瑕疵的，视为乙方违约，乙方应负担由此而产生的一切损失。</w:t>
      </w:r>
    </w:p>
    <w:p w14:paraId="4BCE60F6">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七</w:t>
      </w:r>
      <w:r>
        <w:rPr>
          <w:rFonts w:hint="eastAsia" w:ascii="宋体" w:hAnsi="宋体" w:cs="宋体"/>
          <w:b/>
          <w:bCs/>
          <w:color w:val="auto"/>
          <w:szCs w:val="21"/>
          <w:highlight w:val="none"/>
          <w:lang w:val="zh-CN"/>
        </w:rPr>
        <w:t>、甲方的权利和义务</w:t>
      </w:r>
    </w:p>
    <w:p w14:paraId="476AA00C">
      <w:pPr>
        <w:spacing w:line="360" w:lineRule="auto"/>
        <w:ind w:firstLine="420" w:firstLineChars="200"/>
        <w:rPr>
          <w:rFonts w:ascii="宋体" w:hAnsi="宋体" w:cs="宋体"/>
          <w:color w:val="auto"/>
          <w:szCs w:val="21"/>
          <w:highlight w:val="none"/>
        </w:rPr>
      </w:pPr>
      <w:bookmarkStart w:id="178" w:name="bookmark133"/>
      <w:bookmarkEnd w:id="178"/>
      <w:r>
        <w:rPr>
          <w:rFonts w:hint="eastAsia" w:ascii="宋体" w:hAnsi="宋体" w:cs="宋体"/>
          <w:color w:val="auto"/>
          <w:szCs w:val="21"/>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608ACEAA">
      <w:pPr>
        <w:spacing w:line="360" w:lineRule="auto"/>
        <w:ind w:firstLine="420" w:firstLineChars="200"/>
        <w:rPr>
          <w:rFonts w:ascii="宋体" w:hAnsi="宋体" w:cs="宋体"/>
          <w:color w:val="auto"/>
          <w:szCs w:val="21"/>
          <w:highlight w:val="none"/>
        </w:rPr>
      </w:pPr>
      <w:bookmarkStart w:id="179" w:name="bookmark135"/>
      <w:bookmarkEnd w:id="179"/>
      <w:bookmarkStart w:id="180" w:name="bookmark134"/>
      <w:bookmarkEnd w:id="180"/>
      <w:r>
        <w:rPr>
          <w:rFonts w:hint="eastAsia" w:ascii="宋体" w:hAnsi="宋体" w:cs="宋体"/>
          <w:color w:val="auto"/>
          <w:szCs w:val="21"/>
          <w:highlight w:val="none"/>
        </w:rPr>
        <w:t>2、负责检查监督乙方管理工作的实施及制度的执行情况。</w:t>
      </w:r>
    </w:p>
    <w:p w14:paraId="48273596">
      <w:pPr>
        <w:spacing w:line="360" w:lineRule="auto"/>
        <w:ind w:firstLine="420" w:firstLineChars="200"/>
        <w:rPr>
          <w:rFonts w:ascii="宋体" w:hAnsi="宋体" w:cs="宋体"/>
          <w:color w:val="auto"/>
          <w:szCs w:val="21"/>
          <w:highlight w:val="none"/>
        </w:rPr>
      </w:pPr>
      <w:bookmarkStart w:id="181" w:name="bookmark136"/>
      <w:bookmarkEnd w:id="181"/>
      <w:r>
        <w:rPr>
          <w:rFonts w:hint="eastAsia" w:ascii="宋体" w:hAnsi="宋体" w:cs="宋体"/>
          <w:color w:val="auto"/>
          <w:szCs w:val="21"/>
          <w:highlight w:val="none"/>
        </w:rPr>
        <w:t>3、根据本合同规定，按时向乙方支付应付服务费用。</w:t>
      </w:r>
    </w:p>
    <w:p w14:paraId="233F8F90">
      <w:pPr>
        <w:spacing w:line="360" w:lineRule="auto"/>
        <w:ind w:firstLine="420" w:firstLineChars="200"/>
        <w:rPr>
          <w:rFonts w:ascii="宋体" w:hAnsi="宋体" w:cs="宋体"/>
          <w:color w:val="auto"/>
          <w:szCs w:val="21"/>
          <w:highlight w:val="none"/>
        </w:rPr>
      </w:pPr>
      <w:bookmarkStart w:id="182" w:name="bookmark137"/>
      <w:bookmarkEnd w:id="182"/>
      <w:r>
        <w:rPr>
          <w:rFonts w:hint="eastAsia" w:ascii="宋体" w:hAnsi="宋体" w:cs="宋体"/>
          <w:color w:val="auto"/>
          <w:szCs w:val="21"/>
          <w:highlight w:val="none"/>
        </w:rPr>
        <w:t>4、国家法律、法规所规定由甲方承担的其它责任。</w:t>
      </w:r>
    </w:p>
    <w:p w14:paraId="58735982">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八</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乙方</w:t>
      </w:r>
      <w:r>
        <w:rPr>
          <w:rFonts w:hint="eastAsia" w:ascii="宋体" w:hAnsi="宋体" w:cs="宋体"/>
          <w:b/>
          <w:bCs/>
          <w:color w:val="auto"/>
          <w:szCs w:val="21"/>
          <w:highlight w:val="none"/>
          <w:lang w:val="zh-CN"/>
        </w:rPr>
        <w:t>的权利和义务</w:t>
      </w:r>
    </w:p>
    <w:p w14:paraId="5C3DB408">
      <w:pPr>
        <w:spacing w:line="360" w:lineRule="auto"/>
        <w:ind w:firstLine="420" w:firstLineChars="200"/>
        <w:rPr>
          <w:rFonts w:ascii="宋体" w:hAnsi="宋体" w:cs="宋体"/>
          <w:color w:val="auto"/>
          <w:szCs w:val="21"/>
          <w:highlight w:val="none"/>
        </w:rPr>
      </w:pPr>
      <w:bookmarkStart w:id="183" w:name="bookmark139"/>
      <w:bookmarkEnd w:id="183"/>
      <w:r>
        <w:rPr>
          <w:rFonts w:hint="eastAsia" w:ascii="宋体" w:hAnsi="宋体" w:cs="宋体"/>
          <w:color w:val="auto"/>
          <w:szCs w:val="21"/>
          <w:highlight w:val="none"/>
        </w:rPr>
        <w:t>1、对本合同规定的委托服务范围内的项目享有管理权及服务义务。</w:t>
      </w:r>
    </w:p>
    <w:p w14:paraId="46306EA6">
      <w:pPr>
        <w:spacing w:line="360" w:lineRule="auto"/>
        <w:ind w:firstLine="420" w:firstLineChars="200"/>
        <w:rPr>
          <w:rFonts w:ascii="宋体" w:hAnsi="宋体" w:cs="宋体"/>
          <w:color w:val="auto"/>
          <w:szCs w:val="21"/>
          <w:highlight w:val="none"/>
        </w:rPr>
      </w:pPr>
      <w:bookmarkStart w:id="184" w:name="bookmark140"/>
      <w:bookmarkEnd w:id="184"/>
      <w:r>
        <w:rPr>
          <w:rFonts w:hint="eastAsia" w:ascii="宋体" w:hAnsi="宋体" w:cs="宋体"/>
          <w:color w:val="auto"/>
          <w:szCs w:val="21"/>
          <w:highlight w:val="none"/>
        </w:rPr>
        <w:t>2、根据本合同的规定向甲方收取相关服务费用，并有权在本项目管理范围内管理及合理使用。</w:t>
      </w:r>
    </w:p>
    <w:p w14:paraId="4B11A4AE">
      <w:pPr>
        <w:spacing w:line="360" w:lineRule="auto"/>
        <w:ind w:firstLine="420" w:firstLineChars="200"/>
        <w:rPr>
          <w:rFonts w:ascii="宋体" w:hAnsi="宋体" w:cs="宋体"/>
          <w:color w:val="auto"/>
          <w:szCs w:val="21"/>
          <w:highlight w:val="none"/>
        </w:rPr>
      </w:pPr>
      <w:bookmarkStart w:id="185" w:name="bookmark141"/>
      <w:bookmarkEnd w:id="185"/>
      <w:r>
        <w:rPr>
          <w:rFonts w:hint="eastAsia" w:ascii="宋体" w:hAnsi="宋体" w:cs="宋体"/>
          <w:color w:val="auto"/>
          <w:szCs w:val="21"/>
          <w:highlight w:val="none"/>
        </w:rPr>
        <w:t>3、及时向甲方通告本项目服务范围内有关服务的重大事项，及时配合处理投诉。</w:t>
      </w:r>
    </w:p>
    <w:p w14:paraId="7EE780E6">
      <w:pPr>
        <w:spacing w:line="360" w:lineRule="auto"/>
        <w:ind w:firstLine="420" w:firstLineChars="200"/>
        <w:rPr>
          <w:rFonts w:ascii="宋体" w:hAnsi="宋体" w:cs="宋体"/>
          <w:color w:val="auto"/>
          <w:szCs w:val="21"/>
          <w:highlight w:val="none"/>
        </w:rPr>
      </w:pPr>
      <w:bookmarkStart w:id="186" w:name="bookmark142"/>
      <w:bookmarkEnd w:id="186"/>
      <w:r>
        <w:rPr>
          <w:rFonts w:hint="eastAsia" w:ascii="宋体" w:hAnsi="宋体" w:cs="宋体"/>
          <w:color w:val="auto"/>
          <w:szCs w:val="21"/>
          <w:highlight w:val="none"/>
        </w:rPr>
        <w:t>4、接受项目行业管理部门及政府有关部门的指导，接受甲方的监督。</w:t>
      </w:r>
    </w:p>
    <w:p w14:paraId="1248E1A8">
      <w:pPr>
        <w:spacing w:line="360" w:lineRule="auto"/>
        <w:ind w:firstLine="420" w:firstLineChars="200"/>
        <w:rPr>
          <w:rFonts w:ascii="宋体" w:hAnsi="宋体" w:cs="宋体"/>
          <w:color w:val="auto"/>
          <w:szCs w:val="21"/>
          <w:highlight w:val="none"/>
        </w:rPr>
      </w:pPr>
      <w:bookmarkStart w:id="187" w:name="bookmark144"/>
      <w:bookmarkEnd w:id="187"/>
      <w:bookmarkStart w:id="188" w:name="bookmark143"/>
      <w:bookmarkEnd w:id="188"/>
      <w:r>
        <w:rPr>
          <w:rFonts w:hint="eastAsia" w:ascii="宋体" w:hAnsi="宋体" w:cs="宋体"/>
          <w:color w:val="auto"/>
          <w:szCs w:val="21"/>
          <w:highlight w:val="none"/>
        </w:rPr>
        <w:t>5、国家法律、法规所规定由乙方承担的其它责任。</w:t>
      </w:r>
    </w:p>
    <w:p w14:paraId="1105A54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九、总价款及支付方式：</w:t>
      </w:r>
    </w:p>
    <w:p w14:paraId="20A34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项目中标总价款：____元(小写：￥____元整)</w:t>
      </w:r>
    </w:p>
    <w:p w14:paraId="331F36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1、付款方式：由甲方分三阶段分别支付给乙方。具体支付方式和时间如下：</w:t>
      </w:r>
    </w:p>
    <w:p w14:paraId="4F7D74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（1）第一阶段：乙方进入现场工作，完成工作量的30%，甲方支付乙方合同总金额的30%；</w:t>
      </w:r>
    </w:p>
    <w:p w14:paraId="1AE0B2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（2）第二阶段：乙方完成至工作量的60%，甲方付至合同总金额的60%；</w:t>
      </w:r>
    </w:p>
    <w:p w14:paraId="39216CA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（3）第三阶段：乙方完成全部工作并验收合格后，甲方付清剩余合同总金额的40%。</w:t>
      </w:r>
    </w:p>
    <w:p w14:paraId="52511A01">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2、其他未尽事宜由双方另行协商确定。</w:t>
      </w:r>
    </w:p>
    <w:p w14:paraId="0C5F7713">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3、支付方式为：汇款或转账。 </w:t>
      </w:r>
    </w:p>
    <w:p w14:paraId="4567DE28">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甲方违约</w:t>
      </w:r>
      <w:r>
        <w:rPr>
          <w:rFonts w:hint="eastAsia" w:ascii="宋体" w:hAnsi="宋体" w:cs="宋体"/>
          <w:b/>
          <w:bCs/>
          <w:color w:val="auto"/>
          <w:szCs w:val="21"/>
          <w:highlight w:val="none"/>
          <w:lang w:val="zh-CN"/>
        </w:rPr>
        <w:t>责任</w:t>
      </w:r>
    </w:p>
    <w:p w14:paraId="3CC27E98">
      <w:pPr>
        <w:spacing w:line="360" w:lineRule="auto"/>
        <w:ind w:firstLine="420" w:firstLineChars="200"/>
        <w:rPr>
          <w:rFonts w:ascii="宋体" w:hAnsi="宋体" w:cs="宋体"/>
          <w:color w:val="auto"/>
          <w:szCs w:val="21"/>
          <w:highlight w:val="none"/>
          <w:lang w:val="zh-CN"/>
        </w:rPr>
      </w:pPr>
      <w:bookmarkStart w:id="189" w:name="bookmark146"/>
      <w:bookmarkEnd w:id="189"/>
      <w:bookmarkStart w:id="190" w:name="bookmark149"/>
      <w:r>
        <w:rPr>
          <w:rFonts w:hint="eastAsia" w:ascii="宋体" w:hAnsi="宋体" w:cs="宋体"/>
          <w:color w:val="auto"/>
          <w:szCs w:val="21"/>
          <w:highlight w:val="none"/>
          <w:lang w:val="zh-CN"/>
        </w:rPr>
        <w:t>1、合同签订后，乙方未进入现场工作前，由于甲方原因而造成工程停止、终止合同时，甲方向乙方偿付项目经费的___％；若乙方已进入现场工作，但由于甲方原因造成工程停止、终止合同，甲方除应按乙方完成的实际工作量支付项目价款外，还应按项目经费的___％向乙方偿付违约金。</w:t>
      </w:r>
    </w:p>
    <w:p w14:paraId="0C7F73C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2、因甲方原因造成乙方停窝工时，工期应顺延。</w:t>
      </w:r>
    </w:p>
    <w:p w14:paraId="108A2624">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3、对于乙方提供的图纸等资料以及属于乙方的成果，甲方有义务保密，不得向第三方提供或用于本合同以外的项目，否则乙方有权对因此造成的损失追究责任。</w:t>
      </w:r>
    </w:p>
    <w:p w14:paraId="1EE5DC1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十一、乙方违约责任</w:t>
      </w:r>
    </w:p>
    <w:p w14:paraId="7338395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1、合同生效后，如乙方擅自中途停止或解除合同，向甲方偿付项目经费的___％惩罚性违约金，并退还全部已收款项。</w:t>
      </w:r>
    </w:p>
    <w:p w14:paraId="4EFD7FA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乙方提供的成果质量不合格，乙方应无偿采取补救措施，以达到质量要求。因成果质量不符合合同约定的要求（而又非甲方原因所致）造成后果时，乙方应对因此造成的损失负赔偿责任，并承担相应的法律责任（由于甲方原因产生的责任由甲方自己负责）。</w:t>
      </w:r>
    </w:p>
    <w:p w14:paraId="6E17D00F">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3、对于甲方提供的图纸和技术资料以及其他甲方的成果，乙方有义务保密，不得向第三方转让或提供，否则甲方有权对因此造成的损失追究责任。</w:t>
      </w:r>
    </w:p>
    <w:bookmarkEnd w:id="190"/>
    <w:p w14:paraId="2295C2D7">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十二</w:t>
      </w:r>
      <w:r>
        <w:rPr>
          <w:rFonts w:hint="eastAsia" w:ascii="宋体" w:hAnsi="宋体" w:cs="宋体"/>
          <w:b/>
          <w:bCs/>
          <w:color w:val="auto"/>
          <w:szCs w:val="21"/>
          <w:highlight w:val="none"/>
          <w:lang w:val="zh-CN"/>
        </w:rPr>
        <w:t>、不可抗</w:t>
      </w:r>
      <w:r>
        <w:rPr>
          <w:rFonts w:hint="eastAsia" w:ascii="宋体" w:hAnsi="宋体" w:cs="宋体"/>
          <w:b/>
          <w:bCs/>
          <w:color w:val="auto"/>
          <w:szCs w:val="21"/>
          <w:highlight w:val="none"/>
        </w:rPr>
        <w:t>力</w:t>
      </w:r>
      <w:r>
        <w:rPr>
          <w:rFonts w:hint="eastAsia" w:ascii="宋体" w:hAnsi="宋体" w:cs="宋体"/>
          <w:b/>
          <w:bCs/>
          <w:color w:val="auto"/>
          <w:szCs w:val="21"/>
          <w:highlight w:val="none"/>
          <w:lang w:val="zh-CN"/>
        </w:rPr>
        <w:t>事件处理</w:t>
      </w:r>
    </w:p>
    <w:p w14:paraId="66608174">
      <w:pPr>
        <w:spacing w:line="360" w:lineRule="auto"/>
        <w:ind w:firstLine="420" w:firstLineChars="200"/>
        <w:rPr>
          <w:rFonts w:ascii="宋体" w:hAnsi="宋体" w:cs="宋体"/>
          <w:color w:val="auto"/>
          <w:szCs w:val="21"/>
          <w:highlight w:val="none"/>
        </w:rPr>
      </w:pPr>
      <w:bookmarkStart w:id="191" w:name="bookmark150"/>
      <w:bookmarkEnd w:id="191"/>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1F5326B2">
      <w:pPr>
        <w:spacing w:line="360" w:lineRule="auto"/>
        <w:ind w:firstLine="420" w:firstLineChars="200"/>
        <w:rPr>
          <w:rFonts w:ascii="宋体" w:hAnsi="宋体" w:cs="宋体"/>
          <w:color w:val="auto"/>
          <w:szCs w:val="21"/>
          <w:highlight w:val="none"/>
        </w:rPr>
      </w:pPr>
      <w:bookmarkStart w:id="192" w:name="bookmark151"/>
      <w:bookmarkEnd w:id="192"/>
      <w:r>
        <w:rPr>
          <w:rFonts w:hint="eastAsia" w:ascii="宋体" w:hAnsi="宋体" w:cs="宋体"/>
          <w:color w:val="auto"/>
          <w:szCs w:val="21"/>
          <w:highlight w:val="none"/>
        </w:rPr>
        <w:t>2、不可抗力事件发生后，应立即通知对方，并寄送有关权威机构出具的证明。</w:t>
      </w:r>
    </w:p>
    <w:p w14:paraId="54002F30">
      <w:pPr>
        <w:spacing w:line="360" w:lineRule="auto"/>
        <w:ind w:firstLine="420" w:firstLineChars="200"/>
        <w:rPr>
          <w:rFonts w:ascii="宋体" w:hAnsi="宋体" w:cs="宋体"/>
          <w:color w:val="auto"/>
          <w:szCs w:val="21"/>
          <w:highlight w:val="none"/>
        </w:rPr>
      </w:pPr>
      <w:bookmarkStart w:id="193" w:name="bookmark152"/>
      <w:bookmarkEnd w:id="193"/>
      <w:r>
        <w:rPr>
          <w:rFonts w:hint="eastAsia" w:ascii="宋体" w:hAnsi="宋体" w:cs="宋体"/>
          <w:color w:val="auto"/>
          <w:szCs w:val="21"/>
          <w:highlight w:val="none"/>
        </w:rPr>
        <w:t>3、不可抗力事件延续120天以上，双方应通过友好协商，确定是否继续履行合同。</w:t>
      </w:r>
    </w:p>
    <w:p w14:paraId="261F2AF1">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十</w:t>
      </w:r>
      <w:r>
        <w:rPr>
          <w:rFonts w:hint="eastAsia" w:ascii="宋体" w:hAnsi="宋体" w:cs="宋体"/>
          <w:b/>
          <w:bCs/>
          <w:color w:val="auto"/>
          <w:szCs w:val="21"/>
          <w:highlight w:val="none"/>
        </w:rPr>
        <w:t>三</w:t>
      </w:r>
      <w:r>
        <w:rPr>
          <w:rFonts w:hint="eastAsia" w:ascii="宋体" w:hAnsi="宋体" w:cs="宋体"/>
          <w:b/>
          <w:bCs/>
          <w:color w:val="auto"/>
          <w:szCs w:val="21"/>
          <w:highlight w:val="none"/>
          <w:lang w:val="zh-CN"/>
        </w:rPr>
        <w:t>、解决</w:t>
      </w:r>
      <w:r>
        <w:rPr>
          <w:rFonts w:hint="eastAsia" w:ascii="宋体" w:hAnsi="宋体" w:cs="宋体"/>
          <w:b/>
          <w:bCs/>
          <w:color w:val="auto"/>
          <w:szCs w:val="21"/>
          <w:highlight w:val="none"/>
        </w:rPr>
        <w:t>合同纠纷</w:t>
      </w:r>
      <w:r>
        <w:rPr>
          <w:rFonts w:hint="eastAsia" w:ascii="宋体" w:hAnsi="宋体" w:cs="宋体"/>
          <w:b/>
          <w:bCs/>
          <w:color w:val="auto"/>
          <w:szCs w:val="21"/>
          <w:highlight w:val="none"/>
          <w:lang w:val="zh-CN"/>
        </w:rPr>
        <w:t>的方式</w:t>
      </w:r>
    </w:p>
    <w:p w14:paraId="14BF259D">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在执行本合同中发生的或与本合同有关的争端，双方应通过友好协商解决。不愿通过协商、调解解决或者协商、调解不成的，可向甲方所在地人民法院起诉。</w:t>
      </w:r>
    </w:p>
    <w:p w14:paraId="0412A525">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十</w:t>
      </w:r>
      <w:r>
        <w:rPr>
          <w:rFonts w:hint="eastAsia" w:ascii="宋体" w:hAnsi="宋体" w:cs="宋体"/>
          <w:b/>
          <w:bCs/>
          <w:color w:val="auto"/>
          <w:szCs w:val="21"/>
          <w:highlight w:val="none"/>
        </w:rPr>
        <w:t>四</w:t>
      </w:r>
      <w:r>
        <w:rPr>
          <w:rFonts w:hint="eastAsia" w:ascii="宋体" w:hAnsi="宋体" w:cs="宋体"/>
          <w:b/>
          <w:bCs/>
          <w:color w:val="auto"/>
          <w:szCs w:val="21"/>
          <w:highlight w:val="none"/>
          <w:lang w:val="zh-CN"/>
        </w:rPr>
        <w:t>、合同生效及其他</w:t>
      </w:r>
    </w:p>
    <w:p w14:paraId="5A563D41">
      <w:pPr>
        <w:spacing w:line="360" w:lineRule="auto"/>
        <w:ind w:firstLine="420" w:firstLineChars="200"/>
        <w:rPr>
          <w:rFonts w:ascii="宋体" w:hAnsi="宋体" w:cs="宋体"/>
          <w:color w:val="auto"/>
          <w:szCs w:val="21"/>
          <w:highlight w:val="none"/>
          <w:lang w:val="zh-CN"/>
        </w:rPr>
      </w:pPr>
      <w:bookmarkStart w:id="194" w:name="bookmark153"/>
      <w:bookmarkEnd w:id="194"/>
      <w:r>
        <w:rPr>
          <w:rFonts w:hint="eastAsia" w:ascii="宋体" w:hAnsi="宋体" w:cs="宋体"/>
          <w:color w:val="auto"/>
          <w:szCs w:val="21"/>
          <w:highlight w:val="none"/>
        </w:rPr>
        <w:t xml:space="preserve">1、 </w:t>
      </w:r>
      <w:r>
        <w:rPr>
          <w:rFonts w:hint="eastAsia" w:ascii="宋体" w:hAnsi="宋体" w:cs="宋体"/>
          <w:color w:val="auto"/>
          <w:szCs w:val="21"/>
          <w:highlight w:val="none"/>
          <w:lang w:val="zh-CN"/>
        </w:rPr>
        <w:t>合同经双方法定代表人或其授权委托代理人签字并加盖单位公章后生效。</w:t>
      </w:r>
    </w:p>
    <w:p w14:paraId="3978C506">
      <w:pPr>
        <w:spacing w:line="360" w:lineRule="auto"/>
        <w:ind w:firstLine="420" w:firstLineChars="200"/>
        <w:rPr>
          <w:rFonts w:ascii="宋体" w:hAnsi="宋体" w:cs="宋体"/>
          <w:color w:val="auto"/>
          <w:szCs w:val="21"/>
          <w:highlight w:val="none"/>
          <w:lang w:val="zh-CN"/>
        </w:rPr>
      </w:pPr>
      <w:bookmarkStart w:id="195" w:name="bookmark154"/>
      <w:bookmarkEnd w:id="195"/>
      <w:r>
        <w:rPr>
          <w:rFonts w:hint="eastAsia" w:ascii="宋体" w:hAnsi="宋体" w:cs="宋体"/>
          <w:color w:val="auto"/>
          <w:szCs w:val="21"/>
          <w:highlight w:val="none"/>
        </w:rPr>
        <w:t>2、</w:t>
      </w:r>
      <w:r>
        <w:rPr>
          <w:rFonts w:hint="eastAsia" w:ascii="宋体" w:hAnsi="宋体" w:cs="宋体"/>
          <w:color w:val="auto"/>
          <w:szCs w:val="21"/>
          <w:highlight w:val="none"/>
          <w:lang w:val="zh-CN"/>
        </w:rPr>
        <w:t>合同执行中涉及采购资金和采购内容修改或补充的，须经政府采购监管部门审批，并签书面补充协议报政府采购监督管理部门备案，方可作为主合同不可分割的一部分。</w:t>
      </w:r>
    </w:p>
    <w:p w14:paraId="692B4BE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本合同</w:t>
      </w:r>
      <w:r>
        <w:rPr>
          <w:rFonts w:hint="eastAsia" w:ascii="宋体" w:hAnsi="宋体" w:cs="宋体"/>
          <w:color w:val="auto"/>
          <w:szCs w:val="21"/>
          <w:highlight w:val="none"/>
        </w:rPr>
        <w:t>一</w:t>
      </w:r>
      <w:r>
        <w:rPr>
          <w:rFonts w:hint="eastAsia" w:ascii="宋体" w:hAnsi="宋体" w:cs="宋体"/>
          <w:color w:val="auto"/>
          <w:szCs w:val="21"/>
          <w:highlight w:val="none"/>
          <w:lang w:val="zh-CN"/>
        </w:rPr>
        <w:t>式</w:t>
      </w:r>
      <w:r>
        <w:rPr>
          <w:rFonts w:hint="eastAsia" w:ascii="宋体" w:hAnsi="宋体" w:cs="宋体"/>
          <w:color w:val="auto"/>
          <w:szCs w:val="21"/>
          <w:highlight w:val="none"/>
        </w:rPr>
        <w:t xml:space="preserve"> 陆 </w:t>
      </w:r>
      <w:r>
        <w:rPr>
          <w:rFonts w:hint="eastAsia" w:ascii="宋体" w:hAnsi="宋体" w:cs="宋体"/>
          <w:color w:val="auto"/>
          <w:szCs w:val="21"/>
          <w:highlight w:val="none"/>
          <w:lang w:val="zh-CN"/>
        </w:rPr>
        <w:t>份，甲方</w:t>
      </w:r>
      <w:r>
        <w:rPr>
          <w:rFonts w:hint="eastAsia" w:ascii="宋体" w:hAnsi="宋体" w:cs="宋体"/>
          <w:color w:val="auto"/>
          <w:szCs w:val="21"/>
          <w:highlight w:val="none"/>
        </w:rPr>
        <w:t xml:space="preserve"> 叁 </w:t>
      </w:r>
      <w:r>
        <w:rPr>
          <w:rFonts w:hint="eastAsia" w:ascii="宋体" w:hAnsi="宋体" w:cs="宋体"/>
          <w:color w:val="auto"/>
          <w:szCs w:val="21"/>
          <w:highlight w:val="none"/>
          <w:lang w:val="zh-CN"/>
        </w:rPr>
        <w:t>份，</w:t>
      </w:r>
      <w:r>
        <w:rPr>
          <w:rFonts w:hint="eastAsia" w:ascii="宋体" w:hAnsi="宋体" w:cs="宋体"/>
          <w:color w:val="auto"/>
          <w:szCs w:val="21"/>
          <w:highlight w:val="none"/>
        </w:rPr>
        <w:t>乙</w:t>
      </w:r>
      <w:r>
        <w:rPr>
          <w:rFonts w:hint="eastAsia" w:ascii="宋体" w:hAnsi="宋体" w:cs="宋体"/>
          <w:color w:val="auto"/>
          <w:szCs w:val="21"/>
          <w:highlight w:val="none"/>
          <w:lang w:val="zh-CN"/>
        </w:rPr>
        <w:t>方</w:t>
      </w:r>
      <w:r>
        <w:rPr>
          <w:rFonts w:hint="eastAsia" w:ascii="宋体" w:hAnsi="宋体" w:cs="宋体"/>
          <w:color w:val="auto"/>
          <w:szCs w:val="21"/>
          <w:highlight w:val="none"/>
        </w:rPr>
        <w:t xml:space="preserve"> 叁 份</w:t>
      </w:r>
      <w:r>
        <w:rPr>
          <w:rFonts w:hint="eastAsia" w:ascii="宋体" w:hAnsi="宋体" w:cs="宋体"/>
          <w:color w:val="auto"/>
          <w:szCs w:val="21"/>
          <w:highlight w:val="none"/>
          <w:lang w:val="zh-CN"/>
        </w:rPr>
        <w:t>。</w:t>
      </w:r>
    </w:p>
    <w:p w14:paraId="3D0C8748">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附件：</w:t>
      </w:r>
    </w:p>
    <w:p w14:paraId="24AEBA3D">
      <w:pPr>
        <w:spacing w:line="360" w:lineRule="auto"/>
        <w:ind w:firstLine="420" w:firstLineChars="200"/>
        <w:rPr>
          <w:rFonts w:ascii="宋体" w:hAnsi="宋体" w:cs="宋体"/>
          <w:color w:val="auto"/>
          <w:szCs w:val="21"/>
          <w:highlight w:val="none"/>
          <w:lang w:val="zh-CN"/>
        </w:rPr>
      </w:pPr>
    </w:p>
    <w:p w14:paraId="5E2B6AE8">
      <w:pPr>
        <w:spacing w:line="360" w:lineRule="auto"/>
        <w:ind w:firstLine="420" w:firstLineChars="200"/>
        <w:rPr>
          <w:rFonts w:ascii="宋体" w:hAnsi="宋体" w:cs="宋体"/>
          <w:color w:val="auto"/>
          <w:szCs w:val="21"/>
          <w:highlight w:val="none"/>
          <w:lang w:val="zh-CN"/>
        </w:rPr>
      </w:pPr>
    </w:p>
    <w:p w14:paraId="42B141B0">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甲</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方：</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乙</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方：</w:t>
      </w:r>
    </w:p>
    <w:p w14:paraId="2531DCFF">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（盖章）</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（盖章）</w:t>
      </w:r>
    </w:p>
    <w:p w14:paraId="04F7F73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授权代表签字： </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授权代表签字：</w:t>
      </w:r>
    </w:p>
    <w:p w14:paraId="37D46F0C">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w:t>
      </w:r>
    </w:p>
    <w:p w14:paraId="6BB4E650">
      <w:pPr>
        <w:spacing w:line="360" w:lineRule="auto"/>
        <w:ind w:firstLine="420" w:firstLineChars="200"/>
        <w:rPr>
          <w:rFonts w:ascii="宋体" w:hAnsi="宋体" w:cs="宋体"/>
          <w:color w:val="auto"/>
          <w:szCs w:val="21"/>
          <w:highlight w:val="none"/>
          <w:lang w:val="zh-CN"/>
        </w:rPr>
      </w:pPr>
    </w:p>
    <w:p w14:paraId="15F48BCB">
      <w:pPr>
        <w:spacing w:line="360" w:lineRule="auto"/>
        <w:ind w:firstLine="420" w:firstLineChars="200"/>
        <w:rPr>
          <w:rFonts w:ascii="宋体" w:hAnsi="宋体" w:cs="宋体"/>
          <w:color w:val="auto"/>
          <w:szCs w:val="21"/>
          <w:highlight w:val="none"/>
          <w:lang w:val="zh-CN"/>
        </w:rPr>
      </w:pPr>
    </w:p>
    <w:p w14:paraId="61A3A09E">
      <w:pPr>
        <w:spacing w:line="360" w:lineRule="auto"/>
        <w:ind w:firstLine="420" w:firstLineChars="200"/>
        <w:rPr>
          <w:rFonts w:ascii="宋体" w:hAnsi="宋体" w:cs="宋体"/>
          <w:color w:val="auto"/>
          <w:szCs w:val="21"/>
          <w:highlight w:val="none"/>
          <w:lang w:val="zh-CN"/>
        </w:rPr>
      </w:pPr>
    </w:p>
    <w:p w14:paraId="5D55BE3D">
      <w:pPr>
        <w:spacing w:line="360" w:lineRule="auto"/>
        <w:ind w:firstLine="420" w:firstLineChars="200"/>
        <w:rPr>
          <w:rFonts w:ascii="宋体" w:hAnsi="宋体" w:cs="宋体"/>
          <w:color w:val="auto"/>
          <w:szCs w:val="21"/>
          <w:highlight w:val="none"/>
          <w:lang w:val="zh-CN"/>
        </w:rPr>
      </w:pPr>
    </w:p>
    <w:p w14:paraId="3D701921">
      <w:pPr>
        <w:spacing w:line="360" w:lineRule="auto"/>
        <w:ind w:firstLine="420" w:firstLineChars="200"/>
        <w:rPr>
          <w:rFonts w:ascii="宋体" w:hAnsi="宋体" w:cs="宋体"/>
          <w:color w:val="auto"/>
          <w:szCs w:val="21"/>
          <w:highlight w:val="none"/>
          <w:lang w:val="zh-CN"/>
        </w:rPr>
      </w:pPr>
    </w:p>
    <w:p w14:paraId="1080E135">
      <w:pPr>
        <w:spacing w:line="360" w:lineRule="auto"/>
        <w:ind w:firstLine="420" w:firstLineChars="200"/>
        <w:rPr>
          <w:rFonts w:ascii="宋体" w:hAnsi="宋体" w:cs="宋体"/>
          <w:color w:val="auto"/>
          <w:szCs w:val="21"/>
          <w:highlight w:val="none"/>
          <w:lang w:val="zh-CN"/>
        </w:rPr>
      </w:pPr>
    </w:p>
    <w:p w14:paraId="54EDD4AC">
      <w:pPr>
        <w:pStyle w:val="2"/>
        <w:numPr>
          <w:ilvl w:val="0"/>
          <w:numId w:val="0"/>
        </w:numPr>
        <w:rPr>
          <w:b/>
          <w:bCs/>
          <w:color w:val="auto"/>
          <w:highlight w:val="none"/>
        </w:rPr>
      </w:pPr>
      <w:r>
        <w:rPr>
          <w:rFonts w:hint="eastAsia"/>
          <w:b/>
          <w:bCs/>
          <w:color w:val="auto"/>
          <w:highlight w:val="none"/>
        </w:rPr>
        <w:t>第六章</w:t>
      </w:r>
      <w:r>
        <w:rPr>
          <w:rFonts w:hint="eastAsia"/>
          <w:b/>
          <w:bCs/>
          <w:color w:val="auto"/>
          <w:highlight w:val="none"/>
        </w:rPr>
        <w:tab/>
      </w:r>
      <w:r>
        <w:rPr>
          <w:rFonts w:hint="eastAsia"/>
          <w:b/>
          <w:bCs/>
          <w:color w:val="auto"/>
          <w:highlight w:val="none"/>
        </w:rPr>
        <w:t>竞争性磋商响应文件格式</w:t>
      </w:r>
      <w:bookmarkEnd w:id="160"/>
    </w:p>
    <w:p w14:paraId="4304C07F">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2859A533">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12235FEF">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14:paraId="72241575">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r>
        <w:rPr>
          <w:rFonts w:hint="eastAsia" w:ascii="Calibri" w:hAnsi="Calibri" w:eastAsia="宋体"/>
          <w:b w:val="0"/>
          <w:bCs w:val="0"/>
          <w:color w:val="auto"/>
          <w:spacing w:val="0"/>
          <w:sz w:val="44"/>
          <w:szCs w:val="44"/>
          <w:highlight w:val="none"/>
          <w:u w:val="single"/>
          <w:lang w:eastAsia="zh-CN"/>
        </w:rPr>
        <w:t>荥阳市自然资源和规划局2026年度荥阳市国土空间总体规划动态调整完善方案项目（二次）</w:t>
      </w:r>
      <w:r>
        <w:rPr>
          <w:rFonts w:hint="eastAsia" w:ascii="Calibri" w:hAnsi="Calibri" w:eastAsia="宋体"/>
          <w:b w:val="0"/>
          <w:bCs w:val="0"/>
          <w:color w:val="auto"/>
          <w:spacing w:val="0"/>
          <w:sz w:val="44"/>
          <w:szCs w:val="44"/>
          <w:highlight w:val="none"/>
        </w:rPr>
        <w:t>（项目名称）</w:t>
      </w:r>
    </w:p>
    <w:p w14:paraId="6D582E33">
      <w:pPr>
        <w:pStyle w:val="9"/>
        <w:kinsoku w:val="0"/>
        <w:overflowPunct w:val="0"/>
        <w:rPr>
          <w:color w:val="auto"/>
          <w:sz w:val="48"/>
          <w:highlight w:val="none"/>
        </w:rPr>
      </w:pPr>
    </w:p>
    <w:p w14:paraId="6AF14EBD">
      <w:pPr>
        <w:pStyle w:val="9"/>
        <w:kinsoku w:val="0"/>
        <w:overflowPunct w:val="0"/>
        <w:rPr>
          <w:color w:val="auto"/>
          <w:sz w:val="48"/>
          <w:highlight w:val="none"/>
        </w:rPr>
      </w:pPr>
    </w:p>
    <w:p w14:paraId="46669E5F">
      <w:pPr>
        <w:pStyle w:val="9"/>
        <w:kinsoku w:val="0"/>
        <w:overflowPunct w:val="0"/>
        <w:rPr>
          <w:color w:val="auto"/>
          <w:sz w:val="48"/>
          <w:highlight w:val="none"/>
        </w:rPr>
      </w:pPr>
    </w:p>
    <w:p w14:paraId="69D68A23">
      <w:pPr>
        <w:pStyle w:val="9"/>
        <w:kinsoku w:val="0"/>
        <w:overflowPunct w:val="0"/>
        <w:rPr>
          <w:color w:val="auto"/>
          <w:sz w:val="48"/>
          <w:highlight w:val="none"/>
        </w:rPr>
      </w:pPr>
    </w:p>
    <w:p w14:paraId="667E4292">
      <w:pPr>
        <w:pStyle w:val="9"/>
        <w:kinsoku w:val="0"/>
        <w:overflowPunct w:val="0"/>
        <w:rPr>
          <w:color w:val="auto"/>
          <w:sz w:val="48"/>
          <w:highlight w:val="none"/>
        </w:rPr>
      </w:pPr>
    </w:p>
    <w:p w14:paraId="14CCBD6C">
      <w:pPr>
        <w:pStyle w:val="9"/>
        <w:kinsoku w:val="0"/>
        <w:overflowPunct w:val="0"/>
        <w:rPr>
          <w:color w:val="auto"/>
          <w:sz w:val="48"/>
          <w:highlight w:val="none"/>
        </w:rPr>
      </w:pPr>
    </w:p>
    <w:p w14:paraId="0D8B9EAC">
      <w:pPr>
        <w:pStyle w:val="9"/>
        <w:kinsoku w:val="0"/>
        <w:overflowPunct w:val="0"/>
        <w:rPr>
          <w:color w:val="auto"/>
          <w:sz w:val="63"/>
          <w:highlight w:val="none"/>
        </w:rPr>
      </w:pPr>
    </w:p>
    <w:p w14:paraId="4052D612">
      <w:pPr>
        <w:jc w:val="center"/>
        <w:rPr>
          <w:color w:val="auto"/>
          <w:sz w:val="48"/>
          <w:szCs w:val="56"/>
          <w:highlight w:val="none"/>
        </w:rPr>
      </w:pPr>
      <w:r>
        <w:rPr>
          <w:rFonts w:hint="eastAsia"/>
          <w:color w:val="auto"/>
          <w:sz w:val="44"/>
          <w:szCs w:val="44"/>
          <w:highlight w:val="none"/>
        </w:rPr>
        <w:t>竞争性磋商响应文件</w:t>
      </w:r>
    </w:p>
    <w:p w14:paraId="44EB431C">
      <w:pPr>
        <w:jc w:val="center"/>
        <w:rPr>
          <w:color w:val="auto"/>
          <w:sz w:val="36"/>
          <w:szCs w:val="44"/>
          <w:highlight w:val="none"/>
        </w:rPr>
      </w:pPr>
    </w:p>
    <w:p w14:paraId="107A6975">
      <w:pPr>
        <w:pStyle w:val="22"/>
        <w:ind w:firstLine="240"/>
        <w:rPr>
          <w:color w:val="auto"/>
          <w:highlight w:val="none"/>
        </w:rPr>
      </w:pPr>
    </w:p>
    <w:p w14:paraId="432C70A4">
      <w:pPr>
        <w:ind w:firstLine="2730" w:firstLineChars="1300"/>
        <w:rPr>
          <w:rFonts w:ascii="宋体" w:hAnsi="宋体" w:cs="宋体"/>
          <w:color w:val="auto"/>
          <w:highlight w:val="none"/>
        </w:rPr>
      </w:pPr>
      <w:r>
        <w:rPr>
          <w:rFonts w:hint="eastAsia" w:ascii="宋体" w:hAnsi="宋体" w:cs="宋体"/>
          <w:color w:val="auto"/>
          <w:highlight w:val="none"/>
        </w:rPr>
        <w:t>项目编号：</w:t>
      </w:r>
    </w:p>
    <w:p w14:paraId="1AEA13D4">
      <w:pPr>
        <w:rPr>
          <w:color w:val="auto"/>
          <w:highlight w:val="none"/>
        </w:rPr>
      </w:pPr>
    </w:p>
    <w:p w14:paraId="21077419">
      <w:pPr>
        <w:pStyle w:val="9"/>
        <w:tabs>
          <w:tab w:val="left" w:pos="4938"/>
          <w:tab w:val="left" w:pos="5418"/>
        </w:tabs>
        <w:kinsoku w:val="0"/>
        <w:overflowPunct w:val="0"/>
        <w:spacing w:line="240" w:lineRule="auto"/>
        <w:rPr>
          <w:rFonts w:ascii="宋体" w:eastAsia="宋体" w:cs="宋体"/>
          <w:color w:val="auto"/>
          <w:spacing w:val="-1"/>
          <w:highlight w:val="none"/>
        </w:rPr>
      </w:pPr>
    </w:p>
    <w:p w14:paraId="35FDB2E2">
      <w:pPr>
        <w:pStyle w:val="9"/>
        <w:tabs>
          <w:tab w:val="left" w:pos="4938"/>
          <w:tab w:val="left" w:pos="5418"/>
        </w:tabs>
        <w:kinsoku w:val="0"/>
        <w:overflowPunct w:val="0"/>
        <w:spacing w:line="240" w:lineRule="auto"/>
        <w:rPr>
          <w:rFonts w:ascii="宋体" w:eastAsia="宋体" w:cs="宋体"/>
          <w:color w:val="auto"/>
          <w:spacing w:val="-1"/>
          <w:highlight w:val="none"/>
        </w:rPr>
      </w:pPr>
    </w:p>
    <w:p w14:paraId="60C44CBC">
      <w:pPr>
        <w:pStyle w:val="9"/>
        <w:tabs>
          <w:tab w:val="left" w:pos="4938"/>
          <w:tab w:val="left" w:pos="5418"/>
        </w:tabs>
        <w:kinsoku w:val="0"/>
        <w:overflowPunct w:val="0"/>
        <w:spacing w:line="240" w:lineRule="auto"/>
        <w:rPr>
          <w:rFonts w:ascii="宋体" w:eastAsia="宋体" w:cs="宋体"/>
          <w:color w:val="auto"/>
          <w:spacing w:val="-1"/>
          <w:highlight w:val="none"/>
        </w:rPr>
      </w:pPr>
    </w:p>
    <w:p w14:paraId="65C0B0D2">
      <w:pPr>
        <w:pStyle w:val="9"/>
        <w:tabs>
          <w:tab w:val="left" w:pos="4938"/>
          <w:tab w:val="left" w:pos="5418"/>
        </w:tabs>
        <w:kinsoku w:val="0"/>
        <w:overflowPunct w:val="0"/>
        <w:spacing w:line="240" w:lineRule="auto"/>
        <w:rPr>
          <w:rFonts w:ascii="宋体" w:eastAsia="宋体" w:cs="宋体"/>
          <w:color w:val="auto"/>
          <w:spacing w:val="-1"/>
          <w:highlight w:val="none"/>
        </w:rPr>
      </w:pPr>
    </w:p>
    <w:p w14:paraId="2C4C510A">
      <w:pPr>
        <w:pStyle w:val="9"/>
        <w:tabs>
          <w:tab w:val="left" w:pos="4938"/>
          <w:tab w:val="left" w:pos="5418"/>
        </w:tabs>
        <w:kinsoku w:val="0"/>
        <w:overflowPunct w:val="0"/>
        <w:spacing w:line="240" w:lineRule="auto"/>
        <w:rPr>
          <w:rFonts w:ascii="宋体" w:eastAsia="宋体" w:cs="宋体"/>
          <w:color w:val="auto"/>
          <w:spacing w:val="-1"/>
          <w:highlight w:val="none"/>
        </w:rPr>
      </w:pPr>
    </w:p>
    <w:p w14:paraId="06CDC3EE">
      <w:pPr>
        <w:pStyle w:val="9"/>
        <w:tabs>
          <w:tab w:val="left" w:pos="4938"/>
          <w:tab w:val="left" w:pos="5418"/>
        </w:tabs>
        <w:kinsoku w:val="0"/>
        <w:overflowPunct w:val="0"/>
        <w:spacing w:line="240" w:lineRule="auto"/>
        <w:rPr>
          <w:rFonts w:ascii="宋体" w:eastAsia="宋体" w:cs="宋体"/>
          <w:color w:val="auto"/>
          <w:spacing w:val="-1"/>
          <w:highlight w:val="none"/>
        </w:rPr>
      </w:pPr>
    </w:p>
    <w:p w14:paraId="1EE22607">
      <w:pPr>
        <w:pStyle w:val="9"/>
        <w:tabs>
          <w:tab w:val="left" w:pos="4938"/>
          <w:tab w:val="left" w:pos="5418"/>
        </w:tabs>
        <w:kinsoku w:val="0"/>
        <w:overflowPunct w:val="0"/>
        <w:spacing w:line="240" w:lineRule="auto"/>
        <w:rPr>
          <w:rFonts w:ascii="宋体" w:eastAsia="宋体" w:cs="宋体"/>
          <w:color w:val="auto"/>
          <w:spacing w:val="-1"/>
          <w:highlight w:val="none"/>
        </w:rPr>
      </w:pPr>
    </w:p>
    <w:p w14:paraId="64D9A698">
      <w:pPr>
        <w:pStyle w:val="9"/>
        <w:tabs>
          <w:tab w:val="left" w:pos="4938"/>
          <w:tab w:val="left" w:pos="5418"/>
        </w:tabs>
        <w:kinsoku w:val="0"/>
        <w:overflowPunct w:val="0"/>
        <w:spacing w:line="240" w:lineRule="auto"/>
        <w:rPr>
          <w:rFonts w:ascii="宋体" w:eastAsia="宋体" w:cs="宋体"/>
          <w:color w:val="auto"/>
          <w:spacing w:val="-1"/>
          <w:highlight w:val="none"/>
        </w:rPr>
      </w:pPr>
    </w:p>
    <w:p w14:paraId="0CD8FD13">
      <w:pPr>
        <w:pStyle w:val="9"/>
        <w:tabs>
          <w:tab w:val="left" w:pos="4938"/>
          <w:tab w:val="left" w:pos="5418"/>
        </w:tabs>
        <w:kinsoku w:val="0"/>
        <w:overflowPunct w:val="0"/>
        <w:spacing w:line="240" w:lineRule="auto"/>
        <w:rPr>
          <w:rFonts w:ascii="宋体" w:eastAsia="宋体" w:cs="宋体"/>
          <w:color w:val="auto"/>
          <w:spacing w:val="-1"/>
          <w:highlight w:val="none"/>
        </w:rPr>
      </w:pPr>
    </w:p>
    <w:p w14:paraId="7B716BEF">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 xml:space="preserve">（盖单位章或电子签章） </w:t>
      </w:r>
    </w:p>
    <w:p w14:paraId="4946AC34">
      <w:pPr>
        <w:pStyle w:val="9"/>
        <w:tabs>
          <w:tab w:val="left" w:pos="4938"/>
          <w:tab w:val="left" w:pos="5418"/>
        </w:tabs>
        <w:kinsoku w:val="0"/>
        <w:overflowPunct w:val="0"/>
        <w:spacing w:line="240" w:lineRule="auto"/>
        <w:rPr>
          <w:rFonts w:ascii="宋体" w:eastAsia="宋体" w:cs="宋体"/>
          <w:color w:val="auto"/>
          <w:highlight w:val="none"/>
        </w:rPr>
      </w:pPr>
    </w:p>
    <w:p w14:paraId="374934D0">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（签字或盖章或电子签章）</w:t>
      </w:r>
    </w:p>
    <w:p w14:paraId="0E7BD4F3">
      <w:pPr>
        <w:pStyle w:val="9"/>
        <w:tabs>
          <w:tab w:val="left" w:pos="733"/>
          <w:tab w:val="left" w:pos="1693"/>
          <w:tab w:val="left" w:pos="2653"/>
        </w:tabs>
        <w:kinsoku w:val="0"/>
        <w:overflowPunct w:val="0"/>
        <w:ind w:left="12"/>
        <w:jc w:val="center"/>
        <w:rPr>
          <w:rFonts w:ascii="宋体" w:eastAsia="宋体" w:cs="宋体"/>
          <w:color w:val="auto"/>
          <w:highlight w:val="none"/>
        </w:rPr>
      </w:pPr>
      <w:bookmarkStart w:id="196" w:name="______年______月______日"/>
      <w:bookmarkEnd w:id="196"/>
      <w:r>
        <w:rPr>
          <w:rFonts w:hint="eastAsia" w:ascii="宋体" w:eastAsia="宋体" w:cs="宋体"/>
          <w:color w:val="auto"/>
          <w:highlight w:val="none"/>
          <w:u w:val="single"/>
        </w:rPr>
        <w:t xml:space="preserve"> </w:t>
      </w:r>
      <w:r>
        <w:rPr>
          <w:rFonts w:hint="eastAsia" w:ascii="宋体" w:eastAsia="宋体" w:cs="宋体"/>
          <w:color w:val="auto"/>
          <w:highlight w:val="none"/>
          <w:u w:val="single"/>
        </w:rPr>
        <w:tab/>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highlight w:val="none"/>
        </w:rPr>
        <w:t>日</w:t>
      </w:r>
    </w:p>
    <w:p w14:paraId="3FA52965">
      <w:pPr>
        <w:jc w:val="center"/>
        <w:rPr>
          <w:rFonts w:ascii="仿宋" w:hAnsi="仿宋" w:eastAsia="仿宋"/>
          <w:b/>
          <w:color w:val="auto"/>
          <w:w w:val="95"/>
          <w:sz w:val="36"/>
          <w:highlight w:val="none"/>
        </w:rPr>
      </w:pPr>
    </w:p>
    <w:p w14:paraId="3E31ED98">
      <w:pPr>
        <w:jc w:val="center"/>
        <w:rPr>
          <w:rFonts w:ascii="仿宋" w:hAnsi="仿宋" w:eastAsia="仿宋"/>
          <w:b/>
          <w:color w:val="auto"/>
          <w:w w:val="95"/>
          <w:sz w:val="36"/>
          <w:highlight w:val="none"/>
        </w:rPr>
      </w:pPr>
    </w:p>
    <w:p w14:paraId="5B6F53E7">
      <w:pPr>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14:paraId="58F29923">
      <w:pPr>
        <w:jc w:val="center"/>
        <w:rPr>
          <w:rFonts w:ascii="仿宋" w:hAnsi="仿宋" w:eastAsia="仿宋"/>
          <w:b/>
          <w:color w:val="auto"/>
          <w:sz w:val="36"/>
          <w:highlight w:val="none"/>
        </w:rPr>
      </w:pPr>
    </w:p>
    <w:p w14:paraId="6DE9B3D8">
      <w:pPr>
        <w:pStyle w:val="41"/>
        <w:rPr>
          <w:color w:val="auto"/>
          <w:highlight w:val="none"/>
        </w:rPr>
      </w:pPr>
    </w:p>
    <w:p w14:paraId="39A56765">
      <w:pPr>
        <w:pStyle w:val="41"/>
        <w:spacing w:line="360" w:lineRule="auto"/>
        <w:rPr>
          <w:color w:val="auto"/>
          <w:szCs w:val="21"/>
          <w:highlight w:val="none"/>
        </w:rPr>
      </w:pPr>
    </w:p>
    <w:p w14:paraId="197C6656">
      <w:pPr>
        <w:spacing w:line="360" w:lineRule="auto"/>
        <w:rPr>
          <w:rFonts w:ascii="宋体" w:hAnsi="宋体"/>
          <w:color w:val="auto"/>
          <w:szCs w:val="21"/>
          <w:highlight w:val="none"/>
        </w:rPr>
      </w:pPr>
      <w:bookmarkStart w:id="197" w:name="_Toc16726"/>
      <w:bookmarkStart w:id="198" w:name="_Toc24162"/>
      <w:bookmarkStart w:id="199" w:name="_Toc2043"/>
      <w:bookmarkStart w:id="200" w:name="_Toc9480"/>
      <w:bookmarkStart w:id="201" w:name="_Toc24895"/>
      <w:bookmarkStart w:id="202" w:name="_Toc509411862"/>
      <w:bookmarkStart w:id="203" w:name="_Toc19724"/>
      <w:bookmarkStart w:id="204" w:name="_Toc10890"/>
      <w:bookmarkStart w:id="205" w:name="_Toc10197"/>
      <w:bookmarkStart w:id="206" w:name="_Toc16028"/>
      <w:r>
        <w:rPr>
          <w:rFonts w:hint="eastAsia" w:ascii="宋体" w:hAnsi="宋体"/>
          <w:color w:val="auto"/>
          <w:szCs w:val="21"/>
          <w:highlight w:val="none"/>
        </w:rPr>
        <w:t>1.</w:t>
      </w:r>
      <w:bookmarkEnd w:id="197"/>
      <w:bookmarkEnd w:id="198"/>
      <w:bookmarkEnd w:id="199"/>
      <w:bookmarkEnd w:id="200"/>
      <w:bookmarkEnd w:id="201"/>
      <w:bookmarkEnd w:id="202"/>
      <w:bookmarkEnd w:id="203"/>
      <w:bookmarkEnd w:id="204"/>
      <w:r>
        <w:rPr>
          <w:rFonts w:hint="eastAsia" w:ascii="宋体" w:hAnsi="宋体"/>
          <w:color w:val="auto"/>
          <w:szCs w:val="21"/>
          <w:highlight w:val="none"/>
        </w:rPr>
        <w:t>磋商响应承诺书</w:t>
      </w:r>
    </w:p>
    <w:p w14:paraId="546EA025">
      <w:pPr>
        <w:spacing w:line="360" w:lineRule="auto"/>
        <w:rPr>
          <w:rFonts w:ascii="宋体" w:hAnsi="宋体"/>
          <w:color w:val="auto"/>
          <w:szCs w:val="21"/>
          <w:highlight w:val="none"/>
        </w:rPr>
      </w:pPr>
      <w:bookmarkStart w:id="207" w:name="_Toc21545"/>
      <w:bookmarkStart w:id="208" w:name="_Toc22482"/>
      <w:bookmarkStart w:id="209" w:name="_Toc23990"/>
      <w:bookmarkStart w:id="210" w:name="_Toc11285"/>
      <w:bookmarkStart w:id="211" w:name="_Toc22456"/>
      <w:bookmarkStart w:id="212" w:name="_Toc509411863"/>
      <w:bookmarkStart w:id="213" w:name="_Toc21365"/>
      <w:bookmarkStart w:id="214" w:name="_Toc6781"/>
      <w:r>
        <w:rPr>
          <w:rFonts w:hint="eastAsia" w:ascii="宋体" w:hAnsi="宋体"/>
          <w:color w:val="auto"/>
          <w:szCs w:val="21"/>
          <w:highlight w:val="none"/>
        </w:rPr>
        <w:t>2.</w:t>
      </w:r>
      <w:bookmarkEnd w:id="207"/>
      <w:bookmarkEnd w:id="208"/>
      <w:bookmarkEnd w:id="209"/>
      <w:bookmarkEnd w:id="210"/>
      <w:bookmarkEnd w:id="211"/>
      <w:bookmarkEnd w:id="212"/>
      <w:bookmarkEnd w:id="213"/>
      <w:bookmarkEnd w:id="214"/>
      <w:bookmarkStart w:id="215" w:name="_Toc8614"/>
      <w:bookmarkStart w:id="216" w:name="_Toc28847"/>
      <w:bookmarkStart w:id="217" w:name="_Toc21091"/>
      <w:bookmarkStart w:id="218" w:name="_Toc26192"/>
      <w:bookmarkStart w:id="219" w:name="_Toc509411864"/>
      <w:bookmarkStart w:id="220" w:name="_Toc16045"/>
      <w:bookmarkStart w:id="221" w:name="_Toc22629"/>
      <w:bookmarkStart w:id="222" w:name="_Toc31275"/>
      <w:r>
        <w:rPr>
          <w:rFonts w:hint="eastAsia" w:ascii="宋体" w:hAnsi="宋体"/>
          <w:color w:val="auto"/>
          <w:szCs w:val="21"/>
          <w:highlight w:val="none"/>
        </w:rPr>
        <w:t>磋商响应函附录（第一轮报价）</w:t>
      </w:r>
    </w:p>
    <w:p w14:paraId="3302A068">
      <w:pPr>
        <w:spacing w:line="360" w:lineRule="auto"/>
        <w:rPr>
          <w:rFonts w:ascii="宋体" w:hAnsi="宋体"/>
          <w:color w:val="auto"/>
          <w:szCs w:val="21"/>
          <w:highlight w:val="none"/>
        </w:rPr>
      </w:pPr>
      <w:r>
        <w:rPr>
          <w:rFonts w:hint="eastAsia" w:ascii="宋体" w:hAnsi="宋体"/>
          <w:color w:val="auto"/>
          <w:szCs w:val="21"/>
          <w:highlight w:val="none"/>
        </w:rPr>
        <w:t>3.报价明细表</w:t>
      </w:r>
      <w:bookmarkEnd w:id="215"/>
      <w:bookmarkEnd w:id="216"/>
      <w:bookmarkEnd w:id="217"/>
      <w:bookmarkEnd w:id="218"/>
      <w:bookmarkEnd w:id="219"/>
      <w:bookmarkEnd w:id="220"/>
      <w:bookmarkEnd w:id="221"/>
      <w:bookmarkEnd w:id="222"/>
    </w:p>
    <w:p w14:paraId="06D07E04">
      <w:pPr>
        <w:spacing w:line="360" w:lineRule="auto"/>
        <w:rPr>
          <w:rFonts w:ascii="宋体" w:hAnsi="宋体"/>
          <w:color w:val="auto"/>
          <w:szCs w:val="21"/>
          <w:highlight w:val="none"/>
        </w:rPr>
      </w:pPr>
      <w:bookmarkStart w:id="223" w:name="_Toc509411866"/>
      <w:bookmarkStart w:id="224" w:name="_Toc23186"/>
      <w:bookmarkStart w:id="225" w:name="_Toc10251"/>
      <w:bookmarkStart w:id="226" w:name="_Toc9106"/>
      <w:bookmarkStart w:id="227" w:name="_Toc26854"/>
      <w:bookmarkStart w:id="228" w:name="_Toc19514"/>
      <w:bookmarkStart w:id="229" w:name="_Toc2381"/>
      <w:bookmarkStart w:id="230" w:name="_Toc16575"/>
      <w:r>
        <w:rPr>
          <w:rFonts w:hint="eastAsia" w:ascii="宋体" w:hAnsi="宋体"/>
          <w:color w:val="auto"/>
          <w:szCs w:val="21"/>
          <w:highlight w:val="none"/>
        </w:rPr>
        <w:t>4.</w:t>
      </w:r>
      <w:bookmarkEnd w:id="223"/>
      <w:bookmarkEnd w:id="224"/>
      <w:bookmarkEnd w:id="225"/>
      <w:bookmarkEnd w:id="226"/>
      <w:bookmarkEnd w:id="227"/>
      <w:bookmarkEnd w:id="228"/>
      <w:bookmarkEnd w:id="229"/>
      <w:bookmarkEnd w:id="230"/>
      <w:r>
        <w:rPr>
          <w:rFonts w:hint="eastAsia" w:ascii="宋体" w:hAnsi="宋体"/>
          <w:color w:val="auto"/>
          <w:szCs w:val="21"/>
          <w:highlight w:val="none"/>
        </w:rPr>
        <w:t>中小企业声明函</w:t>
      </w:r>
    </w:p>
    <w:p w14:paraId="077F16D4">
      <w:pPr>
        <w:spacing w:line="360" w:lineRule="auto"/>
        <w:rPr>
          <w:rFonts w:ascii="宋体" w:hAnsi="宋体"/>
          <w:color w:val="auto"/>
          <w:szCs w:val="21"/>
          <w:highlight w:val="none"/>
        </w:rPr>
      </w:pPr>
      <w:bookmarkStart w:id="231" w:name="_Toc11592"/>
      <w:bookmarkStart w:id="232" w:name="_Toc30257"/>
      <w:bookmarkStart w:id="233" w:name="_Toc21302"/>
      <w:bookmarkStart w:id="234" w:name="_Toc25923"/>
      <w:bookmarkStart w:id="235" w:name="_Toc5331"/>
      <w:bookmarkStart w:id="236" w:name="_Toc509411869"/>
      <w:bookmarkStart w:id="237" w:name="_Toc8572"/>
      <w:bookmarkStart w:id="238" w:name="_Toc15804"/>
      <w:r>
        <w:rPr>
          <w:rFonts w:hint="eastAsia" w:ascii="宋体" w:hAnsi="宋体"/>
          <w:color w:val="auto"/>
          <w:szCs w:val="21"/>
          <w:highlight w:val="none"/>
        </w:rPr>
        <w:t>5.</w:t>
      </w:r>
      <w:bookmarkEnd w:id="231"/>
      <w:bookmarkEnd w:id="232"/>
      <w:bookmarkEnd w:id="233"/>
      <w:bookmarkEnd w:id="234"/>
      <w:bookmarkEnd w:id="235"/>
      <w:bookmarkEnd w:id="236"/>
      <w:bookmarkEnd w:id="237"/>
      <w:bookmarkEnd w:id="238"/>
      <w:bookmarkStart w:id="239" w:name="_Toc14056"/>
      <w:bookmarkStart w:id="240" w:name="_Toc12476"/>
      <w:bookmarkStart w:id="241" w:name="_Toc12321"/>
      <w:bookmarkStart w:id="242" w:name="_Toc509411870"/>
      <w:bookmarkStart w:id="243" w:name="_Toc24692"/>
      <w:bookmarkStart w:id="244" w:name="_Toc16613"/>
      <w:bookmarkStart w:id="245" w:name="_Toc8414"/>
      <w:bookmarkStart w:id="246" w:name="_Toc22983"/>
      <w:r>
        <w:rPr>
          <w:rFonts w:hint="eastAsia" w:ascii="宋体" w:hAnsi="宋体"/>
          <w:color w:val="auto"/>
          <w:szCs w:val="21"/>
          <w:highlight w:val="none"/>
        </w:rPr>
        <w:t>商务条款偏差表</w:t>
      </w:r>
    </w:p>
    <w:bookmarkEnd w:id="239"/>
    <w:bookmarkEnd w:id="240"/>
    <w:bookmarkEnd w:id="241"/>
    <w:bookmarkEnd w:id="242"/>
    <w:bookmarkEnd w:id="243"/>
    <w:bookmarkEnd w:id="244"/>
    <w:bookmarkEnd w:id="245"/>
    <w:bookmarkEnd w:id="246"/>
    <w:p w14:paraId="3573A20E">
      <w:pPr>
        <w:spacing w:line="360" w:lineRule="auto"/>
        <w:rPr>
          <w:rFonts w:ascii="宋体" w:hAnsi="宋体"/>
          <w:color w:val="auto"/>
          <w:szCs w:val="21"/>
          <w:highlight w:val="none"/>
        </w:rPr>
      </w:pPr>
      <w:bookmarkStart w:id="247" w:name="_Toc10060"/>
      <w:bookmarkStart w:id="248" w:name="_Toc509411871"/>
      <w:bookmarkStart w:id="249" w:name="_Toc26548"/>
      <w:bookmarkStart w:id="250" w:name="_Toc22673"/>
      <w:bookmarkStart w:id="251" w:name="_Toc20444"/>
      <w:bookmarkStart w:id="252" w:name="_Toc27802"/>
      <w:bookmarkStart w:id="253" w:name="_Toc27305"/>
      <w:bookmarkStart w:id="254" w:name="_Toc5087"/>
      <w:r>
        <w:rPr>
          <w:rFonts w:hint="eastAsia" w:ascii="宋体" w:hAnsi="宋体"/>
          <w:color w:val="auto"/>
          <w:szCs w:val="21"/>
          <w:highlight w:val="none"/>
        </w:rPr>
        <w:t>6.资格证明材料</w:t>
      </w:r>
      <w:bookmarkEnd w:id="247"/>
      <w:bookmarkEnd w:id="248"/>
      <w:bookmarkEnd w:id="249"/>
      <w:bookmarkEnd w:id="250"/>
      <w:bookmarkEnd w:id="251"/>
      <w:bookmarkEnd w:id="252"/>
      <w:bookmarkEnd w:id="253"/>
      <w:bookmarkEnd w:id="254"/>
    </w:p>
    <w:p w14:paraId="301CD4CB">
      <w:pPr>
        <w:spacing w:line="360" w:lineRule="auto"/>
        <w:rPr>
          <w:rFonts w:ascii="宋体" w:hAnsi="宋体"/>
          <w:color w:val="auto"/>
          <w:szCs w:val="21"/>
          <w:highlight w:val="none"/>
        </w:rPr>
      </w:pPr>
      <w:bookmarkStart w:id="255" w:name="_Toc5299"/>
      <w:bookmarkStart w:id="256" w:name="_Toc27361"/>
      <w:bookmarkStart w:id="257" w:name="_Toc17534"/>
      <w:bookmarkStart w:id="258" w:name="_Toc509411872"/>
      <w:bookmarkStart w:id="259" w:name="_Toc6412"/>
      <w:bookmarkStart w:id="260" w:name="_Toc19702"/>
      <w:bookmarkStart w:id="261" w:name="_Toc5818"/>
      <w:bookmarkStart w:id="262" w:name="_Toc17026"/>
      <w:r>
        <w:rPr>
          <w:rFonts w:hint="eastAsia" w:ascii="宋体" w:hAnsi="宋体"/>
          <w:color w:val="auto"/>
          <w:szCs w:val="21"/>
          <w:highlight w:val="none"/>
        </w:rPr>
        <w:t>7.法定代表人授权书</w:t>
      </w:r>
      <w:bookmarkEnd w:id="255"/>
      <w:bookmarkEnd w:id="256"/>
      <w:bookmarkEnd w:id="257"/>
      <w:bookmarkEnd w:id="258"/>
      <w:bookmarkEnd w:id="259"/>
      <w:bookmarkEnd w:id="260"/>
      <w:bookmarkEnd w:id="261"/>
      <w:bookmarkEnd w:id="262"/>
    </w:p>
    <w:p w14:paraId="5D1C4430">
      <w:pPr>
        <w:spacing w:line="360" w:lineRule="auto"/>
        <w:rPr>
          <w:rFonts w:ascii="宋体" w:hAnsi="宋体"/>
          <w:color w:val="auto"/>
          <w:szCs w:val="21"/>
          <w:highlight w:val="none"/>
        </w:rPr>
      </w:pPr>
      <w:bookmarkStart w:id="263" w:name="_Toc31584"/>
      <w:bookmarkStart w:id="264" w:name="_Toc7668"/>
      <w:bookmarkStart w:id="265" w:name="_Toc12791"/>
      <w:bookmarkStart w:id="266" w:name="_Toc11792"/>
      <w:bookmarkStart w:id="267" w:name="_Toc20624"/>
      <w:bookmarkStart w:id="268" w:name="_Toc24793"/>
      <w:bookmarkStart w:id="269" w:name="_Toc31389"/>
      <w:bookmarkStart w:id="270" w:name="_Toc509411873"/>
      <w:r>
        <w:rPr>
          <w:rFonts w:hint="eastAsia" w:ascii="宋体" w:hAnsi="宋体"/>
          <w:color w:val="auto"/>
          <w:szCs w:val="21"/>
          <w:highlight w:val="none"/>
        </w:rPr>
        <w:t>8.供应商基本情况</w:t>
      </w:r>
      <w:bookmarkEnd w:id="263"/>
      <w:bookmarkEnd w:id="264"/>
      <w:bookmarkEnd w:id="265"/>
      <w:bookmarkEnd w:id="266"/>
      <w:bookmarkEnd w:id="267"/>
      <w:bookmarkEnd w:id="268"/>
      <w:bookmarkEnd w:id="269"/>
      <w:bookmarkEnd w:id="270"/>
    </w:p>
    <w:p w14:paraId="2070DA7A">
      <w:pPr>
        <w:spacing w:line="360" w:lineRule="auto"/>
        <w:rPr>
          <w:rFonts w:ascii="宋体" w:hAnsi="宋体"/>
          <w:color w:val="auto"/>
          <w:szCs w:val="21"/>
          <w:highlight w:val="none"/>
        </w:rPr>
      </w:pPr>
      <w:bookmarkStart w:id="271" w:name="_Toc23157"/>
      <w:bookmarkStart w:id="272" w:name="_Toc24676"/>
      <w:bookmarkStart w:id="273" w:name="_Toc509411874"/>
      <w:bookmarkStart w:id="274" w:name="_Toc23438"/>
      <w:bookmarkStart w:id="275" w:name="_Toc15803"/>
      <w:r>
        <w:rPr>
          <w:rFonts w:hint="eastAsia" w:ascii="宋体" w:hAnsi="宋体"/>
          <w:color w:val="auto"/>
          <w:szCs w:val="21"/>
          <w:highlight w:val="none"/>
        </w:rPr>
        <w:t>9.类似项目业绩情况表</w:t>
      </w:r>
      <w:bookmarkEnd w:id="271"/>
      <w:bookmarkEnd w:id="272"/>
      <w:bookmarkEnd w:id="273"/>
      <w:bookmarkEnd w:id="274"/>
      <w:bookmarkEnd w:id="275"/>
    </w:p>
    <w:p w14:paraId="247A4986">
      <w:pPr>
        <w:spacing w:line="360" w:lineRule="auto"/>
        <w:rPr>
          <w:rFonts w:ascii="宋体" w:hAnsi="宋体"/>
          <w:color w:val="auto"/>
          <w:szCs w:val="21"/>
          <w:highlight w:val="none"/>
        </w:rPr>
      </w:pPr>
      <w:r>
        <w:rPr>
          <w:rFonts w:hint="eastAsia" w:ascii="宋体" w:hAnsi="宋体"/>
          <w:color w:val="auto"/>
          <w:szCs w:val="21"/>
          <w:highlight w:val="none"/>
        </w:rPr>
        <w:t>10.服务方案</w:t>
      </w:r>
    </w:p>
    <w:p w14:paraId="02634CEF">
      <w:pPr>
        <w:spacing w:line="360" w:lineRule="auto"/>
        <w:rPr>
          <w:rFonts w:ascii="宋体" w:hAnsi="宋体"/>
          <w:color w:val="auto"/>
          <w:szCs w:val="21"/>
          <w:highlight w:val="none"/>
        </w:rPr>
      </w:pPr>
      <w:r>
        <w:rPr>
          <w:rFonts w:hint="eastAsia" w:ascii="宋体" w:hAnsi="宋体"/>
          <w:color w:val="auto"/>
          <w:szCs w:val="21"/>
          <w:highlight w:val="none"/>
        </w:rPr>
        <w:t>11.供应商认为必要的其它材料</w:t>
      </w:r>
    </w:p>
    <w:p w14:paraId="368B2998">
      <w:pPr>
        <w:pStyle w:val="48"/>
        <w:spacing w:line="360" w:lineRule="auto"/>
        <w:rPr>
          <w:color w:val="auto"/>
          <w:sz w:val="21"/>
          <w:szCs w:val="21"/>
          <w:highlight w:val="none"/>
        </w:rPr>
      </w:pPr>
      <w:r>
        <w:rPr>
          <w:rFonts w:hint="eastAsia" w:hAnsi="宋体"/>
          <w:color w:val="auto"/>
          <w:sz w:val="21"/>
          <w:szCs w:val="21"/>
          <w:highlight w:val="none"/>
        </w:rPr>
        <w:t>12.磋商报价（第二轮）</w:t>
      </w:r>
    </w:p>
    <w:p w14:paraId="13C76B9D">
      <w:pPr>
        <w:spacing w:line="360" w:lineRule="auto"/>
        <w:rPr>
          <w:rFonts w:ascii="宋体" w:hAnsi="宋体"/>
          <w:color w:val="auto"/>
          <w:szCs w:val="21"/>
          <w:highlight w:val="none"/>
        </w:rPr>
      </w:pPr>
      <w:bookmarkStart w:id="276" w:name="_Toc21805"/>
      <w:bookmarkStart w:id="277" w:name="_Toc3649"/>
      <w:bookmarkStart w:id="278" w:name="_Toc509411875"/>
      <w:r>
        <w:rPr>
          <w:rFonts w:hint="eastAsia" w:ascii="宋体" w:hAnsi="宋体"/>
          <w:color w:val="auto"/>
          <w:szCs w:val="21"/>
          <w:highlight w:val="none"/>
        </w:rPr>
        <w:t>注：</w:t>
      </w:r>
      <w:bookmarkEnd w:id="276"/>
      <w:bookmarkEnd w:id="277"/>
      <w:bookmarkEnd w:id="278"/>
    </w:p>
    <w:p w14:paraId="647823C6">
      <w:pPr>
        <w:spacing w:line="360" w:lineRule="auto"/>
        <w:rPr>
          <w:rFonts w:ascii="宋体" w:hAnsi="宋体"/>
          <w:color w:val="auto"/>
          <w:szCs w:val="21"/>
          <w:highlight w:val="none"/>
        </w:rPr>
      </w:pPr>
      <w:bookmarkStart w:id="279" w:name="_Toc22621"/>
      <w:bookmarkStart w:id="280" w:name="_Toc31371"/>
      <w:bookmarkStart w:id="281" w:name="_Toc509411876"/>
      <w:r>
        <w:rPr>
          <w:rFonts w:hint="eastAsia" w:ascii="宋体" w:hAnsi="宋体"/>
          <w:color w:val="auto"/>
          <w:szCs w:val="21"/>
          <w:highlight w:val="none"/>
        </w:rPr>
        <w:t>请供应商根据采购文件的要求，结合自己的投标情况编制磋商响应文件，磋商响应文件内容不限于以上目录所列内容，文件中复印件或扫描件均需加盖供应商公章。请供应商编制目录及页码，便于评标委员会查阅和评审磋商响应文件。</w:t>
      </w:r>
      <w:bookmarkEnd w:id="279"/>
      <w:bookmarkEnd w:id="280"/>
      <w:bookmarkEnd w:id="281"/>
    </w:p>
    <w:p w14:paraId="7001568B">
      <w:pPr>
        <w:jc w:val="center"/>
        <w:rPr>
          <w:rFonts w:ascii="宋体" w:hAnsi="宋体"/>
          <w:color w:val="auto"/>
          <w:sz w:val="28"/>
          <w:szCs w:val="28"/>
          <w:highlight w:val="none"/>
        </w:rPr>
      </w:pPr>
      <w:r>
        <w:rPr>
          <w:rFonts w:hint="eastAsia"/>
          <w:color w:val="auto"/>
          <w:highlight w:val="none"/>
        </w:rPr>
        <w:br w:type="page"/>
      </w:r>
      <w:bookmarkEnd w:id="205"/>
      <w:bookmarkEnd w:id="206"/>
      <w:r>
        <w:rPr>
          <w:rFonts w:hint="eastAsia" w:ascii="宋体" w:hAnsi="宋体"/>
          <w:color w:val="auto"/>
          <w:sz w:val="28"/>
          <w:szCs w:val="28"/>
          <w:highlight w:val="none"/>
        </w:rPr>
        <w:t>1、磋商响应承诺书</w:t>
      </w:r>
    </w:p>
    <w:p w14:paraId="7E61F6BF">
      <w:pPr>
        <w:rPr>
          <w:rFonts w:ascii="宋体" w:hAnsi="宋体"/>
          <w:color w:val="auto"/>
          <w:sz w:val="28"/>
          <w:szCs w:val="28"/>
          <w:highlight w:val="none"/>
        </w:rPr>
      </w:pPr>
    </w:p>
    <w:p w14:paraId="0F43FF17">
      <w:pPr>
        <w:pStyle w:val="9"/>
        <w:tabs>
          <w:tab w:val="left" w:pos="742"/>
        </w:tabs>
        <w:kinsoku w:val="0"/>
        <w:overflowPunct w:val="0"/>
        <w:spacing w:line="360" w:lineRule="auto"/>
        <w:ind w:right="145"/>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14:paraId="3E9DD904">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（项目编号：     ）</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14:paraId="489B491E">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14:paraId="0850D580">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201B3B8F">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（小写）  </w:t>
      </w:r>
      <w:r>
        <w:rPr>
          <w:rFonts w:hint="eastAsia" w:ascii="宋体" w:eastAsia="宋体" w:cs="宋体"/>
          <w:b w:val="0"/>
          <w:bCs w:val="0"/>
          <w:color w:val="auto"/>
          <w:sz w:val="21"/>
          <w:szCs w:val="21"/>
          <w:highlight w:val="none"/>
        </w:rPr>
        <w:t>。</w:t>
      </w:r>
    </w:p>
    <w:p w14:paraId="4FC8AF4B">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14:paraId="60F9C1FC">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5.我方愿遵守《中华人民共和国政府采购法》及相关的政府采购法律法规，按《中华人民共和国民法典》履行我方的全部责任。</w:t>
      </w:r>
    </w:p>
    <w:p w14:paraId="6893D668">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0A954946">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14:paraId="1C28AEB7">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14:paraId="5FC3635E">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65C7F286">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42AFF5AA">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14:paraId="737065AD">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14:paraId="39F9A5C5">
      <w:pPr>
        <w:pStyle w:val="9"/>
        <w:tabs>
          <w:tab w:val="left" w:pos="5137"/>
        </w:tabs>
        <w:kinsoku w:val="0"/>
        <w:overflowPunct w:val="0"/>
        <w:spacing w:line="360" w:lineRule="auto"/>
        <w:ind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（盖单位章或电子签章）：</w:t>
      </w:r>
    </w:p>
    <w:p w14:paraId="39593D39">
      <w:pPr>
        <w:pStyle w:val="9"/>
        <w:tabs>
          <w:tab w:val="left" w:pos="4218"/>
        </w:tabs>
        <w:kinsoku w:val="0"/>
        <w:overflowPunct w:val="0"/>
        <w:spacing w:line="360" w:lineRule="auto"/>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（签字或盖章或电子签章）</w:t>
      </w:r>
      <w:r>
        <w:rPr>
          <w:rFonts w:hint="eastAsia" w:ascii="宋体" w:eastAsia="宋体" w:cs="宋体"/>
          <w:b w:val="0"/>
          <w:bCs w:val="0"/>
          <w:color w:val="auto"/>
          <w:sz w:val="21"/>
          <w:szCs w:val="16"/>
          <w:highlight w:val="none"/>
        </w:rPr>
        <w:tab/>
      </w:r>
    </w:p>
    <w:p w14:paraId="2F8E9890">
      <w:pPr>
        <w:pStyle w:val="9"/>
        <w:tabs>
          <w:tab w:val="left" w:pos="1200"/>
          <w:tab w:val="left" w:pos="2400"/>
          <w:tab w:val="left" w:pos="3360"/>
        </w:tabs>
        <w:kinsoku w:val="0"/>
        <w:overflowPunct w:val="0"/>
        <w:spacing w:line="240" w:lineRule="auto"/>
        <w:ind w:right="123"/>
        <w:jc w:val="left"/>
        <w:rPr>
          <w:rFonts w:ascii="宋体" w:eastAsia="宋体" w:cs="宋体"/>
          <w:b w:val="0"/>
          <w:bCs w:val="0"/>
          <w:color w:val="auto"/>
          <w:sz w:val="21"/>
          <w:szCs w:val="16"/>
          <w:highlight w:val="none"/>
        </w:rPr>
        <w:sectPr>
          <w:headerReference r:id="rId9" w:type="default"/>
          <w:footerReference r:id="rId10" w:type="default"/>
          <w:pgSz w:w="11911" w:h="16838"/>
          <w:pgMar w:top="1134" w:right="1689" w:bottom="1440" w:left="1689" w:header="720" w:footer="720" w:gutter="0"/>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rPr>
        <w:t xml:space="preserve">  </w:t>
      </w:r>
      <w:r>
        <w:rPr>
          <w:rFonts w:hint="eastAsia" w:ascii="宋体" w:eastAsia="宋体" w:cs="宋体"/>
          <w:b w:val="0"/>
          <w:bCs w:val="0"/>
          <w:color w:val="auto"/>
          <w:spacing w:val="-1"/>
          <w:sz w:val="21"/>
          <w:szCs w:val="16"/>
          <w:highlight w:val="none"/>
        </w:rPr>
        <w:t>日</w:t>
      </w:r>
    </w:p>
    <w:p w14:paraId="0C7F9286">
      <w:pPr>
        <w:jc w:val="center"/>
        <w:rPr>
          <w:rFonts w:ascii="宋体" w:hAnsi="宋体"/>
          <w:color w:val="auto"/>
          <w:sz w:val="28"/>
          <w:szCs w:val="28"/>
          <w:highlight w:val="none"/>
        </w:rPr>
      </w:pPr>
      <w:r>
        <w:rPr>
          <w:rFonts w:hint="eastAsia" w:ascii="宋体" w:hAnsi="宋体"/>
          <w:color w:val="auto"/>
          <w:sz w:val="28"/>
          <w:szCs w:val="28"/>
          <w:highlight w:val="none"/>
        </w:rPr>
        <w:t>2.磋商响应函附录（第一轮报价）</w:t>
      </w:r>
    </w:p>
    <w:tbl>
      <w:tblPr>
        <w:tblStyle w:val="24"/>
        <w:tblW w:w="8486" w:type="dxa"/>
        <w:jc w:val="center"/>
        <w:tblLayout w:type="fixed"/>
        <w:tblCellMar>
          <w:top w:w="0" w:type="dxa"/>
          <w:left w:w="108" w:type="dxa"/>
          <w:bottom w:w="0" w:type="dxa"/>
          <w:right w:w="108" w:type="dxa"/>
        </w:tblCellMar>
      </w:tblPr>
      <w:tblGrid>
        <w:gridCol w:w="2366"/>
        <w:gridCol w:w="6120"/>
      </w:tblGrid>
      <w:tr w14:paraId="3484DD3D">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524D9BA">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41C16D24">
            <w:pPr>
              <w:jc w:val="center"/>
              <w:rPr>
                <w:rFonts w:ascii="宋体" w:hAnsi="宋体" w:cs="宋体"/>
                <w:color w:val="auto"/>
                <w:sz w:val="24"/>
                <w:highlight w:val="none"/>
              </w:rPr>
            </w:pPr>
          </w:p>
        </w:tc>
      </w:tr>
      <w:tr w14:paraId="0A504997">
        <w:tblPrEx>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14:paraId="68283ADC">
            <w:pPr>
              <w:jc w:val="center"/>
              <w:rPr>
                <w:rFonts w:ascii="宋体" w:hAnsi="宋体" w:cs="宋体"/>
                <w:color w:val="auto"/>
                <w:sz w:val="24"/>
                <w:highlight w:val="none"/>
              </w:rPr>
            </w:pPr>
            <w:r>
              <w:rPr>
                <w:rFonts w:hint="eastAsia" w:ascii="宋体" w:hAnsi="宋体" w:eastAsia="Times New Roman" w:cs="宋体"/>
                <w:color w:val="auto"/>
                <w:sz w:val="24"/>
                <w:highlight w:val="none"/>
              </w:rPr>
              <w:t>项目编号</w:t>
            </w:r>
          </w:p>
        </w:tc>
        <w:tc>
          <w:tcPr>
            <w:tcW w:w="6120" w:type="dxa"/>
            <w:tcBorders>
              <w:left w:val="single" w:color="auto" w:sz="4" w:space="0"/>
              <w:right w:val="single" w:color="auto" w:sz="4" w:space="0"/>
            </w:tcBorders>
            <w:vAlign w:val="center"/>
          </w:tcPr>
          <w:p w14:paraId="6A66F19F">
            <w:pPr>
              <w:ind w:left="108"/>
              <w:jc w:val="center"/>
              <w:rPr>
                <w:rFonts w:ascii="宋体" w:hAnsi="宋体" w:cs="宋体"/>
                <w:color w:val="auto"/>
                <w:sz w:val="24"/>
                <w:highlight w:val="none"/>
              </w:rPr>
            </w:pPr>
          </w:p>
        </w:tc>
      </w:tr>
      <w:tr w14:paraId="50135929">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523DDC1">
            <w:pPr>
              <w:jc w:val="center"/>
              <w:rPr>
                <w:rFonts w:ascii="宋体" w:hAnsi="宋体" w:cs="宋体"/>
                <w:color w:val="auto"/>
                <w:sz w:val="24"/>
                <w:highlight w:val="none"/>
              </w:rPr>
            </w:pPr>
            <w:r>
              <w:rPr>
                <w:rFonts w:hint="eastAsia" w:ascii="宋体" w:hAnsi="宋体" w:eastAsia="Times New Roman" w:cs="宋体"/>
                <w:color w:val="auto"/>
                <w:sz w:val="24"/>
                <w:highlight w:val="none"/>
              </w:rPr>
              <w:t>供应商</w:t>
            </w:r>
            <w:r>
              <w:rPr>
                <w:rFonts w:hint="eastAsia" w:ascii="宋体" w:hAnsi="宋体" w:cs="宋体"/>
                <w:color w:val="auto"/>
                <w:sz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0BFEFBED">
            <w:pPr>
              <w:jc w:val="center"/>
              <w:rPr>
                <w:rFonts w:ascii="宋体" w:hAnsi="宋体" w:cs="宋体"/>
                <w:color w:val="auto"/>
                <w:sz w:val="24"/>
                <w:highlight w:val="none"/>
              </w:rPr>
            </w:pPr>
          </w:p>
        </w:tc>
      </w:tr>
      <w:tr w14:paraId="2A0F16D8">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1505E3A">
            <w:pPr>
              <w:jc w:val="center"/>
              <w:rPr>
                <w:rFonts w:ascii="宋体" w:hAnsi="宋体" w:cs="宋体"/>
                <w:color w:val="auto"/>
                <w:sz w:val="24"/>
                <w:highlight w:val="none"/>
              </w:rPr>
            </w:pPr>
            <w:r>
              <w:rPr>
                <w:rFonts w:hint="eastAsia" w:ascii="宋体" w:hAnsi="宋体" w:eastAsia="Times New Roman" w:cs="宋体"/>
                <w:color w:val="auto"/>
                <w:sz w:val="24"/>
                <w:highlight w:val="none"/>
              </w:rPr>
              <w:t>磋商首次</w:t>
            </w:r>
            <w:r>
              <w:rPr>
                <w:rFonts w:hint="eastAsia" w:ascii="宋体" w:hAnsi="宋体" w:cs="宋体"/>
                <w:color w:val="auto"/>
                <w:sz w:val="24"/>
                <w:highlight w:val="none"/>
              </w:rPr>
              <w:t>报价（元）</w:t>
            </w:r>
          </w:p>
        </w:tc>
        <w:tc>
          <w:tcPr>
            <w:tcW w:w="6120" w:type="dxa"/>
            <w:tcBorders>
              <w:top w:val="single" w:color="auto" w:sz="4" w:space="0"/>
              <w:left w:val="single" w:color="auto" w:sz="4" w:space="0"/>
              <w:bottom w:val="single" w:color="auto" w:sz="4" w:space="0"/>
              <w:right w:val="single" w:color="auto" w:sz="4" w:space="0"/>
            </w:tcBorders>
            <w:vAlign w:val="center"/>
          </w:tcPr>
          <w:p w14:paraId="533B92DD">
            <w:pPr>
              <w:pStyle w:val="50"/>
              <w:tabs>
                <w:tab w:val="left" w:pos="3463"/>
              </w:tabs>
              <w:kinsoku w:val="0"/>
              <w:overflowPunct w:val="0"/>
              <w:spacing w:line="360" w:lineRule="auto"/>
              <w:ind w:left="103"/>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14:paraId="2F7E002D">
            <w:pPr>
              <w:pStyle w:val="50"/>
              <w:tabs>
                <w:tab w:val="left" w:pos="3463"/>
              </w:tabs>
              <w:kinsoku w:val="0"/>
              <w:overflowPunct w:val="0"/>
              <w:spacing w:line="360" w:lineRule="auto"/>
              <w:ind w:left="103"/>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14:paraId="0FD99AAA">
            <w:pPr>
              <w:ind w:left="1205" w:hanging="1201" w:hangingChars="600"/>
              <w:rPr>
                <w:rFonts w:ascii="宋体" w:hAnsi="宋体" w:cs="宋体"/>
                <w:color w:val="auto"/>
                <w:sz w:val="24"/>
                <w:highlight w:val="none"/>
              </w:rPr>
            </w:pPr>
            <w:r>
              <w:rPr>
                <w:rFonts w:hint="eastAsia" w:ascii="Times New Roman" w:hAnsi="Times New Roman" w:eastAsia="Times New Roman"/>
                <w:b/>
                <w:bCs/>
                <w:color w:val="auto"/>
                <w:sz w:val="20"/>
                <w:szCs w:val="20"/>
                <w:highlight w:val="none"/>
              </w:rPr>
              <w:t>（</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应在此填列第一次报价，但以</w:t>
            </w:r>
            <w:r>
              <w:rPr>
                <w:rFonts w:hint="eastAsia" w:ascii="Times New Roman" w:hAnsi="Times New Roman"/>
                <w:b/>
                <w:bCs/>
                <w:color w:val="auto"/>
                <w:sz w:val="20"/>
                <w:szCs w:val="20"/>
                <w:highlight w:val="none"/>
              </w:rPr>
              <w:t>供应商</w:t>
            </w:r>
            <w:r>
              <w:rPr>
                <w:rFonts w:hint="eastAsia" w:ascii="Times New Roman" w:hAnsi="Times New Roman" w:eastAsia="Times New Roman"/>
                <w:b/>
                <w:bCs/>
                <w:color w:val="auto"/>
                <w:sz w:val="20"/>
                <w:szCs w:val="20"/>
                <w:highlight w:val="none"/>
              </w:rPr>
              <w:t>最后一次的磋商报价为成交价）</w:t>
            </w:r>
          </w:p>
        </w:tc>
      </w:tr>
      <w:tr w14:paraId="15F0A111">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FEC20F5">
            <w:pPr>
              <w:jc w:val="center"/>
              <w:rPr>
                <w:rFonts w:ascii="宋体" w:hAnsi="宋体" w:cs="宋体"/>
                <w:color w:val="auto"/>
                <w:sz w:val="24"/>
                <w:highlight w:val="none"/>
              </w:rPr>
            </w:pPr>
            <w:r>
              <w:rPr>
                <w:rFonts w:hint="eastAsia" w:ascii="宋体" w:hAnsi="宋体" w:eastAsia="Times New Roman" w:cs="宋体"/>
                <w:color w:val="auto"/>
                <w:sz w:val="24"/>
                <w:highlight w:val="none"/>
              </w:rPr>
              <w:t>服务周期</w:t>
            </w:r>
          </w:p>
        </w:tc>
        <w:tc>
          <w:tcPr>
            <w:tcW w:w="6120" w:type="dxa"/>
            <w:tcBorders>
              <w:top w:val="single" w:color="auto" w:sz="4" w:space="0"/>
              <w:left w:val="single" w:color="auto" w:sz="4" w:space="0"/>
              <w:bottom w:val="single" w:color="auto" w:sz="4" w:space="0"/>
              <w:right w:val="single" w:color="auto" w:sz="4" w:space="0"/>
            </w:tcBorders>
            <w:vAlign w:val="center"/>
          </w:tcPr>
          <w:p w14:paraId="40B90B3B">
            <w:pPr>
              <w:ind w:left="1440" w:hanging="1440" w:hangingChars="600"/>
              <w:rPr>
                <w:rFonts w:ascii="宋体" w:hAnsi="宋体" w:cs="宋体"/>
                <w:color w:val="auto"/>
                <w:sz w:val="24"/>
                <w:highlight w:val="none"/>
              </w:rPr>
            </w:pPr>
          </w:p>
        </w:tc>
      </w:tr>
      <w:tr w14:paraId="41C5C3CE">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B5FB95B">
            <w:pPr>
              <w:jc w:val="center"/>
              <w:rPr>
                <w:rFonts w:ascii="宋体" w:hAnsi="宋体" w:cs="宋体"/>
                <w:color w:val="auto"/>
                <w:sz w:val="24"/>
                <w:highlight w:val="none"/>
              </w:rPr>
            </w:pPr>
            <w:r>
              <w:rPr>
                <w:rFonts w:hint="eastAsia" w:ascii="宋体" w:hAnsi="宋体" w:eastAsia="Times New Roman" w:cs="宋体"/>
                <w:color w:val="auto"/>
                <w:sz w:val="24"/>
                <w:highlight w:val="none"/>
              </w:rPr>
              <w:t>项目负责人</w:t>
            </w:r>
          </w:p>
        </w:tc>
        <w:tc>
          <w:tcPr>
            <w:tcW w:w="6120" w:type="dxa"/>
            <w:tcBorders>
              <w:top w:val="single" w:color="auto" w:sz="4" w:space="0"/>
              <w:left w:val="single" w:color="auto" w:sz="4" w:space="0"/>
              <w:bottom w:val="single" w:color="auto" w:sz="4" w:space="0"/>
              <w:right w:val="single" w:color="auto" w:sz="4" w:space="0"/>
            </w:tcBorders>
            <w:vAlign w:val="center"/>
          </w:tcPr>
          <w:p w14:paraId="3256AA08">
            <w:pPr>
              <w:ind w:left="1440" w:hanging="1440" w:hangingChars="600"/>
              <w:rPr>
                <w:rFonts w:ascii="宋体" w:hAnsi="宋体" w:cs="宋体"/>
                <w:color w:val="auto"/>
                <w:sz w:val="24"/>
                <w:highlight w:val="none"/>
              </w:rPr>
            </w:pPr>
          </w:p>
        </w:tc>
      </w:tr>
      <w:tr w14:paraId="2276BFBB">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AF599F0">
            <w:pPr>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1B1F7FCE">
            <w:pPr>
              <w:ind w:left="1440" w:hanging="1440" w:hangingChars="600"/>
              <w:rPr>
                <w:rFonts w:ascii="宋体" w:hAnsi="宋体" w:cs="宋体"/>
                <w:color w:val="auto"/>
                <w:sz w:val="24"/>
                <w:highlight w:val="none"/>
              </w:rPr>
            </w:pPr>
          </w:p>
        </w:tc>
      </w:tr>
      <w:tr w14:paraId="3B84D259">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0A61DC2">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3FD0777D">
            <w:pPr>
              <w:ind w:left="1440" w:hanging="1440" w:hangingChars="600"/>
              <w:rPr>
                <w:rFonts w:ascii="宋体" w:hAnsi="宋体" w:cs="宋体"/>
                <w:color w:val="auto"/>
                <w:sz w:val="24"/>
                <w:highlight w:val="none"/>
              </w:rPr>
            </w:pPr>
          </w:p>
        </w:tc>
      </w:tr>
    </w:tbl>
    <w:p w14:paraId="7186754C">
      <w:pPr>
        <w:pStyle w:val="10"/>
        <w:spacing w:line="600" w:lineRule="exact"/>
        <w:jc w:val="right"/>
        <w:rPr>
          <w:rFonts w:ascii="宋体" w:hAnsi="宋体" w:cs="宋体"/>
          <w:color w:val="auto"/>
          <w:sz w:val="24"/>
          <w:highlight w:val="none"/>
        </w:rPr>
      </w:pPr>
    </w:p>
    <w:p w14:paraId="4E4EE410">
      <w:pPr>
        <w:pStyle w:val="10"/>
        <w:spacing w:line="600" w:lineRule="exact"/>
        <w:jc w:val="right"/>
        <w:rPr>
          <w:rFonts w:ascii="宋体" w:hAnsi="宋体" w:cs="宋体"/>
          <w:color w:val="auto"/>
          <w:sz w:val="24"/>
          <w:highlight w:val="none"/>
        </w:rPr>
      </w:pPr>
    </w:p>
    <w:p w14:paraId="4390129A">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供应商：（盖单位章或电子签章）</w:t>
      </w:r>
      <w:r>
        <w:rPr>
          <w:rFonts w:hint="eastAsia" w:ascii="宋体" w:hAnsi="宋体" w:cs="宋体"/>
          <w:color w:val="auto"/>
          <w:w w:val="99"/>
          <w:szCs w:val="21"/>
          <w:highlight w:val="none"/>
        </w:rPr>
        <w:t xml:space="preserve"> </w:t>
      </w:r>
    </w:p>
    <w:p w14:paraId="09268127">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法定代表人（签字或盖章或电子签章）：</w:t>
      </w:r>
      <w:r>
        <w:rPr>
          <w:rFonts w:hint="eastAsia" w:ascii="宋体" w:hAnsi="宋体" w:cs="宋体"/>
          <w:color w:val="auto"/>
          <w:w w:val="99"/>
          <w:szCs w:val="21"/>
          <w:highlight w:val="none"/>
        </w:rPr>
        <w:t xml:space="preserve"> </w:t>
      </w:r>
    </w:p>
    <w:p w14:paraId="25357B87">
      <w:pPr>
        <w:pStyle w:val="9"/>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rPr>
        <w:sectPr>
          <w:pgSz w:w="11911" w:h="16838"/>
          <w:pgMar w:top="1440" w:right="1803" w:bottom="1440" w:left="1803" w:header="720" w:footer="720" w:gutter="0"/>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 xml:space="preserve">日 </w:t>
      </w:r>
    </w:p>
    <w:p w14:paraId="0FD0B307">
      <w:pPr>
        <w:numPr>
          <w:ilvl w:val="0"/>
          <w:numId w:val="6"/>
        </w:numPr>
        <w:ind w:firstLine="840" w:firstLineChars="300"/>
        <w:jc w:val="center"/>
        <w:rPr>
          <w:rFonts w:ascii="宋体" w:hAnsi="宋体"/>
          <w:bCs/>
          <w:color w:val="auto"/>
          <w:sz w:val="28"/>
          <w:szCs w:val="28"/>
          <w:highlight w:val="none"/>
        </w:rPr>
      </w:pPr>
      <w:bookmarkStart w:id="282" w:name="_Toc30817"/>
      <w:bookmarkStart w:id="283" w:name="_Toc9626"/>
      <w:bookmarkStart w:id="284" w:name="_Toc7716"/>
      <w:bookmarkStart w:id="285" w:name="_Toc16756"/>
      <w:bookmarkStart w:id="286" w:name="_Toc6817"/>
      <w:bookmarkStart w:id="287" w:name="_Toc30874"/>
      <w:bookmarkStart w:id="288" w:name="_Toc32011"/>
      <w:bookmarkStart w:id="289" w:name="_Toc27499"/>
      <w:bookmarkStart w:id="290" w:name="_Toc28742"/>
      <w:bookmarkStart w:id="291" w:name="_Toc8508"/>
      <w:bookmarkStart w:id="292" w:name="_Toc2256"/>
      <w:bookmarkStart w:id="293" w:name="_Toc10867"/>
      <w:bookmarkStart w:id="294" w:name="_Toc13449"/>
      <w:r>
        <w:rPr>
          <w:rFonts w:hint="eastAsia" w:ascii="宋体" w:hAnsi="宋体"/>
          <w:bCs/>
          <w:color w:val="auto"/>
          <w:sz w:val="28"/>
          <w:szCs w:val="28"/>
          <w:highlight w:val="none"/>
        </w:rPr>
        <w:t>报价明细表</w:t>
      </w:r>
      <w:bookmarkEnd w:id="282"/>
      <w:bookmarkEnd w:id="283"/>
      <w:bookmarkEnd w:id="284"/>
      <w:bookmarkEnd w:id="285"/>
      <w:bookmarkEnd w:id="286"/>
      <w:bookmarkEnd w:id="287"/>
      <w:bookmarkEnd w:id="288"/>
      <w:bookmarkEnd w:id="289"/>
      <w:bookmarkEnd w:id="290"/>
      <w:bookmarkEnd w:id="291"/>
      <w:bookmarkEnd w:id="292"/>
      <w:bookmarkEnd w:id="293"/>
      <w:bookmarkEnd w:id="294"/>
    </w:p>
    <w:p w14:paraId="5470C3DF">
      <w:pPr>
        <w:pStyle w:val="22"/>
        <w:ind w:firstLine="240"/>
        <w:rPr>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4131"/>
        <w:gridCol w:w="2460"/>
      </w:tblGrid>
      <w:tr w14:paraId="353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51721ED">
            <w:pPr>
              <w:spacing w:line="360" w:lineRule="auto"/>
              <w:jc w:val="center"/>
              <w:rPr>
                <w:color w:val="auto"/>
                <w:szCs w:val="21"/>
                <w:highlight w:val="none"/>
              </w:rPr>
            </w:pPr>
            <w:r>
              <w:rPr>
                <w:color w:val="auto"/>
                <w:szCs w:val="21"/>
                <w:highlight w:val="none"/>
              </w:rPr>
              <w:t>调整类型</w:t>
            </w:r>
          </w:p>
        </w:tc>
        <w:tc>
          <w:tcPr>
            <w:tcW w:w="4132" w:type="dxa"/>
            <w:vAlign w:val="center"/>
          </w:tcPr>
          <w:p w14:paraId="637D2164">
            <w:pPr>
              <w:spacing w:line="360" w:lineRule="auto"/>
              <w:jc w:val="center"/>
              <w:rPr>
                <w:color w:val="auto"/>
                <w:szCs w:val="21"/>
                <w:highlight w:val="none"/>
              </w:rPr>
            </w:pPr>
            <w:r>
              <w:rPr>
                <w:color w:val="auto"/>
                <w:szCs w:val="21"/>
                <w:highlight w:val="none"/>
              </w:rPr>
              <w:t>调整内容</w:t>
            </w:r>
          </w:p>
        </w:tc>
        <w:tc>
          <w:tcPr>
            <w:tcW w:w="2460" w:type="dxa"/>
            <w:vAlign w:val="center"/>
          </w:tcPr>
          <w:p w14:paraId="5276DE2E">
            <w:pPr>
              <w:spacing w:line="360" w:lineRule="auto"/>
              <w:jc w:val="center"/>
              <w:rPr>
                <w:color w:val="auto"/>
                <w:szCs w:val="21"/>
                <w:highlight w:val="none"/>
              </w:rPr>
            </w:pPr>
            <w:r>
              <w:rPr>
                <w:color w:val="auto"/>
                <w:szCs w:val="21"/>
                <w:highlight w:val="none"/>
              </w:rPr>
              <w:t>分解费用（万元）</w:t>
            </w:r>
          </w:p>
        </w:tc>
      </w:tr>
      <w:tr w14:paraId="7D63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058AE691">
            <w:pPr>
              <w:spacing w:line="360" w:lineRule="auto"/>
              <w:jc w:val="center"/>
              <w:rPr>
                <w:color w:val="auto"/>
                <w:szCs w:val="21"/>
                <w:highlight w:val="none"/>
              </w:rPr>
            </w:pPr>
            <w:r>
              <w:rPr>
                <w:rFonts w:hint="eastAsia"/>
                <w:color w:val="auto"/>
                <w:szCs w:val="21"/>
                <w:highlight w:val="none"/>
              </w:rPr>
              <w:t>三条控制线</w:t>
            </w:r>
          </w:p>
        </w:tc>
        <w:tc>
          <w:tcPr>
            <w:tcW w:w="4132" w:type="dxa"/>
            <w:vAlign w:val="center"/>
          </w:tcPr>
          <w:p w14:paraId="3CBC013F">
            <w:pPr>
              <w:spacing w:line="360" w:lineRule="auto"/>
              <w:jc w:val="center"/>
              <w:rPr>
                <w:color w:val="auto"/>
                <w:szCs w:val="21"/>
                <w:highlight w:val="none"/>
              </w:rPr>
            </w:pPr>
            <w:r>
              <w:rPr>
                <w:color w:val="auto"/>
                <w:szCs w:val="21"/>
                <w:highlight w:val="none"/>
              </w:rPr>
              <w:t>生态保护红线</w:t>
            </w:r>
          </w:p>
        </w:tc>
        <w:tc>
          <w:tcPr>
            <w:tcW w:w="2460" w:type="dxa"/>
            <w:vAlign w:val="center"/>
          </w:tcPr>
          <w:p w14:paraId="1388AD0C">
            <w:pPr>
              <w:spacing w:line="360" w:lineRule="auto"/>
              <w:jc w:val="center"/>
              <w:rPr>
                <w:color w:val="auto"/>
                <w:szCs w:val="21"/>
                <w:highlight w:val="none"/>
              </w:rPr>
            </w:pPr>
          </w:p>
        </w:tc>
      </w:tr>
      <w:tr w14:paraId="1CD7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center"/>
          </w:tcPr>
          <w:p w14:paraId="6B41EE26">
            <w:pPr>
              <w:spacing w:line="360" w:lineRule="auto"/>
              <w:jc w:val="center"/>
              <w:rPr>
                <w:color w:val="auto"/>
                <w:szCs w:val="21"/>
                <w:highlight w:val="none"/>
              </w:rPr>
            </w:pPr>
          </w:p>
        </w:tc>
        <w:tc>
          <w:tcPr>
            <w:tcW w:w="4132" w:type="dxa"/>
            <w:vAlign w:val="center"/>
          </w:tcPr>
          <w:p w14:paraId="5B5A10A1">
            <w:pPr>
              <w:spacing w:line="360" w:lineRule="auto"/>
              <w:jc w:val="center"/>
              <w:rPr>
                <w:color w:val="auto"/>
                <w:szCs w:val="21"/>
                <w:highlight w:val="none"/>
              </w:rPr>
            </w:pPr>
            <w:r>
              <w:rPr>
                <w:color w:val="auto"/>
                <w:szCs w:val="21"/>
                <w:highlight w:val="none"/>
              </w:rPr>
              <w:t>城镇开发边界</w:t>
            </w:r>
          </w:p>
        </w:tc>
        <w:tc>
          <w:tcPr>
            <w:tcW w:w="2460" w:type="dxa"/>
            <w:vAlign w:val="center"/>
          </w:tcPr>
          <w:p w14:paraId="293CCED3">
            <w:pPr>
              <w:spacing w:line="360" w:lineRule="auto"/>
              <w:jc w:val="center"/>
              <w:rPr>
                <w:color w:val="auto"/>
                <w:szCs w:val="21"/>
                <w:highlight w:val="none"/>
              </w:rPr>
            </w:pPr>
          </w:p>
        </w:tc>
      </w:tr>
      <w:tr w14:paraId="0048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center"/>
          </w:tcPr>
          <w:p w14:paraId="091C3E45">
            <w:pPr>
              <w:spacing w:line="360" w:lineRule="auto"/>
              <w:jc w:val="center"/>
              <w:rPr>
                <w:color w:val="auto"/>
                <w:szCs w:val="21"/>
                <w:highlight w:val="none"/>
              </w:rPr>
            </w:pPr>
          </w:p>
        </w:tc>
        <w:tc>
          <w:tcPr>
            <w:tcW w:w="4132" w:type="dxa"/>
            <w:vAlign w:val="center"/>
          </w:tcPr>
          <w:p w14:paraId="1B8D9B69">
            <w:pPr>
              <w:spacing w:line="360" w:lineRule="auto"/>
              <w:jc w:val="center"/>
              <w:rPr>
                <w:color w:val="auto"/>
                <w:szCs w:val="21"/>
                <w:highlight w:val="none"/>
              </w:rPr>
            </w:pPr>
            <w:r>
              <w:rPr>
                <w:color w:val="auto"/>
                <w:szCs w:val="21"/>
                <w:highlight w:val="none"/>
              </w:rPr>
              <w:t>永久基本农田红线</w:t>
            </w:r>
          </w:p>
        </w:tc>
        <w:tc>
          <w:tcPr>
            <w:tcW w:w="2460" w:type="dxa"/>
            <w:vAlign w:val="center"/>
          </w:tcPr>
          <w:p w14:paraId="228FC36B">
            <w:pPr>
              <w:spacing w:line="360" w:lineRule="auto"/>
              <w:jc w:val="center"/>
              <w:rPr>
                <w:color w:val="auto"/>
                <w:szCs w:val="21"/>
                <w:highlight w:val="none"/>
              </w:rPr>
            </w:pPr>
          </w:p>
        </w:tc>
      </w:tr>
      <w:tr w14:paraId="7736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7DA813B6">
            <w:pPr>
              <w:spacing w:line="360" w:lineRule="auto"/>
              <w:jc w:val="center"/>
              <w:rPr>
                <w:color w:val="auto"/>
                <w:szCs w:val="21"/>
                <w:highlight w:val="none"/>
              </w:rPr>
            </w:pPr>
            <w:r>
              <w:rPr>
                <w:color w:val="auto"/>
                <w:szCs w:val="21"/>
                <w:highlight w:val="none"/>
              </w:rPr>
              <w:t>规划分区</w:t>
            </w:r>
          </w:p>
        </w:tc>
        <w:tc>
          <w:tcPr>
            <w:tcW w:w="4132" w:type="dxa"/>
            <w:vAlign w:val="center"/>
          </w:tcPr>
          <w:p w14:paraId="340939AF">
            <w:pPr>
              <w:spacing w:line="360" w:lineRule="auto"/>
              <w:jc w:val="center"/>
              <w:rPr>
                <w:color w:val="auto"/>
                <w:szCs w:val="21"/>
                <w:highlight w:val="none"/>
              </w:rPr>
            </w:pPr>
            <w:r>
              <w:rPr>
                <w:color w:val="auto"/>
                <w:szCs w:val="21"/>
                <w:highlight w:val="none"/>
              </w:rPr>
              <w:t>依据控制线调整对分区进行更新</w:t>
            </w:r>
          </w:p>
        </w:tc>
        <w:tc>
          <w:tcPr>
            <w:tcW w:w="2460" w:type="dxa"/>
            <w:vAlign w:val="center"/>
          </w:tcPr>
          <w:p w14:paraId="60F6CD82">
            <w:pPr>
              <w:spacing w:line="360" w:lineRule="auto"/>
              <w:jc w:val="center"/>
              <w:rPr>
                <w:color w:val="auto"/>
                <w:szCs w:val="21"/>
                <w:highlight w:val="none"/>
              </w:rPr>
            </w:pPr>
          </w:p>
        </w:tc>
      </w:tr>
      <w:tr w14:paraId="287D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D584AAB">
            <w:pPr>
              <w:spacing w:line="360" w:lineRule="auto"/>
              <w:jc w:val="center"/>
              <w:rPr>
                <w:color w:val="auto"/>
                <w:szCs w:val="21"/>
                <w:highlight w:val="none"/>
              </w:rPr>
            </w:pPr>
            <w:r>
              <w:rPr>
                <w:color w:val="auto"/>
                <w:szCs w:val="21"/>
                <w:highlight w:val="none"/>
              </w:rPr>
              <w:t>中心城区用地布局</w:t>
            </w:r>
          </w:p>
        </w:tc>
        <w:tc>
          <w:tcPr>
            <w:tcW w:w="4132" w:type="dxa"/>
            <w:vAlign w:val="center"/>
          </w:tcPr>
          <w:p w14:paraId="0F354389">
            <w:pPr>
              <w:spacing w:line="360" w:lineRule="auto"/>
              <w:jc w:val="center"/>
              <w:rPr>
                <w:color w:val="auto"/>
                <w:szCs w:val="21"/>
                <w:highlight w:val="none"/>
              </w:rPr>
            </w:pPr>
            <w:r>
              <w:rPr>
                <w:color w:val="auto"/>
                <w:szCs w:val="21"/>
                <w:highlight w:val="none"/>
              </w:rPr>
              <w:t>结合实际建设，按照正向优化对其进行优化调整</w:t>
            </w:r>
          </w:p>
        </w:tc>
        <w:tc>
          <w:tcPr>
            <w:tcW w:w="2460" w:type="dxa"/>
            <w:vAlign w:val="center"/>
          </w:tcPr>
          <w:p w14:paraId="096CA834">
            <w:pPr>
              <w:spacing w:line="360" w:lineRule="auto"/>
              <w:jc w:val="center"/>
              <w:rPr>
                <w:color w:val="auto"/>
                <w:szCs w:val="21"/>
                <w:highlight w:val="none"/>
              </w:rPr>
            </w:pPr>
          </w:p>
        </w:tc>
      </w:tr>
      <w:tr w14:paraId="1525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72A4154D">
            <w:pPr>
              <w:spacing w:line="360" w:lineRule="auto"/>
              <w:jc w:val="center"/>
              <w:rPr>
                <w:color w:val="auto"/>
                <w:szCs w:val="21"/>
                <w:highlight w:val="none"/>
              </w:rPr>
            </w:pPr>
            <w:r>
              <w:rPr>
                <w:color w:val="auto"/>
                <w:szCs w:val="21"/>
                <w:highlight w:val="none"/>
              </w:rPr>
              <w:t>城市重要控制线</w:t>
            </w:r>
          </w:p>
        </w:tc>
        <w:tc>
          <w:tcPr>
            <w:tcW w:w="4132" w:type="dxa"/>
            <w:vAlign w:val="center"/>
          </w:tcPr>
          <w:p w14:paraId="1BD21A3E">
            <w:pPr>
              <w:spacing w:line="360" w:lineRule="auto"/>
              <w:jc w:val="center"/>
              <w:rPr>
                <w:color w:val="auto"/>
                <w:szCs w:val="21"/>
                <w:highlight w:val="none"/>
              </w:rPr>
            </w:pPr>
            <w:r>
              <w:rPr>
                <w:color w:val="auto"/>
                <w:szCs w:val="21"/>
                <w:highlight w:val="none"/>
              </w:rPr>
              <w:t>对城市绿线、黄线进行优化调整</w:t>
            </w:r>
          </w:p>
        </w:tc>
        <w:tc>
          <w:tcPr>
            <w:tcW w:w="2460" w:type="dxa"/>
            <w:vAlign w:val="center"/>
          </w:tcPr>
          <w:p w14:paraId="66458C52">
            <w:pPr>
              <w:spacing w:line="360" w:lineRule="auto"/>
              <w:jc w:val="center"/>
              <w:rPr>
                <w:color w:val="auto"/>
                <w:szCs w:val="21"/>
                <w:highlight w:val="none"/>
              </w:rPr>
            </w:pPr>
          </w:p>
        </w:tc>
      </w:tr>
      <w:tr w14:paraId="10E3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4A01D78B">
            <w:pPr>
              <w:spacing w:line="360" w:lineRule="auto"/>
              <w:jc w:val="center"/>
              <w:rPr>
                <w:color w:val="auto"/>
                <w:szCs w:val="21"/>
                <w:highlight w:val="none"/>
              </w:rPr>
            </w:pPr>
            <w:r>
              <w:rPr>
                <w:color w:val="auto"/>
                <w:szCs w:val="21"/>
                <w:highlight w:val="none"/>
              </w:rPr>
              <w:t>其他重要控制线</w:t>
            </w:r>
          </w:p>
        </w:tc>
        <w:tc>
          <w:tcPr>
            <w:tcW w:w="4132" w:type="dxa"/>
            <w:vAlign w:val="center"/>
          </w:tcPr>
          <w:p w14:paraId="43B6D83F">
            <w:pPr>
              <w:spacing w:line="360" w:lineRule="auto"/>
              <w:jc w:val="center"/>
              <w:rPr>
                <w:color w:val="auto"/>
                <w:szCs w:val="21"/>
                <w:highlight w:val="none"/>
              </w:rPr>
            </w:pPr>
            <w:r>
              <w:rPr>
                <w:color w:val="auto"/>
                <w:szCs w:val="21"/>
                <w:highlight w:val="none"/>
              </w:rPr>
              <w:t>涉及历史文化保护线、洪涝风险控制线等</w:t>
            </w:r>
          </w:p>
        </w:tc>
        <w:tc>
          <w:tcPr>
            <w:tcW w:w="2460" w:type="dxa"/>
            <w:vAlign w:val="center"/>
          </w:tcPr>
          <w:p w14:paraId="5892C02D">
            <w:pPr>
              <w:spacing w:line="360" w:lineRule="auto"/>
              <w:jc w:val="center"/>
              <w:rPr>
                <w:color w:val="auto"/>
                <w:szCs w:val="21"/>
                <w:highlight w:val="none"/>
              </w:rPr>
            </w:pPr>
          </w:p>
        </w:tc>
      </w:tr>
      <w:tr w14:paraId="1B11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03EB2A2">
            <w:pPr>
              <w:spacing w:line="360" w:lineRule="auto"/>
              <w:jc w:val="center"/>
              <w:rPr>
                <w:color w:val="auto"/>
                <w:szCs w:val="21"/>
                <w:highlight w:val="none"/>
              </w:rPr>
            </w:pPr>
            <w:r>
              <w:rPr>
                <w:color w:val="auto"/>
                <w:szCs w:val="21"/>
                <w:highlight w:val="none"/>
              </w:rPr>
              <w:t>重点建设项目清单</w:t>
            </w:r>
          </w:p>
        </w:tc>
        <w:tc>
          <w:tcPr>
            <w:tcW w:w="4132" w:type="dxa"/>
            <w:vAlign w:val="center"/>
          </w:tcPr>
          <w:p w14:paraId="0057B258">
            <w:pPr>
              <w:spacing w:line="360" w:lineRule="auto"/>
              <w:jc w:val="center"/>
              <w:rPr>
                <w:color w:val="auto"/>
                <w:szCs w:val="21"/>
                <w:highlight w:val="none"/>
              </w:rPr>
            </w:pPr>
            <w:r>
              <w:rPr>
                <w:color w:val="auto"/>
                <w:szCs w:val="21"/>
                <w:highlight w:val="none"/>
              </w:rPr>
              <w:t>依据十五五及新进项目优化维护重点项目清单</w:t>
            </w:r>
          </w:p>
        </w:tc>
        <w:tc>
          <w:tcPr>
            <w:tcW w:w="2460" w:type="dxa"/>
            <w:vAlign w:val="center"/>
          </w:tcPr>
          <w:p w14:paraId="3F618401">
            <w:pPr>
              <w:spacing w:line="360" w:lineRule="auto"/>
              <w:jc w:val="center"/>
              <w:rPr>
                <w:color w:val="auto"/>
                <w:szCs w:val="21"/>
                <w:highlight w:val="none"/>
              </w:rPr>
            </w:pPr>
          </w:p>
        </w:tc>
      </w:tr>
      <w:tr w14:paraId="5917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C67159F">
            <w:pPr>
              <w:spacing w:line="360" w:lineRule="auto"/>
              <w:jc w:val="center"/>
              <w:rPr>
                <w:color w:val="auto"/>
                <w:szCs w:val="21"/>
                <w:highlight w:val="none"/>
              </w:rPr>
            </w:pPr>
            <w:bookmarkStart w:id="295" w:name="OLE_LINK24"/>
            <w:bookmarkStart w:id="296" w:name="OLE_LINK23"/>
            <w:bookmarkStart w:id="297" w:name="OLE_LINK25"/>
            <w:r>
              <w:rPr>
                <w:color w:val="auto"/>
                <w:szCs w:val="21"/>
                <w:highlight w:val="none"/>
              </w:rPr>
              <w:t>包含乡镇主体功能及村庄分类布局等其他需要维护的内容</w:t>
            </w:r>
          </w:p>
        </w:tc>
        <w:tc>
          <w:tcPr>
            <w:tcW w:w="4132" w:type="dxa"/>
            <w:vAlign w:val="center"/>
          </w:tcPr>
          <w:p w14:paraId="39B530A1">
            <w:pPr>
              <w:spacing w:line="360" w:lineRule="auto"/>
              <w:jc w:val="center"/>
              <w:rPr>
                <w:color w:val="auto"/>
                <w:szCs w:val="21"/>
                <w:highlight w:val="none"/>
              </w:rPr>
            </w:pPr>
            <w:r>
              <w:rPr>
                <w:color w:val="auto"/>
                <w:szCs w:val="21"/>
                <w:highlight w:val="none"/>
              </w:rPr>
              <w:t>结合乡镇国空对总规不一致的</w:t>
            </w:r>
            <w:r>
              <w:rPr>
                <w:rFonts w:hint="eastAsia"/>
                <w:color w:val="auto"/>
                <w:szCs w:val="21"/>
                <w:highlight w:val="none"/>
              </w:rPr>
              <w:t>内容</w:t>
            </w:r>
            <w:r>
              <w:rPr>
                <w:color w:val="auto"/>
                <w:szCs w:val="21"/>
                <w:highlight w:val="none"/>
              </w:rPr>
              <w:t>进行优化调整</w:t>
            </w:r>
          </w:p>
        </w:tc>
        <w:tc>
          <w:tcPr>
            <w:tcW w:w="2460" w:type="dxa"/>
            <w:vAlign w:val="center"/>
          </w:tcPr>
          <w:p w14:paraId="77176F58">
            <w:pPr>
              <w:spacing w:line="360" w:lineRule="auto"/>
              <w:jc w:val="center"/>
              <w:rPr>
                <w:color w:val="auto"/>
                <w:szCs w:val="21"/>
                <w:highlight w:val="none"/>
              </w:rPr>
            </w:pPr>
          </w:p>
        </w:tc>
      </w:tr>
      <w:tr w14:paraId="4518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2"/>
            <w:vAlign w:val="center"/>
          </w:tcPr>
          <w:p w14:paraId="75D0C393">
            <w:pPr>
              <w:spacing w:line="360" w:lineRule="auto"/>
              <w:jc w:val="center"/>
              <w:rPr>
                <w:color w:val="auto"/>
                <w:szCs w:val="21"/>
                <w:highlight w:val="none"/>
              </w:rPr>
            </w:pPr>
            <w:r>
              <w:rPr>
                <w:color w:val="auto"/>
                <w:szCs w:val="21"/>
                <w:highlight w:val="none"/>
              </w:rPr>
              <w:t>合计</w:t>
            </w:r>
          </w:p>
        </w:tc>
        <w:tc>
          <w:tcPr>
            <w:tcW w:w="2460" w:type="dxa"/>
            <w:vAlign w:val="center"/>
          </w:tcPr>
          <w:p w14:paraId="64EBCCB2">
            <w:pPr>
              <w:spacing w:line="360" w:lineRule="auto"/>
              <w:jc w:val="center"/>
              <w:rPr>
                <w:color w:val="auto"/>
                <w:szCs w:val="21"/>
                <w:highlight w:val="none"/>
              </w:rPr>
            </w:pPr>
          </w:p>
        </w:tc>
      </w:tr>
      <w:bookmarkEnd w:id="295"/>
      <w:bookmarkEnd w:id="296"/>
      <w:bookmarkEnd w:id="297"/>
    </w:tbl>
    <w:p w14:paraId="5F46E7B4">
      <w:pPr>
        <w:pStyle w:val="22"/>
        <w:ind w:firstLine="240"/>
        <w:rPr>
          <w:color w:val="auto"/>
          <w:highlight w:val="none"/>
        </w:rPr>
      </w:pPr>
    </w:p>
    <w:p w14:paraId="3E33CC2B">
      <w:pPr>
        <w:ind w:left="630" w:leftChars="300"/>
        <w:jc w:val="center"/>
        <w:rPr>
          <w:rFonts w:ascii="宋体" w:hAnsi="宋体"/>
          <w:b/>
          <w:color w:val="auto"/>
          <w:sz w:val="28"/>
          <w:szCs w:val="28"/>
          <w:highlight w:val="none"/>
        </w:rPr>
      </w:pPr>
      <w:r>
        <w:rPr>
          <w:rFonts w:hint="eastAsia" w:ascii="宋体" w:hAnsi="宋体"/>
          <w:b/>
          <w:color w:val="auto"/>
          <w:sz w:val="28"/>
          <w:szCs w:val="28"/>
          <w:highlight w:val="none"/>
        </w:rPr>
        <w:t>（格式仅供参考，可自行增减内容）</w:t>
      </w:r>
    </w:p>
    <w:p w14:paraId="642C570D">
      <w:pPr>
        <w:pStyle w:val="22"/>
        <w:ind w:firstLine="240"/>
        <w:rPr>
          <w:color w:val="auto"/>
          <w:highlight w:val="none"/>
        </w:rPr>
      </w:pPr>
    </w:p>
    <w:p w14:paraId="141467DD">
      <w:pPr>
        <w:pStyle w:val="22"/>
        <w:ind w:firstLine="240"/>
        <w:rPr>
          <w:color w:val="auto"/>
          <w:highlight w:val="none"/>
        </w:rPr>
      </w:pPr>
    </w:p>
    <w:p w14:paraId="6DE15077">
      <w:pPr>
        <w:pStyle w:val="22"/>
        <w:ind w:firstLine="240"/>
        <w:rPr>
          <w:color w:val="auto"/>
          <w:highlight w:val="none"/>
        </w:rPr>
      </w:pPr>
    </w:p>
    <w:p w14:paraId="77D8D47F">
      <w:pPr>
        <w:pStyle w:val="22"/>
        <w:ind w:firstLine="240"/>
        <w:rPr>
          <w:color w:val="auto"/>
          <w:highlight w:val="none"/>
        </w:rPr>
      </w:pPr>
    </w:p>
    <w:p w14:paraId="545D024C">
      <w:pPr>
        <w:pStyle w:val="22"/>
        <w:ind w:firstLine="240"/>
        <w:rPr>
          <w:color w:val="auto"/>
          <w:highlight w:val="none"/>
        </w:rPr>
      </w:pPr>
    </w:p>
    <w:p w14:paraId="0F2E08AF">
      <w:pPr>
        <w:pStyle w:val="22"/>
        <w:ind w:firstLine="240"/>
        <w:rPr>
          <w:color w:val="auto"/>
          <w:highlight w:val="none"/>
        </w:rPr>
      </w:pPr>
    </w:p>
    <w:p w14:paraId="740FEAB4">
      <w:pPr>
        <w:pStyle w:val="22"/>
        <w:ind w:firstLine="240"/>
        <w:rPr>
          <w:color w:val="auto"/>
          <w:highlight w:val="none"/>
        </w:rPr>
      </w:pPr>
    </w:p>
    <w:p w14:paraId="21ABE006">
      <w:pPr>
        <w:pStyle w:val="22"/>
        <w:ind w:firstLine="240"/>
        <w:rPr>
          <w:color w:val="auto"/>
          <w:highlight w:val="none"/>
        </w:rPr>
      </w:pPr>
    </w:p>
    <w:p w14:paraId="59BDF78E">
      <w:pPr>
        <w:pStyle w:val="22"/>
        <w:ind w:firstLine="240"/>
        <w:rPr>
          <w:color w:val="auto"/>
          <w:highlight w:val="none"/>
        </w:rPr>
      </w:pPr>
    </w:p>
    <w:p w14:paraId="67CEF752">
      <w:pPr>
        <w:pStyle w:val="22"/>
        <w:ind w:firstLine="240"/>
        <w:rPr>
          <w:color w:val="auto"/>
          <w:highlight w:val="none"/>
        </w:rPr>
      </w:pPr>
    </w:p>
    <w:p w14:paraId="09F304D8">
      <w:pPr>
        <w:pStyle w:val="22"/>
        <w:ind w:firstLine="240"/>
        <w:rPr>
          <w:color w:val="auto"/>
          <w:highlight w:val="none"/>
        </w:rPr>
      </w:pPr>
    </w:p>
    <w:p w14:paraId="4B0D9634">
      <w:pPr>
        <w:pStyle w:val="22"/>
        <w:ind w:firstLine="240"/>
        <w:rPr>
          <w:color w:val="auto"/>
          <w:highlight w:val="none"/>
        </w:rPr>
      </w:pPr>
    </w:p>
    <w:p w14:paraId="63482A85">
      <w:pPr>
        <w:pStyle w:val="22"/>
        <w:ind w:firstLine="240"/>
        <w:rPr>
          <w:color w:val="auto"/>
          <w:highlight w:val="none"/>
        </w:rPr>
      </w:pPr>
    </w:p>
    <w:p w14:paraId="62942427">
      <w:pPr>
        <w:pStyle w:val="22"/>
        <w:ind w:firstLine="240"/>
        <w:rPr>
          <w:color w:val="auto"/>
          <w:highlight w:val="none"/>
        </w:rPr>
      </w:pPr>
    </w:p>
    <w:p w14:paraId="683BE553">
      <w:pPr>
        <w:pStyle w:val="22"/>
        <w:ind w:firstLine="240"/>
        <w:rPr>
          <w:color w:val="auto"/>
          <w:highlight w:val="none"/>
        </w:rPr>
      </w:pPr>
    </w:p>
    <w:p w14:paraId="5CD99657">
      <w:pPr>
        <w:jc w:val="center"/>
        <w:rPr>
          <w:rFonts w:ascii="宋体" w:hAnsi="宋体"/>
          <w:b/>
          <w:color w:val="auto"/>
          <w:spacing w:val="6"/>
          <w:sz w:val="28"/>
          <w:szCs w:val="28"/>
          <w:highlight w:val="none"/>
        </w:rPr>
      </w:pPr>
      <w:bookmarkStart w:id="298" w:name="_Toc691"/>
      <w:bookmarkStart w:id="299" w:name="_Toc10887"/>
      <w:bookmarkStart w:id="300" w:name="_Toc6882"/>
      <w:bookmarkStart w:id="301" w:name="_Toc29920"/>
      <w:bookmarkStart w:id="302" w:name="_Toc23409"/>
      <w:bookmarkStart w:id="303" w:name="_Toc21725"/>
      <w:bookmarkStart w:id="304" w:name="_Toc11459"/>
      <w:bookmarkStart w:id="305" w:name="_Toc26596"/>
      <w:bookmarkStart w:id="306" w:name="_Toc31599"/>
      <w:bookmarkStart w:id="307" w:name="_Toc17043"/>
      <w:bookmarkStart w:id="308" w:name="_Toc68"/>
      <w:bookmarkStart w:id="309" w:name="_Toc21127"/>
      <w:bookmarkStart w:id="310" w:name="_Toc20204"/>
      <w:r>
        <w:rPr>
          <w:rFonts w:hint="eastAsia" w:ascii="宋体" w:hAnsi="宋体"/>
          <w:bCs/>
          <w:color w:val="auto"/>
          <w:sz w:val="28"/>
          <w:szCs w:val="28"/>
          <w:highlight w:val="none"/>
        </w:rPr>
        <w:t>4、中小企业声明函（供应商）</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226964BE">
      <w:pPr>
        <w:rPr>
          <w:rFonts w:ascii="宋体" w:hAnsi="宋体"/>
          <w:b/>
          <w:color w:val="auto"/>
          <w:spacing w:val="6"/>
          <w:sz w:val="24"/>
          <w:highlight w:val="none"/>
        </w:rPr>
      </w:pPr>
    </w:p>
    <w:p w14:paraId="404A9E65">
      <w:pPr>
        <w:adjustRightInd w:val="0"/>
        <w:snapToGrid w:val="0"/>
        <w:spacing w:line="360" w:lineRule="auto"/>
        <w:jc w:val="left"/>
        <w:rPr>
          <w:rFonts w:ascii="宋体" w:hAnsi="宋体" w:cs="宋体"/>
          <w:color w:val="auto"/>
          <w:szCs w:val="21"/>
          <w:highlight w:val="none"/>
        </w:rPr>
      </w:pPr>
    </w:p>
    <w:p w14:paraId="09AB6C9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[2020]46号）的规定，本公司参加______（采购人名称）______（项目名称）采购活动，服务全部由符合政策要求的中小企业承接。相关企业的具体情况如下：</w:t>
      </w:r>
    </w:p>
    <w:p w14:paraId="1070FBC0">
      <w:pPr>
        <w:adjustRightInd w:val="0"/>
        <w:snapToGrid w:val="0"/>
        <w:spacing w:line="360" w:lineRule="auto"/>
        <w:jc w:val="left"/>
        <w:rPr>
          <w:rFonts w:ascii="宋体" w:hAnsi="宋体" w:cs="宋体"/>
          <w:color w:val="auto"/>
          <w:szCs w:val="21"/>
          <w:highlight w:val="none"/>
        </w:rPr>
      </w:pPr>
    </w:p>
    <w:p w14:paraId="5976BF01">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行业，承接企业为______（企业名称），从业人员______人，营业收入为______万元，资产总额为______万元，属于______（请填写：中型、小型、微型）企业。</w:t>
      </w:r>
    </w:p>
    <w:p w14:paraId="3B8A636D">
      <w:pPr>
        <w:adjustRightInd w:val="0"/>
        <w:snapToGrid w:val="0"/>
        <w:spacing w:line="360" w:lineRule="auto"/>
        <w:jc w:val="left"/>
        <w:rPr>
          <w:rFonts w:ascii="宋体" w:hAnsi="宋体" w:cs="宋体"/>
          <w:color w:val="auto"/>
          <w:szCs w:val="21"/>
          <w:highlight w:val="none"/>
        </w:rPr>
      </w:pPr>
    </w:p>
    <w:p w14:paraId="4715332D">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2.______（标的名称），属于</w:t>
      </w:r>
      <w:r>
        <w:rPr>
          <w:rFonts w:hint="eastAsia" w:ascii="宋体" w:hAnsi="宋体" w:cs="宋体"/>
          <w:color w:val="auto"/>
          <w:szCs w:val="21"/>
          <w:highlight w:val="none"/>
          <w:u w:val="single"/>
        </w:rPr>
        <w:t>其他未列明</w:t>
      </w:r>
      <w:r>
        <w:rPr>
          <w:rFonts w:hint="eastAsia" w:ascii="宋体" w:hAnsi="宋体" w:cs="宋体"/>
          <w:color w:val="auto"/>
          <w:szCs w:val="21"/>
          <w:highlight w:val="none"/>
        </w:rPr>
        <w:t>行业，承接企业为______（企业名称），从业人员 ______人，营业收入为______万元，资产总额为______万元，属于______（请填写：中型、小型、微型）企业。</w:t>
      </w:r>
    </w:p>
    <w:p w14:paraId="13591261">
      <w:pPr>
        <w:adjustRightInd w:val="0"/>
        <w:snapToGrid w:val="0"/>
        <w:spacing w:line="360" w:lineRule="auto"/>
        <w:jc w:val="left"/>
        <w:rPr>
          <w:rFonts w:ascii="宋体" w:hAnsi="宋体" w:cs="宋体"/>
          <w:color w:val="auto"/>
          <w:szCs w:val="21"/>
          <w:highlight w:val="none"/>
        </w:rPr>
      </w:pPr>
    </w:p>
    <w:p w14:paraId="5B22BC39">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p>
    <w:p w14:paraId="5E9BBE42">
      <w:pPr>
        <w:adjustRightInd w:val="0"/>
        <w:snapToGrid w:val="0"/>
        <w:spacing w:line="360" w:lineRule="auto"/>
        <w:jc w:val="left"/>
        <w:rPr>
          <w:rFonts w:ascii="宋体" w:hAnsi="宋体" w:cs="宋体"/>
          <w:color w:val="auto"/>
          <w:szCs w:val="21"/>
          <w:highlight w:val="none"/>
        </w:rPr>
      </w:pPr>
    </w:p>
    <w:p w14:paraId="17DEC4DE">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83338C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016637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14:paraId="35F1B986">
      <w:pPr>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15670A7F">
      <w:pPr>
        <w:adjustRightInd w:val="0"/>
        <w:snapToGrid w:val="0"/>
        <w:spacing w:line="360" w:lineRule="auto"/>
        <w:jc w:val="right"/>
        <w:rPr>
          <w:rFonts w:ascii="宋体" w:hAnsi="宋体" w:cs="宋体"/>
          <w:color w:val="auto"/>
          <w:sz w:val="24"/>
          <w:highlight w:val="none"/>
        </w:rPr>
      </w:pPr>
    </w:p>
    <w:p w14:paraId="2D0A622F">
      <w:pPr>
        <w:adjustRightInd w:val="0"/>
        <w:snapToGrid w:val="0"/>
        <w:spacing w:line="360" w:lineRule="auto"/>
        <w:rPr>
          <w:rFonts w:ascii="宋体" w:hAnsi="宋体" w:cs="宋体"/>
          <w:color w:val="auto"/>
          <w:sz w:val="24"/>
          <w:highlight w:val="none"/>
        </w:rPr>
      </w:pPr>
    </w:p>
    <w:p w14:paraId="026579D2">
      <w:pPr>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企业名称：（盖章或电子签章）</w:t>
      </w:r>
    </w:p>
    <w:p w14:paraId="09FF317A">
      <w:pPr>
        <w:adjustRightInd w:val="0"/>
        <w:snapToGrid w:val="0"/>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日期：</w:t>
      </w:r>
    </w:p>
    <w:p w14:paraId="1E19D40A">
      <w:pPr>
        <w:rPr>
          <w:rFonts w:ascii="宋体" w:hAnsi="宋体"/>
          <w:color w:val="auto"/>
          <w:sz w:val="24"/>
          <w:highlight w:val="none"/>
        </w:rPr>
      </w:pPr>
    </w:p>
    <w:p w14:paraId="5FE84F60">
      <w:pPr>
        <w:jc w:val="center"/>
        <w:rPr>
          <w:rFonts w:ascii="宋体" w:hAnsi="宋体"/>
          <w:bCs/>
          <w:color w:val="auto"/>
          <w:sz w:val="28"/>
          <w:szCs w:val="28"/>
          <w:highlight w:val="none"/>
        </w:rPr>
      </w:pPr>
      <w:bookmarkStart w:id="311" w:name="_Toc7454"/>
      <w:bookmarkStart w:id="312" w:name="_Toc16847"/>
      <w:bookmarkStart w:id="313" w:name="_Toc17529"/>
      <w:bookmarkStart w:id="314" w:name="_Toc15382"/>
      <w:bookmarkStart w:id="315" w:name="_Toc4102"/>
      <w:bookmarkStart w:id="316" w:name="_Toc15591"/>
    </w:p>
    <w:p w14:paraId="6E39F8F7">
      <w:pPr>
        <w:jc w:val="center"/>
        <w:rPr>
          <w:rFonts w:ascii="宋体" w:hAnsi="宋体"/>
          <w:bCs/>
          <w:color w:val="auto"/>
          <w:sz w:val="28"/>
          <w:szCs w:val="28"/>
          <w:highlight w:val="none"/>
        </w:rPr>
      </w:pPr>
    </w:p>
    <w:p w14:paraId="41111138">
      <w:pPr>
        <w:jc w:val="center"/>
        <w:rPr>
          <w:rFonts w:ascii="宋体" w:hAnsi="宋体"/>
          <w:bCs/>
          <w:color w:val="auto"/>
          <w:sz w:val="28"/>
          <w:szCs w:val="28"/>
          <w:highlight w:val="none"/>
        </w:rPr>
      </w:pPr>
    </w:p>
    <w:bookmarkEnd w:id="311"/>
    <w:bookmarkEnd w:id="312"/>
    <w:bookmarkEnd w:id="313"/>
    <w:bookmarkEnd w:id="314"/>
    <w:bookmarkEnd w:id="315"/>
    <w:bookmarkEnd w:id="316"/>
    <w:p w14:paraId="46CE63FD">
      <w:pPr>
        <w:pStyle w:val="22"/>
        <w:ind w:firstLine="240"/>
        <w:rPr>
          <w:color w:val="auto"/>
          <w:highlight w:val="none"/>
        </w:rPr>
      </w:pPr>
    </w:p>
    <w:p w14:paraId="76DEC829">
      <w:pPr>
        <w:pStyle w:val="23"/>
        <w:ind w:left="420" w:firstLine="420"/>
        <w:rPr>
          <w:color w:val="auto"/>
          <w:highlight w:val="none"/>
        </w:rPr>
      </w:pPr>
    </w:p>
    <w:p w14:paraId="5BB1B245">
      <w:pPr>
        <w:jc w:val="center"/>
        <w:rPr>
          <w:rFonts w:ascii="宋体" w:hAnsi="宋体"/>
          <w:bCs/>
          <w:color w:val="auto"/>
          <w:sz w:val="28"/>
          <w:szCs w:val="28"/>
          <w:highlight w:val="none"/>
        </w:rPr>
      </w:pPr>
      <w:r>
        <w:rPr>
          <w:rFonts w:hint="eastAsia" w:ascii="宋体" w:hAnsi="宋体"/>
          <w:bCs/>
          <w:color w:val="auto"/>
          <w:sz w:val="28"/>
          <w:szCs w:val="28"/>
          <w:highlight w:val="none"/>
        </w:rPr>
        <w:t>5、商务条款偏差表</w:t>
      </w:r>
    </w:p>
    <w:p w14:paraId="4B10F821">
      <w:pPr>
        <w:pStyle w:val="22"/>
        <w:ind w:firstLine="240"/>
        <w:rPr>
          <w:rFonts w:ascii="宋体" w:hAnsi="宋体"/>
          <w:color w:val="auto"/>
          <w:szCs w:val="24"/>
          <w:highlight w:val="none"/>
        </w:rPr>
      </w:pPr>
      <w:r>
        <w:rPr>
          <w:rFonts w:hint="eastAsia" w:ascii="宋体" w:hAnsi="宋体"/>
          <w:color w:val="auto"/>
          <w:szCs w:val="24"/>
          <w:highlight w:val="none"/>
        </w:rPr>
        <w:t xml:space="preserve">供应商名称：  </w:t>
      </w:r>
    </w:p>
    <w:tbl>
      <w:tblPr>
        <w:tblStyle w:val="24"/>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899"/>
        <w:gridCol w:w="1530"/>
        <w:gridCol w:w="1320"/>
        <w:gridCol w:w="825"/>
      </w:tblGrid>
      <w:tr w14:paraId="2BC1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50BD584">
            <w:pPr>
              <w:jc w:val="center"/>
              <w:rPr>
                <w:rFonts w:ascii="宋体" w:hAnsi="宋体"/>
                <w:b/>
                <w:color w:val="auto"/>
                <w:sz w:val="24"/>
                <w:highlight w:val="none"/>
              </w:rPr>
            </w:pPr>
            <w:r>
              <w:rPr>
                <w:rFonts w:hint="eastAsia" w:ascii="宋体" w:hAnsi="宋体"/>
                <w:b/>
                <w:color w:val="auto"/>
                <w:sz w:val="24"/>
                <w:highlight w:val="none"/>
              </w:rPr>
              <w:t>序号</w:t>
            </w:r>
          </w:p>
        </w:tc>
        <w:tc>
          <w:tcPr>
            <w:tcW w:w="2835" w:type="dxa"/>
            <w:vAlign w:val="center"/>
          </w:tcPr>
          <w:p w14:paraId="120B0664">
            <w:pPr>
              <w:jc w:val="center"/>
              <w:rPr>
                <w:rFonts w:ascii="宋体" w:hAnsi="宋体"/>
                <w:b/>
                <w:color w:val="auto"/>
                <w:sz w:val="24"/>
                <w:highlight w:val="none"/>
              </w:rPr>
            </w:pPr>
            <w:r>
              <w:rPr>
                <w:rFonts w:hint="eastAsia" w:ascii="宋体" w:hAnsi="宋体"/>
                <w:b/>
                <w:color w:val="auto"/>
                <w:sz w:val="24"/>
                <w:highlight w:val="none"/>
              </w:rPr>
              <w:t>内容</w:t>
            </w:r>
          </w:p>
        </w:tc>
        <w:tc>
          <w:tcPr>
            <w:tcW w:w="1899" w:type="dxa"/>
            <w:vAlign w:val="center"/>
          </w:tcPr>
          <w:p w14:paraId="4C00F136">
            <w:pPr>
              <w:jc w:val="center"/>
              <w:rPr>
                <w:rFonts w:ascii="宋体" w:hAnsi="宋体"/>
                <w:b/>
                <w:color w:val="auto"/>
                <w:sz w:val="24"/>
                <w:highlight w:val="none"/>
              </w:rPr>
            </w:pPr>
            <w:r>
              <w:rPr>
                <w:rFonts w:hint="eastAsia" w:ascii="宋体" w:hAnsi="宋体"/>
                <w:b/>
                <w:color w:val="auto"/>
                <w:sz w:val="24"/>
                <w:highlight w:val="none"/>
              </w:rPr>
              <w:t>采购文件要求</w:t>
            </w:r>
          </w:p>
        </w:tc>
        <w:tc>
          <w:tcPr>
            <w:tcW w:w="1530" w:type="dxa"/>
            <w:vAlign w:val="center"/>
          </w:tcPr>
          <w:p w14:paraId="5B327803">
            <w:pPr>
              <w:jc w:val="center"/>
              <w:rPr>
                <w:rFonts w:ascii="宋体" w:hAnsi="宋体"/>
                <w:b/>
                <w:color w:val="auto"/>
                <w:sz w:val="24"/>
                <w:highlight w:val="none"/>
              </w:rPr>
            </w:pPr>
            <w:r>
              <w:rPr>
                <w:rFonts w:hint="eastAsia" w:ascii="宋体" w:hAnsi="宋体"/>
                <w:b/>
                <w:color w:val="auto"/>
                <w:sz w:val="24"/>
                <w:highlight w:val="none"/>
              </w:rPr>
              <w:t>响应内容</w:t>
            </w:r>
          </w:p>
        </w:tc>
        <w:tc>
          <w:tcPr>
            <w:tcW w:w="1320" w:type="dxa"/>
            <w:vAlign w:val="center"/>
          </w:tcPr>
          <w:p w14:paraId="3A32EB4C">
            <w:pPr>
              <w:jc w:val="center"/>
              <w:rPr>
                <w:rFonts w:ascii="宋体" w:hAnsi="宋体"/>
                <w:b/>
                <w:color w:val="auto"/>
                <w:sz w:val="24"/>
                <w:highlight w:val="none"/>
              </w:rPr>
            </w:pPr>
            <w:r>
              <w:rPr>
                <w:rFonts w:hint="eastAsia" w:ascii="宋体" w:hAnsi="宋体"/>
                <w:b/>
                <w:color w:val="auto"/>
                <w:sz w:val="24"/>
                <w:highlight w:val="none"/>
              </w:rPr>
              <w:t>是否偏离</w:t>
            </w:r>
          </w:p>
        </w:tc>
        <w:tc>
          <w:tcPr>
            <w:tcW w:w="825" w:type="dxa"/>
            <w:vAlign w:val="center"/>
          </w:tcPr>
          <w:p w14:paraId="4E79A524">
            <w:pPr>
              <w:jc w:val="center"/>
              <w:rPr>
                <w:rFonts w:ascii="宋体" w:hAnsi="宋体"/>
                <w:b/>
                <w:color w:val="auto"/>
                <w:sz w:val="24"/>
                <w:highlight w:val="none"/>
              </w:rPr>
            </w:pPr>
            <w:r>
              <w:rPr>
                <w:rFonts w:hint="eastAsia" w:ascii="宋体" w:hAnsi="宋体"/>
                <w:b/>
                <w:color w:val="auto"/>
                <w:sz w:val="24"/>
                <w:highlight w:val="none"/>
              </w:rPr>
              <w:t>备注</w:t>
            </w:r>
          </w:p>
        </w:tc>
      </w:tr>
      <w:tr w14:paraId="3F9A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C86457C">
            <w:pPr>
              <w:jc w:val="center"/>
              <w:rPr>
                <w:rFonts w:ascii="宋体" w:hAnsi="宋体" w:cs="仿宋"/>
                <w:color w:val="auto"/>
                <w:sz w:val="24"/>
                <w:highlight w:val="none"/>
              </w:rPr>
            </w:pPr>
            <w:r>
              <w:rPr>
                <w:rFonts w:hint="eastAsia" w:ascii="宋体" w:hAnsi="宋体" w:eastAsia="Times New Roman" w:cs="仿宋"/>
                <w:color w:val="auto"/>
                <w:sz w:val="24"/>
                <w:highlight w:val="none"/>
              </w:rPr>
              <w:t>1</w:t>
            </w:r>
          </w:p>
        </w:tc>
        <w:tc>
          <w:tcPr>
            <w:tcW w:w="2835" w:type="dxa"/>
            <w:vAlign w:val="center"/>
          </w:tcPr>
          <w:p w14:paraId="3624795E">
            <w:pPr>
              <w:jc w:val="center"/>
              <w:rPr>
                <w:rFonts w:ascii="宋体" w:hAnsi="宋体" w:cs="仿宋"/>
                <w:color w:val="auto"/>
                <w:sz w:val="24"/>
                <w:highlight w:val="none"/>
              </w:rPr>
            </w:pPr>
            <w:r>
              <w:rPr>
                <w:rFonts w:hint="eastAsia" w:ascii="宋体" w:hAnsi="宋体" w:eastAsia="Times New Roman" w:cs="仿宋"/>
                <w:color w:val="auto"/>
                <w:sz w:val="24"/>
                <w:highlight w:val="none"/>
              </w:rPr>
              <w:t>服务周期</w:t>
            </w:r>
          </w:p>
        </w:tc>
        <w:tc>
          <w:tcPr>
            <w:tcW w:w="1899" w:type="dxa"/>
          </w:tcPr>
          <w:p w14:paraId="3050E464">
            <w:pPr>
              <w:jc w:val="center"/>
              <w:rPr>
                <w:rFonts w:ascii="宋体" w:hAnsi="宋体"/>
                <w:color w:val="auto"/>
                <w:sz w:val="24"/>
                <w:highlight w:val="none"/>
              </w:rPr>
            </w:pPr>
          </w:p>
        </w:tc>
        <w:tc>
          <w:tcPr>
            <w:tcW w:w="1530" w:type="dxa"/>
          </w:tcPr>
          <w:p w14:paraId="2A56909E">
            <w:pPr>
              <w:jc w:val="center"/>
              <w:rPr>
                <w:rFonts w:ascii="宋体" w:hAnsi="宋体"/>
                <w:color w:val="auto"/>
                <w:sz w:val="24"/>
                <w:highlight w:val="none"/>
              </w:rPr>
            </w:pPr>
          </w:p>
        </w:tc>
        <w:tc>
          <w:tcPr>
            <w:tcW w:w="1320" w:type="dxa"/>
          </w:tcPr>
          <w:p w14:paraId="55F6D164">
            <w:pPr>
              <w:jc w:val="center"/>
              <w:rPr>
                <w:rFonts w:ascii="宋体" w:hAnsi="宋体"/>
                <w:color w:val="auto"/>
                <w:sz w:val="24"/>
                <w:highlight w:val="none"/>
              </w:rPr>
            </w:pPr>
          </w:p>
        </w:tc>
        <w:tc>
          <w:tcPr>
            <w:tcW w:w="825" w:type="dxa"/>
          </w:tcPr>
          <w:p w14:paraId="78CBDAEB">
            <w:pPr>
              <w:jc w:val="center"/>
              <w:rPr>
                <w:rFonts w:ascii="宋体" w:hAnsi="宋体"/>
                <w:color w:val="auto"/>
                <w:sz w:val="24"/>
                <w:highlight w:val="none"/>
              </w:rPr>
            </w:pPr>
          </w:p>
        </w:tc>
      </w:tr>
      <w:tr w14:paraId="07ED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E2DA80E">
            <w:pPr>
              <w:jc w:val="center"/>
              <w:rPr>
                <w:rFonts w:ascii="宋体" w:hAnsi="宋体" w:eastAsia="Times New Roman" w:cs="仿宋"/>
                <w:color w:val="auto"/>
                <w:sz w:val="24"/>
                <w:highlight w:val="none"/>
              </w:rPr>
            </w:pPr>
            <w:r>
              <w:rPr>
                <w:rFonts w:hint="eastAsia" w:ascii="宋体" w:hAnsi="宋体" w:eastAsia="Times New Roman" w:cs="仿宋"/>
                <w:color w:val="auto"/>
                <w:sz w:val="24"/>
                <w:highlight w:val="none"/>
              </w:rPr>
              <w:t>2</w:t>
            </w:r>
          </w:p>
        </w:tc>
        <w:tc>
          <w:tcPr>
            <w:tcW w:w="2835" w:type="dxa"/>
            <w:vAlign w:val="center"/>
          </w:tcPr>
          <w:p w14:paraId="5894D396">
            <w:pPr>
              <w:jc w:val="center"/>
              <w:rPr>
                <w:rFonts w:ascii="宋体" w:hAnsi="宋体" w:cs="仿宋"/>
                <w:color w:val="auto"/>
                <w:sz w:val="24"/>
                <w:highlight w:val="none"/>
              </w:rPr>
            </w:pPr>
            <w:r>
              <w:rPr>
                <w:rFonts w:hint="eastAsia" w:ascii="宋体" w:hAnsi="宋体" w:cs="仿宋"/>
                <w:color w:val="auto"/>
                <w:sz w:val="24"/>
                <w:highlight w:val="none"/>
              </w:rPr>
              <w:t>采购内容</w:t>
            </w:r>
          </w:p>
        </w:tc>
        <w:tc>
          <w:tcPr>
            <w:tcW w:w="1899" w:type="dxa"/>
          </w:tcPr>
          <w:p w14:paraId="60860BAA">
            <w:pPr>
              <w:jc w:val="center"/>
              <w:rPr>
                <w:rFonts w:ascii="宋体" w:hAnsi="宋体"/>
                <w:color w:val="auto"/>
                <w:sz w:val="24"/>
                <w:highlight w:val="none"/>
              </w:rPr>
            </w:pPr>
          </w:p>
        </w:tc>
        <w:tc>
          <w:tcPr>
            <w:tcW w:w="1530" w:type="dxa"/>
          </w:tcPr>
          <w:p w14:paraId="117A615C">
            <w:pPr>
              <w:jc w:val="center"/>
              <w:rPr>
                <w:rFonts w:ascii="宋体" w:hAnsi="宋体"/>
                <w:color w:val="auto"/>
                <w:sz w:val="24"/>
                <w:highlight w:val="none"/>
              </w:rPr>
            </w:pPr>
          </w:p>
        </w:tc>
        <w:tc>
          <w:tcPr>
            <w:tcW w:w="1320" w:type="dxa"/>
          </w:tcPr>
          <w:p w14:paraId="1EF5CFC7">
            <w:pPr>
              <w:jc w:val="center"/>
              <w:rPr>
                <w:rFonts w:ascii="宋体" w:hAnsi="宋体"/>
                <w:color w:val="auto"/>
                <w:sz w:val="24"/>
                <w:highlight w:val="none"/>
              </w:rPr>
            </w:pPr>
          </w:p>
        </w:tc>
        <w:tc>
          <w:tcPr>
            <w:tcW w:w="825" w:type="dxa"/>
          </w:tcPr>
          <w:p w14:paraId="5730D876">
            <w:pPr>
              <w:jc w:val="center"/>
              <w:rPr>
                <w:rFonts w:ascii="宋体" w:hAnsi="宋体"/>
                <w:color w:val="auto"/>
                <w:sz w:val="24"/>
                <w:highlight w:val="none"/>
              </w:rPr>
            </w:pPr>
          </w:p>
        </w:tc>
      </w:tr>
      <w:tr w14:paraId="3891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DD3084D">
            <w:pPr>
              <w:jc w:val="center"/>
              <w:rPr>
                <w:rFonts w:ascii="宋体" w:hAnsi="宋体" w:cs="仿宋"/>
                <w:color w:val="auto"/>
                <w:sz w:val="24"/>
                <w:highlight w:val="none"/>
              </w:rPr>
            </w:pPr>
            <w:r>
              <w:rPr>
                <w:rFonts w:hint="eastAsia" w:ascii="宋体" w:hAnsi="宋体" w:eastAsia="Times New Roman" w:cs="仿宋"/>
                <w:color w:val="auto"/>
                <w:sz w:val="24"/>
                <w:highlight w:val="none"/>
              </w:rPr>
              <w:t>3</w:t>
            </w:r>
          </w:p>
        </w:tc>
        <w:tc>
          <w:tcPr>
            <w:tcW w:w="2835" w:type="dxa"/>
            <w:vAlign w:val="center"/>
          </w:tcPr>
          <w:p w14:paraId="13F24539">
            <w:pPr>
              <w:jc w:val="center"/>
              <w:rPr>
                <w:rFonts w:ascii="宋体" w:hAnsi="宋体" w:cs="仿宋"/>
                <w:color w:val="auto"/>
                <w:sz w:val="24"/>
                <w:highlight w:val="none"/>
              </w:rPr>
            </w:pPr>
            <w:r>
              <w:rPr>
                <w:rFonts w:hint="eastAsia" w:ascii="宋体" w:hAnsi="宋体" w:cs="仿宋"/>
                <w:color w:val="auto"/>
                <w:sz w:val="24"/>
                <w:highlight w:val="none"/>
              </w:rPr>
              <w:t>质量标准</w:t>
            </w:r>
          </w:p>
        </w:tc>
        <w:tc>
          <w:tcPr>
            <w:tcW w:w="1899" w:type="dxa"/>
          </w:tcPr>
          <w:p w14:paraId="5056479D">
            <w:pPr>
              <w:jc w:val="center"/>
              <w:rPr>
                <w:rFonts w:ascii="宋体" w:hAnsi="宋体"/>
                <w:color w:val="auto"/>
                <w:sz w:val="24"/>
                <w:highlight w:val="none"/>
              </w:rPr>
            </w:pPr>
          </w:p>
        </w:tc>
        <w:tc>
          <w:tcPr>
            <w:tcW w:w="1530" w:type="dxa"/>
          </w:tcPr>
          <w:p w14:paraId="19063CD0">
            <w:pPr>
              <w:jc w:val="center"/>
              <w:rPr>
                <w:rFonts w:ascii="宋体" w:hAnsi="宋体"/>
                <w:color w:val="auto"/>
                <w:sz w:val="24"/>
                <w:highlight w:val="none"/>
              </w:rPr>
            </w:pPr>
          </w:p>
        </w:tc>
        <w:tc>
          <w:tcPr>
            <w:tcW w:w="1320" w:type="dxa"/>
          </w:tcPr>
          <w:p w14:paraId="1F57A4D2">
            <w:pPr>
              <w:jc w:val="center"/>
              <w:rPr>
                <w:rFonts w:ascii="宋体" w:hAnsi="宋体"/>
                <w:color w:val="auto"/>
                <w:sz w:val="24"/>
                <w:highlight w:val="none"/>
              </w:rPr>
            </w:pPr>
          </w:p>
        </w:tc>
        <w:tc>
          <w:tcPr>
            <w:tcW w:w="825" w:type="dxa"/>
          </w:tcPr>
          <w:p w14:paraId="005ADB0B">
            <w:pPr>
              <w:jc w:val="center"/>
              <w:rPr>
                <w:rFonts w:ascii="宋体" w:hAnsi="宋体"/>
                <w:color w:val="auto"/>
                <w:sz w:val="24"/>
                <w:highlight w:val="none"/>
              </w:rPr>
            </w:pPr>
          </w:p>
        </w:tc>
      </w:tr>
      <w:tr w14:paraId="10D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500361F7">
            <w:pPr>
              <w:jc w:val="center"/>
              <w:rPr>
                <w:rFonts w:ascii="宋体" w:hAnsi="宋体" w:cs="仿宋"/>
                <w:color w:val="auto"/>
                <w:sz w:val="24"/>
                <w:highlight w:val="none"/>
              </w:rPr>
            </w:pPr>
            <w:r>
              <w:rPr>
                <w:rFonts w:hint="eastAsia" w:ascii="宋体" w:hAnsi="宋体" w:eastAsia="Times New Roman" w:cs="仿宋"/>
                <w:color w:val="auto"/>
                <w:sz w:val="24"/>
                <w:highlight w:val="none"/>
              </w:rPr>
              <w:t>4</w:t>
            </w:r>
          </w:p>
        </w:tc>
        <w:tc>
          <w:tcPr>
            <w:tcW w:w="2835" w:type="dxa"/>
            <w:vAlign w:val="center"/>
          </w:tcPr>
          <w:p w14:paraId="2CD2329F">
            <w:pPr>
              <w:jc w:val="center"/>
              <w:rPr>
                <w:rFonts w:ascii="宋体" w:hAnsi="宋体" w:cs="仿宋"/>
                <w:color w:val="auto"/>
                <w:sz w:val="24"/>
                <w:highlight w:val="none"/>
              </w:rPr>
            </w:pPr>
            <w:r>
              <w:rPr>
                <w:rFonts w:hint="eastAsia" w:ascii="宋体" w:hAnsi="宋体" w:cs="仿宋"/>
                <w:color w:val="auto"/>
                <w:sz w:val="24"/>
                <w:highlight w:val="none"/>
              </w:rPr>
              <w:t>磋商有效期</w:t>
            </w:r>
          </w:p>
        </w:tc>
        <w:tc>
          <w:tcPr>
            <w:tcW w:w="1899" w:type="dxa"/>
          </w:tcPr>
          <w:p w14:paraId="16ECDB33">
            <w:pPr>
              <w:jc w:val="center"/>
              <w:rPr>
                <w:rFonts w:ascii="宋体" w:hAnsi="宋体"/>
                <w:color w:val="auto"/>
                <w:sz w:val="24"/>
                <w:highlight w:val="none"/>
              </w:rPr>
            </w:pPr>
          </w:p>
        </w:tc>
        <w:tc>
          <w:tcPr>
            <w:tcW w:w="1530" w:type="dxa"/>
          </w:tcPr>
          <w:p w14:paraId="17A1FA6A">
            <w:pPr>
              <w:jc w:val="center"/>
              <w:rPr>
                <w:rFonts w:ascii="宋体" w:hAnsi="宋体"/>
                <w:color w:val="auto"/>
                <w:sz w:val="24"/>
                <w:highlight w:val="none"/>
              </w:rPr>
            </w:pPr>
          </w:p>
        </w:tc>
        <w:tc>
          <w:tcPr>
            <w:tcW w:w="1320" w:type="dxa"/>
          </w:tcPr>
          <w:p w14:paraId="3C10618A">
            <w:pPr>
              <w:jc w:val="center"/>
              <w:rPr>
                <w:rFonts w:ascii="宋体" w:hAnsi="宋体"/>
                <w:color w:val="auto"/>
                <w:sz w:val="24"/>
                <w:highlight w:val="none"/>
              </w:rPr>
            </w:pPr>
          </w:p>
        </w:tc>
        <w:tc>
          <w:tcPr>
            <w:tcW w:w="825" w:type="dxa"/>
          </w:tcPr>
          <w:p w14:paraId="5B7ACB57">
            <w:pPr>
              <w:jc w:val="center"/>
              <w:rPr>
                <w:rFonts w:ascii="宋体" w:hAnsi="宋体"/>
                <w:color w:val="auto"/>
                <w:sz w:val="24"/>
                <w:highlight w:val="none"/>
              </w:rPr>
            </w:pPr>
          </w:p>
        </w:tc>
      </w:tr>
      <w:tr w14:paraId="44D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CCD3216">
            <w:pPr>
              <w:jc w:val="center"/>
              <w:rPr>
                <w:rFonts w:ascii="宋体" w:hAnsi="宋体" w:cs="仿宋"/>
                <w:color w:val="auto"/>
                <w:sz w:val="24"/>
                <w:highlight w:val="none"/>
              </w:rPr>
            </w:pPr>
            <w:r>
              <w:rPr>
                <w:rFonts w:hint="eastAsia" w:ascii="宋体" w:hAnsi="宋体" w:eastAsia="Times New Roman" w:cs="仿宋"/>
                <w:color w:val="auto"/>
                <w:sz w:val="24"/>
                <w:highlight w:val="none"/>
              </w:rPr>
              <w:t>5</w:t>
            </w:r>
          </w:p>
        </w:tc>
        <w:tc>
          <w:tcPr>
            <w:tcW w:w="2835" w:type="dxa"/>
            <w:vAlign w:val="center"/>
          </w:tcPr>
          <w:p w14:paraId="27073DB3">
            <w:pPr>
              <w:jc w:val="center"/>
              <w:rPr>
                <w:rFonts w:ascii="宋体" w:hAnsi="宋体" w:cs="仿宋"/>
                <w:color w:val="auto"/>
                <w:sz w:val="24"/>
                <w:highlight w:val="none"/>
              </w:rPr>
            </w:pPr>
            <w:r>
              <w:rPr>
                <w:rFonts w:hint="eastAsia" w:ascii="宋体" w:hAnsi="宋体" w:cs="仿宋"/>
                <w:color w:val="auto"/>
                <w:sz w:val="24"/>
                <w:highlight w:val="none"/>
              </w:rPr>
              <w:t>其他（如有）</w:t>
            </w:r>
          </w:p>
        </w:tc>
        <w:tc>
          <w:tcPr>
            <w:tcW w:w="1899" w:type="dxa"/>
          </w:tcPr>
          <w:p w14:paraId="5BD6CF59">
            <w:pPr>
              <w:jc w:val="center"/>
              <w:rPr>
                <w:rFonts w:ascii="宋体" w:hAnsi="宋体"/>
                <w:color w:val="auto"/>
                <w:sz w:val="24"/>
                <w:highlight w:val="none"/>
              </w:rPr>
            </w:pPr>
          </w:p>
        </w:tc>
        <w:tc>
          <w:tcPr>
            <w:tcW w:w="1530" w:type="dxa"/>
          </w:tcPr>
          <w:p w14:paraId="5ADD6292">
            <w:pPr>
              <w:jc w:val="center"/>
              <w:rPr>
                <w:rFonts w:ascii="宋体" w:hAnsi="宋体"/>
                <w:color w:val="auto"/>
                <w:sz w:val="24"/>
                <w:highlight w:val="none"/>
              </w:rPr>
            </w:pPr>
          </w:p>
        </w:tc>
        <w:tc>
          <w:tcPr>
            <w:tcW w:w="1320" w:type="dxa"/>
          </w:tcPr>
          <w:p w14:paraId="7A1B61B0">
            <w:pPr>
              <w:jc w:val="center"/>
              <w:rPr>
                <w:rFonts w:ascii="宋体" w:hAnsi="宋体"/>
                <w:color w:val="auto"/>
                <w:sz w:val="24"/>
                <w:highlight w:val="none"/>
              </w:rPr>
            </w:pPr>
          </w:p>
        </w:tc>
        <w:tc>
          <w:tcPr>
            <w:tcW w:w="825" w:type="dxa"/>
          </w:tcPr>
          <w:p w14:paraId="077F974D">
            <w:pPr>
              <w:jc w:val="center"/>
              <w:rPr>
                <w:rFonts w:ascii="宋体" w:hAnsi="宋体"/>
                <w:color w:val="auto"/>
                <w:sz w:val="24"/>
                <w:highlight w:val="none"/>
              </w:rPr>
            </w:pPr>
          </w:p>
        </w:tc>
      </w:tr>
    </w:tbl>
    <w:p w14:paraId="48751E8A">
      <w:pPr>
        <w:pStyle w:val="22"/>
        <w:ind w:left="479" w:leftChars="114" w:hanging="240" w:hangingChars="100"/>
        <w:rPr>
          <w:color w:val="auto"/>
          <w:highlight w:val="none"/>
        </w:rPr>
      </w:pPr>
      <w:r>
        <w:rPr>
          <w:rFonts w:hint="eastAsia" w:ascii="宋体" w:hAnsi="宋体"/>
          <w:color w:val="auto"/>
          <w:szCs w:val="24"/>
          <w:highlight w:val="none"/>
        </w:rPr>
        <w:t>供应商代表(签字或盖章或电子签章)：         供应商(公章或电子签章)：             日期</w:t>
      </w:r>
      <w:r>
        <w:rPr>
          <w:rFonts w:hint="eastAsia"/>
          <w:color w:val="auto"/>
          <w:highlight w:val="none"/>
        </w:rPr>
        <w:t>：</w:t>
      </w:r>
    </w:p>
    <w:p w14:paraId="50216761">
      <w:pPr>
        <w:pStyle w:val="22"/>
        <w:ind w:firstLine="240"/>
        <w:rPr>
          <w:color w:val="auto"/>
          <w:highlight w:val="none"/>
        </w:rPr>
      </w:pPr>
    </w:p>
    <w:p w14:paraId="2C87C683">
      <w:pPr>
        <w:pStyle w:val="22"/>
        <w:ind w:firstLine="240"/>
        <w:rPr>
          <w:color w:val="auto"/>
          <w:highlight w:val="none"/>
        </w:rPr>
      </w:pPr>
    </w:p>
    <w:p w14:paraId="6FD753FF">
      <w:pPr>
        <w:pStyle w:val="22"/>
        <w:ind w:firstLine="240"/>
        <w:rPr>
          <w:color w:val="auto"/>
          <w:highlight w:val="none"/>
        </w:rPr>
      </w:pPr>
    </w:p>
    <w:p w14:paraId="32BE57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4B343D83">
      <w:pPr>
        <w:pStyle w:val="22"/>
        <w:ind w:firstLine="240"/>
        <w:rPr>
          <w:color w:val="auto"/>
          <w:highlight w:val="none"/>
        </w:rPr>
      </w:pPr>
    </w:p>
    <w:p w14:paraId="2E28A0C2">
      <w:pPr>
        <w:pStyle w:val="22"/>
        <w:ind w:firstLine="240"/>
        <w:rPr>
          <w:color w:val="auto"/>
          <w:highlight w:val="none"/>
        </w:rPr>
      </w:pPr>
    </w:p>
    <w:p w14:paraId="67AC07F8">
      <w:pPr>
        <w:pStyle w:val="22"/>
        <w:ind w:firstLine="240"/>
        <w:rPr>
          <w:color w:val="auto"/>
          <w:highlight w:val="none"/>
        </w:rPr>
      </w:pPr>
    </w:p>
    <w:p w14:paraId="4DBA9899">
      <w:pPr>
        <w:pStyle w:val="22"/>
        <w:ind w:firstLine="240"/>
        <w:rPr>
          <w:color w:val="auto"/>
          <w:highlight w:val="none"/>
        </w:rPr>
      </w:pPr>
    </w:p>
    <w:p w14:paraId="0A7D07D1">
      <w:pPr>
        <w:pStyle w:val="22"/>
        <w:ind w:firstLine="240"/>
        <w:rPr>
          <w:color w:val="auto"/>
          <w:highlight w:val="none"/>
        </w:rPr>
      </w:pPr>
    </w:p>
    <w:p w14:paraId="79A1956B">
      <w:pPr>
        <w:pStyle w:val="22"/>
        <w:ind w:firstLine="240"/>
        <w:rPr>
          <w:color w:val="auto"/>
          <w:highlight w:val="none"/>
        </w:rPr>
      </w:pPr>
    </w:p>
    <w:p w14:paraId="46EE286D">
      <w:pPr>
        <w:pStyle w:val="23"/>
        <w:ind w:left="420" w:firstLine="420"/>
        <w:rPr>
          <w:color w:val="auto"/>
          <w:highlight w:val="none"/>
        </w:rPr>
      </w:pPr>
    </w:p>
    <w:p w14:paraId="3991AF7F">
      <w:pPr>
        <w:pStyle w:val="23"/>
        <w:ind w:left="420" w:firstLine="420"/>
        <w:rPr>
          <w:color w:val="auto"/>
          <w:highlight w:val="none"/>
        </w:rPr>
      </w:pPr>
    </w:p>
    <w:p w14:paraId="25066312">
      <w:pPr>
        <w:pStyle w:val="23"/>
        <w:ind w:left="420" w:firstLine="420"/>
        <w:rPr>
          <w:color w:val="auto"/>
          <w:highlight w:val="none"/>
        </w:rPr>
      </w:pPr>
    </w:p>
    <w:p w14:paraId="01136B68">
      <w:pPr>
        <w:pStyle w:val="23"/>
        <w:ind w:left="420" w:firstLine="420"/>
        <w:rPr>
          <w:color w:val="auto"/>
          <w:highlight w:val="none"/>
        </w:rPr>
      </w:pPr>
    </w:p>
    <w:p w14:paraId="610C1B4B">
      <w:pPr>
        <w:pStyle w:val="23"/>
        <w:ind w:left="420" w:firstLine="420"/>
        <w:rPr>
          <w:color w:val="auto"/>
          <w:highlight w:val="none"/>
        </w:rPr>
      </w:pPr>
    </w:p>
    <w:p w14:paraId="287FF406">
      <w:pPr>
        <w:pStyle w:val="23"/>
        <w:ind w:left="420" w:firstLine="420"/>
        <w:rPr>
          <w:color w:val="auto"/>
          <w:highlight w:val="none"/>
        </w:rPr>
      </w:pPr>
    </w:p>
    <w:p w14:paraId="4FC15F13">
      <w:pPr>
        <w:pStyle w:val="23"/>
        <w:ind w:left="420" w:firstLine="420"/>
        <w:rPr>
          <w:color w:val="auto"/>
          <w:highlight w:val="none"/>
        </w:rPr>
      </w:pPr>
    </w:p>
    <w:p w14:paraId="48692E06">
      <w:pPr>
        <w:pStyle w:val="22"/>
        <w:ind w:firstLine="240"/>
        <w:rPr>
          <w:color w:val="auto"/>
          <w:highlight w:val="none"/>
        </w:rPr>
      </w:pPr>
    </w:p>
    <w:p w14:paraId="06177905">
      <w:pPr>
        <w:rPr>
          <w:color w:val="auto"/>
          <w:highlight w:val="none"/>
        </w:rPr>
      </w:pPr>
    </w:p>
    <w:p w14:paraId="4D8A6A51">
      <w:pPr>
        <w:pStyle w:val="22"/>
        <w:ind w:firstLine="240"/>
        <w:rPr>
          <w:color w:val="auto"/>
          <w:highlight w:val="none"/>
        </w:rPr>
      </w:pPr>
    </w:p>
    <w:p w14:paraId="4CD4F49B">
      <w:pPr>
        <w:ind w:left="2940"/>
        <w:jc w:val="left"/>
        <w:rPr>
          <w:rFonts w:ascii="宋体" w:hAnsi="宋体"/>
          <w:bCs/>
          <w:color w:val="auto"/>
          <w:sz w:val="28"/>
          <w:szCs w:val="28"/>
          <w:highlight w:val="none"/>
        </w:rPr>
      </w:pPr>
      <w:bookmarkStart w:id="317" w:name="_Toc17966"/>
      <w:bookmarkStart w:id="318" w:name="_Toc31745"/>
      <w:bookmarkStart w:id="319" w:name="_Toc30876"/>
      <w:bookmarkStart w:id="320" w:name="_Toc217"/>
      <w:bookmarkStart w:id="321" w:name="_Toc16789"/>
      <w:bookmarkStart w:id="322" w:name="_Toc8165"/>
      <w:bookmarkStart w:id="323" w:name="_Toc10760"/>
      <w:bookmarkStart w:id="324" w:name="_Toc29695"/>
      <w:bookmarkStart w:id="325" w:name="_Toc13540"/>
      <w:bookmarkStart w:id="326" w:name="_Toc25716"/>
      <w:bookmarkStart w:id="327" w:name="_Toc25911"/>
      <w:r>
        <w:rPr>
          <w:rFonts w:hint="eastAsia" w:ascii="宋体" w:hAnsi="宋体"/>
          <w:bCs/>
          <w:color w:val="auto"/>
          <w:sz w:val="28"/>
          <w:szCs w:val="28"/>
          <w:highlight w:val="none"/>
        </w:rPr>
        <w:t>6、资格证明材料</w:t>
      </w:r>
      <w:bookmarkEnd w:id="317"/>
      <w:bookmarkEnd w:id="318"/>
      <w:bookmarkEnd w:id="319"/>
      <w:bookmarkEnd w:id="320"/>
      <w:bookmarkEnd w:id="321"/>
      <w:bookmarkEnd w:id="322"/>
      <w:bookmarkEnd w:id="323"/>
      <w:bookmarkEnd w:id="324"/>
      <w:bookmarkEnd w:id="325"/>
      <w:bookmarkEnd w:id="326"/>
      <w:bookmarkEnd w:id="327"/>
    </w:p>
    <w:p w14:paraId="20B8CAF5">
      <w:pPr>
        <w:pStyle w:val="9"/>
        <w:rPr>
          <w:color w:val="auto"/>
          <w:highlight w:val="none"/>
        </w:rPr>
      </w:pPr>
    </w:p>
    <w:p w14:paraId="504EFAEC">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1.满足《中华人民共和国政府采购法》第二十二条规定：</w:t>
      </w:r>
    </w:p>
    <w:p w14:paraId="0D5C29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（1）具有独立承担民事责任的能力，需提供有效的营业执照；</w:t>
      </w:r>
    </w:p>
    <w:p w14:paraId="504D6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（2）具有良好的商业信誉和健全的财务会计制度（供应商需出具承诺书，格式自拟）；</w:t>
      </w:r>
    </w:p>
    <w:p w14:paraId="4C824F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（3）具有履行合同所必需的设备和专业技术能力（供应商需出具承诺书，格式自拟）；</w:t>
      </w:r>
    </w:p>
    <w:p w14:paraId="03A991E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（4）具有依法缴纳税收和社会保障资金的良好记录（供应商需出具承诺书，格式自拟）；（5）参加政府采购活动前三年内，在经营活动中没有重大违法记录（供应商需出具承诺书，格式自拟）。</w:t>
      </w:r>
    </w:p>
    <w:p w14:paraId="503A8491">
      <w:pPr>
        <w:pStyle w:val="20"/>
        <w:spacing w:beforeAutospacing="0" w:afterAutospacing="0" w:line="360" w:lineRule="auto"/>
        <w:ind w:firstLine="422" w:firstLineChars="200"/>
        <w:jc w:val="both"/>
        <w:rPr>
          <w:rFonts w:ascii="宋体" w:hAnsi="宋体" w:cs="宋体"/>
          <w:color w:val="auto"/>
          <w:kern w:val="2"/>
          <w:sz w:val="21"/>
          <w:szCs w:val="21"/>
          <w:highlight w:val="none"/>
        </w:rPr>
      </w:pPr>
      <w:r>
        <w:rPr>
          <w:rFonts w:hint="eastAsia" w:ascii="宋体" w:hAnsi="宋体" w:cs="宋体"/>
          <w:b/>
          <w:bCs/>
          <w:color w:val="auto"/>
          <w:sz w:val="21"/>
          <w:szCs w:val="21"/>
          <w:highlight w:val="none"/>
        </w:rPr>
        <w:t>2.需落实政府采购的政策要求：</w:t>
      </w:r>
      <w:r>
        <w:rPr>
          <w:rFonts w:hint="eastAsia" w:ascii="宋体" w:hAnsi="宋体" w:cs="宋体"/>
          <w:color w:val="auto"/>
          <w:kern w:val="2"/>
          <w:sz w:val="21"/>
          <w:szCs w:val="21"/>
          <w:highlight w:val="none"/>
        </w:rPr>
        <w:t>本项目落实促进中小型企业发展政策（监狱企业、残疾人福利性企业视同小微企业），优先采购节能环保产品，政府强制采购节能产品等。</w:t>
      </w:r>
    </w:p>
    <w:p w14:paraId="753C82A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ascii="宋体" w:hAnsi="宋体" w:cs="宋体"/>
          <w:b/>
          <w:bCs/>
          <w:color w:val="auto"/>
          <w:szCs w:val="21"/>
          <w:highlight w:val="none"/>
        </w:rPr>
        <w:t xml:space="preserve"> </w:t>
      </w:r>
    </w:p>
    <w:p w14:paraId="2929C3F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供应商应具有城乡规划（国土空间规划）编制乙级（含）以上资质。</w:t>
      </w:r>
    </w:p>
    <w:p w14:paraId="3F10CB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（2）拟派项目负责人须具有城乡规划专业高级职称和注册城乡规划师，且为本单位员工，须</w:t>
      </w:r>
      <w:r>
        <w:rPr>
          <w:rFonts w:hint="eastAsia" w:ascii="宋体" w:hAnsi="宋体" w:cs="宋体"/>
          <w:color w:val="auto"/>
          <w:szCs w:val="21"/>
          <w:highlight w:val="none"/>
          <w:lang w:eastAsia="zh-CN"/>
        </w:rPr>
        <w:t>提供与本单位签订的劳动合同及2026年1月以来任意一个月有效的缴纳社保证明材料</w:t>
      </w:r>
      <w:r>
        <w:rPr>
          <w:rFonts w:hint="eastAsia" w:ascii="宋体" w:hAnsi="宋体" w:cs="宋体"/>
          <w:color w:val="auto"/>
          <w:szCs w:val="21"/>
          <w:highlight w:val="none"/>
        </w:rPr>
        <w:t>。</w:t>
      </w:r>
    </w:p>
    <w:p w14:paraId="50EBF86F">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szCs w:val="21"/>
          <w:highlight w:val="none"/>
        </w:rPr>
        <w:t>（3）</w:t>
      </w:r>
      <w:r>
        <w:rPr>
          <w:rFonts w:hint="eastAsia" w:ascii="宋体" w:hAnsi="宋体" w:cs="宋体"/>
          <w:color w:val="auto"/>
          <w:kern w:val="0"/>
          <w:szCs w:val="21"/>
          <w:highlight w:val="none"/>
          <w:lang w:bidi="ar"/>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rFonts w:hint="eastAsia" w:ascii="宋体" w:hAnsi="宋体" w:cs="宋体"/>
          <w:b/>
          <w:bCs/>
          <w:color w:val="auto"/>
          <w:kern w:val="0"/>
          <w:szCs w:val="21"/>
          <w:highlight w:val="none"/>
          <w:lang w:bidi="ar"/>
        </w:rPr>
        <w:t>注：</w:t>
      </w:r>
      <w:r>
        <w:rPr>
          <w:rFonts w:hint="eastAsia" w:ascii="宋体" w:hAnsi="宋体" w:cs="宋体"/>
          <w:color w:val="auto"/>
          <w:kern w:val="0"/>
          <w:szCs w:val="21"/>
          <w:highlight w:val="none"/>
          <w:lang w:bidi="ar"/>
        </w:rPr>
        <w:t>采购代理机构在开标当天根据需要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6B96975C">
      <w:pPr>
        <w:pStyle w:val="23"/>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（4）须提供《中小企业声明函》（详见采购文件格式）；</w:t>
      </w:r>
    </w:p>
    <w:p w14:paraId="08C64AC2">
      <w:pPr>
        <w:pStyle w:val="23"/>
        <w:spacing w:line="360" w:lineRule="auto"/>
        <w:ind w:left="0" w:leftChars="0"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F916A51">
      <w:pPr>
        <w:pStyle w:val="23"/>
        <w:spacing w:line="360" w:lineRule="auto"/>
        <w:ind w:left="0" w:leftChars="0" w:firstLine="420"/>
        <w:rPr>
          <w:rFonts w:ascii="宋体" w:hAnsi="宋体" w:cs="宋体"/>
          <w:color w:val="auto"/>
          <w:kern w:val="0"/>
          <w:szCs w:val="21"/>
          <w:highlight w:val="none"/>
          <w:lang w:bidi="ar"/>
        </w:rPr>
      </w:pPr>
      <w:bookmarkStart w:id="328" w:name="OLE_LINK12"/>
    </w:p>
    <w:bookmarkEnd w:id="328"/>
    <w:p w14:paraId="28A8718E">
      <w:pPr>
        <w:spacing w:line="360" w:lineRule="auto"/>
        <w:jc w:val="center"/>
        <w:rPr>
          <w:rFonts w:ascii="宋体" w:hAnsi="宋体"/>
          <w:bCs/>
          <w:color w:val="auto"/>
          <w:highlight w:val="none"/>
        </w:rPr>
      </w:pPr>
      <w:r>
        <w:rPr>
          <w:rFonts w:hint="eastAsia" w:ascii="宋体" w:hAnsi="宋体"/>
          <w:color w:val="auto"/>
          <w:sz w:val="24"/>
          <w:highlight w:val="none"/>
        </w:rPr>
        <w:br w:type="page"/>
      </w:r>
      <w:bookmarkStart w:id="329" w:name="_Toc1264"/>
      <w:bookmarkStart w:id="330" w:name="_Toc32409"/>
      <w:bookmarkStart w:id="331" w:name="_Toc9874"/>
      <w:bookmarkStart w:id="332" w:name="_Toc5336"/>
      <w:bookmarkStart w:id="333" w:name="_Toc11478"/>
      <w:bookmarkStart w:id="334" w:name="_Toc20355"/>
      <w:bookmarkStart w:id="335" w:name="_Toc24870"/>
      <w:bookmarkStart w:id="336" w:name="_Toc25549"/>
      <w:bookmarkStart w:id="337" w:name="_Toc8296"/>
      <w:bookmarkStart w:id="338" w:name="_Toc22012"/>
      <w:bookmarkStart w:id="339" w:name="_Toc3462"/>
      <w:r>
        <w:rPr>
          <w:rFonts w:hint="eastAsia" w:ascii="宋体" w:hAnsi="宋体"/>
          <w:bCs/>
          <w:color w:val="auto"/>
          <w:sz w:val="28"/>
          <w:szCs w:val="28"/>
          <w:highlight w:val="none"/>
        </w:rPr>
        <w:t>7、法定代表人授权书</w:t>
      </w:r>
      <w:bookmarkEnd w:id="329"/>
      <w:bookmarkEnd w:id="330"/>
      <w:bookmarkEnd w:id="331"/>
      <w:bookmarkEnd w:id="332"/>
      <w:bookmarkEnd w:id="333"/>
      <w:bookmarkEnd w:id="334"/>
      <w:bookmarkEnd w:id="335"/>
      <w:bookmarkEnd w:id="336"/>
      <w:bookmarkEnd w:id="337"/>
      <w:bookmarkEnd w:id="338"/>
      <w:bookmarkEnd w:id="339"/>
    </w:p>
    <w:p w14:paraId="61191D0A">
      <w:pPr>
        <w:rPr>
          <w:rFonts w:ascii="宋体" w:hAnsi="宋体"/>
          <w:b/>
          <w:color w:val="auto"/>
          <w:sz w:val="24"/>
          <w:highlight w:val="none"/>
        </w:rPr>
      </w:pPr>
    </w:p>
    <w:p w14:paraId="1B7BFB47">
      <w:pPr>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（投标单位名称）的法定代表人，现授权委托本单位在职员工</w:t>
      </w:r>
      <w:r>
        <w:rPr>
          <w:rFonts w:hint="eastAsia" w:ascii="宋体" w:hAnsi="宋体"/>
          <w:color w:val="auto"/>
          <w:sz w:val="24"/>
          <w:highlight w:val="none"/>
          <w:u w:val="single"/>
        </w:rPr>
        <w:t xml:space="preserve">       </w:t>
      </w:r>
      <w:r>
        <w:rPr>
          <w:rFonts w:hint="eastAsia" w:ascii="宋体" w:hAnsi="宋体"/>
          <w:color w:val="auto"/>
          <w:sz w:val="24"/>
          <w:highlight w:val="none"/>
        </w:rPr>
        <w:t>（姓名，职务）（身份证号码：</w:t>
      </w:r>
      <w:r>
        <w:rPr>
          <w:rFonts w:hint="eastAsia" w:ascii="宋体" w:hAnsi="宋体"/>
          <w:color w:val="auto"/>
          <w:sz w:val="24"/>
          <w:highlight w:val="none"/>
          <w:u w:val="single"/>
        </w:rPr>
        <w:t xml:space="preserve">                </w:t>
      </w:r>
      <w:r>
        <w:rPr>
          <w:rFonts w:hint="eastAsia" w:ascii="宋体" w:hAnsi="宋体"/>
          <w:color w:val="auto"/>
          <w:sz w:val="24"/>
          <w:highlight w:val="none"/>
        </w:rPr>
        <w:t>）作为供应商代表以我方的名义参加贵单位组织的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）的投标活动，并代表我方全权处理一切与之有关的具体事务和签署相关文件，我均予以承认。</w:t>
      </w:r>
    </w:p>
    <w:p w14:paraId="7E6382D2">
      <w:pPr>
        <w:ind w:firstLine="480" w:firstLineChars="200"/>
        <w:rPr>
          <w:rFonts w:ascii="宋体" w:hAnsi="宋体"/>
          <w:color w:val="auto"/>
          <w:sz w:val="24"/>
          <w:highlight w:val="none"/>
        </w:rPr>
      </w:pPr>
      <w:r>
        <w:rPr>
          <w:rFonts w:hint="eastAsia" w:ascii="宋体" w:hAnsi="宋体"/>
          <w:color w:val="auto"/>
          <w:sz w:val="24"/>
          <w:highlight w:val="none"/>
        </w:rPr>
        <w:t>代理人无权转让委托权。</w:t>
      </w:r>
    </w:p>
    <w:p w14:paraId="4A9E9CB0">
      <w:pPr>
        <w:ind w:firstLine="480" w:firstLineChars="200"/>
        <w:rPr>
          <w:rFonts w:ascii="宋体" w:hAnsi="宋体"/>
          <w:color w:val="auto"/>
          <w:sz w:val="24"/>
          <w:highlight w:val="none"/>
        </w:rPr>
      </w:pPr>
      <w:r>
        <w:rPr>
          <w:rFonts w:hint="eastAsia" w:ascii="宋体" w:hAnsi="宋体"/>
          <w:color w:val="auto"/>
          <w:sz w:val="24"/>
          <w:highlight w:val="none"/>
        </w:rPr>
        <w:t>本授权书于    年    月   日签名生效，本授权书至投标有效期结束前始终有效。</w:t>
      </w:r>
    </w:p>
    <w:p w14:paraId="41EDE314">
      <w:pPr>
        <w:ind w:firstLine="480" w:firstLineChars="200"/>
        <w:rPr>
          <w:rFonts w:ascii="宋体" w:hAnsi="宋体"/>
          <w:color w:val="auto"/>
          <w:sz w:val="24"/>
          <w:highlight w:val="none"/>
        </w:rPr>
      </w:pPr>
      <w:r>
        <w:rPr>
          <w:rFonts w:hint="eastAsia" w:ascii="宋体" w:hAnsi="宋体"/>
          <w:color w:val="auto"/>
          <w:sz w:val="24"/>
          <w:highlight w:val="none"/>
        </w:rPr>
        <w:t>特此声明。</w:t>
      </w:r>
    </w:p>
    <w:p w14:paraId="5E2D599E">
      <w:pPr>
        <w:ind w:firstLine="480" w:firstLineChars="200"/>
        <w:rPr>
          <w:rFonts w:ascii="宋体" w:hAnsi="宋体"/>
          <w:color w:val="auto"/>
          <w:sz w:val="24"/>
          <w:highlight w:val="none"/>
        </w:rPr>
      </w:pPr>
    </w:p>
    <w:p w14:paraId="0CD3FD0F">
      <w:pPr>
        <w:ind w:firstLine="480" w:firstLineChars="200"/>
        <w:rPr>
          <w:rFonts w:ascii="宋体" w:hAnsi="宋体"/>
          <w:color w:val="auto"/>
          <w:sz w:val="24"/>
          <w:highlight w:val="none"/>
        </w:rPr>
      </w:pPr>
    </w:p>
    <w:p w14:paraId="3B9FE930">
      <w:pPr>
        <w:ind w:firstLine="480" w:firstLineChars="200"/>
        <w:rPr>
          <w:rFonts w:ascii="宋体" w:hAnsi="宋体"/>
          <w:color w:val="auto"/>
          <w:sz w:val="24"/>
          <w:highlight w:val="none"/>
        </w:rPr>
      </w:pPr>
      <w:r>
        <w:rPr>
          <w:rFonts w:hint="eastAsia" w:ascii="宋体" w:hAnsi="宋体"/>
          <w:color w:val="auto"/>
          <w:sz w:val="24"/>
          <w:highlight w:val="none"/>
        </w:rPr>
        <w:t>供应商（公章）：</w:t>
      </w:r>
    </w:p>
    <w:p w14:paraId="00C1ADE2">
      <w:pPr>
        <w:ind w:firstLine="480" w:firstLineChars="200"/>
        <w:rPr>
          <w:rFonts w:ascii="宋体" w:hAnsi="宋体"/>
          <w:color w:val="auto"/>
          <w:sz w:val="24"/>
          <w:highlight w:val="none"/>
        </w:rPr>
      </w:pPr>
      <w:r>
        <w:rPr>
          <w:rFonts w:hint="eastAsia" w:ascii="宋体" w:hAnsi="宋体"/>
          <w:color w:val="auto"/>
          <w:sz w:val="24"/>
          <w:highlight w:val="none"/>
        </w:rPr>
        <w:t>法定代表人（授权人）签字或盖章或电子签章：</w:t>
      </w:r>
    </w:p>
    <w:p w14:paraId="2138699B">
      <w:pPr>
        <w:ind w:firstLine="480" w:firstLineChars="200"/>
        <w:rPr>
          <w:rFonts w:ascii="宋体" w:hAnsi="宋体"/>
          <w:color w:val="auto"/>
          <w:sz w:val="24"/>
          <w:highlight w:val="none"/>
        </w:rPr>
      </w:pPr>
      <w:r>
        <w:rPr>
          <w:rFonts w:hint="eastAsia" w:ascii="宋体" w:hAnsi="宋体"/>
          <w:color w:val="auto"/>
          <w:sz w:val="24"/>
          <w:highlight w:val="none"/>
        </w:rPr>
        <w:t>供应商代表（被授权人）签字或盖章或电子签章：</w:t>
      </w:r>
    </w:p>
    <w:p w14:paraId="0C382320">
      <w:pPr>
        <w:ind w:firstLine="480" w:firstLineChars="200"/>
        <w:rPr>
          <w:rFonts w:ascii="宋体" w:hAnsi="宋体"/>
          <w:color w:val="auto"/>
          <w:sz w:val="24"/>
          <w:highlight w:val="none"/>
        </w:rPr>
      </w:pPr>
      <w:r>
        <w:rPr>
          <w:rFonts w:hint="eastAsia" w:ascii="宋体" w:hAnsi="宋体"/>
          <w:color w:val="auto"/>
          <w:sz w:val="24"/>
          <w:highlight w:val="none"/>
        </w:rPr>
        <w:t>日    期：</w:t>
      </w:r>
    </w:p>
    <w:p w14:paraId="60A82A00">
      <w:pPr>
        <w:ind w:firstLine="420" w:firstLineChars="200"/>
        <w:rPr>
          <w:rFonts w:ascii="宋体" w:hAnsi="宋体"/>
          <w:color w:val="auto"/>
          <w:highlight w:val="none"/>
        </w:rPr>
      </w:pPr>
    </w:p>
    <w:p w14:paraId="2E601A01">
      <w:pPr>
        <w:rPr>
          <w:rFonts w:ascii="宋体" w:hAnsi="宋体"/>
          <w:color w:val="auto"/>
          <w:highlight w:val="none"/>
        </w:rPr>
      </w:pPr>
      <w:bookmarkStart w:id="340" w:name="_Toc509411891"/>
      <w:bookmarkStart w:id="341" w:name="_Toc12746"/>
      <w:bookmarkStart w:id="342" w:name="_Toc441"/>
      <w:r>
        <w:rPr>
          <w:rFonts w:hint="eastAsia" w:ascii="宋体" w:hAnsi="宋体"/>
          <w:bCs/>
          <w:color w:val="auto"/>
          <w:sz w:val="24"/>
          <w:highlight w:val="none"/>
        </w:rPr>
        <w:t>附：法定代表人、供应商代表（被授权人）身份证正面和反面</w:t>
      </w:r>
      <w:bookmarkEnd w:id="340"/>
      <w:bookmarkEnd w:id="341"/>
      <w:bookmarkEnd w:id="342"/>
      <w:r>
        <w:rPr>
          <w:rFonts w:hint="eastAsia" w:ascii="宋体" w:hAnsi="宋体"/>
          <w:bCs/>
          <w:color w:val="auto"/>
          <w:sz w:val="24"/>
          <w:highlight w:val="none"/>
        </w:rPr>
        <w:t>复印件或扫描件。</w:t>
      </w:r>
    </w:p>
    <w:p w14:paraId="37D26BFC">
      <w:pPr>
        <w:pStyle w:val="22"/>
        <w:ind w:firstLine="240"/>
        <w:rPr>
          <w:color w:val="auto"/>
          <w:highlight w:val="none"/>
        </w:rPr>
      </w:pPr>
    </w:p>
    <w:p w14:paraId="1E85714D">
      <w:pPr>
        <w:pStyle w:val="22"/>
        <w:ind w:firstLine="240"/>
        <w:rPr>
          <w:color w:val="auto"/>
          <w:highlight w:val="none"/>
        </w:rPr>
      </w:pPr>
    </w:p>
    <w:p w14:paraId="005846C8">
      <w:pPr>
        <w:pStyle w:val="22"/>
        <w:ind w:firstLine="240"/>
        <w:rPr>
          <w:color w:val="auto"/>
          <w:highlight w:val="none"/>
        </w:rPr>
      </w:pPr>
    </w:p>
    <w:p w14:paraId="55A015C9">
      <w:pPr>
        <w:pStyle w:val="22"/>
        <w:ind w:firstLine="240"/>
        <w:rPr>
          <w:color w:val="auto"/>
          <w:highlight w:val="none"/>
        </w:rPr>
      </w:pPr>
    </w:p>
    <w:p w14:paraId="7970A386">
      <w:pPr>
        <w:pStyle w:val="22"/>
        <w:ind w:firstLine="240"/>
        <w:rPr>
          <w:color w:val="auto"/>
          <w:highlight w:val="none"/>
        </w:rPr>
      </w:pPr>
    </w:p>
    <w:p w14:paraId="713E3C4B">
      <w:pPr>
        <w:pStyle w:val="23"/>
        <w:ind w:left="420" w:firstLine="420"/>
        <w:rPr>
          <w:color w:val="auto"/>
          <w:highlight w:val="none"/>
        </w:rPr>
      </w:pPr>
    </w:p>
    <w:p w14:paraId="7B9C09BF">
      <w:pPr>
        <w:pStyle w:val="23"/>
        <w:ind w:left="420" w:firstLine="420"/>
        <w:rPr>
          <w:color w:val="auto"/>
          <w:highlight w:val="none"/>
        </w:rPr>
      </w:pPr>
    </w:p>
    <w:p w14:paraId="2C2ED202">
      <w:pPr>
        <w:pStyle w:val="23"/>
        <w:ind w:left="420" w:firstLine="420"/>
        <w:rPr>
          <w:color w:val="auto"/>
          <w:highlight w:val="none"/>
        </w:rPr>
      </w:pPr>
    </w:p>
    <w:p w14:paraId="1B3B66AD">
      <w:pPr>
        <w:pStyle w:val="23"/>
        <w:ind w:left="420" w:firstLine="420"/>
        <w:rPr>
          <w:color w:val="auto"/>
          <w:highlight w:val="none"/>
        </w:rPr>
      </w:pPr>
    </w:p>
    <w:p w14:paraId="50DECD6B">
      <w:pPr>
        <w:pStyle w:val="23"/>
        <w:ind w:left="420" w:firstLine="420"/>
        <w:rPr>
          <w:color w:val="auto"/>
          <w:highlight w:val="none"/>
        </w:rPr>
      </w:pPr>
    </w:p>
    <w:p w14:paraId="0E7B6228">
      <w:pPr>
        <w:pStyle w:val="23"/>
        <w:ind w:left="420" w:firstLine="420"/>
        <w:rPr>
          <w:color w:val="auto"/>
          <w:highlight w:val="none"/>
        </w:rPr>
      </w:pPr>
    </w:p>
    <w:p w14:paraId="2E715BAB">
      <w:pPr>
        <w:pStyle w:val="23"/>
        <w:ind w:left="420" w:firstLine="420"/>
        <w:rPr>
          <w:color w:val="auto"/>
          <w:highlight w:val="none"/>
        </w:rPr>
      </w:pPr>
    </w:p>
    <w:p w14:paraId="4DD67F5E">
      <w:pPr>
        <w:pStyle w:val="23"/>
        <w:ind w:left="420" w:firstLine="420"/>
        <w:rPr>
          <w:color w:val="auto"/>
          <w:highlight w:val="none"/>
        </w:rPr>
      </w:pPr>
    </w:p>
    <w:p w14:paraId="38E12798">
      <w:pPr>
        <w:pStyle w:val="23"/>
        <w:ind w:left="420" w:firstLine="420"/>
        <w:rPr>
          <w:color w:val="auto"/>
          <w:highlight w:val="none"/>
        </w:rPr>
      </w:pPr>
    </w:p>
    <w:p w14:paraId="30B8C205">
      <w:pPr>
        <w:pStyle w:val="23"/>
        <w:ind w:left="420" w:firstLine="420"/>
        <w:rPr>
          <w:color w:val="auto"/>
          <w:highlight w:val="none"/>
        </w:rPr>
      </w:pPr>
    </w:p>
    <w:p w14:paraId="3AF7FE74">
      <w:pPr>
        <w:pStyle w:val="23"/>
        <w:ind w:left="420" w:firstLine="420"/>
        <w:rPr>
          <w:color w:val="auto"/>
          <w:highlight w:val="none"/>
        </w:rPr>
      </w:pPr>
    </w:p>
    <w:p w14:paraId="56E96A4D">
      <w:pPr>
        <w:pStyle w:val="23"/>
        <w:ind w:left="420" w:firstLine="420"/>
        <w:rPr>
          <w:color w:val="auto"/>
          <w:highlight w:val="none"/>
        </w:rPr>
      </w:pPr>
    </w:p>
    <w:p w14:paraId="539FF4B9">
      <w:pPr>
        <w:pStyle w:val="23"/>
        <w:ind w:left="420" w:firstLine="420"/>
        <w:rPr>
          <w:color w:val="auto"/>
          <w:highlight w:val="none"/>
        </w:rPr>
      </w:pPr>
    </w:p>
    <w:p w14:paraId="3A7C3480">
      <w:pPr>
        <w:rPr>
          <w:rFonts w:ascii="宋体" w:hAnsi="宋体"/>
          <w:color w:val="auto"/>
          <w:sz w:val="24"/>
          <w:highlight w:val="none"/>
        </w:rPr>
      </w:pPr>
    </w:p>
    <w:p w14:paraId="49F6DD6E">
      <w:pPr>
        <w:rPr>
          <w:rFonts w:ascii="宋体" w:hAnsi="宋体"/>
          <w:bCs/>
          <w:color w:val="auto"/>
          <w:highlight w:val="none"/>
        </w:rPr>
      </w:pPr>
    </w:p>
    <w:p w14:paraId="1E999104">
      <w:pPr>
        <w:jc w:val="center"/>
        <w:rPr>
          <w:rFonts w:ascii="宋体" w:hAnsi="宋体"/>
          <w:color w:val="auto"/>
          <w:sz w:val="28"/>
          <w:szCs w:val="28"/>
          <w:highlight w:val="none"/>
        </w:rPr>
      </w:pPr>
      <w:bookmarkStart w:id="343" w:name="_Toc5424"/>
      <w:bookmarkStart w:id="344" w:name="_Toc22410"/>
      <w:bookmarkStart w:id="345" w:name="_Toc15023"/>
      <w:bookmarkStart w:id="346" w:name="_Toc647"/>
      <w:bookmarkStart w:id="347" w:name="_Toc12980"/>
      <w:bookmarkStart w:id="348" w:name="_Toc1871"/>
      <w:bookmarkStart w:id="349" w:name="_Toc14997"/>
      <w:bookmarkStart w:id="350" w:name="_Toc20561"/>
      <w:bookmarkStart w:id="351" w:name="_Toc1947"/>
      <w:bookmarkStart w:id="352" w:name="_Toc16147"/>
      <w:bookmarkStart w:id="353" w:name="_Toc9467"/>
      <w:r>
        <w:rPr>
          <w:rFonts w:hint="eastAsia" w:ascii="宋体" w:hAnsi="宋体"/>
          <w:bCs/>
          <w:color w:val="auto"/>
          <w:sz w:val="28"/>
          <w:szCs w:val="28"/>
          <w:highlight w:val="none"/>
        </w:rPr>
        <w:t>8、供应商基本情况</w:t>
      </w:r>
      <w:bookmarkEnd w:id="343"/>
      <w:bookmarkEnd w:id="344"/>
      <w:bookmarkEnd w:id="345"/>
      <w:bookmarkEnd w:id="346"/>
      <w:bookmarkEnd w:id="347"/>
      <w:bookmarkEnd w:id="348"/>
      <w:bookmarkEnd w:id="349"/>
      <w:bookmarkEnd w:id="350"/>
      <w:bookmarkEnd w:id="351"/>
      <w:bookmarkEnd w:id="352"/>
      <w:bookmarkEnd w:id="353"/>
    </w:p>
    <w:p w14:paraId="045D07F2">
      <w:pPr>
        <w:jc w:val="center"/>
        <w:rPr>
          <w:rFonts w:ascii="宋体" w:hAnsi="宋体"/>
          <w:color w:val="auto"/>
          <w:sz w:val="24"/>
          <w:highlight w:val="none"/>
        </w:rPr>
      </w:pPr>
      <w:r>
        <w:rPr>
          <w:rFonts w:hint="eastAsia" w:ascii="宋体" w:hAnsi="宋体"/>
          <w:color w:val="auto"/>
          <w:sz w:val="24"/>
          <w:highlight w:val="none"/>
        </w:rPr>
        <w:t>（如实编写供应商基本情况，格式自拟）</w:t>
      </w:r>
    </w:p>
    <w:p w14:paraId="000678F4">
      <w:pPr>
        <w:rPr>
          <w:rFonts w:ascii="宋体" w:hAnsi="宋体"/>
          <w:color w:val="auto"/>
          <w:highlight w:val="none"/>
        </w:rPr>
      </w:pPr>
    </w:p>
    <w:p w14:paraId="135AD84C">
      <w:pPr>
        <w:rPr>
          <w:rFonts w:ascii="宋体" w:hAnsi="宋体"/>
          <w:color w:val="auto"/>
          <w:highlight w:val="none"/>
        </w:rPr>
      </w:pPr>
    </w:p>
    <w:p w14:paraId="1F28A32B">
      <w:pPr>
        <w:rPr>
          <w:rFonts w:ascii="宋体" w:hAnsi="宋体"/>
          <w:color w:val="auto"/>
          <w:highlight w:val="none"/>
        </w:rPr>
      </w:pPr>
    </w:p>
    <w:p w14:paraId="75087BA8">
      <w:pPr>
        <w:rPr>
          <w:rFonts w:ascii="宋体" w:hAnsi="宋体"/>
          <w:color w:val="auto"/>
          <w:highlight w:val="none"/>
        </w:rPr>
      </w:pPr>
    </w:p>
    <w:p w14:paraId="617CDE41">
      <w:pPr>
        <w:rPr>
          <w:rFonts w:ascii="宋体" w:hAnsi="宋体"/>
          <w:color w:val="auto"/>
          <w:highlight w:val="none"/>
        </w:rPr>
      </w:pPr>
    </w:p>
    <w:p w14:paraId="0E675821">
      <w:pPr>
        <w:rPr>
          <w:rFonts w:ascii="宋体" w:hAnsi="宋体"/>
          <w:color w:val="auto"/>
          <w:highlight w:val="none"/>
        </w:rPr>
      </w:pPr>
    </w:p>
    <w:p w14:paraId="2DACAEC6">
      <w:pPr>
        <w:rPr>
          <w:rFonts w:ascii="宋体" w:hAnsi="宋体"/>
          <w:color w:val="auto"/>
          <w:highlight w:val="none"/>
        </w:rPr>
      </w:pPr>
    </w:p>
    <w:p w14:paraId="54B9B207">
      <w:pPr>
        <w:rPr>
          <w:rFonts w:ascii="宋体" w:hAnsi="宋体"/>
          <w:color w:val="auto"/>
          <w:highlight w:val="none"/>
        </w:rPr>
      </w:pPr>
    </w:p>
    <w:p w14:paraId="72EF970C">
      <w:pPr>
        <w:rPr>
          <w:rFonts w:ascii="宋体" w:hAnsi="宋体"/>
          <w:color w:val="auto"/>
          <w:highlight w:val="none"/>
        </w:rPr>
      </w:pPr>
    </w:p>
    <w:p w14:paraId="6C82A5C3">
      <w:pPr>
        <w:rPr>
          <w:rFonts w:ascii="宋体" w:hAnsi="宋体"/>
          <w:color w:val="auto"/>
          <w:highlight w:val="none"/>
        </w:rPr>
      </w:pPr>
    </w:p>
    <w:p w14:paraId="6B1E1429">
      <w:pPr>
        <w:pStyle w:val="22"/>
        <w:ind w:firstLine="240"/>
        <w:rPr>
          <w:color w:val="auto"/>
          <w:highlight w:val="none"/>
        </w:rPr>
      </w:pPr>
    </w:p>
    <w:p w14:paraId="7BF85F81">
      <w:pPr>
        <w:pStyle w:val="22"/>
        <w:ind w:firstLine="240"/>
        <w:rPr>
          <w:color w:val="auto"/>
          <w:highlight w:val="none"/>
        </w:rPr>
      </w:pPr>
    </w:p>
    <w:p w14:paraId="0274C663">
      <w:pPr>
        <w:pStyle w:val="22"/>
        <w:ind w:firstLine="240"/>
        <w:rPr>
          <w:color w:val="auto"/>
          <w:highlight w:val="none"/>
        </w:rPr>
      </w:pPr>
    </w:p>
    <w:p w14:paraId="54EB7471">
      <w:pPr>
        <w:pStyle w:val="22"/>
        <w:ind w:firstLine="240"/>
        <w:rPr>
          <w:color w:val="auto"/>
          <w:highlight w:val="none"/>
        </w:rPr>
      </w:pPr>
    </w:p>
    <w:p w14:paraId="67DF00E5">
      <w:pPr>
        <w:pStyle w:val="22"/>
        <w:ind w:firstLine="240"/>
        <w:rPr>
          <w:color w:val="auto"/>
          <w:highlight w:val="none"/>
        </w:rPr>
      </w:pPr>
    </w:p>
    <w:p w14:paraId="71324CF8">
      <w:pPr>
        <w:pStyle w:val="22"/>
        <w:ind w:firstLine="240"/>
        <w:rPr>
          <w:color w:val="auto"/>
          <w:highlight w:val="none"/>
        </w:rPr>
      </w:pPr>
    </w:p>
    <w:p w14:paraId="31BFC8FF">
      <w:pPr>
        <w:pStyle w:val="22"/>
        <w:ind w:firstLine="240"/>
        <w:rPr>
          <w:color w:val="auto"/>
          <w:highlight w:val="none"/>
        </w:rPr>
      </w:pPr>
    </w:p>
    <w:p w14:paraId="258E9EB4">
      <w:pPr>
        <w:pStyle w:val="22"/>
        <w:ind w:firstLine="240"/>
        <w:rPr>
          <w:color w:val="auto"/>
          <w:highlight w:val="none"/>
        </w:rPr>
      </w:pPr>
    </w:p>
    <w:p w14:paraId="6B6B1E7A">
      <w:pPr>
        <w:rPr>
          <w:rFonts w:ascii="宋体" w:hAnsi="宋体"/>
          <w:color w:val="auto"/>
          <w:highlight w:val="none"/>
        </w:rPr>
      </w:pPr>
    </w:p>
    <w:p w14:paraId="077D2C47">
      <w:pPr>
        <w:pStyle w:val="22"/>
        <w:ind w:firstLine="240"/>
        <w:rPr>
          <w:color w:val="auto"/>
          <w:highlight w:val="none"/>
        </w:rPr>
      </w:pPr>
    </w:p>
    <w:p w14:paraId="6818604E">
      <w:pPr>
        <w:pStyle w:val="23"/>
        <w:ind w:left="420" w:firstLine="420"/>
        <w:rPr>
          <w:color w:val="auto"/>
          <w:highlight w:val="none"/>
        </w:rPr>
      </w:pPr>
    </w:p>
    <w:p w14:paraId="0A33793D">
      <w:pPr>
        <w:pStyle w:val="23"/>
        <w:ind w:left="420" w:firstLine="420"/>
        <w:rPr>
          <w:color w:val="auto"/>
          <w:highlight w:val="none"/>
        </w:rPr>
      </w:pPr>
    </w:p>
    <w:p w14:paraId="73BED806">
      <w:pPr>
        <w:pStyle w:val="23"/>
        <w:ind w:left="420" w:firstLine="420"/>
        <w:rPr>
          <w:color w:val="auto"/>
          <w:highlight w:val="none"/>
        </w:rPr>
      </w:pPr>
    </w:p>
    <w:p w14:paraId="7B72473A">
      <w:pPr>
        <w:pStyle w:val="23"/>
        <w:ind w:left="420" w:firstLine="420"/>
        <w:rPr>
          <w:color w:val="auto"/>
          <w:highlight w:val="none"/>
        </w:rPr>
      </w:pPr>
    </w:p>
    <w:p w14:paraId="6A236F62">
      <w:pPr>
        <w:pStyle w:val="23"/>
        <w:ind w:left="420" w:firstLine="420"/>
        <w:rPr>
          <w:color w:val="auto"/>
          <w:highlight w:val="none"/>
        </w:rPr>
      </w:pPr>
    </w:p>
    <w:p w14:paraId="6C74F16B">
      <w:pPr>
        <w:pStyle w:val="23"/>
        <w:ind w:left="420" w:firstLine="420"/>
        <w:rPr>
          <w:color w:val="auto"/>
          <w:highlight w:val="none"/>
        </w:rPr>
      </w:pPr>
    </w:p>
    <w:p w14:paraId="5D5E8883">
      <w:pPr>
        <w:pStyle w:val="23"/>
        <w:ind w:left="420" w:firstLine="420"/>
        <w:rPr>
          <w:color w:val="auto"/>
          <w:highlight w:val="none"/>
        </w:rPr>
      </w:pPr>
    </w:p>
    <w:p w14:paraId="0EA7E023">
      <w:pPr>
        <w:pStyle w:val="23"/>
        <w:ind w:left="420" w:firstLine="420"/>
        <w:rPr>
          <w:color w:val="auto"/>
          <w:highlight w:val="none"/>
        </w:rPr>
      </w:pPr>
    </w:p>
    <w:p w14:paraId="594E4A52">
      <w:pPr>
        <w:pStyle w:val="23"/>
        <w:ind w:left="420" w:firstLine="420"/>
        <w:rPr>
          <w:color w:val="auto"/>
          <w:highlight w:val="none"/>
        </w:rPr>
      </w:pPr>
    </w:p>
    <w:p w14:paraId="2B86210E">
      <w:pPr>
        <w:pStyle w:val="23"/>
        <w:ind w:left="420" w:firstLine="420"/>
        <w:rPr>
          <w:color w:val="auto"/>
          <w:highlight w:val="none"/>
        </w:rPr>
      </w:pPr>
    </w:p>
    <w:p w14:paraId="53AED3D3">
      <w:pPr>
        <w:pStyle w:val="23"/>
        <w:ind w:left="420" w:firstLine="420"/>
        <w:rPr>
          <w:color w:val="auto"/>
          <w:highlight w:val="none"/>
        </w:rPr>
      </w:pPr>
    </w:p>
    <w:p w14:paraId="75013944">
      <w:pPr>
        <w:pStyle w:val="23"/>
        <w:ind w:left="420" w:firstLine="420"/>
        <w:rPr>
          <w:color w:val="auto"/>
          <w:highlight w:val="none"/>
        </w:rPr>
      </w:pPr>
    </w:p>
    <w:p w14:paraId="4AFEC9F5">
      <w:pPr>
        <w:pStyle w:val="23"/>
        <w:ind w:left="420" w:firstLine="420"/>
        <w:rPr>
          <w:color w:val="auto"/>
          <w:highlight w:val="none"/>
        </w:rPr>
      </w:pPr>
    </w:p>
    <w:p w14:paraId="2B969758">
      <w:pPr>
        <w:pStyle w:val="23"/>
        <w:ind w:left="420" w:firstLine="420"/>
        <w:rPr>
          <w:color w:val="auto"/>
          <w:highlight w:val="none"/>
        </w:rPr>
      </w:pPr>
    </w:p>
    <w:p w14:paraId="4B38CE8E">
      <w:pPr>
        <w:pStyle w:val="23"/>
        <w:ind w:left="420" w:firstLine="420"/>
        <w:rPr>
          <w:color w:val="auto"/>
          <w:highlight w:val="none"/>
        </w:rPr>
      </w:pPr>
    </w:p>
    <w:p w14:paraId="5D58F148">
      <w:pPr>
        <w:rPr>
          <w:rFonts w:ascii="宋体" w:hAnsi="宋体"/>
          <w:color w:val="auto"/>
          <w:highlight w:val="none"/>
        </w:rPr>
      </w:pPr>
    </w:p>
    <w:p w14:paraId="382D2CE0">
      <w:pPr>
        <w:rPr>
          <w:rFonts w:ascii="宋体" w:hAnsi="宋体"/>
          <w:color w:val="auto"/>
          <w:highlight w:val="none"/>
        </w:rPr>
      </w:pPr>
    </w:p>
    <w:p w14:paraId="381F5F6C">
      <w:pPr>
        <w:rPr>
          <w:rFonts w:ascii="宋体" w:hAnsi="宋体"/>
          <w:color w:val="auto"/>
          <w:highlight w:val="none"/>
        </w:rPr>
      </w:pPr>
    </w:p>
    <w:p w14:paraId="269C881B">
      <w:pPr>
        <w:jc w:val="center"/>
        <w:rPr>
          <w:rFonts w:ascii="宋体" w:hAnsi="宋体"/>
          <w:color w:val="auto"/>
          <w:sz w:val="28"/>
          <w:szCs w:val="28"/>
          <w:highlight w:val="none"/>
        </w:rPr>
      </w:pPr>
      <w:bookmarkStart w:id="354" w:name="_Toc1995"/>
      <w:bookmarkStart w:id="355" w:name="_Toc3508"/>
      <w:bookmarkStart w:id="356" w:name="_Toc4166"/>
      <w:bookmarkStart w:id="357" w:name="_Toc24476"/>
      <w:bookmarkStart w:id="358" w:name="_Toc26997"/>
      <w:bookmarkStart w:id="359" w:name="_Toc24441"/>
      <w:bookmarkStart w:id="360" w:name="_Toc14349"/>
      <w:bookmarkStart w:id="361" w:name="_Toc19378"/>
      <w:bookmarkStart w:id="362" w:name="_Toc28025"/>
      <w:bookmarkStart w:id="363" w:name="_Toc29287"/>
      <w:bookmarkStart w:id="364" w:name="_Toc2559"/>
      <w:r>
        <w:rPr>
          <w:rFonts w:hint="eastAsia" w:ascii="宋体" w:hAnsi="宋体"/>
          <w:bCs/>
          <w:color w:val="auto"/>
          <w:sz w:val="28"/>
          <w:szCs w:val="28"/>
          <w:highlight w:val="none"/>
        </w:rPr>
        <w:t>9、类似项目业绩情况表</w:t>
      </w:r>
      <w:bookmarkEnd w:id="354"/>
      <w:bookmarkEnd w:id="355"/>
      <w:bookmarkEnd w:id="356"/>
      <w:bookmarkEnd w:id="357"/>
      <w:bookmarkEnd w:id="358"/>
      <w:bookmarkEnd w:id="359"/>
      <w:bookmarkEnd w:id="360"/>
      <w:bookmarkEnd w:id="361"/>
      <w:bookmarkEnd w:id="362"/>
      <w:bookmarkEnd w:id="363"/>
      <w:bookmarkEnd w:id="364"/>
    </w:p>
    <w:p w14:paraId="5E1E2D6D">
      <w:pPr>
        <w:rPr>
          <w:rFonts w:ascii="宋体" w:hAnsi="宋体"/>
          <w:b/>
          <w:color w:val="auto"/>
          <w:spacing w:val="10"/>
          <w:sz w:val="24"/>
          <w:highlight w:val="none"/>
        </w:rPr>
      </w:pPr>
      <w:bookmarkStart w:id="365" w:name="_Toc32395"/>
      <w:bookmarkStart w:id="366" w:name="_Toc31590"/>
      <w:bookmarkStart w:id="367" w:name="_Toc509411892"/>
      <w:r>
        <w:rPr>
          <w:rFonts w:hint="eastAsia" w:ascii="宋体" w:hAnsi="宋体"/>
          <w:color w:val="auto"/>
          <w:sz w:val="24"/>
          <w:highlight w:val="none"/>
        </w:rPr>
        <w:t>供应商名称：</w:t>
      </w:r>
      <w:bookmarkEnd w:id="365"/>
      <w:bookmarkEnd w:id="366"/>
      <w:bookmarkEnd w:id="367"/>
      <w:r>
        <w:rPr>
          <w:rFonts w:hint="eastAsia" w:ascii="宋体" w:hAnsi="宋体"/>
          <w:color w:val="auto"/>
          <w:sz w:val="24"/>
          <w:highlight w:val="none"/>
        </w:rPr>
        <w:t xml:space="preserve">                                </w:t>
      </w:r>
    </w:p>
    <w:tbl>
      <w:tblPr>
        <w:tblStyle w:val="2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5D4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46C1A296">
            <w:pPr>
              <w:rPr>
                <w:rFonts w:ascii="宋体" w:hAnsi="宋体"/>
                <w:bCs/>
                <w:color w:val="auto"/>
                <w:sz w:val="24"/>
                <w:highlight w:val="none"/>
              </w:rPr>
            </w:pPr>
            <w:r>
              <w:rPr>
                <w:rFonts w:hint="eastAsia" w:ascii="宋体" w:hAnsi="宋体"/>
                <w:bCs/>
                <w:color w:val="auto"/>
                <w:sz w:val="24"/>
                <w:highlight w:val="none"/>
              </w:rPr>
              <w:t>序号</w:t>
            </w:r>
          </w:p>
        </w:tc>
        <w:tc>
          <w:tcPr>
            <w:tcW w:w="1732" w:type="dxa"/>
            <w:vAlign w:val="center"/>
          </w:tcPr>
          <w:p w14:paraId="0D87353A">
            <w:pPr>
              <w:rPr>
                <w:rFonts w:ascii="宋体" w:hAnsi="宋体"/>
                <w:bCs/>
                <w:color w:val="auto"/>
                <w:sz w:val="24"/>
                <w:highlight w:val="none"/>
              </w:rPr>
            </w:pPr>
            <w:r>
              <w:rPr>
                <w:rFonts w:hint="eastAsia" w:ascii="宋体" w:hAnsi="宋体"/>
                <w:bCs/>
                <w:color w:val="auto"/>
                <w:sz w:val="24"/>
                <w:highlight w:val="none"/>
              </w:rPr>
              <w:t>项目名称</w:t>
            </w:r>
          </w:p>
        </w:tc>
        <w:tc>
          <w:tcPr>
            <w:tcW w:w="1487" w:type="dxa"/>
            <w:vAlign w:val="center"/>
          </w:tcPr>
          <w:p w14:paraId="1711B8A8">
            <w:pPr>
              <w:rPr>
                <w:rFonts w:ascii="宋体" w:hAnsi="宋体"/>
                <w:bCs/>
                <w:color w:val="auto"/>
                <w:sz w:val="24"/>
                <w:highlight w:val="none"/>
              </w:rPr>
            </w:pPr>
            <w:r>
              <w:rPr>
                <w:rFonts w:hint="eastAsia" w:ascii="宋体" w:hAnsi="宋体"/>
                <w:bCs/>
                <w:color w:val="auto"/>
                <w:sz w:val="24"/>
                <w:highlight w:val="none"/>
              </w:rPr>
              <w:t>合同金额（元）</w:t>
            </w:r>
          </w:p>
        </w:tc>
        <w:tc>
          <w:tcPr>
            <w:tcW w:w="1262" w:type="dxa"/>
            <w:vAlign w:val="center"/>
          </w:tcPr>
          <w:p w14:paraId="1DE5BC8E">
            <w:pPr>
              <w:rPr>
                <w:rFonts w:ascii="宋体" w:hAnsi="宋体"/>
                <w:bCs/>
                <w:color w:val="auto"/>
                <w:sz w:val="24"/>
                <w:highlight w:val="none"/>
              </w:rPr>
            </w:pPr>
            <w:r>
              <w:rPr>
                <w:rFonts w:hint="eastAsia" w:ascii="宋体" w:hAnsi="宋体"/>
                <w:bCs/>
                <w:color w:val="auto"/>
                <w:sz w:val="24"/>
                <w:highlight w:val="none"/>
              </w:rPr>
              <w:t>合同签订时间</w:t>
            </w:r>
          </w:p>
        </w:tc>
        <w:tc>
          <w:tcPr>
            <w:tcW w:w="1219" w:type="dxa"/>
            <w:vAlign w:val="center"/>
          </w:tcPr>
          <w:p w14:paraId="117F5DEB">
            <w:pPr>
              <w:rPr>
                <w:rFonts w:ascii="宋体" w:hAnsi="宋体"/>
                <w:bCs/>
                <w:color w:val="auto"/>
                <w:sz w:val="24"/>
                <w:highlight w:val="none"/>
              </w:rPr>
            </w:pPr>
            <w:r>
              <w:rPr>
                <w:rFonts w:hint="eastAsia" w:ascii="宋体" w:hAnsi="宋体"/>
                <w:bCs/>
                <w:color w:val="auto"/>
                <w:sz w:val="24"/>
                <w:highlight w:val="none"/>
              </w:rPr>
              <w:t>采购单位（甲方）名称</w:t>
            </w:r>
          </w:p>
        </w:tc>
        <w:tc>
          <w:tcPr>
            <w:tcW w:w="1219" w:type="dxa"/>
            <w:vAlign w:val="center"/>
          </w:tcPr>
          <w:p w14:paraId="5E42BB0A">
            <w:pPr>
              <w:rPr>
                <w:rFonts w:ascii="宋体" w:hAnsi="宋体"/>
                <w:bCs/>
                <w:color w:val="auto"/>
                <w:sz w:val="24"/>
                <w:highlight w:val="none"/>
              </w:rPr>
            </w:pPr>
            <w:r>
              <w:rPr>
                <w:rFonts w:hint="eastAsia" w:ascii="宋体" w:hAnsi="宋体"/>
                <w:bCs/>
                <w:color w:val="auto"/>
                <w:sz w:val="24"/>
                <w:highlight w:val="none"/>
              </w:rPr>
              <w:t>联系人</w:t>
            </w:r>
          </w:p>
        </w:tc>
        <w:tc>
          <w:tcPr>
            <w:tcW w:w="1310" w:type="dxa"/>
            <w:vAlign w:val="center"/>
          </w:tcPr>
          <w:p w14:paraId="410E5117">
            <w:pPr>
              <w:rPr>
                <w:rFonts w:ascii="宋体" w:hAnsi="宋体"/>
                <w:bCs/>
                <w:color w:val="auto"/>
                <w:sz w:val="24"/>
                <w:highlight w:val="none"/>
              </w:rPr>
            </w:pPr>
            <w:r>
              <w:rPr>
                <w:rFonts w:hint="eastAsia" w:ascii="宋体" w:hAnsi="宋体"/>
                <w:bCs/>
                <w:color w:val="auto"/>
                <w:sz w:val="24"/>
                <w:highlight w:val="none"/>
              </w:rPr>
              <w:t>联系</w:t>
            </w:r>
            <w:r>
              <w:rPr>
                <w:rFonts w:hint="eastAsia" w:ascii="宋体" w:hAnsi="宋体" w:eastAsia="Times New Roman"/>
                <w:bCs/>
                <w:color w:val="auto"/>
                <w:sz w:val="24"/>
                <w:highlight w:val="none"/>
              </w:rPr>
              <w:t>方式</w:t>
            </w:r>
          </w:p>
        </w:tc>
      </w:tr>
      <w:tr w14:paraId="3A35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6E755A4D">
            <w:pPr>
              <w:rPr>
                <w:rFonts w:ascii="宋体" w:hAnsi="宋体"/>
                <w:bCs/>
                <w:color w:val="auto"/>
                <w:w w:val="90"/>
                <w:sz w:val="24"/>
                <w:highlight w:val="none"/>
              </w:rPr>
            </w:pPr>
          </w:p>
        </w:tc>
        <w:tc>
          <w:tcPr>
            <w:tcW w:w="1732" w:type="dxa"/>
            <w:vAlign w:val="center"/>
          </w:tcPr>
          <w:p w14:paraId="27163549">
            <w:pPr>
              <w:rPr>
                <w:rFonts w:ascii="宋体" w:hAnsi="宋体"/>
                <w:bCs/>
                <w:color w:val="auto"/>
                <w:w w:val="90"/>
                <w:sz w:val="24"/>
                <w:highlight w:val="none"/>
              </w:rPr>
            </w:pPr>
          </w:p>
        </w:tc>
        <w:tc>
          <w:tcPr>
            <w:tcW w:w="1487" w:type="dxa"/>
            <w:vAlign w:val="center"/>
          </w:tcPr>
          <w:p w14:paraId="1A06E7FF">
            <w:pPr>
              <w:rPr>
                <w:rFonts w:ascii="宋体" w:hAnsi="宋体"/>
                <w:bCs/>
                <w:color w:val="auto"/>
                <w:w w:val="90"/>
                <w:sz w:val="24"/>
                <w:highlight w:val="none"/>
              </w:rPr>
            </w:pPr>
          </w:p>
        </w:tc>
        <w:tc>
          <w:tcPr>
            <w:tcW w:w="1262" w:type="dxa"/>
            <w:vAlign w:val="center"/>
          </w:tcPr>
          <w:p w14:paraId="15FED723">
            <w:pPr>
              <w:rPr>
                <w:rFonts w:ascii="宋体" w:hAnsi="宋体"/>
                <w:bCs/>
                <w:color w:val="auto"/>
                <w:w w:val="90"/>
                <w:sz w:val="24"/>
                <w:highlight w:val="none"/>
              </w:rPr>
            </w:pPr>
          </w:p>
        </w:tc>
        <w:tc>
          <w:tcPr>
            <w:tcW w:w="1219" w:type="dxa"/>
            <w:vAlign w:val="center"/>
          </w:tcPr>
          <w:p w14:paraId="6C9027B6">
            <w:pPr>
              <w:rPr>
                <w:rFonts w:ascii="宋体" w:hAnsi="宋体"/>
                <w:bCs/>
                <w:color w:val="auto"/>
                <w:w w:val="90"/>
                <w:sz w:val="24"/>
                <w:highlight w:val="none"/>
              </w:rPr>
            </w:pPr>
          </w:p>
        </w:tc>
        <w:tc>
          <w:tcPr>
            <w:tcW w:w="1219" w:type="dxa"/>
            <w:vAlign w:val="center"/>
          </w:tcPr>
          <w:p w14:paraId="715074B0">
            <w:pPr>
              <w:rPr>
                <w:rFonts w:ascii="宋体" w:hAnsi="宋体"/>
                <w:bCs/>
                <w:color w:val="auto"/>
                <w:w w:val="90"/>
                <w:sz w:val="24"/>
                <w:highlight w:val="none"/>
              </w:rPr>
            </w:pPr>
          </w:p>
        </w:tc>
        <w:tc>
          <w:tcPr>
            <w:tcW w:w="1310" w:type="dxa"/>
            <w:vAlign w:val="center"/>
          </w:tcPr>
          <w:p w14:paraId="369982A4">
            <w:pPr>
              <w:rPr>
                <w:rFonts w:ascii="宋体" w:hAnsi="宋体"/>
                <w:bCs/>
                <w:color w:val="auto"/>
                <w:w w:val="90"/>
                <w:sz w:val="24"/>
                <w:highlight w:val="none"/>
              </w:rPr>
            </w:pPr>
          </w:p>
        </w:tc>
      </w:tr>
      <w:tr w14:paraId="06D8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84A7B33">
            <w:pPr>
              <w:rPr>
                <w:rFonts w:ascii="宋体" w:hAnsi="宋体"/>
                <w:bCs/>
                <w:color w:val="auto"/>
                <w:w w:val="90"/>
                <w:sz w:val="24"/>
                <w:highlight w:val="none"/>
              </w:rPr>
            </w:pPr>
          </w:p>
        </w:tc>
        <w:tc>
          <w:tcPr>
            <w:tcW w:w="1732" w:type="dxa"/>
            <w:vAlign w:val="center"/>
          </w:tcPr>
          <w:p w14:paraId="1C651624">
            <w:pPr>
              <w:rPr>
                <w:rFonts w:ascii="宋体" w:hAnsi="宋体"/>
                <w:bCs/>
                <w:color w:val="auto"/>
                <w:w w:val="90"/>
                <w:sz w:val="24"/>
                <w:highlight w:val="none"/>
              </w:rPr>
            </w:pPr>
          </w:p>
        </w:tc>
        <w:tc>
          <w:tcPr>
            <w:tcW w:w="1487" w:type="dxa"/>
            <w:vAlign w:val="center"/>
          </w:tcPr>
          <w:p w14:paraId="6D0F28E9">
            <w:pPr>
              <w:rPr>
                <w:rFonts w:ascii="宋体" w:hAnsi="宋体"/>
                <w:bCs/>
                <w:color w:val="auto"/>
                <w:w w:val="90"/>
                <w:sz w:val="24"/>
                <w:highlight w:val="none"/>
              </w:rPr>
            </w:pPr>
          </w:p>
        </w:tc>
        <w:tc>
          <w:tcPr>
            <w:tcW w:w="1262" w:type="dxa"/>
            <w:vAlign w:val="center"/>
          </w:tcPr>
          <w:p w14:paraId="79A15792">
            <w:pPr>
              <w:rPr>
                <w:rFonts w:ascii="宋体" w:hAnsi="宋体"/>
                <w:bCs/>
                <w:color w:val="auto"/>
                <w:w w:val="90"/>
                <w:sz w:val="24"/>
                <w:highlight w:val="none"/>
              </w:rPr>
            </w:pPr>
          </w:p>
        </w:tc>
        <w:tc>
          <w:tcPr>
            <w:tcW w:w="1219" w:type="dxa"/>
            <w:vAlign w:val="center"/>
          </w:tcPr>
          <w:p w14:paraId="3DA96FA7">
            <w:pPr>
              <w:rPr>
                <w:rFonts w:ascii="宋体" w:hAnsi="宋体"/>
                <w:bCs/>
                <w:color w:val="auto"/>
                <w:w w:val="90"/>
                <w:sz w:val="24"/>
                <w:highlight w:val="none"/>
              </w:rPr>
            </w:pPr>
          </w:p>
        </w:tc>
        <w:tc>
          <w:tcPr>
            <w:tcW w:w="1219" w:type="dxa"/>
            <w:vAlign w:val="center"/>
          </w:tcPr>
          <w:p w14:paraId="282D3E00">
            <w:pPr>
              <w:rPr>
                <w:rFonts w:ascii="宋体" w:hAnsi="宋体"/>
                <w:bCs/>
                <w:color w:val="auto"/>
                <w:w w:val="90"/>
                <w:sz w:val="24"/>
                <w:highlight w:val="none"/>
              </w:rPr>
            </w:pPr>
          </w:p>
        </w:tc>
        <w:tc>
          <w:tcPr>
            <w:tcW w:w="1310" w:type="dxa"/>
            <w:vAlign w:val="center"/>
          </w:tcPr>
          <w:p w14:paraId="6AB041CA">
            <w:pPr>
              <w:rPr>
                <w:rFonts w:ascii="宋体" w:hAnsi="宋体"/>
                <w:bCs/>
                <w:color w:val="auto"/>
                <w:w w:val="90"/>
                <w:sz w:val="24"/>
                <w:highlight w:val="none"/>
              </w:rPr>
            </w:pPr>
          </w:p>
        </w:tc>
      </w:tr>
      <w:tr w14:paraId="3256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492EA987">
            <w:pPr>
              <w:rPr>
                <w:rFonts w:ascii="宋体" w:hAnsi="宋体"/>
                <w:bCs/>
                <w:color w:val="auto"/>
                <w:w w:val="90"/>
                <w:sz w:val="24"/>
                <w:highlight w:val="none"/>
              </w:rPr>
            </w:pPr>
          </w:p>
        </w:tc>
        <w:tc>
          <w:tcPr>
            <w:tcW w:w="1732" w:type="dxa"/>
            <w:vAlign w:val="center"/>
          </w:tcPr>
          <w:p w14:paraId="1E2A717E">
            <w:pPr>
              <w:rPr>
                <w:rFonts w:ascii="宋体" w:hAnsi="宋体"/>
                <w:bCs/>
                <w:color w:val="auto"/>
                <w:w w:val="90"/>
                <w:sz w:val="24"/>
                <w:highlight w:val="none"/>
              </w:rPr>
            </w:pPr>
          </w:p>
        </w:tc>
        <w:tc>
          <w:tcPr>
            <w:tcW w:w="1487" w:type="dxa"/>
            <w:vAlign w:val="center"/>
          </w:tcPr>
          <w:p w14:paraId="5D50B342">
            <w:pPr>
              <w:rPr>
                <w:rFonts w:ascii="宋体" w:hAnsi="宋体"/>
                <w:bCs/>
                <w:color w:val="auto"/>
                <w:w w:val="90"/>
                <w:sz w:val="24"/>
                <w:highlight w:val="none"/>
              </w:rPr>
            </w:pPr>
          </w:p>
        </w:tc>
        <w:tc>
          <w:tcPr>
            <w:tcW w:w="1262" w:type="dxa"/>
            <w:vAlign w:val="center"/>
          </w:tcPr>
          <w:p w14:paraId="7BF9C590">
            <w:pPr>
              <w:rPr>
                <w:rFonts w:ascii="宋体" w:hAnsi="宋体"/>
                <w:bCs/>
                <w:color w:val="auto"/>
                <w:w w:val="90"/>
                <w:sz w:val="24"/>
                <w:highlight w:val="none"/>
              </w:rPr>
            </w:pPr>
          </w:p>
        </w:tc>
        <w:tc>
          <w:tcPr>
            <w:tcW w:w="1219" w:type="dxa"/>
            <w:vAlign w:val="center"/>
          </w:tcPr>
          <w:p w14:paraId="381D164E">
            <w:pPr>
              <w:rPr>
                <w:rFonts w:ascii="宋体" w:hAnsi="宋体"/>
                <w:bCs/>
                <w:color w:val="auto"/>
                <w:w w:val="90"/>
                <w:sz w:val="24"/>
                <w:highlight w:val="none"/>
              </w:rPr>
            </w:pPr>
          </w:p>
        </w:tc>
        <w:tc>
          <w:tcPr>
            <w:tcW w:w="1219" w:type="dxa"/>
            <w:vAlign w:val="center"/>
          </w:tcPr>
          <w:p w14:paraId="4EED84E1">
            <w:pPr>
              <w:rPr>
                <w:rFonts w:ascii="宋体" w:hAnsi="宋体"/>
                <w:bCs/>
                <w:color w:val="auto"/>
                <w:w w:val="90"/>
                <w:sz w:val="24"/>
                <w:highlight w:val="none"/>
              </w:rPr>
            </w:pPr>
          </w:p>
        </w:tc>
        <w:tc>
          <w:tcPr>
            <w:tcW w:w="1310" w:type="dxa"/>
            <w:vAlign w:val="center"/>
          </w:tcPr>
          <w:p w14:paraId="090F7DB7">
            <w:pPr>
              <w:rPr>
                <w:rFonts w:ascii="宋体" w:hAnsi="宋体"/>
                <w:bCs/>
                <w:color w:val="auto"/>
                <w:w w:val="90"/>
                <w:sz w:val="24"/>
                <w:highlight w:val="none"/>
              </w:rPr>
            </w:pPr>
          </w:p>
        </w:tc>
      </w:tr>
      <w:tr w14:paraId="7D37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B2D438F">
            <w:pPr>
              <w:rPr>
                <w:rFonts w:ascii="宋体" w:hAnsi="宋体"/>
                <w:bCs/>
                <w:color w:val="auto"/>
                <w:w w:val="90"/>
                <w:sz w:val="24"/>
                <w:highlight w:val="none"/>
              </w:rPr>
            </w:pPr>
          </w:p>
        </w:tc>
        <w:tc>
          <w:tcPr>
            <w:tcW w:w="1732" w:type="dxa"/>
            <w:vAlign w:val="center"/>
          </w:tcPr>
          <w:p w14:paraId="52859233">
            <w:pPr>
              <w:rPr>
                <w:rFonts w:ascii="宋体" w:hAnsi="宋体"/>
                <w:bCs/>
                <w:color w:val="auto"/>
                <w:w w:val="90"/>
                <w:sz w:val="24"/>
                <w:highlight w:val="none"/>
              </w:rPr>
            </w:pPr>
          </w:p>
        </w:tc>
        <w:tc>
          <w:tcPr>
            <w:tcW w:w="1487" w:type="dxa"/>
            <w:vAlign w:val="center"/>
          </w:tcPr>
          <w:p w14:paraId="694692C7">
            <w:pPr>
              <w:rPr>
                <w:rFonts w:ascii="宋体" w:hAnsi="宋体"/>
                <w:bCs/>
                <w:color w:val="auto"/>
                <w:w w:val="90"/>
                <w:sz w:val="24"/>
                <w:highlight w:val="none"/>
              </w:rPr>
            </w:pPr>
          </w:p>
        </w:tc>
        <w:tc>
          <w:tcPr>
            <w:tcW w:w="1262" w:type="dxa"/>
            <w:vAlign w:val="center"/>
          </w:tcPr>
          <w:p w14:paraId="5379DDD8">
            <w:pPr>
              <w:rPr>
                <w:rFonts w:ascii="宋体" w:hAnsi="宋体"/>
                <w:bCs/>
                <w:color w:val="auto"/>
                <w:w w:val="90"/>
                <w:sz w:val="24"/>
                <w:highlight w:val="none"/>
              </w:rPr>
            </w:pPr>
          </w:p>
        </w:tc>
        <w:tc>
          <w:tcPr>
            <w:tcW w:w="1219" w:type="dxa"/>
            <w:vAlign w:val="center"/>
          </w:tcPr>
          <w:p w14:paraId="0540837C">
            <w:pPr>
              <w:rPr>
                <w:rFonts w:ascii="宋体" w:hAnsi="宋体"/>
                <w:bCs/>
                <w:color w:val="auto"/>
                <w:w w:val="90"/>
                <w:sz w:val="24"/>
                <w:highlight w:val="none"/>
              </w:rPr>
            </w:pPr>
          </w:p>
        </w:tc>
        <w:tc>
          <w:tcPr>
            <w:tcW w:w="1219" w:type="dxa"/>
            <w:vAlign w:val="center"/>
          </w:tcPr>
          <w:p w14:paraId="1700E1A0">
            <w:pPr>
              <w:rPr>
                <w:rFonts w:ascii="宋体" w:hAnsi="宋体"/>
                <w:bCs/>
                <w:color w:val="auto"/>
                <w:w w:val="90"/>
                <w:sz w:val="24"/>
                <w:highlight w:val="none"/>
              </w:rPr>
            </w:pPr>
          </w:p>
        </w:tc>
        <w:tc>
          <w:tcPr>
            <w:tcW w:w="1310" w:type="dxa"/>
            <w:vAlign w:val="center"/>
          </w:tcPr>
          <w:p w14:paraId="17DC65BC">
            <w:pPr>
              <w:rPr>
                <w:rFonts w:ascii="宋体" w:hAnsi="宋体"/>
                <w:bCs/>
                <w:color w:val="auto"/>
                <w:w w:val="90"/>
                <w:sz w:val="24"/>
                <w:highlight w:val="none"/>
              </w:rPr>
            </w:pPr>
          </w:p>
        </w:tc>
      </w:tr>
      <w:tr w14:paraId="6B5B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79D0EE5">
            <w:pPr>
              <w:rPr>
                <w:rFonts w:ascii="宋体" w:hAnsi="宋体"/>
                <w:bCs/>
                <w:color w:val="auto"/>
                <w:w w:val="90"/>
                <w:sz w:val="24"/>
                <w:highlight w:val="none"/>
              </w:rPr>
            </w:pPr>
          </w:p>
        </w:tc>
        <w:tc>
          <w:tcPr>
            <w:tcW w:w="1732" w:type="dxa"/>
            <w:vAlign w:val="center"/>
          </w:tcPr>
          <w:p w14:paraId="3F51436E">
            <w:pPr>
              <w:rPr>
                <w:rFonts w:ascii="宋体" w:hAnsi="宋体"/>
                <w:bCs/>
                <w:color w:val="auto"/>
                <w:w w:val="90"/>
                <w:sz w:val="24"/>
                <w:highlight w:val="none"/>
              </w:rPr>
            </w:pPr>
          </w:p>
        </w:tc>
        <w:tc>
          <w:tcPr>
            <w:tcW w:w="1487" w:type="dxa"/>
            <w:vAlign w:val="center"/>
          </w:tcPr>
          <w:p w14:paraId="2B949D71">
            <w:pPr>
              <w:rPr>
                <w:rFonts w:ascii="宋体" w:hAnsi="宋体"/>
                <w:bCs/>
                <w:color w:val="auto"/>
                <w:w w:val="90"/>
                <w:sz w:val="24"/>
                <w:highlight w:val="none"/>
              </w:rPr>
            </w:pPr>
          </w:p>
        </w:tc>
        <w:tc>
          <w:tcPr>
            <w:tcW w:w="1262" w:type="dxa"/>
            <w:vAlign w:val="center"/>
          </w:tcPr>
          <w:p w14:paraId="7F68C0A7">
            <w:pPr>
              <w:rPr>
                <w:rFonts w:ascii="宋体" w:hAnsi="宋体"/>
                <w:bCs/>
                <w:color w:val="auto"/>
                <w:w w:val="90"/>
                <w:sz w:val="24"/>
                <w:highlight w:val="none"/>
              </w:rPr>
            </w:pPr>
          </w:p>
        </w:tc>
        <w:tc>
          <w:tcPr>
            <w:tcW w:w="1219" w:type="dxa"/>
            <w:vAlign w:val="center"/>
          </w:tcPr>
          <w:p w14:paraId="70B3C73E">
            <w:pPr>
              <w:rPr>
                <w:rFonts w:ascii="宋体" w:hAnsi="宋体"/>
                <w:bCs/>
                <w:color w:val="auto"/>
                <w:w w:val="90"/>
                <w:sz w:val="24"/>
                <w:highlight w:val="none"/>
              </w:rPr>
            </w:pPr>
          </w:p>
        </w:tc>
        <w:tc>
          <w:tcPr>
            <w:tcW w:w="1219" w:type="dxa"/>
            <w:vAlign w:val="center"/>
          </w:tcPr>
          <w:p w14:paraId="3BEF8A0A">
            <w:pPr>
              <w:rPr>
                <w:rFonts w:ascii="宋体" w:hAnsi="宋体"/>
                <w:bCs/>
                <w:color w:val="auto"/>
                <w:w w:val="90"/>
                <w:sz w:val="24"/>
                <w:highlight w:val="none"/>
              </w:rPr>
            </w:pPr>
          </w:p>
        </w:tc>
        <w:tc>
          <w:tcPr>
            <w:tcW w:w="1310" w:type="dxa"/>
            <w:vAlign w:val="center"/>
          </w:tcPr>
          <w:p w14:paraId="6F8F667D">
            <w:pPr>
              <w:rPr>
                <w:rFonts w:ascii="宋体" w:hAnsi="宋体"/>
                <w:bCs/>
                <w:color w:val="auto"/>
                <w:w w:val="90"/>
                <w:sz w:val="24"/>
                <w:highlight w:val="none"/>
              </w:rPr>
            </w:pPr>
          </w:p>
        </w:tc>
      </w:tr>
      <w:tr w14:paraId="750B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AE802A4">
            <w:pPr>
              <w:rPr>
                <w:rFonts w:ascii="宋体" w:hAnsi="宋体"/>
                <w:bCs/>
                <w:color w:val="auto"/>
                <w:w w:val="90"/>
                <w:sz w:val="24"/>
                <w:highlight w:val="none"/>
              </w:rPr>
            </w:pPr>
          </w:p>
        </w:tc>
        <w:tc>
          <w:tcPr>
            <w:tcW w:w="1732" w:type="dxa"/>
            <w:vAlign w:val="center"/>
          </w:tcPr>
          <w:p w14:paraId="71BA3401">
            <w:pPr>
              <w:rPr>
                <w:rFonts w:ascii="宋体" w:hAnsi="宋体"/>
                <w:bCs/>
                <w:color w:val="auto"/>
                <w:w w:val="90"/>
                <w:sz w:val="24"/>
                <w:highlight w:val="none"/>
              </w:rPr>
            </w:pPr>
          </w:p>
        </w:tc>
        <w:tc>
          <w:tcPr>
            <w:tcW w:w="1487" w:type="dxa"/>
            <w:vAlign w:val="center"/>
          </w:tcPr>
          <w:p w14:paraId="0F69EFD2">
            <w:pPr>
              <w:rPr>
                <w:rFonts w:ascii="宋体" w:hAnsi="宋体"/>
                <w:bCs/>
                <w:color w:val="auto"/>
                <w:w w:val="90"/>
                <w:sz w:val="24"/>
                <w:highlight w:val="none"/>
              </w:rPr>
            </w:pPr>
          </w:p>
        </w:tc>
        <w:tc>
          <w:tcPr>
            <w:tcW w:w="1262" w:type="dxa"/>
            <w:vAlign w:val="center"/>
          </w:tcPr>
          <w:p w14:paraId="6E21FCAA">
            <w:pPr>
              <w:rPr>
                <w:rFonts w:ascii="宋体" w:hAnsi="宋体"/>
                <w:bCs/>
                <w:color w:val="auto"/>
                <w:w w:val="90"/>
                <w:sz w:val="24"/>
                <w:highlight w:val="none"/>
              </w:rPr>
            </w:pPr>
          </w:p>
        </w:tc>
        <w:tc>
          <w:tcPr>
            <w:tcW w:w="1219" w:type="dxa"/>
            <w:vAlign w:val="center"/>
          </w:tcPr>
          <w:p w14:paraId="28E6FA7F">
            <w:pPr>
              <w:rPr>
                <w:rFonts w:ascii="宋体" w:hAnsi="宋体"/>
                <w:bCs/>
                <w:color w:val="auto"/>
                <w:w w:val="90"/>
                <w:sz w:val="24"/>
                <w:highlight w:val="none"/>
              </w:rPr>
            </w:pPr>
          </w:p>
        </w:tc>
        <w:tc>
          <w:tcPr>
            <w:tcW w:w="1219" w:type="dxa"/>
            <w:vAlign w:val="center"/>
          </w:tcPr>
          <w:p w14:paraId="4024B3FA">
            <w:pPr>
              <w:rPr>
                <w:rFonts w:ascii="宋体" w:hAnsi="宋体"/>
                <w:bCs/>
                <w:color w:val="auto"/>
                <w:w w:val="90"/>
                <w:sz w:val="24"/>
                <w:highlight w:val="none"/>
              </w:rPr>
            </w:pPr>
          </w:p>
        </w:tc>
        <w:tc>
          <w:tcPr>
            <w:tcW w:w="1310" w:type="dxa"/>
            <w:vAlign w:val="center"/>
          </w:tcPr>
          <w:p w14:paraId="5B194F7E">
            <w:pPr>
              <w:rPr>
                <w:rFonts w:ascii="宋体" w:hAnsi="宋体"/>
                <w:bCs/>
                <w:color w:val="auto"/>
                <w:w w:val="90"/>
                <w:sz w:val="24"/>
                <w:highlight w:val="none"/>
              </w:rPr>
            </w:pPr>
          </w:p>
        </w:tc>
      </w:tr>
      <w:tr w14:paraId="6B55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28E0F7B">
            <w:pPr>
              <w:rPr>
                <w:rFonts w:ascii="宋体" w:hAnsi="宋体"/>
                <w:bCs/>
                <w:color w:val="auto"/>
                <w:w w:val="90"/>
                <w:sz w:val="24"/>
                <w:highlight w:val="none"/>
              </w:rPr>
            </w:pPr>
          </w:p>
        </w:tc>
        <w:tc>
          <w:tcPr>
            <w:tcW w:w="1732" w:type="dxa"/>
            <w:vAlign w:val="center"/>
          </w:tcPr>
          <w:p w14:paraId="2EF4D3CD">
            <w:pPr>
              <w:rPr>
                <w:rFonts w:ascii="宋体" w:hAnsi="宋体"/>
                <w:bCs/>
                <w:color w:val="auto"/>
                <w:w w:val="90"/>
                <w:sz w:val="24"/>
                <w:highlight w:val="none"/>
              </w:rPr>
            </w:pPr>
          </w:p>
        </w:tc>
        <w:tc>
          <w:tcPr>
            <w:tcW w:w="1487" w:type="dxa"/>
            <w:vAlign w:val="center"/>
          </w:tcPr>
          <w:p w14:paraId="016E2B74">
            <w:pPr>
              <w:rPr>
                <w:rFonts w:ascii="宋体" w:hAnsi="宋体"/>
                <w:bCs/>
                <w:color w:val="auto"/>
                <w:w w:val="90"/>
                <w:sz w:val="24"/>
                <w:highlight w:val="none"/>
              </w:rPr>
            </w:pPr>
          </w:p>
        </w:tc>
        <w:tc>
          <w:tcPr>
            <w:tcW w:w="1262" w:type="dxa"/>
            <w:vAlign w:val="center"/>
          </w:tcPr>
          <w:p w14:paraId="7A85BBA8">
            <w:pPr>
              <w:rPr>
                <w:rFonts w:ascii="宋体" w:hAnsi="宋体"/>
                <w:bCs/>
                <w:color w:val="auto"/>
                <w:w w:val="90"/>
                <w:sz w:val="24"/>
                <w:highlight w:val="none"/>
              </w:rPr>
            </w:pPr>
          </w:p>
        </w:tc>
        <w:tc>
          <w:tcPr>
            <w:tcW w:w="1219" w:type="dxa"/>
            <w:vAlign w:val="center"/>
          </w:tcPr>
          <w:p w14:paraId="777D16E9">
            <w:pPr>
              <w:rPr>
                <w:rFonts w:ascii="宋体" w:hAnsi="宋体"/>
                <w:bCs/>
                <w:color w:val="auto"/>
                <w:w w:val="90"/>
                <w:sz w:val="24"/>
                <w:highlight w:val="none"/>
              </w:rPr>
            </w:pPr>
          </w:p>
        </w:tc>
        <w:tc>
          <w:tcPr>
            <w:tcW w:w="1219" w:type="dxa"/>
            <w:vAlign w:val="center"/>
          </w:tcPr>
          <w:p w14:paraId="14E4F031">
            <w:pPr>
              <w:rPr>
                <w:rFonts w:ascii="宋体" w:hAnsi="宋体"/>
                <w:bCs/>
                <w:color w:val="auto"/>
                <w:w w:val="90"/>
                <w:sz w:val="24"/>
                <w:highlight w:val="none"/>
              </w:rPr>
            </w:pPr>
          </w:p>
        </w:tc>
        <w:tc>
          <w:tcPr>
            <w:tcW w:w="1310" w:type="dxa"/>
            <w:vAlign w:val="center"/>
          </w:tcPr>
          <w:p w14:paraId="2DDF51E8">
            <w:pPr>
              <w:rPr>
                <w:rFonts w:ascii="宋体" w:hAnsi="宋体"/>
                <w:bCs/>
                <w:color w:val="auto"/>
                <w:w w:val="90"/>
                <w:sz w:val="24"/>
                <w:highlight w:val="none"/>
              </w:rPr>
            </w:pPr>
          </w:p>
        </w:tc>
      </w:tr>
    </w:tbl>
    <w:p w14:paraId="5CE76D99">
      <w:pPr>
        <w:rPr>
          <w:rFonts w:ascii="宋体" w:hAnsi="宋体"/>
          <w:bCs/>
          <w:color w:val="auto"/>
          <w:sz w:val="24"/>
          <w:highlight w:val="none"/>
        </w:rPr>
      </w:pPr>
      <w:bookmarkStart w:id="368" w:name="_Toc509411893"/>
      <w:bookmarkStart w:id="369" w:name="_Toc7888"/>
      <w:bookmarkStart w:id="370" w:name="_Toc12642"/>
      <w:r>
        <w:rPr>
          <w:rFonts w:hint="eastAsia" w:ascii="宋体" w:hAnsi="宋体"/>
          <w:bCs/>
          <w:color w:val="auto"/>
          <w:sz w:val="24"/>
          <w:highlight w:val="none"/>
        </w:rPr>
        <w:t>供应商代表（</w:t>
      </w:r>
      <w:r>
        <w:rPr>
          <w:rFonts w:hint="eastAsia" w:ascii="宋体" w:hAnsi="宋体"/>
          <w:color w:val="auto"/>
          <w:sz w:val="24"/>
          <w:highlight w:val="none"/>
        </w:rPr>
        <w:t>签字或盖章或电子签章）</w:t>
      </w:r>
      <w:r>
        <w:rPr>
          <w:rFonts w:hint="eastAsia" w:ascii="宋体" w:hAnsi="宋体"/>
          <w:bCs/>
          <w:color w:val="auto"/>
          <w:sz w:val="24"/>
          <w:highlight w:val="none"/>
        </w:rPr>
        <w:t>：               供应商（公章）：          日期：</w:t>
      </w:r>
      <w:bookmarkEnd w:id="368"/>
      <w:bookmarkEnd w:id="369"/>
      <w:bookmarkEnd w:id="370"/>
    </w:p>
    <w:p w14:paraId="3564794C">
      <w:pPr>
        <w:rPr>
          <w:rFonts w:ascii="宋体" w:hAnsi="宋体"/>
          <w:color w:val="auto"/>
          <w:sz w:val="24"/>
          <w:highlight w:val="none"/>
        </w:rPr>
      </w:pPr>
    </w:p>
    <w:p w14:paraId="6A8E35F8">
      <w:pPr>
        <w:rPr>
          <w:rFonts w:ascii="宋体" w:hAnsi="宋体"/>
          <w:bCs/>
          <w:color w:val="auto"/>
          <w:spacing w:val="10"/>
          <w:sz w:val="24"/>
          <w:highlight w:val="none"/>
        </w:rPr>
      </w:pPr>
    </w:p>
    <w:p w14:paraId="6CB9515E">
      <w:pPr>
        <w:pStyle w:val="22"/>
        <w:ind w:firstLine="240"/>
        <w:rPr>
          <w:color w:val="auto"/>
          <w:highlight w:val="none"/>
        </w:rPr>
      </w:pPr>
    </w:p>
    <w:p w14:paraId="1C738108">
      <w:pPr>
        <w:pStyle w:val="22"/>
        <w:ind w:firstLine="240"/>
        <w:rPr>
          <w:color w:val="auto"/>
          <w:highlight w:val="none"/>
        </w:rPr>
      </w:pPr>
    </w:p>
    <w:p w14:paraId="1629C961">
      <w:pPr>
        <w:pStyle w:val="22"/>
        <w:ind w:firstLine="240"/>
        <w:rPr>
          <w:color w:val="auto"/>
          <w:highlight w:val="none"/>
        </w:rPr>
      </w:pPr>
    </w:p>
    <w:p w14:paraId="5C1F4D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注：供应商可根据需要自行增减表格行数。</w:t>
      </w:r>
    </w:p>
    <w:p w14:paraId="37FD6613">
      <w:pPr>
        <w:pStyle w:val="9"/>
        <w:rPr>
          <w:rFonts w:ascii="宋体" w:eastAsia="宋体"/>
          <w:color w:val="auto"/>
          <w:szCs w:val="24"/>
          <w:highlight w:val="none"/>
        </w:rPr>
      </w:pPr>
    </w:p>
    <w:p w14:paraId="0F41ACBD">
      <w:pPr>
        <w:pStyle w:val="18"/>
        <w:rPr>
          <w:rFonts w:ascii="宋体" w:eastAsia="宋体"/>
          <w:color w:val="auto"/>
          <w:highlight w:val="none"/>
        </w:rPr>
      </w:pPr>
    </w:p>
    <w:p w14:paraId="658C8D39">
      <w:pPr>
        <w:pStyle w:val="18"/>
        <w:rPr>
          <w:rFonts w:ascii="宋体" w:eastAsia="宋体"/>
          <w:color w:val="auto"/>
          <w:highlight w:val="none"/>
        </w:rPr>
      </w:pPr>
    </w:p>
    <w:p w14:paraId="5C12B73F">
      <w:pPr>
        <w:pStyle w:val="18"/>
        <w:rPr>
          <w:rFonts w:ascii="宋体" w:eastAsia="宋体"/>
          <w:color w:val="auto"/>
          <w:highlight w:val="none"/>
        </w:rPr>
      </w:pPr>
    </w:p>
    <w:p w14:paraId="550CC92C">
      <w:pPr>
        <w:pStyle w:val="18"/>
        <w:rPr>
          <w:rFonts w:ascii="宋体" w:eastAsia="宋体"/>
          <w:color w:val="auto"/>
          <w:highlight w:val="none"/>
        </w:rPr>
      </w:pPr>
    </w:p>
    <w:p w14:paraId="668E7C4B">
      <w:pPr>
        <w:pStyle w:val="18"/>
        <w:rPr>
          <w:rFonts w:ascii="宋体" w:eastAsia="宋体"/>
          <w:color w:val="auto"/>
          <w:highlight w:val="none"/>
        </w:rPr>
      </w:pPr>
    </w:p>
    <w:p w14:paraId="034324E3">
      <w:pPr>
        <w:pStyle w:val="18"/>
        <w:rPr>
          <w:rFonts w:ascii="宋体" w:eastAsia="宋体"/>
          <w:color w:val="auto"/>
          <w:highlight w:val="none"/>
        </w:rPr>
      </w:pPr>
    </w:p>
    <w:p w14:paraId="41EAD18F">
      <w:pPr>
        <w:pStyle w:val="18"/>
        <w:rPr>
          <w:rFonts w:ascii="宋体" w:eastAsia="宋体"/>
          <w:color w:val="auto"/>
          <w:highlight w:val="none"/>
        </w:rPr>
      </w:pPr>
    </w:p>
    <w:p w14:paraId="68764486">
      <w:pPr>
        <w:pStyle w:val="18"/>
        <w:ind w:firstLine="560"/>
        <w:jc w:val="center"/>
        <w:rPr>
          <w:rFonts w:ascii="宋体" w:eastAsia="宋体"/>
          <w:color w:val="auto"/>
          <w:sz w:val="28"/>
          <w:szCs w:val="28"/>
          <w:highlight w:val="none"/>
        </w:rPr>
      </w:pPr>
      <w:r>
        <w:rPr>
          <w:rFonts w:hint="eastAsia" w:ascii="宋体" w:eastAsia="宋体"/>
          <w:color w:val="auto"/>
          <w:sz w:val="28"/>
          <w:szCs w:val="28"/>
          <w:highlight w:val="none"/>
        </w:rPr>
        <w:t>10、服务方案</w:t>
      </w:r>
    </w:p>
    <w:p w14:paraId="1C2FB6E7">
      <w:pPr>
        <w:pStyle w:val="18"/>
        <w:rPr>
          <w:rFonts w:ascii="宋体" w:eastAsia="宋体"/>
          <w:color w:val="auto"/>
          <w:highlight w:val="none"/>
        </w:rPr>
      </w:pPr>
    </w:p>
    <w:p w14:paraId="6D8876CF">
      <w:pPr>
        <w:pStyle w:val="18"/>
        <w:rPr>
          <w:rFonts w:ascii="宋体" w:eastAsia="宋体"/>
          <w:color w:val="auto"/>
          <w:highlight w:val="none"/>
        </w:rPr>
      </w:pPr>
    </w:p>
    <w:p w14:paraId="2742DA90">
      <w:pPr>
        <w:pStyle w:val="18"/>
        <w:rPr>
          <w:rFonts w:ascii="宋体" w:eastAsia="宋体"/>
          <w:color w:val="auto"/>
          <w:highlight w:val="none"/>
        </w:rPr>
      </w:pPr>
    </w:p>
    <w:p w14:paraId="4AC7876D">
      <w:pPr>
        <w:pStyle w:val="22"/>
        <w:ind w:firstLine="240"/>
        <w:rPr>
          <w:color w:val="auto"/>
          <w:highlight w:val="none"/>
        </w:rPr>
      </w:pPr>
    </w:p>
    <w:p w14:paraId="63A33484">
      <w:pPr>
        <w:pStyle w:val="22"/>
        <w:ind w:firstLine="240"/>
        <w:rPr>
          <w:color w:val="auto"/>
          <w:highlight w:val="none"/>
        </w:rPr>
      </w:pPr>
    </w:p>
    <w:p w14:paraId="07229694">
      <w:pPr>
        <w:pStyle w:val="22"/>
        <w:ind w:firstLine="240"/>
        <w:rPr>
          <w:color w:val="auto"/>
          <w:highlight w:val="none"/>
        </w:rPr>
      </w:pPr>
    </w:p>
    <w:p w14:paraId="54F77173">
      <w:pPr>
        <w:pStyle w:val="23"/>
        <w:ind w:left="420" w:firstLine="420"/>
        <w:rPr>
          <w:color w:val="auto"/>
          <w:highlight w:val="none"/>
        </w:rPr>
      </w:pPr>
    </w:p>
    <w:p w14:paraId="33C81FC5">
      <w:pPr>
        <w:pStyle w:val="23"/>
        <w:ind w:left="420" w:firstLine="420"/>
        <w:rPr>
          <w:color w:val="auto"/>
          <w:highlight w:val="none"/>
        </w:rPr>
      </w:pPr>
    </w:p>
    <w:p w14:paraId="1F779DFD">
      <w:pPr>
        <w:pStyle w:val="23"/>
        <w:ind w:left="420" w:firstLine="420"/>
        <w:rPr>
          <w:color w:val="auto"/>
          <w:highlight w:val="none"/>
        </w:rPr>
      </w:pPr>
    </w:p>
    <w:p w14:paraId="4AF4A915">
      <w:pPr>
        <w:pStyle w:val="23"/>
        <w:ind w:left="420" w:firstLine="420"/>
        <w:rPr>
          <w:color w:val="auto"/>
          <w:highlight w:val="none"/>
        </w:rPr>
      </w:pPr>
    </w:p>
    <w:p w14:paraId="270770FC">
      <w:pPr>
        <w:pStyle w:val="23"/>
        <w:ind w:left="420" w:firstLine="420"/>
        <w:rPr>
          <w:color w:val="auto"/>
          <w:highlight w:val="none"/>
        </w:rPr>
      </w:pPr>
    </w:p>
    <w:p w14:paraId="63862BAB">
      <w:pPr>
        <w:pStyle w:val="23"/>
        <w:ind w:left="420" w:firstLine="420"/>
        <w:rPr>
          <w:color w:val="auto"/>
          <w:highlight w:val="none"/>
        </w:rPr>
      </w:pPr>
    </w:p>
    <w:p w14:paraId="2D461AD6">
      <w:pPr>
        <w:pStyle w:val="23"/>
        <w:ind w:left="420" w:firstLine="420"/>
        <w:rPr>
          <w:color w:val="auto"/>
          <w:highlight w:val="none"/>
        </w:rPr>
      </w:pPr>
    </w:p>
    <w:p w14:paraId="758043CE">
      <w:pPr>
        <w:pStyle w:val="23"/>
        <w:ind w:left="420" w:firstLine="420"/>
        <w:rPr>
          <w:color w:val="auto"/>
          <w:highlight w:val="none"/>
        </w:rPr>
      </w:pPr>
    </w:p>
    <w:p w14:paraId="54B61B4A">
      <w:pPr>
        <w:pStyle w:val="23"/>
        <w:ind w:left="420" w:firstLine="420"/>
        <w:rPr>
          <w:color w:val="auto"/>
          <w:highlight w:val="none"/>
        </w:rPr>
      </w:pPr>
    </w:p>
    <w:p w14:paraId="6941BD9F">
      <w:pPr>
        <w:pStyle w:val="23"/>
        <w:ind w:left="420" w:firstLine="420"/>
        <w:rPr>
          <w:color w:val="auto"/>
          <w:highlight w:val="none"/>
        </w:rPr>
      </w:pPr>
    </w:p>
    <w:p w14:paraId="1A147181">
      <w:pPr>
        <w:pStyle w:val="23"/>
        <w:ind w:left="420" w:firstLine="420"/>
        <w:rPr>
          <w:color w:val="auto"/>
          <w:highlight w:val="none"/>
        </w:rPr>
      </w:pPr>
    </w:p>
    <w:p w14:paraId="1D531531">
      <w:pPr>
        <w:pStyle w:val="23"/>
        <w:ind w:left="420" w:firstLine="420"/>
        <w:rPr>
          <w:color w:val="auto"/>
          <w:highlight w:val="none"/>
        </w:rPr>
      </w:pPr>
    </w:p>
    <w:p w14:paraId="1760BC8A">
      <w:pPr>
        <w:pStyle w:val="23"/>
        <w:ind w:left="420" w:firstLine="420"/>
        <w:rPr>
          <w:color w:val="auto"/>
          <w:highlight w:val="none"/>
        </w:rPr>
      </w:pPr>
    </w:p>
    <w:p w14:paraId="752DB566">
      <w:pPr>
        <w:pStyle w:val="23"/>
        <w:ind w:left="420" w:firstLine="420"/>
        <w:rPr>
          <w:color w:val="auto"/>
          <w:highlight w:val="none"/>
        </w:rPr>
      </w:pPr>
    </w:p>
    <w:p w14:paraId="7594FDE4">
      <w:pPr>
        <w:pStyle w:val="23"/>
        <w:ind w:left="420" w:firstLine="420"/>
        <w:rPr>
          <w:color w:val="auto"/>
          <w:highlight w:val="none"/>
        </w:rPr>
      </w:pPr>
    </w:p>
    <w:p w14:paraId="6FDD0D22">
      <w:pPr>
        <w:pStyle w:val="23"/>
        <w:ind w:left="420" w:firstLine="420"/>
        <w:rPr>
          <w:color w:val="auto"/>
          <w:highlight w:val="none"/>
        </w:rPr>
      </w:pPr>
    </w:p>
    <w:p w14:paraId="0E4DD48E">
      <w:pPr>
        <w:pStyle w:val="23"/>
        <w:ind w:left="420" w:firstLine="420"/>
        <w:rPr>
          <w:color w:val="auto"/>
          <w:highlight w:val="none"/>
        </w:rPr>
      </w:pPr>
    </w:p>
    <w:p w14:paraId="5AE00129">
      <w:pPr>
        <w:pStyle w:val="23"/>
        <w:ind w:left="420" w:firstLine="420"/>
        <w:rPr>
          <w:color w:val="auto"/>
          <w:highlight w:val="none"/>
        </w:rPr>
      </w:pPr>
    </w:p>
    <w:p w14:paraId="5E9956DD">
      <w:pPr>
        <w:pStyle w:val="23"/>
        <w:ind w:left="420" w:firstLine="420"/>
        <w:rPr>
          <w:color w:val="auto"/>
          <w:highlight w:val="none"/>
        </w:rPr>
      </w:pPr>
    </w:p>
    <w:p w14:paraId="3BA63560">
      <w:pPr>
        <w:pStyle w:val="23"/>
        <w:ind w:left="420" w:firstLine="420"/>
        <w:rPr>
          <w:color w:val="auto"/>
          <w:highlight w:val="none"/>
        </w:rPr>
      </w:pPr>
    </w:p>
    <w:p w14:paraId="725A7C96">
      <w:pPr>
        <w:pStyle w:val="23"/>
        <w:ind w:left="420" w:firstLine="420"/>
        <w:rPr>
          <w:color w:val="auto"/>
          <w:highlight w:val="none"/>
        </w:rPr>
      </w:pPr>
    </w:p>
    <w:p w14:paraId="146A8918">
      <w:pPr>
        <w:pStyle w:val="23"/>
        <w:ind w:left="420" w:firstLine="420"/>
        <w:rPr>
          <w:color w:val="auto"/>
          <w:highlight w:val="none"/>
        </w:rPr>
      </w:pPr>
    </w:p>
    <w:p w14:paraId="561A2845">
      <w:pPr>
        <w:pStyle w:val="23"/>
        <w:ind w:left="420" w:firstLine="420"/>
        <w:rPr>
          <w:color w:val="auto"/>
          <w:highlight w:val="none"/>
        </w:rPr>
      </w:pPr>
    </w:p>
    <w:p w14:paraId="4487D501">
      <w:pPr>
        <w:pStyle w:val="23"/>
        <w:ind w:left="420" w:firstLine="420"/>
        <w:rPr>
          <w:color w:val="auto"/>
          <w:highlight w:val="none"/>
        </w:rPr>
      </w:pPr>
    </w:p>
    <w:p w14:paraId="2A035D75">
      <w:pPr>
        <w:pStyle w:val="23"/>
        <w:ind w:left="420" w:firstLine="420"/>
        <w:rPr>
          <w:color w:val="auto"/>
          <w:highlight w:val="none"/>
        </w:rPr>
      </w:pPr>
    </w:p>
    <w:p w14:paraId="5E252007">
      <w:pPr>
        <w:pStyle w:val="23"/>
        <w:ind w:left="420" w:firstLine="420"/>
        <w:rPr>
          <w:color w:val="auto"/>
          <w:highlight w:val="none"/>
        </w:rPr>
      </w:pPr>
    </w:p>
    <w:p w14:paraId="514A942B">
      <w:pPr>
        <w:pStyle w:val="23"/>
        <w:ind w:left="420" w:firstLine="420"/>
        <w:rPr>
          <w:color w:val="auto"/>
          <w:highlight w:val="none"/>
        </w:rPr>
      </w:pPr>
    </w:p>
    <w:p w14:paraId="3523177A">
      <w:pPr>
        <w:pStyle w:val="23"/>
        <w:ind w:left="420" w:firstLine="420"/>
        <w:rPr>
          <w:color w:val="auto"/>
          <w:highlight w:val="none"/>
        </w:rPr>
      </w:pPr>
    </w:p>
    <w:p w14:paraId="1E4885B4">
      <w:pPr>
        <w:pStyle w:val="22"/>
        <w:ind w:left="210" w:leftChars="100" w:firstLine="0" w:firstLineChars="0"/>
        <w:jc w:val="center"/>
        <w:rPr>
          <w:rFonts w:ascii="宋体" w:hAnsi="宋体"/>
          <w:bCs/>
          <w:color w:val="auto"/>
          <w:sz w:val="28"/>
          <w:szCs w:val="28"/>
          <w:highlight w:val="none"/>
        </w:rPr>
      </w:pPr>
      <w:r>
        <w:rPr>
          <w:rFonts w:hint="eastAsia" w:ascii="宋体" w:hAnsi="宋体"/>
          <w:bCs/>
          <w:color w:val="auto"/>
          <w:sz w:val="28"/>
          <w:szCs w:val="28"/>
          <w:highlight w:val="none"/>
        </w:rPr>
        <w:t>11、供应商认为必要的其它材料</w:t>
      </w:r>
    </w:p>
    <w:p w14:paraId="5F3E10D2">
      <w:pPr>
        <w:pStyle w:val="23"/>
        <w:ind w:left="840" w:leftChars="400" w:firstLine="0" w:firstLineChars="0"/>
        <w:rPr>
          <w:color w:val="auto"/>
          <w:highlight w:val="none"/>
        </w:rPr>
      </w:pPr>
    </w:p>
    <w:p w14:paraId="6B183E99">
      <w:pPr>
        <w:pStyle w:val="23"/>
        <w:ind w:left="0" w:leftChars="0" w:firstLine="0" w:firstLineChars="0"/>
        <w:rPr>
          <w:color w:val="auto"/>
          <w:highlight w:val="none"/>
        </w:rPr>
      </w:pPr>
    </w:p>
    <w:p w14:paraId="1C266C85">
      <w:pPr>
        <w:pStyle w:val="23"/>
        <w:ind w:left="0" w:leftChars="0" w:firstLine="0" w:firstLineChars="0"/>
        <w:rPr>
          <w:color w:val="auto"/>
          <w:highlight w:val="none"/>
        </w:rPr>
      </w:pPr>
    </w:p>
    <w:p w14:paraId="091DE464">
      <w:pPr>
        <w:pStyle w:val="23"/>
        <w:ind w:left="0" w:leftChars="0" w:firstLine="0" w:firstLineChars="0"/>
        <w:rPr>
          <w:color w:val="auto"/>
          <w:highlight w:val="none"/>
        </w:rPr>
      </w:pPr>
    </w:p>
    <w:p w14:paraId="5ACF7B09">
      <w:pPr>
        <w:pStyle w:val="23"/>
        <w:ind w:left="0" w:leftChars="0" w:firstLine="0" w:firstLineChars="0"/>
        <w:rPr>
          <w:color w:val="auto"/>
          <w:highlight w:val="none"/>
        </w:rPr>
      </w:pPr>
    </w:p>
    <w:p w14:paraId="64AFF6A3">
      <w:pPr>
        <w:pStyle w:val="23"/>
        <w:ind w:left="0" w:leftChars="0" w:firstLine="0" w:firstLineChars="0"/>
        <w:rPr>
          <w:color w:val="auto"/>
          <w:highlight w:val="none"/>
        </w:rPr>
      </w:pPr>
    </w:p>
    <w:p w14:paraId="4D95BA68">
      <w:pPr>
        <w:pStyle w:val="23"/>
        <w:ind w:left="0" w:leftChars="0" w:firstLine="0" w:firstLineChars="0"/>
        <w:rPr>
          <w:color w:val="auto"/>
          <w:highlight w:val="none"/>
        </w:rPr>
      </w:pPr>
    </w:p>
    <w:p w14:paraId="041D16E7">
      <w:pPr>
        <w:pStyle w:val="23"/>
        <w:ind w:left="0" w:leftChars="0" w:firstLine="0" w:firstLineChars="0"/>
        <w:rPr>
          <w:color w:val="auto"/>
          <w:highlight w:val="none"/>
        </w:rPr>
      </w:pPr>
    </w:p>
    <w:p w14:paraId="6B045DB4">
      <w:pPr>
        <w:pStyle w:val="23"/>
        <w:ind w:left="0" w:leftChars="0" w:firstLine="0" w:firstLineChars="0"/>
        <w:rPr>
          <w:color w:val="auto"/>
          <w:highlight w:val="none"/>
        </w:rPr>
      </w:pPr>
    </w:p>
    <w:p w14:paraId="218BAEAA">
      <w:pPr>
        <w:pStyle w:val="23"/>
        <w:ind w:left="0" w:leftChars="0" w:firstLine="0" w:firstLineChars="0"/>
        <w:rPr>
          <w:color w:val="auto"/>
          <w:highlight w:val="none"/>
        </w:rPr>
      </w:pPr>
    </w:p>
    <w:p w14:paraId="06B8755F">
      <w:pPr>
        <w:pStyle w:val="23"/>
        <w:ind w:left="0" w:leftChars="0" w:firstLine="0" w:firstLineChars="0"/>
        <w:rPr>
          <w:color w:val="auto"/>
          <w:highlight w:val="none"/>
        </w:rPr>
      </w:pPr>
    </w:p>
    <w:p w14:paraId="6D7B672B">
      <w:pPr>
        <w:pStyle w:val="23"/>
        <w:ind w:left="0" w:leftChars="0" w:firstLine="0" w:firstLineChars="0"/>
        <w:rPr>
          <w:color w:val="auto"/>
          <w:highlight w:val="none"/>
        </w:rPr>
      </w:pPr>
    </w:p>
    <w:p w14:paraId="3231DC86">
      <w:pPr>
        <w:pStyle w:val="23"/>
        <w:ind w:left="0" w:leftChars="0" w:firstLine="0" w:firstLineChars="0"/>
        <w:rPr>
          <w:color w:val="auto"/>
          <w:highlight w:val="none"/>
        </w:rPr>
      </w:pPr>
    </w:p>
    <w:p w14:paraId="3DE5DCEB">
      <w:pPr>
        <w:pStyle w:val="23"/>
        <w:ind w:left="0" w:leftChars="0" w:firstLine="0" w:firstLineChars="0"/>
        <w:rPr>
          <w:color w:val="auto"/>
          <w:highlight w:val="none"/>
        </w:rPr>
      </w:pPr>
    </w:p>
    <w:p w14:paraId="3658EDDA">
      <w:pPr>
        <w:pStyle w:val="23"/>
        <w:ind w:left="0" w:leftChars="0" w:firstLine="0" w:firstLineChars="0"/>
        <w:rPr>
          <w:color w:val="auto"/>
          <w:highlight w:val="none"/>
        </w:rPr>
      </w:pPr>
    </w:p>
    <w:p w14:paraId="0CA98CCE">
      <w:pPr>
        <w:pStyle w:val="23"/>
        <w:ind w:left="0" w:leftChars="0" w:firstLine="0" w:firstLineChars="0"/>
        <w:rPr>
          <w:color w:val="auto"/>
          <w:highlight w:val="none"/>
        </w:rPr>
      </w:pPr>
    </w:p>
    <w:p w14:paraId="5F8B6EAF">
      <w:pPr>
        <w:pStyle w:val="23"/>
        <w:ind w:left="0" w:leftChars="0" w:firstLine="0" w:firstLineChars="0"/>
        <w:rPr>
          <w:color w:val="auto"/>
          <w:highlight w:val="none"/>
        </w:rPr>
      </w:pPr>
    </w:p>
    <w:p w14:paraId="03222417">
      <w:pPr>
        <w:pStyle w:val="23"/>
        <w:ind w:left="0" w:leftChars="0" w:firstLine="0" w:firstLineChars="0"/>
        <w:rPr>
          <w:color w:val="auto"/>
          <w:highlight w:val="none"/>
        </w:rPr>
      </w:pPr>
    </w:p>
    <w:p w14:paraId="4FCF4B24">
      <w:pPr>
        <w:pStyle w:val="23"/>
        <w:ind w:left="0" w:leftChars="0" w:firstLine="0" w:firstLineChars="0"/>
        <w:rPr>
          <w:color w:val="auto"/>
          <w:highlight w:val="none"/>
        </w:rPr>
      </w:pPr>
    </w:p>
    <w:p w14:paraId="5E82742D">
      <w:pPr>
        <w:pStyle w:val="23"/>
        <w:ind w:left="0" w:leftChars="0" w:firstLine="0" w:firstLineChars="0"/>
        <w:rPr>
          <w:color w:val="auto"/>
          <w:highlight w:val="none"/>
        </w:rPr>
      </w:pPr>
    </w:p>
    <w:p w14:paraId="4DAFD9DC">
      <w:pPr>
        <w:pStyle w:val="23"/>
        <w:ind w:left="0" w:leftChars="0" w:firstLine="0" w:firstLineChars="0"/>
        <w:rPr>
          <w:color w:val="auto"/>
          <w:highlight w:val="none"/>
        </w:rPr>
      </w:pPr>
    </w:p>
    <w:p w14:paraId="6E459BE5">
      <w:pPr>
        <w:pStyle w:val="23"/>
        <w:ind w:left="0" w:leftChars="0" w:firstLine="0" w:firstLineChars="0"/>
        <w:rPr>
          <w:color w:val="auto"/>
          <w:highlight w:val="none"/>
        </w:rPr>
      </w:pPr>
    </w:p>
    <w:p w14:paraId="7F7A8B43">
      <w:pPr>
        <w:pStyle w:val="23"/>
        <w:ind w:left="0" w:leftChars="0" w:firstLine="0" w:firstLineChars="0"/>
        <w:rPr>
          <w:color w:val="auto"/>
          <w:highlight w:val="none"/>
        </w:rPr>
      </w:pPr>
    </w:p>
    <w:p w14:paraId="1B3D78E9">
      <w:pPr>
        <w:pStyle w:val="23"/>
        <w:ind w:left="0" w:leftChars="0" w:firstLine="0" w:firstLineChars="0"/>
        <w:rPr>
          <w:color w:val="auto"/>
          <w:highlight w:val="none"/>
        </w:rPr>
      </w:pPr>
    </w:p>
    <w:p w14:paraId="205447F5">
      <w:pPr>
        <w:pStyle w:val="23"/>
        <w:ind w:left="0" w:leftChars="0" w:firstLine="0" w:firstLineChars="0"/>
        <w:rPr>
          <w:color w:val="auto"/>
          <w:highlight w:val="none"/>
        </w:rPr>
      </w:pPr>
    </w:p>
    <w:p w14:paraId="5C593627">
      <w:pPr>
        <w:pStyle w:val="23"/>
        <w:ind w:left="0" w:leftChars="0" w:firstLine="0" w:firstLineChars="0"/>
        <w:rPr>
          <w:color w:val="auto"/>
          <w:highlight w:val="none"/>
        </w:rPr>
      </w:pPr>
    </w:p>
    <w:p w14:paraId="657F6031">
      <w:pPr>
        <w:pStyle w:val="23"/>
        <w:ind w:left="0" w:leftChars="0" w:firstLine="0" w:firstLineChars="0"/>
        <w:rPr>
          <w:color w:val="auto"/>
          <w:highlight w:val="none"/>
        </w:rPr>
      </w:pPr>
    </w:p>
    <w:p w14:paraId="629A1276">
      <w:pPr>
        <w:pStyle w:val="23"/>
        <w:ind w:left="0" w:leftChars="0" w:firstLine="0" w:firstLineChars="0"/>
        <w:rPr>
          <w:color w:val="auto"/>
          <w:highlight w:val="none"/>
        </w:rPr>
      </w:pPr>
    </w:p>
    <w:p w14:paraId="4BC330D4">
      <w:pPr>
        <w:pStyle w:val="23"/>
        <w:ind w:left="0" w:leftChars="0" w:firstLine="0" w:firstLineChars="0"/>
        <w:rPr>
          <w:color w:val="auto"/>
          <w:highlight w:val="none"/>
        </w:rPr>
      </w:pPr>
    </w:p>
    <w:p w14:paraId="1A350770">
      <w:pPr>
        <w:pStyle w:val="23"/>
        <w:ind w:left="0" w:leftChars="0" w:firstLine="0" w:firstLineChars="0"/>
        <w:rPr>
          <w:color w:val="auto"/>
          <w:highlight w:val="none"/>
        </w:rPr>
      </w:pPr>
    </w:p>
    <w:p w14:paraId="7F6B2608">
      <w:pPr>
        <w:pStyle w:val="23"/>
        <w:ind w:left="0" w:leftChars="0" w:firstLine="0" w:firstLineChars="0"/>
        <w:rPr>
          <w:color w:val="auto"/>
          <w:highlight w:val="none"/>
        </w:rPr>
      </w:pPr>
    </w:p>
    <w:p w14:paraId="4C9EF2A6">
      <w:pPr>
        <w:pStyle w:val="23"/>
        <w:ind w:left="0" w:leftChars="0" w:firstLine="0" w:firstLineChars="0"/>
        <w:rPr>
          <w:color w:val="auto"/>
          <w:highlight w:val="none"/>
        </w:rPr>
      </w:pPr>
    </w:p>
    <w:p w14:paraId="08CF99F5">
      <w:pPr>
        <w:pStyle w:val="23"/>
        <w:ind w:left="0" w:leftChars="0" w:firstLine="0" w:firstLineChars="0"/>
        <w:rPr>
          <w:color w:val="auto"/>
          <w:highlight w:val="none"/>
        </w:rPr>
      </w:pPr>
    </w:p>
    <w:p w14:paraId="1F5202B4">
      <w:pPr>
        <w:pStyle w:val="23"/>
        <w:ind w:left="0" w:leftChars="0" w:firstLine="0" w:firstLineChars="0"/>
        <w:rPr>
          <w:color w:val="auto"/>
          <w:highlight w:val="none"/>
        </w:rPr>
      </w:pPr>
    </w:p>
    <w:p w14:paraId="283E7DCC">
      <w:pPr>
        <w:pStyle w:val="6"/>
        <w:rPr>
          <w:color w:val="auto"/>
          <w:highlight w:val="none"/>
        </w:rPr>
      </w:pPr>
    </w:p>
    <w:p w14:paraId="006CBCC0">
      <w:pPr>
        <w:pStyle w:val="23"/>
        <w:ind w:left="0" w:leftChars="0" w:firstLine="0" w:firstLineChars="0"/>
        <w:jc w:val="center"/>
        <w:rPr>
          <w:color w:val="auto"/>
          <w:sz w:val="28"/>
          <w:szCs w:val="28"/>
          <w:highlight w:val="none"/>
        </w:rPr>
      </w:pPr>
      <w:r>
        <w:rPr>
          <w:rFonts w:hint="eastAsia"/>
          <w:color w:val="auto"/>
          <w:sz w:val="28"/>
          <w:szCs w:val="28"/>
          <w:highlight w:val="none"/>
        </w:rPr>
        <w:t>12、磋商报价（第二轮）</w:t>
      </w:r>
    </w:p>
    <w:p w14:paraId="6691C9B8">
      <w:pPr>
        <w:pStyle w:val="23"/>
        <w:ind w:left="0" w:leftChars="0" w:firstLine="0" w:firstLineChars="0"/>
        <w:jc w:val="center"/>
        <w:rPr>
          <w:color w:val="auto"/>
          <w:sz w:val="28"/>
          <w:szCs w:val="28"/>
          <w:highlight w:val="none"/>
        </w:rPr>
      </w:pPr>
    </w:p>
    <w:p w14:paraId="01F48BFD">
      <w:pPr>
        <w:pStyle w:val="23"/>
        <w:ind w:left="0" w:leftChars="0" w:firstLine="0" w:firstLineChars="0"/>
        <w:jc w:val="center"/>
        <w:rPr>
          <w:color w:val="auto"/>
          <w:sz w:val="28"/>
          <w:szCs w:val="28"/>
          <w:highlight w:val="none"/>
        </w:rPr>
      </w:pPr>
    </w:p>
    <w:p w14:paraId="1DAB1652">
      <w:pPr>
        <w:pStyle w:val="23"/>
        <w:ind w:left="0" w:leftChars="0" w:firstLine="0" w:firstLineChars="0"/>
        <w:jc w:val="center"/>
        <w:rPr>
          <w:color w:val="auto"/>
          <w:sz w:val="28"/>
          <w:szCs w:val="28"/>
          <w:highlight w:val="none"/>
        </w:rPr>
      </w:pPr>
    </w:p>
    <w:p w14:paraId="4783FE1D">
      <w:pPr>
        <w:pStyle w:val="23"/>
        <w:ind w:left="0" w:leftChars="0" w:firstLine="0" w:firstLineChars="0"/>
        <w:jc w:val="center"/>
        <w:rPr>
          <w:color w:val="auto"/>
          <w:sz w:val="28"/>
          <w:szCs w:val="28"/>
          <w:highlight w:val="none"/>
        </w:rPr>
      </w:pPr>
    </w:p>
    <w:p w14:paraId="2DB88377">
      <w:pPr>
        <w:pStyle w:val="23"/>
        <w:ind w:left="0" w:leftChars="0" w:firstLine="0" w:firstLineChars="0"/>
        <w:jc w:val="center"/>
        <w:rPr>
          <w:color w:val="auto"/>
          <w:sz w:val="28"/>
          <w:szCs w:val="28"/>
          <w:highlight w:val="none"/>
        </w:rPr>
      </w:pPr>
    </w:p>
    <w:p w14:paraId="1A983969">
      <w:pPr>
        <w:pStyle w:val="23"/>
        <w:ind w:left="0" w:leftChars="0" w:firstLine="0" w:firstLineChars="0"/>
        <w:jc w:val="center"/>
        <w:rPr>
          <w:color w:val="auto"/>
          <w:sz w:val="28"/>
          <w:szCs w:val="28"/>
          <w:highlight w:val="none"/>
        </w:rPr>
      </w:pPr>
    </w:p>
    <w:p w14:paraId="5CDF2811">
      <w:pPr>
        <w:pStyle w:val="23"/>
        <w:spacing w:line="360" w:lineRule="auto"/>
        <w:ind w:left="0" w:leftChars="0" w:firstLine="420"/>
        <w:jc w:val="left"/>
        <w:rPr>
          <w:color w:val="auto"/>
          <w:szCs w:val="21"/>
          <w:highlight w:val="none"/>
        </w:rPr>
      </w:pPr>
      <w:r>
        <w:rPr>
          <w:rFonts w:hint="eastAsia"/>
          <w:color w:val="auto"/>
          <w:szCs w:val="21"/>
          <w:highlight w:val="none"/>
        </w:rPr>
        <w:t>注：所有供应商开标结束后，在进行第二轮报价前，应一直保持在线状态，方便第二轮报价及时通知。</w:t>
      </w:r>
    </w:p>
    <w:p w14:paraId="7810F37B">
      <w:pPr>
        <w:rPr>
          <w:color w:val="auto"/>
          <w:highlight w:val="none"/>
        </w:rPr>
      </w:pPr>
    </w:p>
    <w:sectPr>
      <w:headerReference r:id="rId11" w:type="default"/>
      <w:footerReference r:id="rId12" w:type="default"/>
      <w:pgSz w:w="11911" w:h="16838"/>
      <w:pgMar w:top="1440" w:right="1803" w:bottom="1440" w:left="1803"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EA8D56-BB78-4672-BB21-CDC34F1A07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B0E57B-828F-4E6C-B75C-397971E814B5}"/>
  </w:font>
  <w:font w:name="汉鼎简楷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A49B4F9-129E-4533-B2E3-D84C1C33F2F1}"/>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embedRegular r:id="rId4" w:fontKey="{1C3FC281-C75C-495E-9E77-9D96261A9C2D}"/>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5" w:fontKey="{C7E71ABD-1172-40E6-A3EC-94974BD459E5}"/>
  </w:font>
  <w:font w:name="仿宋">
    <w:panose1 w:val="02010609060101010101"/>
    <w:charset w:val="86"/>
    <w:family w:val="modern"/>
    <w:pitch w:val="default"/>
    <w:sig w:usb0="800002BF" w:usb1="38CF7CFA" w:usb2="00000016" w:usb3="00000000" w:csb0="00040001" w:csb1="00000000"/>
    <w:embedRegular r:id="rId6" w:fontKey="{9B3BDD23-FF30-4F47-911B-721430700A26}"/>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E5AB">
    <w:pPr>
      <w:pStyle w:val="13"/>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5D2C">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4"/>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wps:spPr>
                    <wps:txbx>
                      <w:txbxContent>
                        <w:p w14:paraId="0C8004C7">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4" o:spid="_x0000_s1026" o:spt="1"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xltl0AAAAAIBAAAPAAAAAAAAAAEAIAAAACIAAABkcnMvZG93bnJl&#10;di54bWxQSwECFAAUAAAACACHTuJA1RxLlAUCAAD3AwAADgAAAAAAAAABACAAAAAfAQAAZHJzL2Uy&#10;b0RvYy54bWxQSwUGAAAAAAYABgBZAQAAlgUAAAAA&#10;">
              <v:fill on="f" focussize="0,0"/>
              <v:stroke on="f"/>
              <v:imagedata o:title=""/>
              <o:lock v:ext="edit" aspectratio="f"/>
              <v:textbox inset="0mm,0mm,0mm,0mm" style="mso-fit-shape-to-text:t;">
                <w:txbxContent>
                  <w:p w14:paraId="0C8004C7">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5283">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1A477B6E">
                          <w:pPr>
                            <w:pStyle w:val="1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Bcb5+y4CAABSBAAADgAAAAAAAAABACAAAAAgAQAAZHJzL2Uyb0RvYy54bWxQSwUGAAAA&#10;AAYABgBZAQAAwAUAAAAA&#10;">
              <v:fill on="f" focussize="0,0"/>
              <v:stroke on="f" weight="0.5pt"/>
              <v:imagedata o:title=""/>
              <o:lock v:ext="edit" aspectratio="f"/>
              <v:textbox inset="0mm,0mm,0mm,0mm" style="mso-fit-shape-to-text:t;">
                <w:txbxContent>
                  <w:p w14:paraId="1A477B6E">
                    <w:pPr>
                      <w:pStyle w:val="1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82B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665" cy="139700"/>
              <wp:effectExtent l="0" t="0" r="0" b="0"/>
              <wp:wrapNone/>
              <wp:docPr id="3" name="文本框 2"/>
              <wp:cNvGraphicFramePr/>
              <a:graphic xmlns:a="http://schemas.openxmlformats.org/drawingml/2006/main">
                <a:graphicData uri="http://schemas.microsoft.com/office/word/2010/wordprocessingShape">
                  <wps:wsp>
                    <wps:cNvSpPr>
                      <a:spLocks noChangeArrowheads="1"/>
                    </wps:cNvSpPr>
                    <wps:spPr bwMode="auto">
                      <a:xfrm>
                        <a:off x="0" y="0"/>
                        <a:ext cx="113665" cy="139700"/>
                      </a:xfrm>
                      <a:prstGeom prst="rect">
                        <a:avLst/>
                      </a:prstGeom>
                      <a:noFill/>
                      <a:ln>
                        <a:noFill/>
                      </a:ln>
                    </wps:spPr>
                    <wps:txbx>
                      <w:txbxContent>
                        <w:p w14:paraId="76C2BECE">
                          <w:pPr>
                            <w:pStyle w:val="13"/>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2" o:spid="_x0000_s1026" o:spt="1" style="position:absolute;left:0pt;margin-top:0pt;height:11pt;width:8.95pt;mso-position-horizontal:center;mso-position-horizontal-relative:margin;mso-wrap-style:none;z-index:251659264;mso-width-relative:page;mso-height-relative:page;" filled="f" stroked="f" coordsize="21600,21600" o:gfxdata="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KPBonRAAAAAwEAAA8AAAAAAAAAAQAgAAAAIgAAAGRycy9kb3du&#10;cmV2LnhtbFBLAQIUABQAAAAIAIdO4kAn9W8mBgIAAPgDAAAOAAAAAAAAAAEAIAAAACABAABkcnMv&#10;ZTJvRG9jLnhtbFBLBQYAAAAABgAGAFkBAACYBQAAAAA=&#10;">
              <v:fill on="f" focussize="0,0"/>
              <v:stroke on="f"/>
              <v:imagedata o:title=""/>
              <o:lock v:ext="edit" aspectratio="f"/>
              <v:textbox inset="0mm,0mm,0mm,0mm" style="mso-fit-shape-to-text:t;">
                <w:txbxContent>
                  <w:p w14:paraId="76C2BECE">
                    <w:pPr>
                      <w:pStyle w:val="13"/>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0102">
    <w:pPr>
      <w:pStyle w:val="13"/>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428AD64C">
                          <w:pPr>
                            <w:pStyle w:val="13"/>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b+aqifwBAAAEBAAADgAAAAAAAAABACAAAAAfAQAAZHJzL2Uyb0RvYy54bWxQ&#10;SwUGAAAAAAYABgBZAQAAjQUAAAAA&#10;">
              <v:fill on="f" focussize="0,0"/>
              <v:stroke on="f"/>
              <v:imagedata o:title=""/>
              <o:lock v:ext="edit" aspectratio="f"/>
              <v:textbox inset="0mm,0mm,0mm,0mm" style="mso-fit-shape-to-text:t;">
                <w:txbxContent>
                  <w:p w14:paraId="428AD64C">
                    <w:pPr>
                      <w:pStyle w:val="13"/>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8E3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
              <wp:cNvGraphicFramePr/>
              <a:graphic xmlns:a="http://schemas.openxmlformats.org/drawingml/2006/main">
                <a:graphicData uri="http://schemas.microsoft.com/office/word/2010/wordprocessingShape">
                  <wps:wsp>
                    <wps:cNvSpPr>
                      <a:spLocks noChangeArrowheads="1"/>
                    </wps:cNvSpPr>
                    <wps:spPr bwMode="auto">
                      <a:xfrm>
                        <a:off x="0" y="0"/>
                        <a:ext cx="116205" cy="139700"/>
                      </a:xfrm>
                      <a:prstGeom prst="rect">
                        <a:avLst/>
                      </a:prstGeom>
                      <a:noFill/>
                      <a:ln>
                        <a:noFill/>
                      </a:ln>
                    </wps:spPr>
                    <wps:txbx>
                      <w:txbxContent>
                        <w:p w14:paraId="7353AF75">
                          <w:pPr>
                            <w:pStyle w:val="13"/>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vert="horz" wrap="none" lIns="0" tIns="0" rIns="0" bIns="0" anchor="t" anchorCtr="0" upright="1">
                      <a:spAutoFit/>
                    </wps:bodyPr>
                  </wps:wsp>
                </a:graphicData>
              </a:graphic>
            </wp:anchor>
          </w:drawing>
        </mc:Choice>
        <mc:Fallback>
          <w:pict>
            <v:rect id="文本框 3" o:spid="_x0000_s1026" o:spt="1"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O5yfdEFAgAA+AMAAA4AAAAAAAAAAQAgAAAAIAEAAGRycy9l&#10;Mm9Eb2MueG1sUEsFBgAAAAAGAAYAWQEAAJcFAAAAAA==&#10;">
              <v:fill on="f" focussize="0,0"/>
              <v:stroke on="f"/>
              <v:imagedata o:title=""/>
              <o:lock v:ext="edit" aspectratio="f"/>
              <v:textbox inset="0mm,0mm,0mm,0mm" style="mso-fit-shape-to-text:t;">
                <w:txbxContent>
                  <w:p w14:paraId="7353AF75">
                    <w:pPr>
                      <w:pStyle w:val="13"/>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06F8">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744D">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6198">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14EC">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E2080"/>
    <w:multiLevelType w:val="singleLevel"/>
    <w:tmpl w:val="A2AE2080"/>
    <w:lvl w:ilvl="0" w:tentative="0">
      <w:start w:val="5"/>
      <w:numFmt w:val="chineseCounting"/>
      <w:suff w:val="space"/>
      <w:lvlText w:val="第%1章"/>
      <w:lvlJc w:val="left"/>
      <w:rPr>
        <w:rFonts w:hint="eastAsia"/>
      </w:rPr>
    </w:lvl>
  </w:abstractNum>
  <w:abstractNum w:abstractNumId="1">
    <w:nsid w:val="F073B305"/>
    <w:multiLevelType w:val="singleLevel"/>
    <w:tmpl w:val="F073B305"/>
    <w:lvl w:ilvl="0" w:tentative="0">
      <w:start w:val="2"/>
      <w:numFmt w:val="decimal"/>
      <w:suff w:val="nothing"/>
      <w:lvlText w:val="%1、"/>
      <w:lvlJc w:val="left"/>
    </w:lvl>
  </w:abstractNum>
  <w:abstractNum w:abstractNumId="2">
    <w:nsid w:val="F582B28B"/>
    <w:multiLevelType w:val="singleLevel"/>
    <w:tmpl w:val="F582B28B"/>
    <w:lvl w:ilvl="0" w:tentative="0">
      <w:start w:val="2"/>
      <w:numFmt w:val="decimal"/>
      <w:lvlText w:val="%1."/>
      <w:lvlJc w:val="left"/>
      <w:pPr>
        <w:tabs>
          <w:tab w:val="left" w:pos="312"/>
        </w:tabs>
      </w:pPr>
    </w:lvl>
  </w:abstractNum>
  <w:abstractNum w:abstractNumId="3">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09"/>
    <w:multiLevelType w:val="singleLevel"/>
    <w:tmpl w:val="00000009"/>
    <w:lvl w:ilvl="0" w:tentative="0">
      <w:start w:val="1"/>
      <w:numFmt w:val="decimal"/>
      <w:suff w:val="nothing"/>
      <w:lvlText w:val="（%1）"/>
      <w:lvlJc w:val="left"/>
    </w:lvl>
  </w:abstractNum>
  <w:abstractNum w:abstractNumId="5">
    <w:nsid w:val="00000012"/>
    <w:multiLevelType w:val="singleLevel"/>
    <w:tmpl w:val="00000012"/>
    <w:lvl w:ilvl="0" w:tentative="0">
      <w:start w:val="1"/>
      <w:numFmt w:val="decimal"/>
      <w:pStyle w:val="54"/>
      <w:lvlText w:val="%1."/>
      <w:lvlJc w:val="left"/>
      <w:pPr>
        <w:tabs>
          <w:tab w:val="left" w:pos="1200"/>
        </w:tabs>
        <w:ind w:left="1200" w:hanging="360"/>
      </w:pPr>
    </w:lvl>
  </w:abstractNum>
  <w:abstractNum w:abstractNumId="6">
    <w:nsid w:val="270180AA"/>
    <w:multiLevelType w:val="singleLevel"/>
    <w:tmpl w:val="270180AA"/>
    <w:lvl w:ilvl="0" w:tentative="0">
      <w:start w:val="2"/>
      <w:numFmt w:val="decimal"/>
      <w:suff w:val="nothing"/>
      <w:lvlText w:val="%1、"/>
      <w:lvlJc w:val="left"/>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s>
  <w:rsids>
    <w:rsidRoot w:val="00A55041"/>
    <w:rsid w:val="0001354A"/>
    <w:rsid w:val="00082A5B"/>
    <w:rsid w:val="00087EA8"/>
    <w:rsid w:val="00093E5A"/>
    <w:rsid w:val="000C727E"/>
    <w:rsid w:val="000E53AE"/>
    <w:rsid w:val="00160C1A"/>
    <w:rsid w:val="00203498"/>
    <w:rsid w:val="00222430"/>
    <w:rsid w:val="00225787"/>
    <w:rsid w:val="00256AC0"/>
    <w:rsid w:val="0026230C"/>
    <w:rsid w:val="00274A29"/>
    <w:rsid w:val="0028016D"/>
    <w:rsid w:val="002B123C"/>
    <w:rsid w:val="002C1DF3"/>
    <w:rsid w:val="002D3702"/>
    <w:rsid w:val="002E1F6F"/>
    <w:rsid w:val="002E23E1"/>
    <w:rsid w:val="002E4669"/>
    <w:rsid w:val="00314D84"/>
    <w:rsid w:val="00316269"/>
    <w:rsid w:val="003476B9"/>
    <w:rsid w:val="003F6EE1"/>
    <w:rsid w:val="00416450"/>
    <w:rsid w:val="00431755"/>
    <w:rsid w:val="004C292F"/>
    <w:rsid w:val="00533A35"/>
    <w:rsid w:val="0057257B"/>
    <w:rsid w:val="005F3896"/>
    <w:rsid w:val="005F4163"/>
    <w:rsid w:val="005F780C"/>
    <w:rsid w:val="0062380A"/>
    <w:rsid w:val="00632A19"/>
    <w:rsid w:val="00635B32"/>
    <w:rsid w:val="00636830"/>
    <w:rsid w:val="0064385F"/>
    <w:rsid w:val="00684A8A"/>
    <w:rsid w:val="006A2F36"/>
    <w:rsid w:val="006E204D"/>
    <w:rsid w:val="006E3F98"/>
    <w:rsid w:val="006E680D"/>
    <w:rsid w:val="0075194C"/>
    <w:rsid w:val="007A3406"/>
    <w:rsid w:val="007B2523"/>
    <w:rsid w:val="007D6F90"/>
    <w:rsid w:val="008250EC"/>
    <w:rsid w:val="008563A0"/>
    <w:rsid w:val="00887AA4"/>
    <w:rsid w:val="0089299D"/>
    <w:rsid w:val="008A4EAD"/>
    <w:rsid w:val="008C44E2"/>
    <w:rsid w:val="008E229C"/>
    <w:rsid w:val="009009B7"/>
    <w:rsid w:val="009466C9"/>
    <w:rsid w:val="00955F01"/>
    <w:rsid w:val="009568C6"/>
    <w:rsid w:val="00956C5B"/>
    <w:rsid w:val="0099224A"/>
    <w:rsid w:val="009950EF"/>
    <w:rsid w:val="009A25B5"/>
    <w:rsid w:val="009B4306"/>
    <w:rsid w:val="009C5394"/>
    <w:rsid w:val="009C7964"/>
    <w:rsid w:val="009C7E05"/>
    <w:rsid w:val="009E70F5"/>
    <w:rsid w:val="009F471F"/>
    <w:rsid w:val="00A03C4C"/>
    <w:rsid w:val="00A13A2E"/>
    <w:rsid w:val="00A1594D"/>
    <w:rsid w:val="00A40B95"/>
    <w:rsid w:val="00A55041"/>
    <w:rsid w:val="00B069F9"/>
    <w:rsid w:val="00B135CB"/>
    <w:rsid w:val="00B1459C"/>
    <w:rsid w:val="00B47A81"/>
    <w:rsid w:val="00B54DB5"/>
    <w:rsid w:val="00B70799"/>
    <w:rsid w:val="00BC089E"/>
    <w:rsid w:val="00BD28F7"/>
    <w:rsid w:val="00BE64D7"/>
    <w:rsid w:val="00C07D70"/>
    <w:rsid w:val="00C51CA0"/>
    <w:rsid w:val="00C66630"/>
    <w:rsid w:val="00C762FA"/>
    <w:rsid w:val="00C8559C"/>
    <w:rsid w:val="00D220B7"/>
    <w:rsid w:val="00DD4AFA"/>
    <w:rsid w:val="00DE7077"/>
    <w:rsid w:val="00E012CB"/>
    <w:rsid w:val="00E03963"/>
    <w:rsid w:val="00E2030F"/>
    <w:rsid w:val="00E24BD3"/>
    <w:rsid w:val="00E83C87"/>
    <w:rsid w:val="00EF7345"/>
    <w:rsid w:val="00F35242"/>
    <w:rsid w:val="00F431B9"/>
    <w:rsid w:val="00F65EC9"/>
    <w:rsid w:val="00FB006A"/>
    <w:rsid w:val="01097E6E"/>
    <w:rsid w:val="01137943"/>
    <w:rsid w:val="011B0745"/>
    <w:rsid w:val="012E39BC"/>
    <w:rsid w:val="017E34AF"/>
    <w:rsid w:val="01944B1E"/>
    <w:rsid w:val="0196601E"/>
    <w:rsid w:val="01D15AEA"/>
    <w:rsid w:val="01D6466C"/>
    <w:rsid w:val="01DF5ECB"/>
    <w:rsid w:val="01E70C3F"/>
    <w:rsid w:val="020B07BA"/>
    <w:rsid w:val="021138F7"/>
    <w:rsid w:val="02281B92"/>
    <w:rsid w:val="02290945"/>
    <w:rsid w:val="022C3D0F"/>
    <w:rsid w:val="024A56FE"/>
    <w:rsid w:val="026143C7"/>
    <w:rsid w:val="02666832"/>
    <w:rsid w:val="026B3007"/>
    <w:rsid w:val="02824222"/>
    <w:rsid w:val="028A768A"/>
    <w:rsid w:val="029007B5"/>
    <w:rsid w:val="029E2FA2"/>
    <w:rsid w:val="029F53A6"/>
    <w:rsid w:val="02A1111E"/>
    <w:rsid w:val="02AD1871"/>
    <w:rsid w:val="02B56978"/>
    <w:rsid w:val="02B768ED"/>
    <w:rsid w:val="02D64744"/>
    <w:rsid w:val="02DA4630"/>
    <w:rsid w:val="02E00616"/>
    <w:rsid w:val="02E35293"/>
    <w:rsid w:val="02EB4148"/>
    <w:rsid w:val="02EB5262"/>
    <w:rsid w:val="02FF66D3"/>
    <w:rsid w:val="0301396B"/>
    <w:rsid w:val="03015901"/>
    <w:rsid w:val="03166657"/>
    <w:rsid w:val="03197AE2"/>
    <w:rsid w:val="031C6D0F"/>
    <w:rsid w:val="03215DBB"/>
    <w:rsid w:val="03280EF8"/>
    <w:rsid w:val="03345AEF"/>
    <w:rsid w:val="03471C42"/>
    <w:rsid w:val="034A7629"/>
    <w:rsid w:val="03521A41"/>
    <w:rsid w:val="03685798"/>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3D21"/>
    <w:rsid w:val="04CE6DB8"/>
    <w:rsid w:val="04D60F61"/>
    <w:rsid w:val="04F259A4"/>
    <w:rsid w:val="050B57E3"/>
    <w:rsid w:val="051300AE"/>
    <w:rsid w:val="05132F0E"/>
    <w:rsid w:val="0534627A"/>
    <w:rsid w:val="05501DFD"/>
    <w:rsid w:val="055155A3"/>
    <w:rsid w:val="055627B3"/>
    <w:rsid w:val="055F2BCB"/>
    <w:rsid w:val="056C43F9"/>
    <w:rsid w:val="0570053C"/>
    <w:rsid w:val="057E3667"/>
    <w:rsid w:val="057F57CA"/>
    <w:rsid w:val="059565ED"/>
    <w:rsid w:val="05A14BA7"/>
    <w:rsid w:val="05A84572"/>
    <w:rsid w:val="05BB24F7"/>
    <w:rsid w:val="05D62E8D"/>
    <w:rsid w:val="05E80E12"/>
    <w:rsid w:val="05EC0902"/>
    <w:rsid w:val="05ED115B"/>
    <w:rsid w:val="05FF7391"/>
    <w:rsid w:val="060043AE"/>
    <w:rsid w:val="06085010"/>
    <w:rsid w:val="060A0966"/>
    <w:rsid w:val="06264FD6"/>
    <w:rsid w:val="06295ACA"/>
    <w:rsid w:val="063B53E6"/>
    <w:rsid w:val="065169B7"/>
    <w:rsid w:val="06784ADD"/>
    <w:rsid w:val="06825337"/>
    <w:rsid w:val="06997200"/>
    <w:rsid w:val="069D39AB"/>
    <w:rsid w:val="069F5975"/>
    <w:rsid w:val="06B97E60"/>
    <w:rsid w:val="06CC603E"/>
    <w:rsid w:val="06E23AB3"/>
    <w:rsid w:val="06ED1BD3"/>
    <w:rsid w:val="070103DE"/>
    <w:rsid w:val="07093564"/>
    <w:rsid w:val="07260519"/>
    <w:rsid w:val="072C6C75"/>
    <w:rsid w:val="073A2995"/>
    <w:rsid w:val="073A569E"/>
    <w:rsid w:val="073E6F3C"/>
    <w:rsid w:val="07461592"/>
    <w:rsid w:val="07462BA8"/>
    <w:rsid w:val="075345D3"/>
    <w:rsid w:val="0756645B"/>
    <w:rsid w:val="076C2BA4"/>
    <w:rsid w:val="078D4321"/>
    <w:rsid w:val="07A73A79"/>
    <w:rsid w:val="07B40FAC"/>
    <w:rsid w:val="07B7297B"/>
    <w:rsid w:val="07CD206E"/>
    <w:rsid w:val="07FB307F"/>
    <w:rsid w:val="080A4FF4"/>
    <w:rsid w:val="08145EEF"/>
    <w:rsid w:val="08183C31"/>
    <w:rsid w:val="081D1247"/>
    <w:rsid w:val="082A5712"/>
    <w:rsid w:val="08387E2F"/>
    <w:rsid w:val="08457F80"/>
    <w:rsid w:val="085E7BEF"/>
    <w:rsid w:val="086C262D"/>
    <w:rsid w:val="087150EF"/>
    <w:rsid w:val="087D1CE6"/>
    <w:rsid w:val="08850B9A"/>
    <w:rsid w:val="08990393"/>
    <w:rsid w:val="089C6F9F"/>
    <w:rsid w:val="08B35707"/>
    <w:rsid w:val="08B54035"/>
    <w:rsid w:val="08B9367A"/>
    <w:rsid w:val="08CD4B4E"/>
    <w:rsid w:val="08E5064E"/>
    <w:rsid w:val="090E0CED"/>
    <w:rsid w:val="09164210"/>
    <w:rsid w:val="094B3FAB"/>
    <w:rsid w:val="094E3682"/>
    <w:rsid w:val="09727863"/>
    <w:rsid w:val="09880942"/>
    <w:rsid w:val="098D50D2"/>
    <w:rsid w:val="098E3A7F"/>
    <w:rsid w:val="098F1CD1"/>
    <w:rsid w:val="09A8358A"/>
    <w:rsid w:val="09B305E8"/>
    <w:rsid w:val="09B842BA"/>
    <w:rsid w:val="09BE2D78"/>
    <w:rsid w:val="09C2104E"/>
    <w:rsid w:val="09CA0F24"/>
    <w:rsid w:val="09E2527B"/>
    <w:rsid w:val="0A073F5D"/>
    <w:rsid w:val="0A165F4E"/>
    <w:rsid w:val="0A1A1ABD"/>
    <w:rsid w:val="0A2A6F5C"/>
    <w:rsid w:val="0A387B64"/>
    <w:rsid w:val="0A446064"/>
    <w:rsid w:val="0A466107"/>
    <w:rsid w:val="0A5B7E05"/>
    <w:rsid w:val="0A6F1448"/>
    <w:rsid w:val="0A726EFC"/>
    <w:rsid w:val="0A930B1E"/>
    <w:rsid w:val="0A9E1902"/>
    <w:rsid w:val="0AA90C24"/>
    <w:rsid w:val="0AB551BF"/>
    <w:rsid w:val="0AB75CD0"/>
    <w:rsid w:val="0ABD0ABF"/>
    <w:rsid w:val="0ABF2205"/>
    <w:rsid w:val="0AC3411D"/>
    <w:rsid w:val="0AD025A1"/>
    <w:rsid w:val="0AD41965"/>
    <w:rsid w:val="0AD77D20"/>
    <w:rsid w:val="0ADF4592"/>
    <w:rsid w:val="0AE4604C"/>
    <w:rsid w:val="0AE917BE"/>
    <w:rsid w:val="0AED6323"/>
    <w:rsid w:val="0AF26211"/>
    <w:rsid w:val="0AF81AF7"/>
    <w:rsid w:val="0B091922"/>
    <w:rsid w:val="0B240511"/>
    <w:rsid w:val="0B2428ED"/>
    <w:rsid w:val="0B293A5F"/>
    <w:rsid w:val="0B2E7143"/>
    <w:rsid w:val="0B334FD6"/>
    <w:rsid w:val="0B3D6181"/>
    <w:rsid w:val="0B4214C2"/>
    <w:rsid w:val="0B500328"/>
    <w:rsid w:val="0B550CF2"/>
    <w:rsid w:val="0B720CBA"/>
    <w:rsid w:val="0B7423F7"/>
    <w:rsid w:val="0B883A47"/>
    <w:rsid w:val="0B907F82"/>
    <w:rsid w:val="0B9F01C5"/>
    <w:rsid w:val="0BAA53CD"/>
    <w:rsid w:val="0BAA7BE9"/>
    <w:rsid w:val="0BB91287"/>
    <w:rsid w:val="0BBE689D"/>
    <w:rsid w:val="0BC34CFF"/>
    <w:rsid w:val="0BDE0283"/>
    <w:rsid w:val="0BED187B"/>
    <w:rsid w:val="0BED37EB"/>
    <w:rsid w:val="0C0B4328"/>
    <w:rsid w:val="0C201306"/>
    <w:rsid w:val="0C25691C"/>
    <w:rsid w:val="0C2B30D4"/>
    <w:rsid w:val="0C3D1E1D"/>
    <w:rsid w:val="0C4274CE"/>
    <w:rsid w:val="0C4C20FB"/>
    <w:rsid w:val="0C4E0B8C"/>
    <w:rsid w:val="0C5B233E"/>
    <w:rsid w:val="0C760F26"/>
    <w:rsid w:val="0C9D4705"/>
    <w:rsid w:val="0CA914B5"/>
    <w:rsid w:val="0CAD6813"/>
    <w:rsid w:val="0CB72DB9"/>
    <w:rsid w:val="0CCA1272"/>
    <w:rsid w:val="0CDE6ACB"/>
    <w:rsid w:val="0CF4009D"/>
    <w:rsid w:val="0D0D2EA7"/>
    <w:rsid w:val="0D0F3C61"/>
    <w:rsid w:val="0D1869C8"/>
    <w:rsid w:val="0D2B67C6"/>
    <w:rsid w:val="0D3A63F7"/>
    <w:rsid w:val="0D3C216F"/>
    <w:rsid w:val="0D5A73E2"/>
    <w:rsid w:val="0D6276FC"/>
    <w:rsid w:val="0D6B7625"/>
    <w:rsid w:val="0D800983"/>
    <w:rsid w:val="0D86621B"/>
    <w:rsid w:val="0DA85E31"/>
    <w:rsid w:val="0DB711B7"/>
    <w:rsid w:val="0DE65386"/>
    <w:rsid w:val="0DFC36AD"/>
    <w:rsid w:val="0E214497"/>
    <w:rsid w:val="0E3A53C5"/>
    <w:rsid w:val="0E4F1A2E"/>
    <w:rsid w:val="0E677E76"/>
    <w:rsid w:val="0E6A4ABA"/>
    <w:rsid w:val="0E6B4F19"/>
    <w:rsid w:val="0E6F20D1"/>
    <w:rsid w:val="0E9C279A"/>
    <w:rsid w:val="0E9F33DC"/>
    <w:rsid w:val="0EBA3D0F"/>
    <w:rsid w:val="0ED465C4"/>
    <w:rsid w:val="0EDA2CB7"/>
    <w:rsid w:val="0EE17B92"/>
    <w:rsid w:val="0EF7212F"/>
    <w:rsid w:val="0EF900CD"/>
    <w:rsid w:val="0F0A004B"/>
    <w:rsid w:val="0F1923E5"/>
    <w:rsid w:val="0F1D67DE"/>
    <w:rsid w:val="0F281645"/>
    <w:rsid w:val="0F5E00D3"/>
    <w:rsid w:val="0F661726"/>
    <w:rsid w:val="0F707EAE"/>
    <w:rsid w:val="0F713C26"/>
    <w:rsid w:val="0F714EA5"/>
    <w:rsid w:val="0F733186"/>
    <w:rsid w:val="0F7C2CF7"/>
    <w:rsid w:val="0F824086"/>
    <w:rsid w:val="0FA4224E"/>
    <w:rsid w:val="0FB0474F"/>
    <w:rsid w:val="0FB76D43"/>
    <w:rsid w:val="0FC1695C"/>
    <w:rsid w:val="0FCF5D19"/>
    <w:rsid w:val="0FD146C5"/>
    <w:rsid w:val="0FDE3F3E"/>
    <w:rsid w:val="0FE45463"/>
    <w:rsid w:val="0FE70FC2"/>
    <w:rsid w:val="0FF2480F"/>
    <w:rsid w:val="0FF752A0"/>
    <w:rsid w:val="0FFA00C0"/>
    <w:rsid w:val="10162EAC"/>
    <w:rsid w:val="102F7604"/>
    <w:rsid w:val="103A5288"/>
    <w:rsid w:val="103B58EF"/>
    <w:rsid w:val="103E71E0"/>
    <w:rsid w:val="10451639"/>
    <w:rsid w:val="105A7418"/>
    <w:rsid w:val="105C6DE2"/>
    <w:rsid w:val="10714BF2"/>
    <w:rsid w:val="107366F0"/>
    <w:rsid w:val="107F4121"/>
    <w:rsid w:val="108B0C6E"/>
    <w:rsid w:val="108C6F6A"/>
    <w:rsid w:val="10925AEA"/>
    <w:rsid w:val="10972808"/>
    <w:rsid w:val="10A1053B"/>
    <w:rsid w:val="10B310F1"/>
    <w:rsid w:val="10D206F5"/>
    <w:rsid w:val="10D920A3"/>
    <w:rsid w:val="10E1516D"/>
    <w:rsid w:val="10E2019C"/>
    <w:rsid w:val="10E34306"/>
    <w:rsid w:val="10E7474E"/>
    <w:rsid w:val="10F25EEC"/>
    <w:rsid w:val="10FB5E9E"/>
    <w:rsid w:val="1105322F"/>
    <w:rsid w:val="11072D2D"/>
    <w:rsid w:val="111451B1"/>
    <w:rsid w:val="11194576"/>
    <w:rsid w:val="112C16E0"/>
    <w:rsid w:val="113A3267"/>
    <w:rsid w:val="114535BD"/>
    <w:rsid w:val="115870E1"/>
    <w:rsid w:val="11751D7F"/>
    <w:rsid w:val="11762FD6"/>
    <w:rsid w:val="11911867"/>
    <w:rsid w:val="119A7465"/>
    <w:rsid w:val="11AE1162"/>
    <w:rsid w:val="11B637C7"/>
    <w:rsid w:val="11CA5292"/>
    <w:rsid w:val="11CC3396"/>
    <w:rsid w:val="11CD1E0A"/>
    <w:rsid w:val="11D83032"/>
    <w:rsid w:val="11D860B5"/>
    <w:rsid w:val="11EA5181"/>
    <w:rsid w:val="11ED132D"/>
    <w:rsid w:val="11F50B3F"/>
    <w:rsid w:val="11FA6155"/>
    <w:rsid w:val="11FF27F2"/>
    <w:rsid w:val="12104D94"/>
    <w:rsid w:val="121D1E44"/>
    <w:rsid w:val="12217B86"/>
    <w:rsid w:val="122A08EA"/>
    <w:rsid w:val="12301B77"/>
    <w:rsid w:val="12372F05"/>
    <w:rsid w:val="123E24E6"/>
    <w:rsid w:val="124B69B1"/>
    <w:rsid w:val="125569E5"/>
    <w:rsid w:val="126F3D30"/>
    <w:rsid w:val="1271435D"/>
    <w:rsid w:val="127557DC"/>
    <w:rsid w:val="12795FF5"/>
    <w:rsid w:val="12825667"/>
    <w:rsid w:val="12AC5F34"/>
    <w:rsid w:val="12B409FA"/>
    <w:rsid w:val="12BB371A"/>
    <w:rsid w:val="12C0739F"/>
    <w:rsid w:val="12C80001"/>
    <w:rsid w:val="12D469A6"/>
    <w:rsid w:val="12D9220E"/>
    <w:rsid w:val="12E0359D"/>
    <w:rsid w:val="12E11D36"/>
    <w:rsid w:val="12E81C7E"/>
    <w:rsid w:val="12F93004"/>
    <w:rsid w:val="131A4CE4"/>
    <w:rsid w:val="131D2F47"/>
    <w:rsid w:val="132D60B6"/>
    <w:rsid w:val="133E565C"/>
    <w:rsid w:val="1356270A"/>
    <w:rsid w:val="1356385F"/>
    <w:rsid w:val="135D4BEE"/>
    <w:rsid w:val="136A3C05"/>
    <w:rsid w:val="138A52B7"/>
    <w:rsid w:val="13902784"/>
    <w:rsid w:val="13A22600"/>
    <w:rsid w:val="13AC7923"/>
    <w:rsid w:val="13B005A5"/>
    <w:rsid w:val="13BD38DE"/>
    <w:rsid w:val="13F84732"/>
    <w:rsid w:val="13FE0C28"/>
    <w:rsid w:val="13FF3EF7"/>
    <w:rsid w:val="142C45C0"/>
    <w:rsid w:val="142E20E6"/>
    <w:rsid w:val="14352DEE"/>
    <w:rsid w:val="14432035"/>
    <w:rsid w:val="14491B38"/>
    <w:rsid w:val="144B5E57"/>
    <w:rsid w:val="14593F31"/>
    <w:rsid w:val="147B3CDD"/>
    <w:rsid w:val="1485540F"/>
    <w:rsid w:val="14883EEC"/>
    <w:rsid w:val="148F6BEE"/>
    <w:rsid w:val="14945A9A"/>
    <w:rsid w:val="14CE4E21"/>
    <w:rsid w:val="14E20B1F"/>
    <w:rsid w:val="14E25071"/>
    <w:rsid w:val="14E30102"/>
    <w:rsid w:val="14E4000E"/>
    <w:rsid w:val="14E76F2B"/>
    <w:rsid w:val="15107A3E"/>
    <w:rsid w:val="1514752E"/>
    <w:rsid w:val="151D4DB4"/>
    <w:rsid w:val="15231D6C"/>
    <w:rsid w:val="152857F0"/>
    <w:rsid w:val="152B4D84"/>
    <w:rsid w:val="15305766"/>
    <w:rsid w:val="154C4DBC"/>
    <w:rsid w:val="154D6EEE"/>
    <w:rsid w:val="15657010"/>
    <w:rsid w:val="1575571D"/>
    <w:rsid w:val="157C2E91"/>
    <w:rsid w:val="158817FA"/>
    <w:rsid w:val="158D458D"/>
    <w:rsid w:val="15916DD0"/>
    <w:rsid w:val="15CC605B"/>
    <w:rsid w:val="15D93750"/>
    <w:rsid w:val="15E40A1B"/>
    <w:rsid w:val="15EC19CC"/>
    <w:rsid w:val="15F27940"/>
    <w:rsid w:val="15F5110D"/>
    <w:rsid w:val="16260CA4"/>
    <w:rsid w:val="163E221F"/>
    <w:rsid w:val="16473933"/>
    <w:rsid w:val="16481B85"/>
    <w:rsid w:val="165178F6"/>
    <w:rsid w:val="166D339A"/>
    <w:rsid w:val="1674246A"/>
    <w:rsid w:val="16835940"/>
    <w:rsid w:val="16976668"/>
    <w:rsid w:val="16A359F0"/>
    <w:rsid w:val="16A96E78"/>
    <w:rsid w:val="16B9038D"/>
    <w:rsid w:val="16C15493"/>
    <w:rsid w:val="16D1099B"/>
    <w:rsid w:val="16E00A6F"/>
    <w:rsid w:val="16F9030A"/>
    <w:rsid w:val="16FE2244"/>
    <w:rsid w:val="17013AE2"/>
    <w:rsid w:val="170B670F"/>
    <w:rsid w:val="17164FDE"/>
    <w:rsid w:val="1719707D"/>
    <w:rsid w:val="17226BB5"/>
    <w:rsid w:val="17234F87"/>
    <w:rsid w:val="172664C8"/>
    <w:rsid w:val="17343EB7"/>
    <w:rsid w:val="173D6022"/>
    <w:rsid w:val="173E3493"/>
    <w:rsid w:val="17453F05"/>
    <w:rsid w:val="17471E3D"/>
    <w:rsid w:val="174B2FAF"/>
    <w:rsid w:val="177514DA"/>
    <w:rsid w:val="178D1819"/>
    <w:rsid w:val="17AA13D1"/>
    <w:rsid w:val="17AA19AB"/>
    <w:rsid w:val="17B74982"/>
    <w:rsid w:val="17BD5C5B"/>
    <w:rsid w:val="17C4413B"/>
    <w:rsid w:val="17C92852"/>
    <w:rsid w:val="17D23D8C"/>
    <w:rsid w:val="17D9680D"/>
    <w:rsid w:val="17DB07D7"/>
    <w:rsid w:val="17DC2A3E"/>
    <w:rsid w:val="17DD2860"/>
    <w:rsid w:val="17DE54CF"/>
    <w:rsid w:val="17F51446"/>
    <w:rsid w:val="18004D02"/>
    <w:rsid w:val="18023FB5"/>
    <w:rsid w:val="180C3F9D"/>
    <w:rsid w:val="1831466F"/>
    <w:rsid w:val="18410D46"/>
    <w:rsid w:val="184E75B7"/>
    <w:rsid w:val="185145F5"/>
    <w:rsid w:val="185C1918"/>
    <w:rsid w:val="185F2058"/>
    <w:rsid w:val="18786026"/>
    <w:rsid w:val="18907B3A"/>
    <w:rsid w:val="18985549"/>
    <w:rsid w:val="189B14E0"/>
    <w:rsid w:val="189C59F4"/>
    <w:rsid w:val="189E3CDE"/>
    <w:rsid w:val="18B079B3"/>
    <w:rsid w:val="18B828C6"/>
    <w:rsid w:val="18C132E8"/>
    <w:rsid w:val="18C272A1"/>
    <w:rsid w:val="18C94AD3"/>
    <w:rsid w:val="18E9119D"/>
    <w:rsid w:val="18EB4A4A"/>
    <w:rsid w:val="18F91581"/>
    <w:rsid w:val="18FD62E9"/>
    <w:rsid w:val="190F3EDE"/>
    <w:rsid w:val="19124EB2"/>
    <w:rsid w:val="1917583F"/>
    <w:rsid w:val="19230842"/>
    <w:rsid w:val="19232435"/>
    <w:rsid w:val="19521C7D"/>
    <w:rsid w:val="195A572B"/>
    <w:rsid w:val="195A71CD"/>
    <w:rsid w:val="19702705"/>
    <w:rsid w:val="198C1D89"/>
    <w:rsid w:val="199450E1"/>
    <w:rsid w:val="199B0743"/>
    <w:rsid w:val="19C332D1"/>
    <w:rsid w:val="19CC7A23"/>
    <w:rsid w:val="19DD2724"/>
    <w:rsid w:val="19F53DD2"/>
    <w:rsid w:val="1A0628E6"/>
    <w:rsid w:val="1A0631F7"/>
    <w:rsid w:val="1A0758B3"/>
    <w:rsid w:val="1A0E13B9"/>
    <w:rsid w:val="1A2B2B8F"/>
    <w:rsid w:val="1A4C5010"/>
    <w:rsid w:val="1A5535EC"/>
    <w:rsid w:val="1A6D5B7F"/>
    <w:rsid w:val="1A715EAB"/>
    <w:rsid w:val="1A767E82"/>
    <w:rsid w:val="1A933E22"/>
    <w:rsid w:val="1AA933C8"/>
    <w:rsid w:val="1AB423B5"/>
    <w:rsid w:val="1AB52EB7"/>
    <w:rsid w:val="1AC019B4"/>
    <w:rsid w:val="1AC76DF0"/>
    <w:rsid w:val="1AE31F5E"/>
    <w:rsid w:val="1AEB6F83"/>
    <w:rsid w:val="1AF8344E"/>
    <w:rsid w:val="1B0D15F6"/>
    <w:rsid w:val="1B51333E"/>
    <w:rsid w:val="1B666609"/>
    <w:rsid w:val="1B835CFB"/>
    <w:rsid w:val="1B87404C"/>
    <w:rsid w:val="1B9924FF"/>
    <w:rsid w:val="1B9A3DDC"/>
    <w:rsid w:val="1BAB4457"/>
    <w:rsid w:val="1BCC64BF"/>
    <w:rsid w:val="1BDD1195"/>
    <w:rsid w:val="1BE843DA"/>
    <w:rsid w:val="1BE84C62"/>
    <w:rsid w:val="1BEC6B0F"/>
    <w:rsid w:val="1BF9126A"/>
    <w:rsid w:val="1C0C4D12"/>
    <w:rsid w:val="1C165112"/>
    <w:rsid w:val="1C18312C"/>
    <w:rsid w:val="1C1A3FB4"/>
    <w:rsid w:val="1C2344FA"/>
    <w:rsid w:val="1C2C7C63"/>
    <w:rsid w:val="1C2E64F2"/>
    <w:rsid w:val="1C314E69"/>
    <w:rsid w:val="1C387FA6"/>
    <w:rsid w:val="1C5C744C"/>
    <w:rsid w:val="1C6223ED"/>
    <w:rsid w:val="1C7B131D"/>
    <w:rsid w:val="1C7B6F6E"/>
    <w:rsid w:val="1C835945"/>
    <w:rsid w:val="1C872CDB"/>
    <w:rsid w:val="1C915908"/>
    <w:rsid w:val="1C940DEA"/>
    <w:rsid w:val="1C9D24FF"/>
    <w:rsid w:val="1C9F4F52"/>
    <w:rsid w:val="1CDF6673"/>
    <w:rsid w:val="1CF05E6B"/>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924B9"/>
    <w:rsid w:val="1D9B4C9A"/>
    <w:rsid w:val="1DBC553C"/>
    <w:rsid w:val="1DC31A59"/>
    <w:rsid w:val="1DC85359"/>
    <w:rsid w:val="1DD26459"/>
    <w:rsid w:val="1DD523DE"/>
    <w:rsid w:val="1E023E27"/>
    <w:rsid w:val="1E066FB4"/>
    <w:rsid w:val="1E0845C3"/>
    <w:rsid w:val="1E3B7FF0"/>
    <w:rsid w:val="1E48649A"/>
    <w:rsid w:val="1E5842F0"/>
    <w:rsid w:val="1E791845"/>
    <w:rsid w:val="1E7D6144"/>
    <w:rsid w:val="1E804B26"/>
    <w:rsid w:val="1E8A5DE0"/>
    <w:rsid w:val="1E9445B9"/>
    <w:rsid w:val="1E9F65F4"/>
    <w:rsid w:val="1EBF050A"/>
    <w:rsid w:val="1EE10DD4"/>
    <w:rsid w:val="1EF62763"/>
    <w:rsid w:val="1EFA1543"/>
    <w:rsid w:val="1EFB0E1B"/>
    <w:rsid w:val="1F071EB1"/>
    <w:rsid w:val="1F2C6FAB"/>
    <w:rsid w:val="1F3E06FB"/>
    <w:rsid w:val="1F44570F"/>
    <w:rsid w:val="1F576995"/>
    <w:rsid w:val="1F7638D9"/>
    <w:rsid w:val="1F7E5ABE"/>
    <w:rsid w:val="1F895EF1"/>
    <w:rsid w:val="1F8A5D35"/>
    <w:rsid w:val="1F9225B2"/>
    <w:rsid w:val="1F930159"/>
    <w:rsid w:val="1FB060A5"/>
    <w:rsid w:val="1FB275B6"/>
    <w:rsid w:val="1FC27D49"/>
    <w:rsid w:val="1FC81641"/>
    <w:rsid w:val="1FE741BD"/>
    <w:rsid w:val="1FED3AB8"/>
    <w:rsid w:val="1FF42436"/>
    <w:rsid w:val="1FF77D97"/>
    <w:rsid w:val="20245EDC"/>
    <w:rsid w:val="202D3B9A"/>
    <w:rsid w:val="203B62B7"/>
    <w:rsid w:val="20467814"/>
    <w:rsid w:val="208714FC"/>
    <w:rsid w:val="20C808AA"/>
    <w:rsid w:val="20D02EA3"/>
    <w:rsid w:val="20E424AA"/>
    <w:rsid w:val="20F76DDC"/>
    <w:rsid w:val="20FD356C"/>
    <w:rsid w:val="20FF5536"/>
    <w:rsid w:val="210448FA"/>
    <w:rsid w:val="211C7E96"/>
    <w:rsid w:val="211F34E2"/>
    <w:rsid w:val="21264F9C"/>
    <w:rsid w:val="212C3511"/>
    <w:rsid w:val="212C3707"/>
    <w:rsid w:val="21326B42"/>
    <w:rsid w:val="214271D1"/>
    <w:rsid w:val="21477B86"/>
    <w:rsid w:val="214E6EE9"/>
    <w:rsid w:val="214F6F82"/>
    <w:rsid w:val="215313DE"/>
    <w:rsid w:val="215F3735"/>
    <w:rsid w:val="21654860"/>
    <w:rsid w:val="216D719B"/>
    <w:rsid w:val="217063B1"/>
    <w:rsid w:val="21760810"/>
    <w:rsid w:val="218D48F0"/>
    <w:rsid w:val="218D490E"/>
    <w:rsid w:val="21920158"/>
    <w:rsid w:val="21A17576"/>
    <w:rsid w:val="21A80E04"/>
    <w:rsid w:val="21B04A82"/>
    <w:rsid w:val="21B22ECE"/>
    <w:rsid w:val="21C1459A"/>
    <w:rsid w:val="21D806A5"/>
    <w:rsid w:val="21E97519"/>
    <w:rsid w:val="21EB1616"/>
    <w:rsid w:val="22121AB8"/>
    <w:rsid w:val="221E19EC"/>
    <w:rsid w:val="221F7512"/>
    <w:rsid w:val="22266AF2"/>
    <w:rsid w:val="2227082E"/>
    <w:rsid w:val="222E0813"/>
    <w:rsid w:val="222F3BF9"/>
    <w:rsid w:val="223824C3"/>
    <w:rsid w:val="223B2384"/>
    <w:rsid w:val="224A3A92"/>
    <w:rsid w:val="22657EF6"/>
    <w:rsid w:val="226B56FC"/>
    <w:rsid w:val="2274785E"/>
    <w:rsid w:val="228C2DF9"/>
    <w:rsid w:val="228D1A3A"/>
    <w:rsid w:val="229456B1"/>
    <w:rsid w:val="229A3466"/>
    <w:rsid w:val="22A27A63"/>
    <w:rsid w:val="22AA3280"/>
    <w:rsid w:val="22B8599C"/>
    <w:rsid w:val="22BF0094"/>
    <w:rsid w:val="22C24A6D"/>
    <w:rsid w:val="22CA6173"/>
    <w:rsid w:val="22DB4D7D"/>
    <w:rsid w:val="22FA5A07"/>
    <w:rsid w:val="22FF5791"/>
    <w:rsid w:val="23045086"/>
    <w:rsid w:val="232B0FB7"/>
    <w:rsid w:val="233314C7"/>
    <w:rsid w:val="23622D89"/>
    <w:rsid w:val="236E6F60"/>
    <w:rsid w:val="23852AE7"/>
    <w:rsid w:val="238B5A7F"/>
    <w:rsid w:val="23910CB7"/>
    <w:rsid w:val="23A979DB"/>
    <w:rsid w:val="23BF2D5B"/>
    <w:rsid w:val="23E17175"/>
    <w:rsid w:val="23E37741"/>
    <w:rsid w:val="23EA1637"/>
    <w:rsid w:val="24013373"/>
    <w:rsid w:val="240449E0"/>
    <w:rsid w:val="240653E4"/>
    <w:rsid w:val="242D4BD3"/>
    <w:rsid w:val="24313A1D"/>
    <w:rsid w:val="2435301D"/>
    <w:rsid w:val="243C2451"/>
    <w:rsid w:val="244020ED"/>
    <w:rsid w:val="24457704"/>
    <w:rsid w:val="244B21C1"/>
    <w:rsid w:val="2459651E"/>
    <w:rsid w:val="245C20B0"/>
    <w:rsid w:val="246A597E"/>
    <w:rsid w:val="246E2002"/>
    <w:rsid w:val="24731A3C"/>
    <w:rsid w:val="24977834"/>
    <w:rsid w:val="249F7694"/>
    <w:rsid w:val="24AB719D"/>
    <w:rsid w:val="24CA67E5"/>
    <w:rsid w:val="24F8118B"/>
    <w:rsid w:val="25137802"/>
    <w:rsid w:val="25302162"/>
    <w:rsid w:val="2536649D"/>
    <w:rsid w:val="253A65CA"/>
    <w:rsid w:val="253D662D"/>
    <w:rsid w:val="2555311F"/>
    <w:rsid w:val="256619E3"/>
    <w:rsid w:val="256C5840"/>
    <w:rsid w:val="25712A79"/>
    <w:rsid w:val="25787B45"/>
    <w:rsid w:val="258E0C37"/>
    <w:rsid w:val="259A75DB"/>
    <w:rsid w:val="25A12B6D"/>
    <w:rsid w:val="25A37345"/>
    <w:rsid w:val="25AE707A"/>
    <w:rsid w:val="25BD5D24"/>
    <w:rsid w:val="25C66622"/>
    <w:rsid w:val="25E1345C"/>
    <w:rsid w:val="25E66CC5"/>
    <w:rsid w:val="25EF794D"/>
    <w:rsid w:val="25F002FA"/>
    <w:rsid w:val="25F52A64"/>
    <w:rsid w:val="26093A45"/>
    <w:rsid w:val="26154EB4"/>
    <w:rsid w:val="26190E48"/>
    <w:rsid w:val="26611C11"/>
    <w:rsid w:val="26621A21"/>
    <w:rsid w:val="267C7FC9"/>
    <w:rsid w:val="2681079B"/>
    <w:rsid w:val="26834424"/>
    <w:rsid w:val="26AF1852"/>
    <w:rsid w:val="26B874D0"/>
    <w:rsid w:val="26BD47FF"/>
    <w:rsid w:val="26C55E33"/>
    <w:rsid w:val="26DA1076"/>
    <w:rsid w:val="26DC3715"/>
    <w:rsid w:val="26F8268D"/>
    <w:rsid w:val="27072222"/>
    <w:rsid w:val="270D202F"/>
    <w:rsid w:val="27105E1E"/>
    <w:rsid w:val="27111B1F"/>
    <w:rsid w:val="271867D0"/>
    <w:rsid w:val="271E423C"/>
    <w:rsid w:val="27473793"/>
    <w:rsid w:val="27483F30"/>
    <w:rsid w:val="27484DBC"/>
    <w:rsid w:val="2749286A"/>
    <w:rsid w:val="275B6273"/>
    <w:rsid w:val="2775510D"/>
    <w:rsid w:val="27785025"/>
    <w:rsid w:val="278B7B24"/>
    <w:rsid w:val="27A91B9E"/>
    <w:rsid w:val="27AA34E1"/>
    <w:rsid w:val="27E1164E"/>
    <w:rsid w:val="27F22E1F"/>
    <w:rsid w:val="27F455D3"/>
    <w:rsid w:val="27FB2984"/>
    <w:rsid w:val="280E7144"/>
    <w:rsid w:val="282467E2"/>
    <w:rsid w:val="282708E5"/>
    <w:rsid w:val="283934ED"/>
    <w:rsid w:val="28620159"/>
    <w:rsid w:val="28704CFE"/>
    <w:rsid w:val="287D4ABE"/>
    <w:rsid w:val="288051AE"/>
    <w:rsid w:val="28861297"/>
    <w:rsid w:val="288A6D6B"/>
    <w:rsid w:val="288E0F4E"/>
    <w:rsid w:val="289742A6"/>
    <w:rsid w:val="289B3793"/>
    <w:rsid w:val="28B871A9"/>
    <w:rsid w:val="28BF6807"/>
    <w:rsid w:val="28C01A4F"/>
    <w:rsid w:val="28CA3A06"/>
    <w:rsid w:val="28CD3B03"/>
    <w:rsid w:val="28EE0705"/>
    <w:rsid w:val="28EE1250"/>
    <w:rsid w:val="28F24C9B"/>
    <w:rsid w:val="28FB4835"/>
    <w:rsid w:val="28FC235B"/>
    <w:rsid w:val="292657AF"/>
    <w:rsid w:val="293E0BC6"/>
    <w:rsid w:val="29411321"/>
    <w:rsid w:val="294F692F"/>
    <w:rsid w:val="29512D29"/>
    <w:rsid w:val="295746E4"/>
    <w:rsid w:val="295D0737"/>
    <w:rsid w:val="29813AF5"/>
    <w:rsid w:val="298D11CC"/>
    <w:rsid w:val="29976F68"/>
    <w:rsid w:val="299F1664"/>
    <w:rsid w:val="29B45500"/>
    <w:rsid w:val="29C73216"/>
    <w:rsid w:val="29EE6148"/>
    <w:rsid w:val="29FB6421"/>
    <w:rsid w:val="2A041FD0"/>
    <w:rsid w:val="2A0E012F"/>
    <w:rsid w:val="2A1C2CB5"/>
    <w:rsid w:val="2A275A1A"/>
    <w:rsid w:val="2A2D406D"/>
    <w:rsid w:val="2A2E29E8"/>
    <w:rsid w:val="2A481CFC"/>
    <w:rsid w:val="2A5A1A2F"/>
    <w:rsid w:val="2AB63109"/>
    <w:rsid w:val="2AC572BD"/>
    <w:rsid w:val="2ACC4CC4"/>
    <w:rsid w:val="2ACF4907"/>
    <w:rsid w:val="2ADF7BA5"/>
    <w:rsid w:val="2AE124BC"/>
    <w:rsid w:val="2AE60862"/>
    <w:rsid w:val="2AE94AEA"/>
    <w:rsid w:val="2AFC55F8"/>
    <w:rsid w:val="2B0902B5"/>
    <w:rsid w:val="2B5B6F05"/>
    <w:rsid w:val="2B8366C8"/>
    <w:rsid w:val="2BA47406"/>
    <w:rsid w:val="2BA50A88"/>
    <w:rsid w:val="2BBE1B4A"/>
    <w:rsid w:val="2C0656F3"/>
    <w:rsid w:val="2C1125C1"/>
    <w:rsid w:val="2C1D4DCC"/>
    <w:rsid w:val="2C2570F6"/>
    <w:rsid w:val="2C3D3520"/>
    <w:rsid w:val="2C4464F3"/>
    <w:rsid w:val="2C55425C"/>
    <w:rsid w:val="2C734C03"/>
    <w:rsid w:val="2C780592"/>
    <w:rsid w:val="2C923702"/>
    <w:rsid w:val="2CA225B2"/>
    <w:rsid w:val="2CAB4A5B"/>
    <w:rsid w:val="2CAD5E46"/>
    <w:rsid w:val="2CAF6281"/>
    <w:rsid w:val="2CB05936"/>
    <w:rsid w:val="2CB2345D"/>
    <w:rsid w:val="2CC57707"/>
    <w:rsid w:val="2CC6515A"/>
    <w:rsid w:val="2CCB3F95"/>
    <w:rsid w:val="2CD60AC5"/>
    <w:rsid w:val="2CD75F02"/>
    <w:rsid w:val="2CE008B4"/>
    <w:rsid w:val="2CEC5A2B"/>
    <w:rsid w:val="2D0C6EE2"/>
    <w:rsid w:val="2D186881"/>
    <w:rsid w:val="2D265BF9"/>
    <w:rsid w:val="2D280EB9"/>
    <w:rsid w:val="2D377E06"/>
    <w:rsid w:val="2D39592C"/>
    <w:rsid w:val="2D3B4B5C"/>
    <w:rsid w:val="2D513B5D"/>
    <w:rsid w:val="2D545784"/>
    <w:rsid w:val="2D693441"/>
    <w:rsid w:val="2D731129"/>
    <w:rsid w:val="2D8B296A"/>
    <w:rsid w:val="2D8D442A"/>
    <w:rsid w:val="2D93624A"/>
    <w:rsid w:val="2D981334"/>
    <w:rsid w:val="2D9E60D7"/>
    <w:rsid w:val="2DA01FC8"/>
    <w:rsid w:val="2DA15F86"/>
    <w:rsid w:val="2DAB178E"/>
    <w:rsid w:val="2DAC25A2"/>
    <w:rsid w:val="2DB80F46"/>
    <w:rsid w:val="2DC0604D"/>
    <w:rsid w:val="2DCC7A10"/>
    <w:rsid w:val="2DEE10FE"/>
    <w:rsid w:val="2DF367BA"/>
    <w:rsid w:val="2E087CC1"/>
    <w:rsid w:val="2E105A61"/>
    <w:rsid w:val="2E172C43"/>
    <w:rsid w:val="2E1E30FD"/>
    <w:rsid w:val="2E1F2D74"/>
    <w:rsid w:val="2E24038A"/>
    <w:rsid w:val="2E2B796A"/>
    <w:rsid w:val="2E2D4CFC"/>
    <w:rsid w:val="2E680966"/>
    <w:rsid w:val="2E6A779E"/>
    <w:rsid w:val="2E821554"/>
    <w:rsid w:val="2E864BA1"/>
    <w:rsid w:val="2E920764"/>
    <w:rsid w:val="2E94639A"/>
    <w:rsid w:val="2E9574DA"/>
    <w:rsid w:val="2EA3668F"/>
    <w:rsid w:val="2EA80FBB"/>
    <w:rsid w:val="2EAB3BE5"/>
    <w:rsid w:val="2EB44A81"/>
    <w:rsid w:val="2EEE2746"/>
    <w:rsid w:val="2EFC519F"/>
    <w:rsid w:val="2F057782"/>
    <w:rsid w:val="2F0B779C"/>
    <w:rsid w:val="2F191CD3"/>
    <w:rsid w:val="2F214357"/>
    <w:rsid w:val="2F280ABE"/>
    <w:rsid w:val="2F285C58"/>
    <w:rsid w:val="2F436F36"/>
    <w:rsid w:val="2F5729E1"/>
    <w:rsid w:val="2F5C1C63"/>
    <w:rsid w:val="2F5D191E"/>
    <w:rsid w:val="2F6D5D61"/>
    <w:rsid w:val="2F7470EF"/>
    <w:rsid w:val="2F7E0A77"/>
    <w:rsid w:val="2F84677E"/>
    <w:rsid w:val="2F9257C7"/>
    <w:rsid w:val="2FA52D91"/>
    <w:rsid w:val="2FAD08B5"/>
    <w:rsid w:val="2FAF4142"/>
    <w:rsid w:val="2FB81F08"/>
    <w:rsid w:val="2FD07DA3"/>
    <w:rsid w:val="2FE50B6D"/>
    <w:rsid w:val="2FFF284F"/>
    <w:rsid w:val="30087837"/>
    <w:rsid w:val="301A32E8"/>
    <w:rsid w:val="302909F7"/>
    <w:rsid w:val="30394541"/>
    <w:rsid w:val="3039569D"/>
    <w:rsid w:val="305F38FB"/>
    <w:rsid w:val="3068478D"/>
    <w:rsid w:val="307B4D1C"/>
    <w:rsid w:val="3081343B"/>
    <w:rsid w:val="3083077D"/>
    <w:rsid w:val="309E3EA8"/>
    <w:rsid w:val="30A158EA"/>
    <w:rsid w:val="30A21A3A"/>
    <w:rsid w:val="30AB4D93"/>
    <w:rsid w:val="30B622A4"/>
    <w:rsid w:val="30D50061"/>
    <w:rsid w:val="30D836AE"/>
    <w:rsid w:val="30E958BB"/>
    <w:rsid w:val="30F04CE7"/>
    <w:rsid w:val="30FA066E"/>
    <w:rsid w:val="30FF50DE"/>
    <w:rsid w:val="3121731A"/>
    <w:rsid w:val="312560D9"/>
    <w:rsid w:val="31260743"/>
    <w:rsid w:val="3126182E"/>
    <w:rsid w:val="312945FA"/>
    <w:rsid w:val="312B7C81"/>
    <w:rsid w:val="31322DBE"/>
    <w:rsid w:val="314B0FFF"/>
    <w:rsid w:val="315A2C98"/>
    <w:rsid w:val="315C608D"/>
    <w:rsid w:val="316867E0"/>
    <w:rsid w:val="316D029A"/>
    <w:rsid w:val="316E7A4B"/>
    <w:rsid w:val="31886E82"/>
    <w:rsid w:val="319B5AF3"/>
    <w:rsid w:val="31C11945"/>
    <w:rsid w:val="31C12394"/>
    <w:rsid w:val="31DD67C8"/>
    <w:rsid w:val="31DE1E93"/>
    <w:rsid w:val="31F21F65"/>
    <w:rsid w:val="31F4634A"/>
    <w:rsid w:val="320048E8"/>
    <w:rsid w:val="32004C6A"/>
    <w:rsid w:val="32026C34"/>
    <w:rsid w:val="32036508"/>
    <w:rsid w:val="320B4800"/>
    <w:rsid w:val="32187CB3"/>
    <w:rsid w:val="321F4F3F"/>
    <w:rsid w:val="322070BA"/>
    <w:rsid w:val="322A1CE7"/>
    <w:rsid w:val="324709F1"/>
    <w:rsid w:val="324A7215"/>
    <w:rsid w:val="32580F24"/>
    <w:rsid w:val="32611FAF"/>
    <w:rsid w:val="32780CA4"/>
    <w:rsid w:val="328474F6"/>
    <w:rsid w:val="328C4750"/>
    <w:rsid w:val="32B207F0"/>
    <w:rsid w:val="32C15336"/>
    <w:rsid w:val="32C22B92"/>
    <w:rsid w:val="32C97752"/>
    <w:rsid w:val="32D06D32"/>
    <w:rsid w:val="32D344CA"/>
    <w:rsid w:val="32F13042"/>
    <w:rsid w:val="32F63ADD"/>
    <w:rsid w:val="3301564D"/>
    <w:rsid w:val="330615EA"/>
    <w:rsid w:val="3307229A"/>
    <w:rsid w:val="33127DF9"/>
    <w:rsid w:val="331E617E"/>
    <w:rsid w:val="332826CA"/>
    <w:rsid w:val="333170A5"/>
    <w:rsid w:val="33335C3E"/>
    <w:rsid w:val="33526F1A"/>
    <w:rsid w:val="33581B1C"/>
    <w:rsid w:val="3359561A"/>
    <w:rsid w:val="335E6723"/>
    <w:rsid w:val="336F63C6"/>
    <w:rsid w:val="33745084"/>
    <w:rsid w:val="337F3156"/>
    <w:rsid w:val="33833DA5"/>
    <w:rsid w:val="33835B53"/>
    <w:rsid w:val="33961E92"/>
    <w:rsid w:val="33977251"/>
    <w:rsid w:val="33B73A4E"/>
    <w:rsid w:val="33C74BEC"/>
    <w:rsid w:val="33CD70D4"/>
    <w:rsid w:val="34100F32"/>
    <w:rsid w:val="34105EF7"/>
    <w:rsid w:val="34167714"/>
    <w:rsid w:val="34362BC5"/>
    <w:rsid w:val="34390DE3"/>
    <w:rsid w:val="34694CC7"/>
    <w:rsid w:val="346F5140"/>
    <w:rsid w:val="34924F08"/>
    <w:rsid w:val="34945B3E"/>
    <w:rsid w:val="34AD7A7E"/>
    <w:rsid w:val="34B5753F"/>
    <w:rsid w:val="34B87A7E"/>
    <w:rsid w:val="34D74382"/>
    <w:rsid w:val="34E64A38"/>
    <w:rsid w:val="34E846A5"/>
    <w:rsid w:val="34EC6639"/>
    <w:rsid w:val="350F47CC"/>
    <w:rsid w:val="352069FD"/>
    <w:rsid w:val="352073D1"/>
    <w:rsid w:val="3522139B"/>
    <w:rsid w:val="352B0250"/>
    <w:rsid w:val="352E544D"/>
    <w:rsid w:val="35371508"/>
    <w:rsid w:val="353D23F7"/>
    <w:rsid w:val="35472BB0"/>
    <w:rsid w:val="3548572F"/>
    <w:rsid w:val="35622C84"/>
    <w:rsid w:val="356D4154"/>
    <w:rsid w:val="357C67B0"/>
    <w:rsid w:val="3595179C"/>
    <w:rsid w:val="35A3072E"/>
    <w:rsid w:val="35DC59EE"/>
    <w:rsid w:val="3600792F"/>
    <w:rsid w:val="360A4309"/>
    <w:rsid w:val="3615309C"/>
    <w:rsid w:val="36154A5C"/>
    <w:rsid w:val="36227F1C"/>
    <w:rsid w:val="362C24D2"/>
    <w:rsid w:val="364B1913"/>
    <w:rsid w:val="36533F02"/>
    <w:rsid w:val="366854D4"/>
    <w:rsid w:val="366F5943"/>
    <w:rsid w:val="368D2EC4"/>
    <w:rsid w:val="368F0563"/>
    <w:rsid w:val="368F2A60"/>
    <w:rsid w:val="36992F8C"/>
    <w:rsid w:val="36B1051E"/>
    <w:rsid w:val="36B81FB7"/>
    <w:rsid w:val="36BA1C6E"/>
    <w:rsid w:val="36CC15BF"/>
    <w:rsid w:val="36DB5CA6"/>
    <w:rsid w:val="36DD7BA6"/>
    <w:rsid w:val="36E00C6E"/>
    <w:rsid w:val="36E36908"/>
    <w:rsid w:val="370F10CC"/>
    <w:rsid w:val="37293AE2"/>
    <w:rsid w:val="373B04F2"/>
    <w:rsid w:val="374C1861"/>
    <w:rsid w:val="374D1EF4"/>
    <w:rsid w:val="376945F1"/>
    <w:rsid w:val="378A59C1"/>
    <w:rsid w:val="378D51F2"/>
    <w:rsid w:val="379522F8"/>
    <w:rsid w:val="37977E1F"/>
    <w:rsid w:val="37985945"/>
    <w:rsid w:val="37985D7C"/>
    <w:rsid w:val="37BF4E01"/>
    <w:rsid w:val="37C16C75"/>
    <w:rsid w:val="37CE39F1"/>
    <w:rsid w:val="37D270A9"/>
    <w:rsid w:val="37D41FB7"/>
    <w:rsid w:val="37D55821"/>
    <w:rsid w:val="37EA12D3"/>
    <w:rsid w:val="37EA7630"/>
    <w:rsid w:val="380157D9"/>
    <w:rsid w:val="38091BB6"/>
    <w:rsid w:val="380A7C58"/>
    <w:rsid w:val="38206066"/>
    <w:rsid w:val="38207E14"/>
    <w:rsid w:val="382610C1"/>
    <w:rsid w:val="382C4A0B"/>
    <w:rsid w:val="38305865"/>
    <w:rsid w:val="383264BD"/>
    <w:rsid w:val="384855BD"/>
    <w:rsid w:val="384A30E3"/>
    <w:rsid w:val="38517536"/>
    <w:rsid w:val="38520411"/>
    <w:rsid w:val="385264CE"/>
    <w:rsid w:val="387C6968"/>
    <w:rsid w:val="388303A3"/>
    <w:rsid w:val="388C7258"/>
    <w:rsid w:val="389F59B5"/>
    <w:rsid w:val="38A670C4"/>
    <w:rsid w:val="38B15DB7"/>
    <w:rsid w:val="38B40A9C"/>
    <w:rsid w:val="38B44A00"/>
    <w:rsid w:val="38C56EA1"/>
    <w:rsid w:val="38C95B2C"/>
    <w:rsid w:val="38C95C41"/>
    <w:rsid w:val="38C9634C"/>
    <w:rsid w:val="38DB1F8D"/>
    <w:rsid w:val="38E41B15"/>
    <w:rsid w:val="38F37B51"/>
    <w:rsid w:val="38F43DB0"/>
    <w:rsid w:val="39056C47"/>
    <w:rsid w:val="39141FA8"/>
    <w:rsid w:val="391D07F7"/>
    <w:rsid w:val="393E5ADF"/>
    <w:rsid w:val="39400042"/>
    <w:rsid w:val="39477862"/>
    <w:rsid w:val="39504114"/>
    <w:rsid w:val="395A2507"/>
    <w:rsid w:val="395A4E5E"/>
    <w:rsid w:val="396C4A31"/>
    <w:rsid w:val="396C4B5A"/>
    <w:rsid w:val="39736669"/>
    <w:rsid w:val="398B750F"/>
    <w:rsid w:val="398D2482"/>
    <w:rsid w:val="39A06131"/>
    <w:rsid w:val="39C83979"/>
    <w:rsid w:val="39D63200"/>
    <w:rsid w:val="39E6440A"/>
    <w:rsid w:val="39ED01CA"/>
    <w:rsid w:val="39F53A1D"/>
    <w:rsid w:val="3A1A7739"/>
    <w:rsid w:val="3A2754E1"/>
    <w:rsid w:val="3A325397"/>
    <w:rsid w:val="3A500759"/>
    <w:rsid w:val="3A577D17"/>
    <w:rsid w:val="3A5970F7"/>
    <w:rsid w:val="3A76582E"/>
    <w:rsid w:val="3A791A5E"/>
    <w:rsid w:val="3A7D77A0"/>
    <w:rsid w:val="3A81766A"/>
    <w:rsid w:val="3A845FD1"/>
    <w:rsid w:val="3A886669"/>
    <w:rsid w:val="3A891983"/>
    <w:rsid w:val="3AA52853"/>
    <w:rsid w:val="3AA54601"/>
    <w:rsid w:val="3AAA1C17"/>
    <w:rsid w:val="3AB47880"/>
    <w:rsid w:val="3AB93A06"/>
    <w:rsid w:val="3AC151B3"/>
    <w:rsid w:val="3AC32CD9"/>
    <w:rsid w:val="3AEC222F"/>
    <w:rsid w:val="3AF5295D"/>
    <w:rsid w:val="3B0A4407"/>
    <w:rsid w:val="3B10547C"/>
    <w:rsid w:val="3B221DD2"/>
    <w:rsid w:val="3B295A3F"/>
    <w:rsid w:val="3B3C11B9"/>
    <w:rsid w:val="3B457B92"/>
    <w:rsid w:val="3B6839EC"/>
    <w:rsid w:val="3B6E32D5"/>
    <w:rsid w:val="3B8B3A2A"/>
    <w:rsid w:val="3B9D79CE"/>
    <w:rsid w:val="3BB926CE"/>
    <w:rsid w:val="3BBD452E"/>
    <w:rsid w:val="3BC35012"/>
    <w:rsid w:val="3BC74A4B"/>
    <w:rsid w:val="3BD956B7"/>
    <w:rsid w:val="3BE66040"/>
    <w:rsid w:val="3BF137F2"/>
    <w:rsid w:val="3C0320E2"/>
    <w:rsid w:val="3C145EE2"/>
    <w:rsid w:val="3C190160"/>
    <w:rsid w:val="3C1D6D23"/>
    <w:rsid w:val="3C2E1DA2"/>
    <w:rsid w:val="3C447D8C"/>
    <w:rsid w:val="3C4E2A76"/>
    <w:rsid w:val="3C4F7720"/>
    <w:rsid w:val="3C6504EB"/>
    <w:rsid w:val="3C690B6C"/>
    <w:rsid w:val="3C7B66FC"/>
    <w:rsid w:val="3C814BF9"/>
    <w:rsid w:val="3C8B4542"/>
    <w:rsid w:val="3C90308E"/>
    <w:rsid w:val="3CC02CF3"/>
    <w:rsid w:val="3CC91AC2"/>
    <w:rsid w:val="3CC96E57"/>
    <w:rsid w:val="3CCD6091"/>
    <w:rsid w:val="3CCE4150"/>
    <w:rsid w:val="3CE533DA"/>
    <w:rsid w:val="3CFE624A"/>
    <w:rsid w:val="3D197A98"/>
    <w:rsid w:val="3D2648D3"/>
    <w:rsid w:val="3D290B19"/>
    <w:rsid w:val="3D2E4D81"/>
    <w:rsid w:val="3D4247F0"/>
    <w:rsid w:val="3D537EA1"/>
    <w:rsid w:val="3D557A4C"/>
    <w:rsid w:val="3D7636A8"/>
    <w:rsid w:val="3D7657CC"/>
    <w:rsid w:val="3D776425"/>
    <w:rsid w:val="3D7A16C5"/>
    <w:rsid w:val="3D804DF6"/>
    <w:rsid w:val="3DB434DE"/>
    <w:rsid w:val="3DBC2F02"/>
    <w:rsid w:val="3DBF00CF"/>
    <w:rsid w:val="3DC237B7"/>
    <w:rsid w:val="3DD82B81"/>
    <w:rsid w:val="3DE37154"/>
    <w:rsid w:val="3E020852"/>
    <w:rsid w:val="3E174EC3"/>
    <w:rsid w:val="3E175815"/>
    <w:rsid w:val="3E186E8C"/>
    <w:rsid w:val="3E393D12"/>
    <w:rsid w:val="3E5537F5"/>
    <w:rsid w:val="3E596376"/>
    <w:rsid w:val="3E5C270D"/>
    <w:rsid w:val="3E6C3E83"/>
    <w:rsid w:val="3E6F2431"/>
    <w:rsid w:val="3E704F26"/>
    <w:rsid w:val="3E8260FE"/>
    <w:rsid w:val="3E895FE7"/>
    <w:rsid w:val="3E907BE2"/>
    <w:rsid w:val="3E974BA8"/>
    <w:rsid w:val="3EA6303D"/>
    <w:rsid w:val="3EB5502E"/>
    <w:rsid w:val="3EB56DDC"/>
    <w:rsid w:val="3EB66E3F"/>
    <w:rsid w:val="3EC26DC0"/>
    <w:rsid w:val="3EC60FE9"/>
    <w:rsid w:val="3ED92ACB"/>
    <w:rsid w:val="3EE651E8"/>
    <w:rsid w:val="3F095976"/>
    <w:rsid w:val="3F0B6385"/>
    <w:rsid w:val="3F184C9E"/>
    <w:rsid w:val="3F3E27DE"/>
    <w:rsid w:val="3F5B48B8"/>
    <w:rsid w:val="3F5F68C0"/>
    <w:rsid w:val="3F763A08"/>
    <w:rsid w:val="3F7A063E"/>
    <w:rsid w:val="3F7F09E5"/>
    <w:rsid w:val="3F80388E"/>
    <w:rsid w:val="3FAC6431"/>
    <w:rsid w:val="3FAF7CCF"/>
    <w:rsid w:val="3FB711FC"/>
    <w:rsid w:val="3FCE45FA"/>
    <w:rsid w:val="3FDA312B"/>
    <w:rsid w:val="3FDD483D"/>
    <w:rsid w:val="3FDE5256"/>
    <w:rsid w:val="3FF52910"/>
    <w:rsid w:val="4001414A"/>
    <w:rsid w:val="400211A6"/>
    <w:rsid w:val="40073822"/>
    <w:rsid w:val="4009291E"/>
    <w:rsid w:val="401E4E97"/>
    <w:rsid w:val="401E5AE1"/>
    <w:rsid w:val="405D597D"/>
    <w:rsid w:val="406F1256"/>
    <w:rsid w:val="40750F19"/>
    <w:rsid w:val="407C4056"/>
    <w:rsid w:val="40A76A18"/>
    <w:rsid w:val="40AD420F"/>
    <w:rsid w:val="40B871CC"/>
    <w:rsid w:val="40CD3A38"/>
    <w:rsid w:val="40F115F5"/>
    <w:rsid w:val="40F14A51"/>
    <w:rsid w:val="41286C0B"/>
    <w:rsid w:val="412C21CF"/>
    <w:rsid w:val="413E5A1F"/>
    <w:rsid w:val="414E3ABF"/>
    <w:rsid w:val="41657329"/>
    <w:rsid w:val="41664102"/>
    <w:rsid w:val="416F5968"/>
    <w:rsid w:val="418764DD"/>
    <w:rsid w:val="41A05B22"/>
    <w:rsid w:val="41A0664C"/>
    <w:rsid w:val="41A84F13"/>
    <w:rsid w:val="41CD45FD"/>
    <w:rsid w:val="41DB4DAC"/>
    <w:rsid w:val="41EB6A9E"/>
    <w:rsid w:val="41F01E86"/>
    <w:rsid w:val="42164036"/>
    <w:rsid w:val="421B164C"/>
    <w:rsid w:val="42283CB5"/>
    <w:rsid w:val="423821FE"/>
    <w:rsid w:val="423A41C8"/>
    <w:rsid w:val="42611755"/>
    <w:rsid w:val="426825A3"/>
    <w:rsid w:val="426D3E38"/>
    <w:rsid w:val="42986CA5"/>
    <w:rsid w:val="42997036"/>
    <w:rsid w:val="42A27E98"/>
    <w:rsid w:val="42BA073C"/>
    <w:rsid w:val="42D448E2"/>
    <w:rsid w:val="42DC29C8"/>
    <w:rsid w:val="42DD6902"/>
    <w:rsid w:val="42E054D6"/>
    <w:rsid w:val="42E1552A"/>
    <w:rsid w:val="42E5574C"/>
    <w:rsid w:val="42F57311"/>
    <w:rsid w:val="43010842"/>
    <w:rsid w:val="4304272C"/>
    <w:rsid w:val="430646B0"/>
    <w:rsid w:val="430A1DED"/>
    <w:rsid w:val="433E55F2"/>
    <w:rsid w:val="434C248F"/>
    <w:rsid w:val="435B2648"/>
    <w:rsid w:val="437D2441"/>
    <w:rsid w:val="43900589"/>
    <w:rsid w:val="43A0005B"/>
    <w:rsid w:val="43A80592"/>
    <w:rsid w:val="43D21F6A"/>
    <w:rsid w:val="43F041A7"/>
    <w:rsid w:val="43FC7B97"/>
    <w:rsid w:val="44043B95"/>
    <w:rsid w:val="44056110"/>
    <w:rsid w:val="440920A4"/>
    <w:rsid w:val="441449F6"/>
    <w:rsid w:val="44173C6A"/>
    <w:rsid w:val="441C329A"/>
    <w:rsid w:val="442567B2"/>
    <w:rsid w:val="4430118F"/>
    <w:rsid w:val="44333030"/>
    <w:rsid w:val="44337121"/>
    <w:rsid w:val="44474B53"/>
    <w:rsid w:val="44644CA6"/>
    <w:rsid w:val="446472DA"/>
    <w:rsid w:val="4478567E"/>
    <w:rsid w:val="447D50E6"/>
    <w:rsid w:val="44883642"/>
    <w:rsid w:val="448E4445"/>
    <w:rsid w:val="4496202F"/>
    <w:rsid w:val="44A92F3F"/>
    <w:rsid w:val="44C10289"/>
    <w:rsid w:val="44D34D39"/>
    <w:rsid w:val="44D90DD0"/>
    <w:rsid w:val="44E64193"/>
    <w:rsid w:val="45147397"/>
    <w:rsid w:val="45223A53"/>
    <w:rsid w:val="45336CAD"/>
    <w:rsid w:val="453E3FCF"/>
    <w:rsid w:val="455C013E"/>
    <w:rsid w:val="456C2B0E"/>
    <w:rsid w:val="45774DEB"/>
    <w:rsid w:val="457D1812"/>
    <w:rsid w:val="459571CE"/>
    <w:rsid w:val="459C4852"/>
    <w:rsid w:val="459D348E"/>
    <w:rsid w:val="45A55DFD"/>
    <w:rsid w:val="45A831F7"/>
    <w:rsid w:val="45A90649"/>
    <w:rsid w:val="45AA52CF"/>
    <w:rsid w:val="45AC15CB"/>
    <w:rsid w:val="45AE6A04"/>
    <w:rsid w:val="45C21865"/>
    <w:rsid w:val="45C51FFB"/>
    <w:rsid w:val="45C5231F"/>
    <w:rsid w:val="45C8407F"/>
    <w:rsid w:val="45D466E2"/>
    <w:rsid w:val="45E22BAD"/>
    <w:rsid w:val="45F35012"/>
    <w:rsid w:val="45FA76C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C158FF"/>
    <w:rsid w:val="46E42955"/>
    <w:rsid w:val="46F81A26"/>
    <w:rsid w:val="46FF32EA"/>
    <w:rsid w:val="4737195B"/>
    <w:rsid w:val="474D22A8"/>
    <w:rsid w:val="475A6773"/>
    <w:rsid w:val="475E6D69"/>
    <w:rsid w:val="476E221E"/>
    <w:rsid w:val="47B42327"/>
    <w:rsid w:val="47C22C96"/>
    <w:rsid w:val="47C50090"/>
    <w:rsid w:val="47D13D59"/>
    <w:rsid w:val="47D604EF"/>
    <w:rsid w:val="47DC6A1F"/>
    <w:rsid w:val="47E35B08"/>
    <w:rsid w:val="47F27E8E"/>
    <w:rsid w:val="4800426E"/>
    <w:rsid w:val="48054B47"/>
    <w:rsid w:val="48092B19"/>
    <w:rsid w:val="480C16A5"/>
    <w:rsid w:val="480D334D"/>
    <w:rsid w:val="481D504E"/>
    <w:rsid w:val="481E1E96"/>
    <w:rsid w:val="48277B6C"/>
    <w:rsid w:val="482A6280"/>
    <w:rsid w:val="4832262B"/>
    <w:rsid w:val="48533B2A"/>
    <w:rsid w:val="485C5A77"/>
    <w:rsid w:val="485E2293"/>
    <w:rsid w:val="486A50DB"/>
    <w:rsid w:val="486F44A0"/>
    <w:rsid w:val="4872330D"/>
    <w:rsid w:val="48791DFD"/>
    <w:rsid w:val="488937B4"/>
    <w:rsid w:val="48972CE4"/>
    <w:rsid w:val="4898467D"/>
    <w:rsid w:val="4899619E"/>
    <w:rsid w:val="48A4239B"/>
    <w:rsid w:val="48A453A1"/>
    <w:rsid w:val="48BC6013"/>
    <w:rsid w:val="48C04CFB"/>
    <w:rsid w:val="48C6614D"/>
    <w:rsid w:val="48C77E38"/>
    <w:rsid w:val="48D0052D"/>
    <w:rsid w:val="48D80297"/>
    <w:rsid w:val="48EA7DE0"/>
    <w:rsid w:val="48EC3D42"/>
    <w:rsid w:val="48F13107"/>
    <w:rsid w:val="49024EDB"/>
    <w:rsid w:val="4907292A"/>
    <w:rsid w:val="490C1CEF"/>
    <w:rsid w:val="49121450"/>
    <w:rsid w:val="49247038"/>
    <w:rsid w:val="4946664C"/>
    <w:rsid w:val="4955275C"/>
    <w:rsid w:val="4957242E"/>
    <w:rsid w:val="49702445"/>
    <w:rsid w:val="49804BB7"/>
    <w:rsid w:val="499042A4"/>
    <w:rsid w:val="499C1713"/>
    <w:rsid w:val="49A40179"/>
    <w:rsid w:val="49A55559"/>
    <w:rsid w:val="49AD1724"/>
    <w:rsid w:val="49B12A65"/>
    <w:rsid w:val="49B537D7"/>
    <w:rsid w:val="49BE56DF"/>
    <w:rsid w:val="49D12904"/>
    <w:rsid w:val="49E05655"/>
    <w:rsid w:val="49E5489D"/>
    <w:rsid w:val="49F42EAF"/>
    <w:rsid w:val="49F81187"/>
    <w:rsid w:val="49F82CCF"/>
    <w:rsid w:val="4A024AD0"/>
    <w:rsid w:val="4A027B4B"/>
    <w:rsid w:val="4A041AC3"/>
    <w:rsid w:val="4A064990"/>
    <w:rsid w:val="4A1B043B"/>
    <w:rsid w:val="4A1D068B"/>
    <w:rsid w:val="4A37734B"/>
    <w:rsid w:val="4A3D5FAF"/>
    <w:rsid w:val="4A437992"/>
    <w:rsid w:val="4A4617EA"/>
    <w:rsid w:val="4A52208C"/>
    <w:rsid w:val="4A5E0944"/>
    <w:rsid w:val="4A6610AA"/>
    <w:rsid w:val="4A6A56E8"/>
    <w:rsid w:val="4A7047A0"/>
    <w:rsid w:val="4A82670C"/>
    <w:rsid w:val="4A8B6BD3"/>
    <w:rsid w:val="4A8D015B"/>
    <w:rsid w:val="4A8E7695"/>
    <w:rsid w:val="4AA87194"/>
    <w:rsid w:val="4AAE5599"/>
    <w:rsid w:val="4AC26B09"/>
    <w:rsid w:val="4AC33923"/>
    <w:rsid w:val="4AD650FF"/>
    <w:rsid w:val="4AF06848"/>
    <w:rsid w:val="4AFE3C4A"/>
    <w:rsid w:val="4AFF1B0B"/>
    <w:rsid w:val="4B0435C5"/>
    <w:rsid w:val="4B0F243F"/>
    <w:rsid w:val="4B1A6945"/>
    <w:rsid w:val="4B272E10"/>
    <w:rsid w:val="4B297B9D"/>
    <w:rsid w:val="4B3C629B"/>
    <w:rsid w:val="4B3F0159"/>
    <w:rsid w:val="4B4664F9"/>
    <w:rsid w:val="4B4D2A30"/>
    <w:rsid w:val="4B5647FB"/>
    <w:rsid w:val="4B5D5902"/>
    <w:rsid w:val="4B7178C7"/>
    <w:rsid w:val="4BA426B2"/>
    <w:rsid w:val="4BB06DB8"/>
    <w:rsid w:val="4BD21C8F"/>
    <w:rsid w:val="4BDD2320"/>
    <w:rsid w:val="4BE13907"/>
    <w:rsid w:val="4C082C41"/>
    <w:rsid w:val="4C1235D5"/>
    <w:rsid w:val="4C2B6874"/>
    <w:rsid w:val="4C371778"/>
    <w:rsid w:val="4C393489"/>
    <w:rsid w:val="4C395188"/>
    <w:rsid w:val="4C800A2A"/>
    <w:rsid w:val="4C8C5C16"/>
    <w:rsid w:val="4C8E75EA"/>
    <w:rsid w:val="4CA07B96"/>
    <w:rsid w:val="4CA673C8"/>
    <w:rsid w:val="4CB3047F"/>
    <w:rsid w:val="4CB6269D"/>
    <w:rsid w:val="4CB725E4"/>
    <w:rsid w:val="4CBF063E"/>
    <w:rsid w:val="4CC24B4C"/>
    <w:rsid w:val="4CC55DC1"/>
    <w:rsid w:val="4CDB43D7"/>
    <w:rsid w:val="4CEF5BAF"/>
    <w:rsid w:val="4CF552D0"/>
    <w:rsid w:val="4D0E5E48"/>
    <w:rsid w:val="4D0F1A08"/>
    <w:rsid w:val="4D1902BE"/>
    <w:rsid w:val="4D211F36"/>
    <w:rsid w:val="4D5F0F87"/>
    <w:rsid w:val="4D5F4AE3"/>
    <w:rsid w:val="4D6046FD"/>
    <w:rsid w:val="4D621A78"/>
    <w:rsid w:val="4D682977"/>
    <w:rsid w:val="4D7C38E7"/>
    <w:rsid w:val="4D7D31BB"/>
    <w:rsid w:val="4D80363C"/>
    <w:rsid w:val="4D814C58"/>
    <w:rsid w:val="4D93478D"/>
    <w:rsid w:val="4DA15FEB"/>
    <w:rsid w:val="4DAE0BF8"/>
    <w:rsid w:val="4DB52955"/>
    <w:rsid w:val="4DB93431"/>
    <w:rsid w:val="4DBE3A6B"/>
    <w:rsid w:val="4DBF546E"/>
    <w:rsid w:val="4DC86B2C"/>
    <w:rsid w:val="4DDC2846"/>
    <w:rsid w:val="4DE208AD"/>
    <w:rsid w:val="4DE47B18"/>
    <w:rsid w:val="4E050499"/>
    <w:rsid w:val="4E1F4272"/>
    <w:rsid w:val="4E2B1AB9"/>
    <w:rsid w:val="4E2B220B"/>
    <w:rsid w:val="4E2B2C17"/>
    <w:rsid w:val="4E3A5C50"/>
    <w:rsid w:val="4E541801"/>
    <w:rsid w:val="4E5647C4"/>
    <w:rsid w:val="4E7520E4"/>
    <w:rsid w:val="4E767DBA"/>
    <w:rsid w:val="4E7C1DD9"/>
    <w:rsid w:val="4E833AC8"/>
    <w:rsid w:val="4E8B4257"/>
    <w:rsid w:val="4E8D3A20"/>
    <w:rsid w:val="4EA56E6D"/>
    <w:rsid w:val="4EBE1CDD"/>
    <w:rsid w:val="4EDC4384"/>
    <w:rsid w:val="4EE80B08"/>
    <w:rsid w:val="4F0E056F"/>
    <w:rsid w:val="4F121149"/>
    <w:rsid w:val="4F1A33B7"/>
    <w:rsid w:val="4F1F62D3"/>
    <w:rsid w:val="4F280EFC"/>
    <w:rsid w:val="4F3766C0"/>
    <w:rsid w:val="4F3855EC"/>
    <w:rsid w:val="4F6A4947"/>
    <w:rsid w:val="4F762878"/>
    <w:rsid w:val="4F8545A9"/>
    <w:rsid w:val="4FAF008D"/>
    <w:rsid w:val="4FD3569C"/>
    <w:rsid w:val="4FE237A9"/>
    <w:rsid w:val="4FF05EC6"/>
    <w:rsid w:val="4FF43C08"/>
    <w:rsid w:val="50074E64"/>
    <w:rsid w:val="50171910"/>
    <w:rsid w:val="501868DB"/>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90AA2"/>
    <w:rsid w:val="50A0135B"/>
    <w:rsid w:val="50A76ECD"/>
    <w:rsid w:val="50AD2009"/>
    <w:rsid w:val="50B415EA"/>
    <w:rsid w:val="50B82E88"/>
    <w:rsid w:val="50C61849"/>
    <w:rsid w:val="50E55AD0"/>
    <w:rsid w:val="50EE14B8"/>
    <w:rsid w:val="50FC5734"/>
    <w:rsid w:val="50FD2F03"/>
    <w:rsid w:val="510036E0"/>
    <w:rsid w:val="51114346"/>
    <w:rsid w:val="512435DF"/>
    <w:rsid w:val="51363DAD"/>
    <w:rsid w:val="51385D77"/>
    <w:rsid w:val="513B12E8"/>
    <w:rsid w:val="513B7D84"/>
    <w:rsid w:val="513E5DB7"/>
    <w:rsid w:val="514970FF"/>
    <w:rsid w:val="514C4262"/>
    <w:rsid w:val="51597A9B"/>
    <w:rsid w:val="515B3813"/>
    <w:rsid w:val="515C37AD"/>
    <w:rsid w:val="517370FA"/>
    <w:rsid w:val="517F39A6"/>
    <w:rsid w:val="519B4246"/>
    <w:rsid w:val="51A46A39"/>
    <w:rsid w:val="51A60F32"/>
    <w:rsid w:val="51A61731"/>
    <w:rsid w:val="51B478FB"/>
    <w:rsid w:val="51B80C66"/>
    <w:rsid w:val="51BC0DF9"/>
    <w:rsid w:val="51C70CD9"/>
    <w:rsid w:val="51C71567"/>
    <w:rsid w:val="51D43382"/>
    <w:rsid w:val="51F32D2F"/>
    <w:rsid w:val="520619D1"/>
    <w:rsid w:val="520F675D"/>
    <w:rsid w:val="52190392"/>
    <w:rsid w:val="521D7822"/>
    <w:rsid w:val="5221320C"/>
    <w:rsid w:val="522A4101"/>
    <w:rsid w:val="52314DA8"/>
    <w:rsid w:val="525210BA"/>
    <w:rsid w:val="52581161"/>
    <w:rsid w:val="526A75F6"/>
    <w:rsid w:val="528C0A30"/>
    <w:rsid w:val="529C2335"/>
    <w:rsid w:val="52A8613B"/>
    <w:rsid w:val="52AF3E17"/>
    <w:rsid w:val="52B70F1D"/>
    <w:rsid w:val="52D304D8"/>
    <w:rsid w:val="52E017FB"/>
    <w:rsid w:val="52E21245"/>
    <w:rsid w:val="52E31CBD"/>
    <w:rsid w:val="530C1269"/>
    <w:rsid w:val="53195734"/>
    <w:rsid w:val="531D3476"/>
    <w:rsid w:val="532402BD"/>
    <w:rsid w:val="534053B7"/>
    <w:rsid w:val="53456FF5"/>
    <w:rsid w:val="535248BD"/>
    <w:rsid w:val="536270DB"/>
    <w:rsid w:val="537C0582"/>
    <w:rsid w:val="537C25E6"/>
    <w:rsid w:val="538A03E0"/>
    <w:rsid w:val="539250E9"/>
    <w:rsid w:val="539354E6"/>
    <w:rsid w:val="53A427AD"/>
    <w:rsid w:val="53A70F92"/>
    <w:rsid w:val="53A73534"/>
    <w:rsid w:val="53AF76C1"/>
    <w:rsid w:val="53B10062"/>
    <w:rsid w:val="53B8613A"/>
    <w:rsid w:val="53CC553D"/>
    <w:rsid w:val="53D31D87"/>
    <w:rsid w:val="53E7363B"/>
    <w:rsid w:val="53E83F0F"/>
    <w:rsid w:val="53EF1BEB"/>
    <w:rsid w:val="53F8133D"/>
    <w:rsid w:val="53F817ED"/>
    <w:rsid w:val="53FE77D2"/>
    <w:rsid w:val="53FF6BD1"/>
    <w:rsid w:val="541303D5"/>
    <w:rsid w:val="541A5C08"/>
    <w:rsid w:val="542A209B"/>
    <w:rsid w:val="542E7C0A"/>
    <w:rsid w:val="543919EF"/>
    <w:rsid w:val="54510FD0"/>
    <w:rsid w:val="545509EE"/>
    <w:rsid w:val="545A24A8"/>
    <w:rsid w:val="546D4523"/>
    <w:rsid w:val="548209E1"/>
    <w:rsid w:val="5484610D"/>
    <w:rsid w:val="54931516"/>
    <w:rsid w:val="5495703C"/>
    <w:rsid w:val="54996A24"/>
    <w:rsid w:val="54AA08FB"/>
    <w:rsid w:val="54AC5037"/>
    <w:rsid w:val="54B073EA"/>
    <w:rsid w:val="54C17A9E"/>
    <w:rsid w:val="54E6462A"/>
    <w:rsid w:val="55156C76"/>
    <w:rsid w:val="5516017D"/>
    <w:rsid w:val="551B6A8A"/>
    <w:rsid w:val="551F5FF9"/>
    <w:rsid w:val="55251519"/>
    <w:rsid w:val="552A7206"/>
    <w:rsid w:val="552B3A2E"/>
    <w:rsid w:val="552D3719"/>
    <w:rsid w:val="552F2E43"/>
    <w:rsid w:val="55474AC2"/>
    <w:rsid w:val="554A42CB"/>
    <w:rsid w:val="555111B5"/>
    <w:rsid w:val="55597061"/>
    <w:rsid w:val="555D47C4"/>
    <w:rsid w:val="556279A7"/>
    <w:rsid w:val="556709D9"/>
    <w:rsid w:val="556F1F83"/>
    <w:rsid w:val="558A0B6B"/>
    <w:rsid w:val="558E2409"/>
    <w:rsid w:val="55A57753"/>
    <w:rsid w:val="55A74D1E"/>
    <w:rsid w:val="55AC0AE1"/>
    <w:rsid w:val="55E71B19"/>
    <w:rsid w:val="55F34962"/>
    <w:rsid w:val="560E1BDD"/>
    <w:rsid w:val="560F79F9"/>
    <w:rsid w:val="5634617F"/>
    <w:rsid w:val="5637484F"/>
    <w:rsid w:val="564451BE"/>
    <w:rsid w:val="56567EED"/>
    <w:rsid w:val="567B1F36"/>
    <w:rsid w:val="568630E0"/>
    <w:rsid w:val="56A24C1D"/>
    <w:rsid w:val="56AE7C5A"/>
    <w:rsid w:val="56AF6ADB"/>
    <w:rsid w:val="56C7351C"/>
    <w:rsid w:val="56D1541C"/>
    <w:rsid w:val="56E725FE"/>
    <w:rsid w:val="56E9366F"/>
    <w:rsid w:val="56ED315F"/>
    <w:rsid w:val="56FE536D"/>
    <w:rsid w:val="57001308"/>
    <w:rsid w:val="570505EF"/>
    <w:rsid w:val="57122BC6"/>
    <w:rsid w:val="57156F80"/>
    <w:rsid w:val="571D1C8F"/>
    <w:rsid w:val="57282500"/>
    <w:rsid w:val="572C1210"/>
    <w:rsid w:val="573214BA"/>
    <w:rsid w:val="573945F7"/>
    <w:rsid w:val="57573528"/>
    <w:rsid w:val="577D1D40"/>
    <w:rsid w:val="57995095"/>
    <w:rsid w:val="57A853BE"/>
    <w:rsid w:val="57BD32EC"/>
    <w:rsid w:val="57CF5A16"/>
    <w:rsid w:val="58037926"/>
    <w:rsid w:val="58076796"/>
    <w:rsid w:val="58156E12"/>
    <w:rsid w:val="581D7A74"/>
    <w:rsid w:val="58242BB1"/>
    <w:rsid w:val="584974E7"/>
    <w:rsid w:val="584B45E2"/>
    <w:rsid w:val="584D6439"/>
    <w:rsid w:val="58516F10"/>
    <w:rsid w:val="585C5AED"/>
    <w:rsid w:val="587358E6"/>
    <w:rsid w:val="587A0A23"/>
    <w:rsid w:val="588C2D0D"/>
    <w:rsid w:val="588F5918"/>
    <w:rsid w:val="5891756F"/>
    <w:rsid w:val="58AB5080"/>
    <w:rsid w:val="58B340A2"/>
    <w:rsid w:val="58BA3515"/>
    <w:rsid w:val="58C72E85"/>
    <w:rsid w:val="58CA425E"/>
    <w:rsid w:val="58D45090"/>
    <w:rsid w:val="58ED5699"/>
    <w:rsid w:val="58EF1411"/>
    <w:rsid w:val="58EF5044"/>
    <w:rsid w:val="58FA1966"/>
    <w:rsid w:val="59072F36"/>
    <w:rsid w:val="59126D4B"/>
    <w:rsid w:val="59401212"/>
    <w:rsid w:val="59496D52"/>
    <w:rsid w:val="595156E4"/>
    <w:rsid w:val="595219A0"/>
    <w:rsid w:val="59567D64"/>
    <w:rsid w:val="59875AED"/>
    <w:rsid w:val="59881257"/>
    <w:rsid w:val="59A321FB"/>
    <w:rsid w:val="59A75869"/>
    <w:rsid w:val="59B14918"/>
    <w:rsid w:val="59B7388A"/>
    <w:rsid w:val="59BB41C6"/>
    <w:rsid w:val="59C83A10"/>
    <w:rsid w:val="59CA59DA"/>
    <w:rsid w:val="59DE60F4"/>
    <w:rsid w:val="59EA6D45"/>
    <w:rsid w:val="59F5520F"/>
    <w:rsid w:val="5A3115B5"/>
    <w:rsid w:val="5A354D3F"/>
    <w:rsid w:val="5A405530"/>
    <w:rsid w:val="5A405C9C"/>
    <w:rsid w:val="5A4237C2"/>
    <w:rsid w:val="5A504131"/>
    <w:rsid w:val="5A6C48E6"/>
    <w:rsid w:val="5A765379"/>
    <w:rsid w:val="5A7D7B9D"/>
    <w:rsid w:val="5A873458"/>
    <w:rsid w:val="5A8D6A64"/>
    <w:rsid w:val="5AB04BD0"/>
    <w:rsid w:val="5AB60511"/>
    <w:rsid w:val="5AC62645"/>
    <w:rsid w:val="5AC81DBA"/>
    <w:rsid w:val="5AD76D0F"/>
    <w:rsid w:val="5AE605F2"/>
    <w:rsid w:val="5AF91B4A"/>
    <w:rsid w:val="5B0349CD"/>
    <w:rsid w:val="5B092532"/>
    <w:rsid w:val="5B184523"/>
    <w:rsid w:val="5B1C3FBE"/>
    <w:rsid w:val="5B5F2152"/>
    <w:rsid w:val="5B6C1376"/>
    <w:rsid w:val="5B776821"/>
    <w:rsid w:val="5B7D530D"/>
    <w:rsid w:val="5B7E2ECD"/>
    <w:rsid w:val="5B832D06"/>
    <w:rsid w:val="5B857E0A"/>
    <w:rsid w:val="5B8A151C"/>
    <w:rsid w:val="5B923001"/>
    <w:rsid w:val="5BA1138A"/>
    <w:rsid w:val="5BA45030"/>
    <w:rsid w:val="5BAF68EB"/>
    <w:rsid w:val="5BAF6C35"/>
    <w:rsid w:val="5BB34E56"/>
    <w:rsid w:val="5BC22E0D"/>
    <w:rsid w:val="5BC621D1"/>
    <w:rsid w:val="5BD7618C"/>
    <w:rsid w:val="5BDC2291"/>
    <w:rsid w:val="5BEF4C4D"/>
    <w:rsid w:val="5C25514A"/>
    <w:rsid w:val="5C451348"/>
    <w:rsid w:val="5C4C0928"/>
    <w:rsid w:val="5C771A17"/>
    <w:rsid w:val="5C78171D"/>
    <w:rsid w:val="5C7878C3"/>
    <w:rsid w:val="5C817C33"/>
    <w:rsid w:val="5C817EC9"/>
    <w:rsid w:val="5C826C8D"/>
    <w:rsid w:val="5C871960"/>
    <w:rsid w:val="5C98591B"/>
    <w:rsid w:val="5C9C4029"/>
    <w:rsid w:val="5C9F3B0E"/>
    <w:rsid w:val="5CAE15E3"/>
    <w:rsid w:val="5CD86429"/>
    <w:rsid w:val="5CE24E21"/>
    <w:rsid w:val="5CF60C9B"/>
    <w:rsid w:val="5D0B52B9"/>
    <w:rsid w:val="5D21414C"/>
    <w:rsid w:val="5D2B2C34"/>
    <w:rsid w:val="5D3513BC"/>
    <w:rsid w:val="5D4F6A60"/>
    <w:rsid w:val="5D5D3DAC"/>
    <w:rsid w:val="5D6F7784"/>
    <w:rsid w:val="5D70252D"/>
    <w:rsid w:val="5D9E3405"/>
    <w:rsid w:val="5D9F2CDA"/>
    <w:rsid w:val="5DBD13F2"/>
    <w:rsid w:val="5DC22783"/>
    <w:rsid w:val="5E242AF0"/>
    <w:rsid w:val="5E2606F1"/>
    <w:rsid w:val="5E59732C"/>
    <w:rsid w:val="5E6A32E8"/>
    <w:rsid w:val="5E91796B"/>
    <w:rsid w:val="5E9B5B97"/>
    <w:rsid w:val="5E9C581B"/>
    <w:rsid w:val="5EA24E14"/>
    <w:rsid w:val="5EB36B9F"/>
    <w:rsid w:val="5EBC58CF"/>
    <w:rsid w:val="5EE412EC"/>
    <w:rsid w:val="5EF555BA"/>
    <w:rsid w:val="5EF676D8"/>
    <w:rsid w:val="5EFC1A9B"/>
    <w:rsid w:val="5F1D5294"/>
    <w:rsid w:val="5F203901"/>
    <w:rsid w:val="5F47472D"/>
    <w:rsid w:val="5F58231A"/>
    <w:rsid w:val="5F7433F4"/>
    <w:rsid w:val="5F881C77"/>
    <w:rsid w:val="5F907DDA"/>
    <w:rsid w:val="5F933D87"/>
    <w:rsid w:val="5FA96735"/>
    <w:rsid w:val="5FAE5B6E"/>
    <w:rsid w:val="5FB23198"/>
    <w:rsid w:val="5FBC0B80"/>
    <w:rsid w:val="5FC92290"/>
    <w:rsid w:val="5FCD1D80"/>
    <w:rsid w:val="5FDB771F"/>
    <w:rsid w:val="5FDE21CA"/>
    <w:rsid w:val="5FDE7907"/>
    <w:rsid w:val="5FE32ACA"/>
    <w:rsid w:val="60195C1E"/>
    <w:rsid w:val="602B6A7E"/>
    <w:rsid w:val="60364FA5"/>
    <w:rsid w:val="6041148D"/>
    <w:rsid w:val="6047227E"/>
    <w:rsid w:val="605C5F30"/>
    <w:rsid w:val="60656F88"/>
    <w:rsid w:val="607E307A"/>
    <w:rsid w:val="60995B4F"/>
    <w:rsid w:val="60A0439F"/>
    <w:rsid w:val="60A56859"/>
    <w:rsid w:val="60B65BF2"/>
    <w:rsid w:val="60C018E5"/>
    <w:rsid w:val="60C0425C"/>
    <w:rsid w:val="60C56E56"/>
    <w:rsid w:val="60CE7110"/>
    <w:rsid w:val="60D27B9F"/>
    <w:rsid w:val="60DA0BF8"/>
    <w:rsid w:val="60FA753E"/>
    <w:rsid w:val="61053016"/>
    <w:rsid w:val="610743DD"/>
    <w:rsid w:val="610D4BDB"/>
    <w:rsid w:val="611F02FF"/>
    <w:rsid w:val="612805C8"/>
    <w:rsid w:val="612F0022"/>
    <w:rsid w:val="612F4895"/>
    <w:rsid w:val="613060DD"/>
    <w:rsid w:val="614E6EF1"/>
    <w:rsid w:val="614F578E"/>
    <w:rsid w:val="615A25EA"/>
    <w:rsid w:val="617A7CE6"/>
    <w:rsid w:val="61826037"/>
    <w:rsid w:val="618A2BE6"/>
    <w:rsid w:val="618A752F"/>
    <w:rsid w:val="618D7A19"/>
    <w:rsid w:val="61930DA7"/>
    <w:rsid w:val="61A42FB4"/>
    <w:rsid w:val="61A84853"/>
    <w:rsid w:val="61C827FF"/>
    <w:rsid w:val="61C86CA3"/>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9D1EDE"/>
    <w:rsid w:val="62A13F4D"/>
    <w:rsid w:val="62A26350"/>
    <w:rsid w:val="62A413EC"/>
    <w:rsid w:val="62A70AFA"/>
    <w:rsid w:val="62AC5DA2"/>
    <w:rsid w:val="62BC3D31"/>
    <w:rsid w:val="62C531E2"/>
    <w:rsid w:val="62E03F3A"/>
    <w:rsid w:val="62FB4E56"/>
    <w:rsid w:val="63051831"/>
    <w:rsid w:val="63106792"/>
    <w:rsid w:val="631D37AF"/>
    <w:rsid w:val="631F6D97"/>
    <w:rsid w:val="63310878"/>
    <w:rsid w:val="633640E0"/>
    <w:rsid w:val="635C1C28"/>
    <w:rsid w:val="636465DA"/>
    <w:rsid w:val="637810A4"/>
    <w:rsid w:val="63892462"/>
    <w:rsid w:val="639826A5"/>
    <w:rsid w:val="63C42462"/>
    <w:rsid w:val="63C9581B"/>
    <w:rsid w:val="63E36016"/>
    <w:rsid w:val="63E43B3C"/>
    <w:rsid w:val="63F27C99"/>
    <w:rsid w:val="64033FC2"/>
    <w:rsid w:val="640404F9"/>
    <w:rsid w:val="640A74EF"/>
    <w:rsid w:val="641206A9"/>
    <w:rsid w:val="64175CC0"/>
    <w:rsid w:val="64255448"/>
    <w:rsid w:val="64265F03"/>
    <w:rsid w:val="64335EAD"/>
    <w:rsid w:val="643412E7"/>
    <w:rsid w:val="643E149E"/>
    <w:rsid w:val="644665A5"/>
    <w:rsid w:val="645111D2"/>
    <w:rsid w:val="645F5323"/>
    <w:rsid w:val="646E2CE8"/>
    <w:rsid w:val="64913E20"/>
    <w:rsid w:val="64925346"/>
    <w:rsid w:val="64994927"/>
    <w:rsid w:val="64A1271F"/>
    <w:rsid w:val="64AA6B34"/>
    <w:rsid w:val="64AC5A8E"/>
    <w:rsid w:val="64AC6408"/>
    <w:rsid w:val="64B33C3A"/>
    <w:rsid w:val="64B74DAD"/>
    <w:rsid w:val="64B90194"/>
    <w:rsid w:val="64D836A1"/>
    <w:rsid w:val="65035466"/>
    <w:rsid w:val="65144B4F"/>
    <w:rsid w:val="652B5B6A"/>
    <w:rsid w:val="653A3FD7"/>
    <w:rsid w:val="65452D0E"/>
    <w:rsid w:val="65582E79"/>
    <w:rsid w:val="657D1F2D"/>
    <w:rsid w:val="657E4F50"/>
    <w:rsid w:val="658605EC"/>
    <w:rsid w:val="659550EE"/>
    <w:rsid w:val="65B93F70"/>
    <w:rsid w:val="65BB267B"/>
    <w:rsid w:val="65BD1D4A"/>
    <w:rsid w:val="65C3753A"/>
    <w:rsid w:val="65D06126"/>
    <w:rsid w:val="65D8147F"/>
    <w:rsid w:val="65E25D5F"/>
    <w:rsid w:val="65E63E7D"/>
    <w:rsid w:val="65F6169A"/>
    <w:rsid w:val="65F65296"/>
    <w:rsid w:val="662752F0"/>
    <w:rsid w:val="662E6C0F"/>
    <w:rsid w:val="663C46DE"/>
    <w:rsid w:val="663F2D19"/>
    <w:rsid w:val="665F74AA"/>
    <w:rsid w:val="6664279C"/>
    <w:rsid w:val="6668124C"/>
    <w:rsid w:val="66A3383B"/>
    <w:rsid w:val="66A426A7"/>
    <w:rsid w:val="66A75884"/>
    <w:rsid w:val="66AF1729"/>
    <w:rsid w:val="66B21CD0"/>
    <w:rsid w:val="66B666BB"/>
    <w:rsid w:val="66BC66AA"/>
    <w:rsid w:val="66BE52C3"/>
    <w:rsid w:val="66CC2D91"/>
    <w:rsid w:val="66F34E56"/>
    <w:rsid w:val="66FC2D59"/>
    <w:rsid w:val="66FD73EF"/>
    <w:rsid w:val="67010ED2"/>
    <w:rsid w:val="670151B2"/>
    <w:rsid w:val="670A5668"/>
    <w:rsid w:val="67127912"/>
    <w:rsid w:val="67401089"/>
    <w:rsid w:val="67674868"/>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151E7A"/>
    <w:rsid w:val="6821710D"/>
    <w:rsid w:val="68262975"/>
    <w:rsid w:val="683A271C"/>
    <w:rsid w:val="683F4100"/>
    <w:rsid w:val="684D138C"/>
    <w:rsid w:val="685D1552"/>
    <w:rsid w:val="68647FB5"/>
    <w:rsid w:val="6866280A"/>
    <w:rsid w:val="68686AEA"/>
    <w:rsid w:val="688C24A4"/>
    <w:rsid w:val="688D47A2"/>
    <w:rsid w:val="68915AA7"/>
    <w:rsid w:val="689618A9"/>
    <w:rsid w:val="68967E6A"/>
    <w:rsid w:val="689A3865"/>
    <w:rsid w:val="68A37F48"/>
    <w:rsid w:val="68B4089F"/>
    <w:rsid w:val="68BA756F"/>
    <w:rsid w:val="68C61A62"/>
    <w:rsid w:val="68C84E8E"/>
    <w:rsid w:val="68D45F2D"/>
    <w:rsid w:val="68E57EEC"/>
    <w:rsid w:val="68F33995"/>
    <w:rsid w:val="69074555"/>
    <w:rsid w:val="69126A56"/>
    <w:rsid w:val="69240076"/>
    <w:rsid w:val="6930742F"/>
    <w:rsid w:val="693E611A"/>
    <w:rsid w:val="69434224"/>
    <w:rsid w:val="69486E37"/>
    <w:rsid w:val="694D5CE0"/>
    <w:rsid w:val="69541E76"/>
    <w:rsid w:val="695A20A8"/>
    <w:rsid w:val="695E7397"/>
    <w:rsid w:val="69A55B1C"/>
    <w:rsid w:val="69A578CA"/>
    <w:rsid w:val="69AA7B4E"/>
    <w:rsid w:val="69BB1FCB"/>
    <w:rsid w:val="69BB3877"/>
    <w:rsid w:val="69BE2B38"/>
    <w:rsid w:val="69CF2233"/>
    <w:rsid w:val="69DF079E"/>
    <w:rsid w:val="69E61596"/>
    <w:rsid w:val="6A022F6E"/>
    <w:rsid w:val="6A0E021D"/>
    <w:rsid w:val="6A0E6EBA"/>
    <w:rsid w:val="6A136F29"/>
    <w:rsid w:val="6A1A3E8C"/>
    <w:rsid w:val="6A2627B9"/>
    <w:rsid w:val="6A3F74A5"/>
    <w:rsid w:val="6A430A61"/>
    <w:rsid w:val="6A747194"/>
    <w:rsid w:val="6A796BDA"/>
    <w:rsid w:val="6A7A2C23"/>
    <w:rsid w:val="6A7F6D26"/>
    <w:rsid w:val="6A865C33"/>
    <w:rsid w:val="6AA67245"/>
    <w:rsid w:val="6AA85E74"/>
    <w:rsid w:val="6AAB53B4"/>
    <w:rsid w:val="6AAD4C88"/>
    <w:rsid w:val="6AB06526"/>
    <w:rsid w:val="6ABA1153"/>
    <w:rsid w:val="6AC4570C"/>
    <w:rsid w:val="6AC73CA4"/>
    <w:rsid w:val="6AD77F57"/>
    <w:rsid w:val="6AE07337"/>
    <w:rsid w:val="6AED32D6"/>
    <w:rsid w:val="6AF40C4A"/>
    <w:rsid w:val="6B07083C"/>
    <w:rsid w:val="6B10796B"/>
    <w:rsid w:val="6B1B5543"/>
    <w:rsid w:val="6B225676"/>
    <w:rsid w:val="6B2F4A8B"/>
    <w:rsid w:val="6B39476E"/>
    <w:rsid w:val="6B43088B"/>
    <w:rsid w:val="6B472B2D"/>
    <w:rsid w:val="6B5670CE"/>
    <w:rsid w:val="6B591BFB"/>
    <w:rsid w:val="6B6712DB"/>
    <w:rsid w:val="6B6C069F"/>
    <w:rsid w:val="6B8228CD"/>
    <w:rsid w:val="6B863F9D"/>
    <w:rsid w:val="6B8E2D0B"/>
    <w:rsid w:val="6B9B0E35"/>
    <w:rsid w:val="6BA020A4"/>
    <w:rsid w:val="6BA37791"/>
    <w:rsid w:val="6BA93DA5"/>
    <w:rsid w:val="6BBB33D4"/>
    <w:rsid w:val="6BF51F95"/>
    <w:rsid w:val="6BF74F38"/>
    <w:rsid w:val="6BFA3EFD"/>
    <w:rsid w:val="6BFD1C3F"/>
    <w:rsid w:val="6C22295D"/>
    <w:rsid w:val="6C24541E"/>
    <w:rsid w:val="6C292A34"/>
    <w:rsid w:val="6C295050"/>
    <w:rsid w:val="6C2F0285"/>
    <w:rsid w:val="6C4E5FF7"/>
    <w:rsid w:val="6C6B22C5"/>
    <w:rsid w:val="6C727C9C"/>
    <w:rsid w:val="6C97799E"/>
    <w:rsid w:val="6CA040FB"/>
    <w:rsid w:val="6CA2021D"/>
    <w:rsid w:val="6CB54345"/>
    <w:rsid w:val="6CD26C28"/>
    <w:rsid w:val="6CD71DF8"/>
    <w:rsid w:val="6CD96ABB"/>
    <w:rsid w:val="6CD97738"/>
    <w:rsid w:val="6CE213ED"/>
    <w:rsid w:val="6CF9599E"/>
    <w:rsid w:val="6D08089B"/>
    <w:rsid w:val="6D231231"/>
    <w:rsid w:val="6D283043"/>
    <w:rsid w:val="6D3527BF"/>
    <w:rsid w:val="6D430476"/>
    <w:rsid w:val="6D491A7D"/>
    <w:rsid w:val="6D5C79A0"/>
    <w:rsid w:val="6D667370"/>
    <w:rsid w:val="6D7147AA"/>
    <w:rsid w:val="6D7A56E3"/>
    <w:rsid w:val="6D8C327A"/>
    <w:rsid w:val="6DA93E2C"/>
    <w:rsid w:val="6DB53834"/>
    <w:rsid w:val="6DB9605E"/>
    <w:rsid w:val="6DBA52B1"/>
    <w:rsid w:val="6DC820CE"/>
    <w:rsid w:val="6DC947BB"/>
    <w:rsid w:val="6DCB0626"/>
    <w:rsid w:val="6DD15131"/>
    <w:rsid w:val="6DDA0A3A"/>
    <w:rsid w:val="6DDC0050"/>
    <w:rsid w:val="6DE318DB"/>
    <w:rsid w:val="6DEB3B1C"/>
    <w:rsid w:val="6DF1132F"/>
    <w:rsid w:val="6E0C6169"/>
    <w:rsid w:val="6E273FA2"/>
    <w:rsid w:val="6E2A59E1"/>
    <w:rsid w:val="6E3A5AE7"/>
    <w:rsid w:val="6E4771A1"/>
    <w:rsid w:val="6E644582"/>
    <w:rsid w:val="6E65267E"/>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516F0"/>
    <w:rsid w:val="6F377FD4"/>
    <w:rsid w:val="6F3E6F3C"/>
    <w:rsid w:val="6F4A7B60"/>
    <w:rsid w:val="6F59718C"/>
    <w:rsid w:val="6F663D87"/>
    <w:rsid w:val="6F7C731F"/>
    <w:rsid w:val="6F834209"/>
    <w:rsid w:val="6F855772"/>
    <w:rsid w:val="6F8803AF"/>
    <w:rsid w:val="6F8867FE"/>
    <w:rsid w:val="6F963F3C"/>
    <w:rsid w:val="6F9C52CB"/>
    <w:rsid w:val="6FA4671F"/>
    <w:rsid w:val="6FAF4746"/>
    <w:rsid w:val="6FAF5C96"/>
    <w:rsid w:val="6FB468AF"/>
    <w:rsid w:val="6FC22F83"/>
    <w:rsid w:val="6FD26F3F"/>
    <w:rsid w:val="6FED3D79"/>
    <w:rsid w:val="6FF670D1"/>
    <w:rsid w:val="6FF72B21"/>
    <w:rsid w:val="6FF85AFC"/>
    <w:rsid w:val="703379DD"/>
    <w:rsid w:val="70351F79"/>
    <w:rsid w:val="70382A0B"/>
    <w:rsid w:val="70553DF8"/>
    <w:rsid w:val="705D2F74"/>
    <w:rsid w:val="70654928"/>
    <w:rsid w:val="706C61F1"/>
    <w:rsid w:val="709A3F00"/>
    <w:rsid w:val="70A1528F"/>
    <w:rsid w:val="70A511D7"/>
    <w:rsid w:val="70AC1CE5"/>
    <w:rsid w:val="70B302A9"/>
    <w:rsid w:val="70B318F8"/>
    <w:rsid w:val="70C2560E"/>
    <w:rsid w:val="70E4517B"/>
    <w:rsid w:val="70EC57B1"/>
    <w:rsid w:val="710716F5"/>
    <w:rsid w:val="71172452"/>
    <w:rsid w:val="713559D7"/>
    <w:rsid w:val="71364E98"/>
    <w:rsid w:val="71394457"/>
    <w:rsid w:val="713C6D66"/>
    <w:rsid w:val="714A76D4"/>
    <w:rsid w:val="715045BF"/>
    <w:rsid w:val="71601EA2"/>
    <w:rsid w:val="716A2602"/>
    <w:rsid w:val="717069FD"/>
    <w:rsid w:val="718D5813"/>
    <w:rsid w:val="71CA51A0"/>
    <w:rsid w:val="71D31C96"/>
    <w:rsid w:val="71D37D0E"/>
    <w:rsid w:val="71DA5DD3"/>
    <w:rsid w:val="71E42FED"/>
    <w:rsid w:val="71F066C6"/>
    <w:rsid w:val="720C753F"/>
    <w:rsid w:val="720F447A"/>
    <w:rsid w:val="72121874"/>
    <w:rsid w:val="721D26F3"/>
    <w:rsid w:val="72491746"/>
    <w:rsid w:val="724B07EA"/>
    <w:rsid w:val="7263415A"/>
    <w:rsid w:val="726865F2"/>
    <w:rsid w:val="729624A5"/>
    <w:rsid w:val="72966949"/>
    <w:rsid w:val="7299766D"/>
    <w:rsid w:val="729E7F08"/>
    <w:rsid w:val="72A20E4A"/>
    <w:rsid w:val="72B47FAA"/>
    <w:rsid w:val="72CA214F"/>
    <w:rsid w:val="72FD189E"/>
    <w:rsid w:val="730B2B28"/>
    <w:rsid w:val="730C2EBC"/>
    <w:rsid w:val="732A4300"/>
    <w:rsid w:val="733059D0"/>
    <w:rsid w:val="734B14E2"/>
    <w:rsid w:val="73677F5F"/>
    <w:rsid w:val="73734595"/>
    <w:rsid w:val="7375655F"/>
    <w:rsid w:val="737F2F3A"/>
    <w:rsid w:val="738E207B"/>
    <w:rsid w:val="739509AF"/>
    <w:rsid w:val="73A66EF4"/>
    <w:rsid w:val="73A873DF"/>
    <w:rsid w:val="73D74F22"/>
    <w:rsid w:val="73DD4830"/>
    <w:rsid w:val="73E84575"/>
    <w:rsid w:val="73EA4502"/>
    <w:rsid w:val="73FB00AF"/>
    <w:rsid w:val="741151EF"/>
    <w:rsid w:val="74155264"/>
    <w:rsid w:val="74431DC2"/>
    <w:rsid w:val="744E4DC5"/>
    <w:rsid w:val="7476258E"/>
    <w:rsid w:val="748862C1"/>
    <w:rsid w:val="74926548"/>
    <w:rsid w:val="74956EB9"/>
    <w:rsid w:val="749F1AE5"/>
    <w:rsid w:val="74C23FE6"/>
    <w:rsid w:val="74C56D06"/>
    <w:rsid w:val="74D3178F"/>
    <w:rsid w:val="74E4574A"/>
    <w:rsid w:val="74E92D60"/>
    <w:rsid w:val="74EC57D5"/>
    <w:rsid w:val="74FD115E"/>
    <w:rsid w:val="75015203"/>
    <w:rsid w:val="750E6C6B"/>
    <w:rsid w:val="752413FB"/>
    <w:rsid w:val="752E10BB"/>
    <w:rsid w:val="753164B5"/>
    <w:rsid w:val="75324707"/>
    <w:rsid w:val="75390E10"/>
    <w:rsid w:val="755503F6"/>
    <w:rsid w:val="75587EE6"/>
    <w:rsid w:val="75697ECE"/>
    <w:rsid w:val="758C6450"/>
    <w:rsid w:val="75956A44"/>
    <w:rsid w:val="75A85B8F"/>
    <w:rsid w:val="75C8506C"/>
    <w:rsid w:val="75EB2B08"/>
    <w:rsid w:val="75F25C45"/>
    <w:rsid w:val="76053BCA"/>
    <w:rsid w:val="762A7B4F"/>
    <w:rsid w:val="76383A07"/>
    <w:rsid w:val="763B6D77"/>
    <w:rsid w:val="763E0E8A"/>
    <w:rsid w:val="763F0D29"/>
    <w:rsid w:val="764D31FC"/>
    <w:rsid w:val="7650526E"/>
    <w:rsid w:val="76587A4C"/>
    <w:rsid w:val="76676633"/>
    <w:rsid w:val="76682700"/>
    <w:rsid w:val="766E16EC"/>
    <w:rsid w:val="767174B1"/>
    <w:rsid w:val="76760624"/>
    <w:rsid w:val="767E572A"/>
    <w:rsid w:val="76960CC6"/>
    <w:rsid w:val="769B6F0E"/>
    <w:rsid w:val="76A20FEF"/>
    <w:rsid w:val="76A827A7"/>
    <w:rsid w:val="76B66902"/>
    <w:rsid w:val="76D868BB"/>
    <w:rsid w:val="76DD35D2"/>
    <w:rsid w:val="76DF08BF"/>
    <w:rsid w:val="76E00193"/>
    <w:rsid w:val="76F1414E"/>
    <w:rsid w:val="76FD2AF3"/>
    <w:rsid w:val="77065FCC"/>
    <w:rsid w:val="775B21AC"/>
    <w:rsid w:val="7762504C"/>
    <w:rsid w:val="77706C17"/>
    <w:rsid w:val="7798290C"/>
    <w:rsid w:val="77A17922"/>
    <w:rsid w:val="77B27D81"/>
    <w:rsid w:val="77BA6C36"/>
    <w:rsid w:val="77C55334"/>
    <w:rsid w:val="77CB0E43"/>
    <w:rsid w:val="77D15673"/>
    <w:rsid w:val="77DC095A"/>
    <w:rsid w:val="782C1F51"/>
    <w:rsid w:val="783207F7"/>
    <w:rsid w:val="7836646A"/>
    <w:rsid w:val="783B06F9"/>
    <w:rsid w:val="784C3D32"/>
    <w:rsid w:val="78520C1D"/>
    <w:rsid w:val="785C79B0"/>
    <w:rsid w:val="787D213D"/>
    <w:rsid w:val="788631D0"/>
    <w:rsid w:val="78985615"/>
    <w:rsid w:val="78A83B30"/>
    <w:rsid w:val="78B77021"/>
    <w:rsid w:val="78C25DA2"/>
    <w:rsid w:val="78E0447A"/>
    <w:rsid w:val="78EE3958"/>
    <w:rsid w:val="792C5912"/>
    <w:rsid w:val="793A6280"/>
    <w:rsid w:val="79474796"/>
    <w:rsid w:val="795D5ACB"/>
    <w:rsid w:val="79607369"/>
    <w:rsid w:val="796767A2"/>
    <w:rsid w:val="79733976"/>
    <w:rsid w:val="79A921AD"/>
    <w:rsid w:val="79BD0B3F"/>
    <w:rsid w:val="79BE0C60"/>
    <w:rsid w:val="79C21DD2"/>
    <w:rsid w:val="79CB0C87"/>
    <w:rsid w:val="79DC3BE6"/>
    <w:rsid w:val="79EE5BA3"/>
    <w:rsid w:val="79F3642F"/>
    <w:rsid w:val="79F52773"/>
    <w:rsid w:val="7A150154"/>
    <w:rsid w:val="7A2E6462"/>
    <w:rsid w:val="7A40591D"/>
    <w:rsid w:val="7A4137B3"/>
    <w:rsid w:val="7A556E34"/>
    <w:rsid w:val="7A5A61EF"/>
    <w:rsid w:val="7A6450DE"/>
    <w:rsid w:val="7A887E89"/>
    <w:rsid w:val="7A910122"/>
    <w:rsid w:val="7A936EE8"/>
    <w:rsid w:val="7AA57708"/>
    <w:rsid w:val="7AA7257C"/>
    <w:rsid w:val="7AB1431E"/>
    <w:rsid w:val="7ADC657A"/>
    <w:rsid w:val="7AEA338E"/>
    <w:rsid w:val="7AFC7375"/>
    <w:rsid w:val="7B0A57DF"/>
    <w:rsid w:val="7B106E5B"/>
    <w:rsid w:val="7B1152BB"/>
    <w:rsid w:val="7B121472"/>
    <w:rsid w:val="7B1A6C0F"/>
    <w:rsid w:val="7B362A78"/>
    <w:rsid w:val="7B364826"/>
    <w:rsid w:val="7B471043"/>
    <w:rsid w:val="7B4952E1"/>
    <w:rsid w:val="7B5829EE"/>
    <w:rsid w:val="7B58472E"/>
    <w:rsid w:val="7B651AA2"/>
    <w:rsid w:val="7B7A0BB6"/>
    <w:rsid w:val="7B9B4A4D"/>
    <w:rsid w:val="7BA3043B"/>
    <w:rsid w:val="7BAD3515"/>
    <w:rsid w:val="7BB3231A"/>
    <w:rsid w:val="7BBB10FB"/>
    <w:rsid w:val="7BBF0CBF"/>
    <w:rsid w:val="7BC40083"/>
    <w:rsid w:val="7BCD518A"/>
    <w:rsid w:val="7BEE3352"/>
    <w:rsid w:val="7C0861C2"/>
    <w:rsid w:val="7C211032"/>
    <w:rsid w:val="7C212547"/>
    <w:rsid w:val="7C3431DA"/>
    <w:rsid w:val="7C380832"/>
    <w:rsid w:val="7C382A78"/>
    <w:rsid w:val="7C3A564A"/>
    <w:rsid w:val="7C55517F"/>
    <w:rsid w:val="7C750D1C"/>
    <w:rsid w:val="7C89314D"/>
    <w:rsid w:val="7C907231"/>
    <w:rsid w:val="7C9C31E6"/>
    <w:rsid w:val="7CA60D68"/>
    <w:rsid w:val="7CAD2C5F"/>
    <w:rsid w:val="7CE44F24"/>
    <w:rsid w:val="7CEF7382"/>
    <w:rsid w:val="7D0E5E43"/>
    <w:rsid w:val="7D1666BD"/>
    <w:rsid w:val="7D1A338E"/>
    <w:rsid w:val="7D1A70E8"/>
    <w:rsid w:val="7D1B1B29"/>
    <w:rsid w:val="7D1D3EEF"/>
    <w:rsid w:val="7D244921"/>
    <w:rsid w:val="7D272678"/>
    <w:rsid w:val="7D44147C"/>
    <w:rsid w:val="7D470FB3"/>
    <w:rsid w:val="7D4F7CEB"/>
    <w:rsid w:val="7D5C694F"/>
    <w:rsid w:val="7D5D34F3"/>
    <w:rsid w:val="7D69417B"/>
    <w:rsid w:val="7D75025F"/>
    <w:rsid w:val="7D801F48"/>
    <w:rsid w:val="7D8B0781"/>
    <w:rsid w:val="7DB83C18"/>
    <w:rsid w:val="7DC73E5B"/>
    <w:rsid w:val="7DC807C4"/>
    <w:rsid w:val="7DCC0C12"/>
    <w:rsid w:val="7DDB2583"/>
    <w:rsid w:val="7DE06CCB"/>
    <w:rsid w:val="7DF76C8E"/>
    <w:rsid w:val="7DFC3B04"/>
    <w:rsid w:val="7E0C4026"/>
    <w:rsid w:val="7E1427D4"/>
    <w:rsid w:val="7E1B3103"/>
    <w:rsid w:val="7E24305B"/>
    <w:rsid w:val="7E3643BE"/>
    <w:rsid w:val="7E3A462D"/>
    <w:rsid w:val="7E414337"/>
    <w:rsid w:val="7E520EB7"/>
    <w:rsid w:val="7E522C73"/>
    <w:rsid w:val="7E6D4A02"/>
    <w:rsid w:val="7E813A30"/>
    <w:rsid w:val="7E843AFA"/>
    <w:rsid w:val="7E8458A8"/>
    <w:rsid w:val="7E9D3FBA"/>
    <w:rsid w:val="7EA86B9B"/>
    <w:rsid w:val="7EAA7A04"/>
    <w:rsid w:val="7EAB6C79"/>
    <w:rsid w:val="7EBE3EA6"/>
    <w:rsid w:val="7EC73DC5"/>
    <w:rsid w:val="7EE5751D"/>
    <w:rsid w:val="7F00043A"/>
    <w:rsid w:val="7F365FF7"/>
    <w:rsid w:val="7F3B065C"/>
    <w:rsid w:val="7F401E6B"/>
    <w:rsid w:val="7F486055"/>
    <w:rsid w:val="7F4E73B5"/>
    <w:rsid w:val="7F4F291E"/>
    <w:rsid w:val="7F50360C"/>
    <w:rsid w:val="7F533887"/>
    <w:rsid w:val="7F5A3F44"/>
    <w:rsid w:val="7F651B7D"/>
    <w:rsid w:val="7F6776A3"/>
    <w:rsid w:val="7F695428"/>
    <w:rsid w:val="7F69556E"/>
    <w:rsid w:val="7F7D6EC7"/>
    <w:rsid w:val="7F8E5465"/>
    <w:rsid w:val="7F9C3ADE"/>
    <w:rsid w:val="7FA21B54"/>
    <w:rsid w:val="7FAF1A01"/>
    <w:rsid w:val="7FB936BD"/>
    <w:rsid w:val="7FC22BC2"/>
    <w:rsid w:val="7FC25D4D"/>
    <w:rsid w:val="7FD818DE"/>
    <w:rsid w:val="7FF11F9E"/>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autoRedefine/>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1"/>
    <w:autoRedefine/>
    <w:qFormat/>
    <w:uiPriority w:val="0"/>
    <w:pPr>
      <w:spacing w:line="560" w:lineRule="exact"/>
      <w:jc w:val="center"/>
      <w:outlineLvl w:val="1"/>
    </w:pPr>
    <w:rPr>
      <w:b/>
      <w:sz w:val="32"/>
      <w:szCs w:val="32"/>
    </w:rPr>
  </w:style>
  <w:style w:type="paragraph" w:styleId="4">
    <w:name w:val="heading 3"/>
    <w:basedOn w:val="1"/>
    <w:next w:val="1"/>
    <w:link w:val="62"/>
    <w:autoRedefine/>
    <w:qFormat/>
    <w:uiPriority w:val="0"/>
    <w:pPr>
      <w:keepNext/>
      <w:keepLines/>
      <w:spacing w:line="413" w:lineRule="auto"/>
      <w:jc w:val="center"/>
      <w:outlineLvl w:val="2"/>
    </w:pPr>
    <w:rPr>
      <w:b/>
      <w:bCs/>
      <w:sz w:val="30"/>
      <w:szCs w:val="32"/>
    </w:rPr>
  </w:style>
  <w:style w:type="paragraph" w:styleId="5">
    <w:name w:val="heading 4"/>
    <w:next w:val="1"/>
    <w:link w:val="80"/>
    <w:autoRedefine/>
    <w:qFormat/>
    <w:uiPriority w:val="0"/>
    <w:pPr>
      <w:keepNext/>
      <w:keepLines/>
      <w:spacing w:before="280" w:after="290" w:line="372" w:lineRule="auto"/>
      <w:outlineLvl w:val="3"/>
    </w:pPr>
    <w:rPr>
      <w:rFonts w:ascii="Arial" w:hAnsi="Arial" w:eastAsia="黑体" w:cs="黑体"/>
      <w:b/>
      <w:bCs/>
      <w:sz w:val="28"/>
      <w:szCs w:val="28"/>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szCs w:val="20"/>
    </w:rPr>
  </w:style>
  <w:style w:type="paragraph" w:styleId="7">
    <w:name w:val="caption"/>
    <w:basedOn w:val="1"/>
    <w:next w:val="1"/>
    <w:autoRedefine/>
    <w:qFormat/>
    <w:uiPriority w:val="0"/>
    <w:pPr>
      <w:spacing w:before="152" w:after="160"/>
    </w:pPr>
    <w:rPr>
      <w:rFonts w:ascii="Arial" w:hAnsi="Arial" w:eastAsia="黑体"/>
    </w:rPr>
  </w:style>
  <w:style w:type="paragraph" w:styleId="8">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9">
    <w:name w:val="Body Text"/>
    <w:basedOn w:val="1"/>
    <w:next w:val="1"/>
    <w:link w:val="63"/>
    <w:autoRedefine/>
    <w:qFormat/>
    <w:uiPriority w:val="0"/>
    <w:pPr>
      <w:spacing w:line="460" w:lineRule="exact"/>
    </w:pPr>
    <w:rPr>
      <w:rFonts w:ascii="汉鼎简楷体" w:hAnsi="宋体" w:eastAsia="汉鼎简楷体"/>
      <w:b/>
      <w:bCs/>
      <w:spacing w:val="4"/>
      <w:sz w:val="24"/>
      <w:szCs w:val="20"/>
    </w:rPr>
  </w:style>
  <w:style w:type="paragraph" w:styleId="10">
    <w:name w:val="Body Text Indent"/>
    <w:basedOn w:val="1"/>
    <w:link w:val="64"/>
    <w:autoRedefine/>
    <w:qFormat/>
    <w:uiPriority w:val="0"/>
    <w:pPr>
      <w:ind w:left="420" w:leftChars="200"/>
    </w:pPr>
  </w:style>
  <w:style w:type="paragraph" w:styleId="11">
    <w:name w:val="toc 3"/>
    <w:basedOn w:val="1"/>
    <w:next w:val="1"/>
    <w:autoRedefine/>
    <w:qFormat/>
    <w:uiPriority w:val="0"/>
    <w:pPr>
      <w:ind w:left="840" w:leftChars="400"/>
    </w:pPr>
  </w:style>
  <w:style w:type="paragraph" w:styleId="12">
    <w:name w:val="Plain Text"/>
    <w:basedOn w:val="1"/>
    <w:link w:val="65"/>
    <w:autoRedefine/>
    <w:qFormat/>
    <w:uiPriority w:val="0"/>
    <w:rPr>
      <w:rFonts w:ascii="宋体" w:hAnsi="Courier New"/>
      <w:kern w:val="0"/>
    </w:rPr>
  </w:style>
  <w:style w:type="paragraph" w:styleId="13">
    <w:name w:val="footer"/>
    <w:basedOn w:val="1"/>
    <w:link w:val="59"/>
    <w:autoRedefine/>
    <w:unhideWhenUsed/>
    <w:qFormat/>
    <w:uiPriority w:val="0"/>
    <w:pPr>
      <w:tabs>
        <w:tab w:val="center" w:pos="4153"/>
        <w:tab w:val="right" w:pos="8306"/>
      </w:tabs>
      <w:snapToGrid w:val="0"/>
      <w:jc w:val="left"/>
    </w:pPr>
    <w:rPr>
      <w:sz w:val="18"/>
      <w:szCs w:val="18"/>
    </w:rPr>
  </w:style>
  <w:style w:type="paragraph" w:styleId="14">
    <w:name w:val="envelope return"/>
    <w:basedOn w:val="1"/>
    <w:autoRedefine/>
    <w:unhideWhenUsed/>
    <w:qFormat/>
    <w:uiPriority w:val="99"/>
    <w:pPr>
      <w:snapToGrid w:val="0"/>
    </w:pPr>
    <w:rPr>
      <w:rFonts w:ascii="Arial" w:hAnsi="Arial"/>
    </w:rPr>
  </w:style>
  <w:style w:type="paragraph" w:styleId="15">
    <w:name w:val="header"/>
    <w:basedOn w:val="1"/>
    <w:link w:val="5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Body Text 2"/>
    <w:basedOn w:val="1"/>
    <w:next w:val="9"/>
    <w:autoRedefine/>
    <w:qFormat/>
    <w:uiPriority w:val="99"/>
    <w:pPr>
      <w:spacing w:line="360" w:lineRule="auto"/>
      <w:ind w:firstLine="480" w:firstLineChars="200"/>
    </w:pPr>
    <w:rPr>
      <w:rFonts w:ascii="仿宋_GB2312" w:hAnsi="宋体" w:eastAsia="仿宋_GB2312" w:cs="仿宋_GB2312"/>
      <w:kern w:val="0"/>
      <w:sz w:val="24"/>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link w:val="66"/>
    <w:autoRedefine/>
    <w:qFormat/>
    <w:uiPriority w:val="0"/>
    <w:pPr>
      <w:spacing w:before="240" w:after="60"/>
      <w:jc w:val="center"/>
      <w:outlineLvl w:val="0"/>
    </w:pPr>
    <w:rPr>
      <w:rFonts w:ascii="Arial" w:hAnsi="Arial" w:cs="Arial"/>
      <w:b/>
      <w:bCs/>
      <w:sz w:val="32"/>
      <w:szCs w:val="32"/>
    </w:rPr>
  </w:style>
  <w:style w:type="paragraph" w:styleId="22">
    <w:name w:val="Body Text First Indent"/>
    <w:basedOn w:val="9"/>
    <w:next w:val="23"/>
    <w:link w:val="67"/>
    <w:autoRedefine/>
    <w:qFormat/>
    <w:uiPriority w:val="0"/>
    <w:pPr>
      <w:spacing w:line="360" w:lineRule="auto"/>
      <w:ind w:firstLine="420" w:firstLineChars="100"/>
    </w:pPr>
    <w:rPr>
      <w:rFonts w:ascii="Arial" w:hAnsi="Arial" w:eastAsia="宋体"/>
      <w:b w:val="0"/>
      <w:bCs w:val="0"/>
      <w:spacing w:val="0"/>
      <w:kern w:val="0"/>
    </w:rPr>
  </w:style>
  <w:style w:type="paragraph" w:styleId="23">
    <w:name w:val="Body Text First Indent 2"/>
    <w:basedOn w:val="10"/>
    <w:autoRedefine/>
    <w:qFormat/>
    <w:uiPriority w:val="0"/>
    <w:pPr>
      <w:spacing w:after="120"/>
      <w:ind w:left="200" w:firstLine="200" w:firstLineChars="20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FollowedHyperlink"/>
    <w:basedOn w:val="26"/>
    <w:autoRedefine/>
    <w:unhideWhenUsed/>
    <w:qFormat/>
    <w:uiPriority w:val="99"/>
    <w:rPr>
      <w:color w:val="333333"/>
      <w:u w:val="none"/>
    </w:rPr>
  </w:style>
  <w:style w:type="character" w:styleId="30">
    <w:name w:val="Emphasis"/>
    <w:basedOn w:val="26"/>
    <w:autoRedefine/>
    <w:qFormat/>
    <w:uiPriority w:val="20"/>
  </w:style>
  <w:style w:type="character" w:styleId="31">
    <w:name w:val="HTML Definition"/>
    <w:basedOn w:val="26"/>
    <w:autoRedefine/>
    <w:unhideWhenUsed/>
    <w:qFormat/>
    <w:uiPriority w:val="99"/>
  </w:style>
  <w:style w:type="character" w:styleId="32">
    <w:name w:val="HTML Typewriter"/>
    <w:basedOn w:val="26"/>
    <w:autoRedefine/>
    <w:unhideWhenUsed/>
    <w:qFormat/>
    <w:uiPriority w:val="99"/>
    <w:rPr>
      <w:rFonts w:hint="default" w:ascii="monospace" w:hAnsi="monospace" w:eastAsia="monospace" w:cs="monospace"/>
      <w:sz w:val="20"/>
    </w:rPr>
  </w:style>
  <w:style w:type="character" w:styleId="33">
    <w:name w:val="HTML Acronym"/>
    <w:basedOn w:val="26"/>
    <w:autoRedefine/>
    <w:unhideWhenUsed/>
    <w:qFormat/>
    <w:uiPriority w:val="99"/>
  </w:style>
  <w:style w:type="character" w:styleId="34">
    <w:name w:val="HTML Variable"/>
    <w:basedOn w:val="26"/>
    <w:autoRedefine/>
    <w:unhideWhenUsed/>
    <w:qFormat/>
    <w:uiPriority w:val="99"/>
  </w:style>
  <w:style w:type="character" w:styleId="35">
    <w:name w:val="Hyperlink"/>
    <w:basedOn w:val="26"/>
    <w:autoRedefine/>
    <w:qFormat/>
    <w:uiPriority w:val="0"/>
    <w:rPr>
      <w:color w:val="0000FF"/>
      <w:u w:val="none"/>
    </w:rPr>
  </w:style>
  <w:style w:type="character" w:styleId="36">
    <w:name w:val="HTML Code"/>
    <w:basedOn w:val="26"/>
    <w:autoRedefine/>
    <w:unhideWhenUsed/>
    <w:qFormat/>
    <w:uiPriority w:val="99"/>
    <w:rPr>
      <w:rFonts w:hint="default" w:ascii="monospace" w:hAnsi="monospace" w:eastAsia="monospace" w:cs="monospace"/>
      <w:sz w:val="20"/>
    </w:rPr>
  </w:style>
  <w:style w:type="character" w:styleId="37">
    <w:name w:val="HTML Cite"/>
    <w:basedOn w:val="26"/>
    <w:autoRedefine/>
    <w:unhideWhenUsed/>
    <w:qFormat/>
    <w:uiPriority w:val="99"/>
  </w:style>
  <w:style w:type="character" w:styleId="38">
    <w:name w:val="HTML Keyboard"/>
    <w:basedOn w:val="26"/>
    <w:autoRedefine/>
    <w:unhideWhenUsed/>
    <w:qFormat/>
    <w:uiPriority w:val="99"/>
    <w:rPr>
      <w:rFonts w:ascii="monospace" w:hAnsi="monospace" w:eastAsia="monospace" w:cs="monospace"/>
      <w:sz w:val="20"/>
    </w:rPr>
  </w:style>
  <w:style w:type="character" w:styleId="39">
    <w:name w:val="HTML Sample"/>
    <w:basedOn w:val="26"/>
    <w:autoRedefine/>
    <w:unhideWhenUsed/>
    <w:qFormat/>
    <w:uiPriority w:val="99"/>
    <w:rPr>
      <w:rFonts w:hint="default" w:ascii="monospace" w:hAnsi="monospace" w:eastAsia="monospace" w:cs="monospace"/>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无间隔1"/>
    <w:basedOn w:val="42"/>
    <w:next w:val="43"/>
    <w:autoRedefine/>
    <w:qFormat/>
    <w:uiPriority w:val="99"/>
    <w:rPr>
      <w:szCs w:val="22"/>
    </w:rPr>
  </w:style>
  <w:style w:type="paragraph" w:customStyle="1" w:styleId="42">
    <w:name w:val="正文_0"/>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44">
    <w:name w:val="*正文"/>
    <w:basedOn w:val="1"/>
    <w:autoRedefine/>
    <w:qFormat/>
    <w:uiPriority w:val="0"/>
    <w:pPr>
      <w:keepNext/>
      <w:keepLines/>
      <w:spacing w:line="360" w:lineRule="auto"/>
      <w:ind w:firstLine="200" w:firstLineChars="200"/>
    </w:pPr>
    <w:rPr>
      <w:rFonts w:ascii="宋体" w:hAnsi="宋体"/>
    </w:rPr>
  </w:style>
  <w:style w:type="paragraph" w:customStyle="1" w:styleId="45">
    <w:name w:val="BodyText1I"/>
    <w:basedOn w:val="46"/>
    <w:autoRedefine/>
    <w:qFormat/>
    <w:uiPriority w:val="0"/>
    <w:pPr>
      <w:ind w:firstLine="420" w:firstLineChars="100"/>
    </w:pPr>
    <w:rPr>
      <w:szCs w:val="21"/>
    </w:rPr>
  </w:style>
  <w:style w:type="paragraph" w:customStyle="1" w:styleId="46">
    <w:name w:val="BodyText"/>
    <w:basedOn w:val="1"/>
    <w:next w:val="47"/>
    <w:autoRedefine/>
    <w:qFormat/>
    <w:uiPriority w:val="0"/>
    <w:pPr>
      <w:snapToGrid w:val="0"/>
      <w:spacing w:line="360" w:lineRule="auto"/>
    </w:pPr>
    <w:rPr>
      <w:rFonts w:ascii="Arial" w:hAnsi="Arial" w:eastAsia="仿宋_GB2312"/>
      <w:sz w:val="31"/>
    </w:rPr>
  </w:style>
  <w:style w:type="paragraph" w:customStyle="1" w:styleId="47">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8">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正文（首行缩进） Char"/>
    <w:basedOn w:val="1"/>
    <w:next w:val="18"/>
    <w:autoRedefine/>
    <w:qFormat/>
    <w:uiPriority w:val="0"/>
    <w:pPr>
      <w:spacing w:line="360" w:lineRule="auto"/>
      <w:ind w:firstLine="480"/>
    </w:pPr>
    <w:rPr>
      <w:rFonts w:ascii="Arial"/>
      <w:color w:val="000000"/>
      <w:sz w:val="24"/>
    </w:rPr>
  </w:style>
  <w:style w:type="paragraph" w:customStyle="1" w:styleId="50">
    <w:name w:val="Table Paragraph"/>
    <w:basedOn w:val="1"/>
    <w:autoRedefine/>
    <w:qFormat/>
    <w:uiPriority w:val="0"/>
    <w:rPr>
      <w:sz w:val="24"/>
    </w:rPr>
  </w:style>
  <w:style w:type="paragraph" w:customStyle="1" w:styleId="51">
    <w:name w:val="p0"/>
    <w:basedOn w:val="1"/>
    <w:autoRedefine/>
    <w:qFormat/>
    <w:uiPriority w:val="0"/>
    <w:pPr>
      <w:widowControl/>
    </w:pPr>
    <w:rPr>
      <w:rFonts w:cs="宋体"/>
      <w:kern w:val="0"/>
      <w:szCs w:val="21"/>
    </w:rPr>
  </w:style>
  <w:style w:type="paragraph" w:customStyle="1" w:styleId="52">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53">
    <w:name w:val="表头"/>
    <w:basedOn w:val="7"/>
    <w:autoRedefine/>
    <w:qFormat/>
    <w:uiPriority w:val="0"/>
    <w:pPr>
      <w:keepNext/>
      <w:keepLines/>
      <w:widowControl/>
      <w:spacing w:before="120" w:after="120" w:line="300" w:lineRule="auto"/>
      <w:jc w:val="center"/>
    </w:pPr>
    <w:rPr>
      <w:kern w:val="0"/>
    </w:rPr>
  </w:style>
  <w:style w:type="paragraph" w:customStyle="1" w:styleId="54">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55">
    <w:name w:val="列出段落1"/>
    <w:basedOn w:val="1"/>
    <w:autoRedefine/>
    <w:qFormat/>
    <w:uiPriority w:val="0"/>
    <w:pPr>
      <w:ind w:firstLine="420" w:firstLineChars="200"/>
    </w:pPr>
  </w:style>
  <w:style w:type="paragraph" w:customStyle="1" w:styleId="56">
    <w:name w:val="样式 首行缩进:  0 字符"/>
    <w:basedOn w:val="1"/>
    <w:autoRedefine/>
    <w:qFormat/>
    <w:uiPriority w:val="0"/>
    <w:pPr>
      <w:spacing w:line="360" w:lineRule="auto"/>
      <w:ind w:firstLine="200" w:firstLineChars="200"/>
    </w:pPr>
    <w:rPr>
      <w:rFonts w:ascii="Arial" w:hAnsi="Arial" w:eastAsia="Times New Roman"/>
      <w:sz w:val="24"/>
      <w:szCs w:val="22"/>
    </w:rPr>
  </w:style>
  <w:style w:type="paragraph" w:customStyle="1" w:styleId="57">
    <w:name w:val="列出段落2"/>
    <w:basedOn w:val="1"/>
    <w:autoRedefine/>
    <w:qFormat/>
    <w:uiPriority w:val="34"/>
    <w:pPr>
      <w:ind w:firstLine="420" w:firstLineChars="200"/>
    </w:pPr>
    <w:rPr>
      <w:szCs w:val="22"/>
    </w:rPr>
  </w:style>
  <w:style w:type="character" w:customStyle="1" w:styleId="58">
    <w:name w:val="页眉 Char"/>
    <w:basedOn w:val="26"/>
    <w:link w:val="15"/>
    <w:autoRedefine/>
    <w:qFormat/>
    <w:uiPriority w:val="99"/>
    <w:rPr>
      <w:sz w:val="18"/>
      <w:szCs w:val="18"/>
    </w:rPr>
  </w:style>
  <w:style w:type="character" w:customStyle="1" w:styleId="59">
    <w:name w:val="页脚 Char"/>
    <w:basedOn w:val="26"/>
    <w:link w:val="13"/>
    <w:autoRedefine/>
    <w:qFormat/>
    <w:uiPriority w:val="99"/>
    <w:rPr>
      <w:sz w:val="18"/>
      <w:szCs w:val="18"/>
    </w:rPr>
  </w:style>
  <w:style w:type="character" w:customStyle="1" w:styleId="60">
    <w:name w:val="标题 1 Char"/>
    <w:basedOn w:val="26"/>
    <w:link w:val="2"/>
    <w:autoRedefine/>
    <w:qFormat/>
    <w:uiPriority w:val="0"/>
    <w:rPr>
      <w:rFonts w:ascii="黑体" w:hAnsi="黑体" w:eastAsia="宋体" w:cs="Times New Roman"/>
      <w:sz w:val="32"/>
      <w:szCs w:val="24"/>
    </w:rPr>
  </w:style>
  <w:style w:type="character" w:customStyle="1" w:styleId="61">
    <w:name w:val="标题 2 Char"/>
    <w:basedOn w:val="26"/>
    <w:link w:val="3"/>
    <w:autoRedefine/>
    <w:qFormat/>
    <w:uiPriority w:val="0"/>
    <w:rPr>
      <w:rFonts w:ascii="Calibri" w:hAnsi="Calibri" w:eastAsia="宋体" w:cs="Times New Roman"/>
      <w:b/>
      <w:sz w:val="32"/>
      <w:szCs w:val="32"/>
    </w:rPr>
  </w:style>
  <w:style w:type="character" w:customStyle="1" w:styleId="62">
    <w:name w:val="标题 3 Char"/>
    <w:basedOn w:val="26"/>
    <w:link w:val="4"/>
    <w:autoRedefine/>
    <w:qFormat/>
    <w:uiPriority w:val="0"/>
    <w:rPr>
      <w:rFonts w:ascii="Calibri" w:hAnsi="Calibri" w:eastAsia="宋体" w:cs="Times New Roman"/>
      <w:b/>
      <w:bCs/>
      <w:sz w:val="30"/>
      <w:szCs w:val="32"/>
    </w:rPr>
  </w:style>
  <w:style w:type="character" w:customStyle="1" w:styleId="63">
    <w:name w:val="正文文本 Char"/>
    <w:basedOn w:val="26"/>
    <w:link w:val="9"/>
    <w:autoRedefine/>
    <w:qFormat/>
    <w:uiPriority w:val="0"/>
    <w:rPr>
      <w:rFonts w:ascii="汉鼎简楷体" w:hAnsi="宋体" w:eastAsia="汉鼎简楷体" w:cs="Times New Roman"/>
      <w:b/>
      <w:bCs/>
      <w:spacing w:val="4"/>
      <w:sz w:val="24"/>
      <w:szCs w:val="20"/>
    </w:rPr>
  </w:style>
  <w:style w:type="character" w:customStyle="1" w:styleId="64">
    <w:name w:val="正文文本缩进 Char"/>
    <w:basedOn w:val="26"/>
    <w:link w:val="10"/>
    <w:autoRedefine/>
    <w:qFormat/>
    <w:uiPriority w:val="0"/>
    <w:rPr>
      <w:rFonts w:ascii="Calibri" w:hAnsi="Calibri" w:eastAsia="宋体" w:cs="Times New Roman"/>
      <w:szCs w:val="24"/>
    </w:rPr>
  </w:style>
  <w:style w:type="character" w:customStyle="1" w:styleId="65">
    <w:name w:val="纯文本 Char"/>
    <w:basedOn w:val="26"/>
    <w:link w:val="12"/>
    <w:autoRedefine/>
    <w:qFormat/>
    <w:uiPriority w:val="0"/>
    <w:rPr>
      <w:rFonts w:ascii="宋体" w:hAnsi="Courier New" w:eastAsia="宋体" w:cs="Times New Roman"/>
      <w:kern w:val="0"/>
      <w:szCs w:val="24"/>
    </w:rPr>
  </w:style>
  <w:style w:type="character" w:customStyle="1" w:styleId="66">
    <w:name w:val="标题 Char"/>
    <w:basedOn w:val="26"/>
    <w:link w:val="21"/>
    <w:autoRedefine/>
    <w:qFormat/>
    <w:uiPriority w:val="0"/>
    <w:rPr>
      <w:rFonts w:ascii="Arial" w:hAnsi="Arial" w:eastAsia="宋体" w:cs="Arial"/>
      <w:b/>
      <w:bCs/>
      <w:sz w:val="32"/>
      <w:szCs w:val="32"/>
    </w:rPr>
  </w:style>
  <w:style w:type="character" w:customStyle="1" w:styleId="67">
    <w:name w:val="正文首行缩进 Char"/>
    <w:basedOn w:val="63"/>
    <w:link w:val="22"/>
    <w:autoRedefine/>
    <w:qFormat/>
    <w:uiPriority w:val="0"/>
    <w:rPr>
      <w:rFonts w:ascii="Arial" w:hAnsi="Arial" w:eastAsia="宋体" w:cs="Times New Roman"/>
      <w:b w:val="0"/>
      <w:bCs w:val="0"/>
      <w:spacing w:val="4"/>
      <w:kern w:val="0"/>
      <w:sz w:val="24"/>
      <w:szCs w:val="20"/>
    </w:rPr>
  </w:style>
  <w:style w:type="character" w:customStyle="1" w:styleId="68">
    <w:name w:val="标题 3 Char1"/>
    <w:autoRedefine/>
    <w:qFormat/>
    <w:uiPriority w:val="0"/>
    <w:rPr>
      <w:rFonts w:eastAsia="黑体" w:cs="Times New Roman"/>
      <w:b/>
      <w:bCs/>
      <w:kern w:val="2"/>
      <w:sz w:val="24"/>
      <w:szCs w:val="24"/>
      <w:lang w:val="en-US" w:eastAsia="zh-CN"/>
    </w:rPr>
  </w:style>
  <w:style w:type="character" w:customStyle="1" w:styleId="69">
    <w:name w:val="prev"/>
    <w:basedOn w:val="26"/>
    <w:autoRedefine/>
    <w:qFormat/>
    <w:uiPriority w:val="0"/>
    <w:rPr>
      <w:rFonts w:ascii="微软雅黑" w:hAnsi="微软雅黑" w:eastAsia="微软雅黑" w:cs="微软雅黑"/>
      <w:sz w:val="21"/>
      <w:szCs w:val="21"/>
    </w:rPr>
  </w:style>
  <w:style w:type="character" w:customStyle="1" w:styleId="70">
    <w:name w:val="displayarti"/>
    <w:basedOn w:val="26"/>
    <w:autoRedefine/>
    <w:qFormat/>
    <w:uiPriority w:val="0"/>
    <w:rPr>
      <w:color w:val="FFFFFF"/>
      <w:shd w:val="clear" w:color="010000" w:fill="A00000"/>
    </w:rPr>
  </w:style>
  <w:style w:type="character" w:customStyle="1" w:styleId="71">
    <w:name w:val="qxdate"/>
    <w:basedOn w:val="26"/>
    <w:autoRedefine/>
    <w:qFormat/>
    <w:uiPriority w:val="0"/>
    <w:rPr>
      <w:color w:val="333333"/>
      <w:sz w:val="18"/>
      <w:szCs w:val="18"/>
    </w:rPr>
  </w:style>
  <w:style w:type="character" w:customStyle="1" w:styleId="72">
    <w:name w:val="gjfg"/>
    <w:basedOn w:val="26"/>
    <w:autoRedefine/>
    <w:qFormat/>
    <w:uiPriority w:val="0"/>
  </w:style>
  <w:style w:type="character" w:customStyle="1" w:styleId="73">
    <w:name w:val="redfilefwwh"/>
    <w:basedOn w:val="26"/>
    <w:autoRedefine/>
    <w:qFormat/>
    <w:uiPriority w:val="0"/>
    <w:rPr>
      <w:color w:val="BA2636"/>
      <w:sz w:val="18"/>
      <w:szCs w:val="18"/>
    </w:rPr>
  </w:style>
  <w:style w:type="character" w:customStyle="1" w:styleId="74">
    <w:name w:val="redfilenumber"/>
    <w:basedOn w:val="26"/>
    <w:autoRedefine/>
    <w:qFormat/>
    <w:uiPriority w:val="0"/>
    <w:rPr>
      <w:color w:val="BA2636"/>
      <w:sz w:val="18"/>
      <w:szCs w:val="18"/>
    </w:rPr>
  </w:style>
  <w:style w:type="character" w:customStyle="1" w:styleId="75">
    <w:name w:val="cfdate"/>
    <w:basedOn w:val="26"/>
    <w:autoRedefine/>
    <w:qFormat/>
    <w:uiPriority w:val="0"/>
    <w:rPr>
      <w:color w:val="333333"/>
      <w:sz w:val="18"/>
      <w:szCs w:val="18"/>
    </w:rPr>
  </w:style>
  <w:style w:type="character" w:customStyle="1" w:styleId="76">
    <w:name w:val="next2"/>
    <w:basedOn w:val="26"/>
    <w:autoRedefine/>
    <w:qFormat/>
    <w:uiPriority w:val="0"/>
    <w:rPr>
      <w:rFonts w:hint="eastAsia" w:ascii="微软雅黑" w:hAnsi="微软雅黑" w:eastAsia="微软雅黑" w:cs="微软雅黑"/>
      <w:sz w:val="21"/>
      <w:szCs w:val="21"/>
    </w:rPr>
  </w:style>
  <w:style w:type="character" w:customStyle="1" w:styleId="77">
    <w:name w:val="next3"/>
    <w:basedOn w:val="26"/>
    <w:autoRedefine/>
    <w:qFormat/>
    <w:uiPriority w:val="0"/>
    <w:rPr>
      <w:color w:val="888888"/>
    </w:rPr>
  </w:style>
  <w:style w:type="character" w:customStyle="1" w:styleId="78">
    <w:name w:val="font61"/>
    <w:basedOn w:val="26"/>
    <w:autoRedefine/>
    <w:qFormat/>
    <w:uiPriority w:val="0"/>
    <w:rPr>
      <w:rFonts w:hint="eastAsia" w:ascii="宋体" w:hAnsi="宋体" w:eastAsia="宋体" w:cs="宋体"/>
      <w:b/>
      <w:color w:val="000000"/>
      <w:sz w:val="36"/>
      <w:szCs w:val="36"/>
      <w:u w:val="none"/>
    </w:rPr>
  </w:style>
  <w:style w:type="character" w:customStyle="1" w:styleId="79">
    <w:name w:val="font31"/>
    <w:basedOn w:val="26"/>
    <w:autoRedefine/>
    <w:qFormat/>
    <w:uiPriority w:val="0"/>
    <w:rPr>
      <w:rFonts w:hint="eastAsia" w:ascii="宋体" w:hAnsi="宋体" w:eastAsia="宋体" w:cs="宋体"/>
      <w:b/>
      <w:color w:val="000000"/>
      <w:sz w:val="20"/>
      <w:szCs w:val="20"/>
      <w:u w:val="none"/>
    </w:rPr>
  </w:style>
  <w:style w:type="character" w:customStyle="1" w:styleId="80">
    <w:name w:val="标题 4 Char"/>
    <w:link w:val="5"/>
    <w:autoRedefine/>
    <w:qFormat/>
    <w:uiPriority w:val="0"/>
    <w:rPr>
      <w:rFonts w:ascii="Arial" w:hAnsi="Arial" w:eastAsia="黑体"/>
      <w:b/>
      <w:bCs/>
      <w:kern w:val="0"/>
      <w:sz w:val="28"/>
      <w:szCs w:val="28"/>
    </w:rPr>
  </w:style>
  <w:style w:type="character" w:customStyle="1" w:styleId="81">
    <w:name w:val="fr"/>
    <w:basedOn w:val="26"/>
    <w:qFormat/>
    <w:uiPriority w:val="0"/>
  </w:style>
  <w:style w:type="character" w:customStyle="1" w:styleId="82">
    <w:name w:val="first-child"/>
    <w:basedOn w:val="26"/>
    <w:qFormat/>
    <w:uiPriority w:val="0"/>
    <w:rPr>
      <w:color w:val="1F3149"/>
      <w:sz w:val="24"/>
      <w:szCs w:val="24"/>
    </w:rPr>
  </w:style>
  <w:style w:type="character" w:customStyle="1" w:styleId="83">
    <w:name w:val="first-child1"/>
    <w:basedOn w:val="26"/>
    <w:qFormat/>
    <w:uiPriority w:val="0"/>
    <w:rPr>
      <w:color w:val="1F3149"/>
      <w:sz w:val="24"/>
      <w:szCs w:val="24"/>
    </w:rPr>
  </w:style>
  <w:style w:type="character" w:customStyle="1" w:styleId="84">
    <w:name w:val="icon_ds"/>
    <w:basedOn w:val="26"/>
    <w:qFormat/>
    <w:uiPriority w:val="0"/>
  </w:style>
  <w:style w:type="character" w:customStyle="1" w:styleId="85">
    <w:name w:val="icon_ds1"/>
    <w:basedOn w:val="26"/>
    <w:qFormat/>
    <w:uiPriority w:val="0"/>
    <w:rPr>
      <w:sz w:val="21"/>
      <w:szCs w:val="21"/>
    </w:rPr>
  </w:style>
  <w:style w:type="character" w:customStyle="1" w:styleId="86">
    <w:name w:val="xiadan"/>
    <w:basedOn w:val="26"/>
    <w:qFormat/>
    <w:uiPriority w:val="0"/>
    <w:rPr>
      <w:shd w:val="clear" w:color="auto" w:fill="E4393C"/>
    </w:rPr>
  </w:style>
  <w:style w:type="character" w:customStyle="1" w:styleId="87">
    <w:name w:val="icon_gys"/>
    <w:basedOn w:val="26"/>
    <w:qFormat/>
    <w:uiPriority w:val="0"/>
    <w:rPr>
      <w:sz w:val="21"/>
      <w:szCs w:val="21"/>
    </w:rPr>
  </w:style>
  <w:style w:type="character" w:customStyle="1" w:styleId="88">
    <w:name w:val="font01"/>
    <w:basedOn w:val="26"/>
    <w:qFormat/>
    <w:uiPriority w:val="0"/>
    <w:rPr>
      <w:rFonts w:hint="eastAsia" w:ascii="宋体" w:hAnsi="宋体" w:eastAsia="宋体" w:cs="宋体"/>
      <w:color w:val="000000"/>
      <w:sz w:val="24"/>
      <w:szCs w:val="24"/>
      <w:u w:val="none"/>
    </w:rPr>
  </w:style>
  <w:style w:type="paragraph" w:customStyle="1" w:styleId="89">
    <w:name w:val="Body text|1"/>
    <w:basedOn w:val="1"/>
    <w:qFormat/>
    <w:uiPriority w:val="0"/>
    <w:pPr>
      <w:spacing w:line="480" w:lineRule="auto"/>
      <w:ind w:firstLine="400"/>
    </w:pPr>
    <w:rPr>
      <w:rFonts w:ascii="宋体" w:hAnsi="宋体" w:cs="宋体"/>
      <w:sz w:val="18"/>
      <w:szCs w:val="18"/>
      <w:lang w:val="zh-TW" w:eastAsia="zh-TW" w:bidi="zh-TW"/>
    </w:rPr>
  </w:style>
  <w:style w:type="paragraph" w:customStyle="1" w:styleId="90">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91">
    <w:name w:val="No List1"/>
    <w:semiHidden/>
    <w:qFormat/>
    <w:uiPriority w:val="0"/>
    <w:pPr>
      <w:spacing w:after="160" w:line="259" w:lineRule="auto"/>
    </w:pPr>
    <w:rPr>
      <w:rFonts w:ascii="Calibri" w:hAnsi="Calibri" w:eastAsia="宋体" w:cs="Times New Roman"/>
      <w:sz w:val="22"/>
      <w:szCs w:val="22"/>
      <w:lang w:val="en-US" w:eastAsia="en-US" w:bidi="ar-SA"/>
    </w:rPr>
  </w:style>
  <w:style w:type="character" w:customStyle="1" w:styleId="92">
    <w:name w:val="font51"/>
    <w:basedOn w:val="26"/>
    <w:qFormat/>
    <w:uiPriority w:val="0"/>
    <w:rPr>
      <w:rFonts w:hint="eastAsia" w:ascii="宋体" w:hAnsi="宋体" w:eastAsia="宋体" w:cs="宋体"/>
      <w:b/>
      <w:bCs/>
      <w:color w:val="000000"/>
      <w:sz w:val="24"/>
      <w:szCs w:val="24"/>
      <w:u w:val="none"/>
    </w:rPr>
  </w:style>
  <w:style w:type="paragraph" w:styleId="9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2764</Words>
  <Characters>3036</Characters>
  <Lines>199</Lines>
  <Paragraphs>56</Paragraphs>
  <TotalTime>72</TotalTime>
  <ScaleCrop>false</ScaleCrop>
  <LinksUpToDate>false</LinksUpToDate>
  <CharactersWithSpaces>3089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2026-04-11T02:58:00Z</dcterms:created>
  <dc:creator>尹 勇</dc:creator>
  <cp:lastModifiedBy>鱼卷卷</cp:lastModifiedBy>
  <dcterms:modified xsi:type="dcterms:W3CDTF">2026-05-09T03:23:40Z</dcterms:modified>
  <dc:title>荥阳市自然资源和规划局荥阳市园地、林地、草地分等定级项目</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1083F49AA2A64F459B7B003F15D8E1A3_13</vt:lpwstr>
  </property>
  <property fmtid="{D5CDD505-2E9C-101B-9397-08002B2CF9AE}" pid="4" name="KSOTemplateDocerSaveRecord">
    <vt:lpwstr>eyJoZGlkIjoiNDY2OGFjYzNiYTBhYzk2YmY2OWU2NzZjMWE1NmUxZGMiLCJ1c2VySWQiOiIzMTE2MDEwMTUifQ==</vt:lpwstr>
  </property>
</Properties>
</file>