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B5B9C5">
      <w:pPr>
        <w:spacing w:line="360" w:lineRule="auto"/>
        <w:jc w:val="center"/>
        <w:rPr>
          <w:rFonts w:hint="eastAsia" w:ascii="宋体" w:hAnsi="宋体" w:eastAsia="宋体" w:cs="宋体"/>
          <w:b/>
          <w:bCs w:val="0"/>
          <w:sz w:val="52"/>
          <w:szCs w:val="52"/>
          <w:lang w:eastAsia="zh-CN"/>
        </w:rPr>
      </w:pPr>
    </w:p>
    <w:p w14:paraId="0C8C9939">
      <w:pPr>
        <w:spacing w:line="360" w:lineRule="auto"/>
        <w:jc w:val="center"/>
        <w:rPr>
          <w:rFonts w:hint="eastAsia" w:ascii="宋体" w:hAnsi="宋体" w:eastAsia="宋体" w:cs="宋体"/>
          <w:b/>
          <w:bCs w:val="0"/>
          <w:color w:val="FF0000"/>
          <w:sz w:val="48"/>
          <w:szCs w:val="48"/>
          <w:lang w:eastAsia="zh-CN"/>
        </w:rPr>
      </w:pPr>
      <w:r>
        <w:rPr>
          <w:rFonts w:hint="eastAsia" w:ascii="宋体" w:hAnsi="宋体" w:eastAsia="宋体" w:cs="宋体"/>
          <w:b/>
          <w:bCs w:val="0"/>
          <w:sz w:val="48"/>
          <w:szCs w:val="48"/>
          <w:lang w:eastAsia="zh-CN"/>
        </w:rPr>
        <w:t>信阳农林学院校园生活垃圾收集外运项目</w:t>
      </w:r>
    </w:p>
    <w:p w14:paraId="0A78D0A3">
      <w:pPr>
        <w:keepNext/>
        <w:keepLines/>
        <w:pageBreakBefore w:val="0"/>
        <w:widowControl w:val="0"/>
        <w:tabs>
          <w:tab w:val="left" w:pos="2712"/>
          <w:tab w:val="left" w:pos="4658"/>
          <w:tab w:val="left" w:pos="5157"/>
          <w:tab w:val="left" w:pos="6554"/>
        </w:tabs>
        <w:kinsoku/>
        <w:wordWrap/>
        <w:overflowPunct/>
        <w:topLinePunct w:val="0"/>
        <w:autoSpaceDE/>
        <w:autoSpaceDN/>
        <w:bidi w:val="0"/>
        <w:adjustRightInd/>
        <w:snapToGrid/>
        <w:jc w:val="both"/>
        <w:textAlignment w:val="auto"/>
        <w:outlineLvl w:val="9"/>
        <w:rPr>
          <w:rFonts w:hint="eastAsia" w:asciiTheme="minorEastAsia" w:hAnsiTheme="minorEastAsia" w:eastAsiaTheme="minorEastAsia" w:cstheme="minorEastAsia"/>
          <w:highlight w:val="none"/>
          <w:lang w:val="zh-CN" w:eastAsia="zh-CN"/>
        </w:rPr>
      </w:pPr>
    </w:p>
    <w:p w14:paraId="191B643D">
      <w:pPr>
        <w:jc w:val="center"/>
        <w:rPr>
          <w:rFonts w:hint="default" w:asciiTheme="minorEastAsia" w:hAnsiTheme="minorEastAsia" w:eastAsiaTheme="minorEastAsia" w:cstheme="minorEastAsia"/>
          <w:b/>
          <w:color w:val="auto"/>
          <w:sz w:val="36"/>
          <w:szCs w:val="36"/>
          <w:highlight w:val="none"/>
          <w:lang w:val="en-US" w:eastAsia="zh-CN"/>
        </w:rPr>
      </w:pPr>
      <w:r>
        <w:rPr>
          <w:rFonts w:hint="eastAsia" w:asciiTheme="minorEastAsia" w:hAnsiTheme="minorEastAsia" w:eastAsiaTheme="minorEastAsia" w:cstheme="minorEastAsia"/>
          <w:b/>
          <w:color w:val="auto"/>
          <w:sz w:val="36"/>
          <w:szCs w:val="36"/>
          <w:highlight w:val="none"/>
          <w:lang w:val="en-US" w:eastAsia="zh-CN"/>
        </w:rPr>
        <w:t xml:space="preserve">  </w:t>
      </w:r>
    </w:p>
    <w:p w14:paraId="3ED7B32E">
      <w:pPr>
        <w:jc w:val="center"/>
        <w:rPr>
          <w:rFonts w:hint="eastAsia" w:asciiTheme="minorEastAsia" w:hAnsiTheme="minorEastAsia" w:eastAsiaTheme="minorEastAsia" w:cstheme="minorEastAsia"/>
          <w:b/>
          <w:color w:val="auto"/>
          <w:sz w:val="36"/>
          <w:szCs w:val="36"/>
          <w:highlight w:val="none"/>
          <w:lang w:val="en-US" w:eastAsia="zh-CN"/>
        </w:rPr>
      </w:pPr>
      <w:r>
        <w:rPr>
          <w:rFonts w:hint="eastAsia" w:asciiTheme="minorEastAsia" w:hAnsiTheme="minorEastAsia" w:eastAsiaTheme="minorEastAsia" w:cstheme="minorEastAsia"/>
          <w:b/>
          <w:color w:val="auto"/>
          <w:sz w:val="36"/>
          <w:szCs w:val="36"/>
          <w:highlight w:val="none"/>
          <w:lang w:val="en-US" w:eastAsia="zh-CN"/>
        </w:rPr>
        <w:t xml:space="preserve"> </w:t>
      </w:r>
    </w:p>
    <w:p w14:paraId="009DBDFB">
      <w:pPr>
        <w:keepNext/>
        <w:keepLines/>
        <w:pageBreakBefore w:val="0"/>
        <w:widowControl w:val="0"/>
        <w:tabs>
          <w:tab w:val="left" w:pos="2712"/>
          <w:tab w:val="left" w:pos="4658"/>
          <w:tab w:val="left" w:pos="5157"/>
          <w:tab w:val="left" w:pos="6554"/>
        </w:tabs>
        <w:kinsoku/>
        <w:wordWrap/>
        <w:overflowPunct/>
        <w:topLinePunct w:val="0"/>
        <w:autoSpaceDE/>
        <w:autoSpaceDN/>
        <w:bidi w:val="0"/>
        <w:adjustRightInd/>
        <w:snapToGrid/>
        <w:textAlignment w:val="auto"/>
        <w:outlineLvl w:val="9"/>
        <w:rPr>
          <w:rFonts w:hint="eastAsia" w:asciiTheme="minorEastAsia" w:hAnsiTheme="minorEastAsia" w:eastAsiaTheme="minorEastAsia" w:cstheme="minorEastAsia"/>
          <w:highlight w:val="none"/>
          <w:lang w:val="en-US" w:eastAsia="zh-CN"/>
        </w:rPr>
      </w:pPr>
    </w:p>
    <w:p w14:paraId="30D7E459">
      <w:pPr>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b/>
          <w:color w:val="auto"/>
          <w:spacing w:val="20"/>
          <w:sz w:val="60"/>
          <w:szCs w:val="60"/>
          <w:highlight w:val="none"/>
        </w:rPr>
      </w:pPr>
      <w:r>
        <w:rPr>
          <w:rFonts w:hint="eastAsia" w:ascii="宋体" w:hAnsi="宋体" w:eastAsia="宋体" w:cs="宋体"/>
          <w:b/>
          <w:color w:val="auto"/>
          <w:spacing w:val="20"/>
          <w:sz w:val="72"/>
          <w:szCs w:val="72"/>
          <w:highlight w:val="none"/>
        </w:rPr>
        <w:t>竞争性磋商文件</w:t>
      </w:r>
    </w:p>
    <w:p w14:paraId="36A46FDE">
      <w:pPr>
        <w:pageBreakBefore w:val="0"/>
        <w:widowControl w:val="0"/>
        <w:kinsoku/>
        <w:wordWrap/>
        <w:overflowPunct/>
        <w:topLinePunct w:val="0"/>
        <w:autoSpaceDE/>
        <w:autoSpaceDN/>
        <w:bidi w:val="0"/>
        <w:adjustRightInd/>
        <w:snapToGrid/>
        <w:jc w:val="center"/>
        <w:textAlignment w:val="auto"/>
        <w:outlineLvl w:val="9"/>
        <w:rPr>
          <w:rFonts w:hint="eastAsia"/>
          <w:color w:val="auto"/>
        </w:rPr>
      </w:pPr>
      <w:r>
        <w:rPr>
          <w:rFonts w:hint="eastAsia" w:asciiTheme="minorEastAsia" w:hAnsiTheme="minorEastAsia" w:eastAsiaTheme="minorEastAsia" w:cstheme="minorEastAsia"/>
          <w:b/>
          <w:color w:val="auto"/>
          <w:sz w:val="36"/>
          <w:szCs w:val="36"/>
          <w:highlight w:val="none"/>
          <w:lang w:val="en-US" w:eastAsia="zh-CN"/>
        </w:rPr>
        <w:t xml:space="preserve">采购编号：信财磋商采购-2026-31 </w:t>
      </w:r>
    </w:p>
    <w:p w14:paraId="5B6989FE">
      <w:pPr>
        <w:jc w:val="center"/>
        <w:rPr>
          <w:rFonts w:hint="eastAsia" w:asciiTheme="minorEastAsia" w:hAnsiTheme="minorEastAsia" w:eastAsiaTheme="minorEastAsia" w:cstheme="minorEastAsia"/>
          <w:color w:val="auto"/>
          <w:sz w:val="28"/>
          <w:highlight w:val="none"/>
        </w:rPr>
      </w:pPr>
      <w:r>
        <w:rPr>
          <w:rFonts w:hint="eastAsia" w:asciiTheme="minorEastAsia" w:hAnsiTheme="minorEastAsia" w:eastAsiaTheme="minorEastAsia" w:cstheme="minorEastAsia"/>
          <w:highlight w:val="none"/>
          <w:lang w:eastAsia="zh-CN"/>
        </w:rPr>
        <w:drawing>
          <wp:anchor distT="0" distB="0" distL="114300" distR="114300" simplePos="0" relativeHeight="251660288" behindDoc="0" locked="0" layoutInCell="1" allowOverlap="1">
            <wp:simplePos x="0" y="0"/>
            <wp:positionH relativeFrom="column">
              <wp:posOffset>1392555</wp:posOffset>
            </wp:positionH>
            <wp:positionV relativeFrom="paragraph">
              <wp:posOffset>99695</wp:posOffset>
            </wp:positionV>
            <wp:extent cx="3086100" cy="2208530"/>
            <wp:effectExtent l="0" t="0" r="7620" b="1270"/>
            <wp:wrapSquare wrapText="bothSides"/>
            <wp:docPr id="2" name="图片 1" descr="微信图片_20211127154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微信图片_20211127154032"/>
                    <pic:cNvPicPr>
                      <a:picLocks noChangeAspect="1"/>
                    </pic:cNvPicPr>
                  </pic:nvPicPr>
                  <pic:blipFill>
                    <a:blip r:embed="rId9"/>
                    <a:srcRect l="12804" t="22441" r="11864" b="23657"/>
                    <a:stretch>
                      <a:fillRect/>
                    </a:stretch>
                  </pic:blipFill>
                  <pic:spPr>
                    <a:xfrm>
                      <a:off x="0" y="0"/>
                      <a:ext cx="3086100" cy="2208530"/>
                    </a:xfrm>
                    <a:prstGeom prst="rect">
                      <a:avLst/>
                    </a:prstGeom>
                    <a:noFill/>
                    <a:ln>
                      <a:noFill/>
                    </a:ln>
                  </pic:spPr>
                </pic:pic>
              </a:graphicData>
            </a:graphic>
          </wp:anchor>
        </w:drawing>
      </w:r>
    </w:p>
    <w:p w14:paraId="67FCD298">
      <w:pPr>
        <w:rPr>
          <w:rFonts w:hint="eastAsia" w:asciiTheme="minorEastAsia" w:hAnsiTheme="minorEastAsia" w:eastAsiaTheme="minorEastAsia" w:cstheme="minorEastAsia"/>
          <w:color w:val="auto"/>
          <w:sz w:val="28"/>
          <w:highlight w:val="none"/>
        </w:rPr>
      </w:pPr>
    </w:p>
    <w:p w14:paraId="2BF26C07">
      <w:pPr>
        <w:pStyle w:val="24"/>
        <w:rPr>
          <w:rFonts w:hint="eastAsia" w:asciiTheme="minorEastAsia" w:hAnsiTheme="minorEastAsia" w:eastAsiaTheme="minorEastAsia" w:cstheme="minorEastAsia"/>
          <w:color w:val="auto"/>
          <w:kern w:val="0"/>
          <w:sz w:val="32"/>
          <w:szCs w:val="32"/>
          <w:highlight w:val="none"/>
        </w:rPr>
      </w:pPr>
    </w:p>
    <w:p w14:paraId="6193167B">
      <w:pPr>
        <w:pStyle w:val="24"/>
        <w:rPr>
          <w:rFonts w:hint="eastAsia" w:asciiTheme="minorEastAsia" w:hAnsiTheme="minorEastAsia" w:eastAsiaTheme="minorEastAsia" w:cstheme="minorEastAsia"/>
          <w:color w:val="auto"/>
          <w:kern w:val="0"/>
          <w:sz w:val="32"/>
          <w:szCs w:val="32"/>
          <w:highlight w:val="none"/>
        </w:rPr>
      </w:pPr>
    </w:p>
    <w:p w14:paraId="609ADB61">
      <w:pPr>
        <w:pStyle w:val="24"/>
        <w:rPr>
          <w:rFonts w:hint="eastAsia" w:asciiTheme="minorEastAsia" w:hAnsiTheme="minorEastAsia" w:eastAsiaTheme="minorEastAsia" w:cstheme="minorEastAsia"/>
          <w:color w:val="auto"/>
          <w:kern w:val="0"/>
          <w:sz w:val="32"/>
          <w:szCs w:val="32"/>
          <w:highlight w:val="none"/>
        </w:rPr>
      </w:pPr>
    </w:p>
    <w:p w14:paraId="53E6A30D">
      <w:pPr>
        <w:keepNext w:val="0"/>
        <w:keepLines w:val="0"/>
        <w:pageBreakBefore w:val="0"/>
        <w:widowControl/>
        <w:kinsoku/>
        <w:wordWrap/>
        <w:overflowPunct/>
        <w:topLinePunct w:val="0"/>
        <w:autoSpaceDE/>
        <w:autoSpaceDN/>
        <w:bidi w:val="0"/>
        <w:adjustRightInd/>
        <w:snapToGrid/>
        <w:spacing w:line="720" w:lineRule="auto"/>
        <w:jc w:val="center"/>
        <w:textAlignment w:val="auto"/>
        <w:rPr>
          <w:rFonts w:hint="eastAsia" w:asciiTheme="minorEastAsia" w:hAnsiTheme="minorEastAsia" w:eastAsiaTheme="minorEastAsia" w:cstheme="minorEastAsia"/>
          <w:b/>
          <w:bCs/>
          <w:color w:val="auto"/>
          <w:kern w:val="0"/>
          <w:sz w:val="40"/>
          <w:szCs w:val="40"/>
          <w:highlight w:val="none"/>
          <w:lang w:eastAsia="zh-CN"/>
        </w:rPr>
      </w:pPr>
    </w:p>
    <w:p w14:paraId="3F92A684">
      <w:pPr>
        <w:keepNext w:val="0"/>
        <w:keepLines w:val="0"/>
        <w:pageBreakBefore w:val="0"/>
        <w:widowControl/>
        <w:kinsoku/>
        <w:wordWrap/>
        <w:overflowPunct/>
        <w:topLinePunct w:val="0"/>
        <w:autoSpaceDE/>
        <w:autoSpaceDN/>
        <w:bidi w:val="0"/>
        <w:adjustRightInd/>
        <w:snapToGrid/>
        <w:spacing w:line="720" w:lineRule="auto"/>
        <w:jc w:val="center"/>
        <w:textAlignment w:val="auto"/>
        <w:rPr>
          <w:rFonts w:hint="eastAsia" w:asciiTheme="minorEastAsia" w:hAnsiTheme="minorEastAsia" w:eastAsiaTheme="minorEastAsia" w:cstheme="minorEastAsia"/>
          <w:b/>
          <w:bCs/>
          <w:color w:val="auto"/>
          <w:kern w:val="0"/>
          <w:sz w:val="40"/>
          <w:szCs w:val="40"/>
          <w:highlight w:val="none"/>
          <w:lang w:eastAsia="zh-CN"/>
        </w:rPr>
      </w:pPr>
    </w:p>
    <w:p w14:paraId="796E6425">
      <w:pPr>
        <w:keepNext/>
        <w:keepLines/>
        <w:pageBreakBefore w:val="0"/>
        <w:widowControl w:val="0"/>
        <w:kinsoku/>
        <w:wordWrap/>
        <w:overflowPunct/>
        <w:topLinePunct w:val="0"/>
        <w:autoSpaceDE/>
        <w:autoSpaceDN/>
        <w:bidi w:val="0"/>
        <w:adjustRightInd/>
        <w:snapToGrid/>
        <w:textAlignment w:val="auto"/>
        <w:outlineLvl w:val="9"/>
        <w:rPr>
          <w:rFonts w:hint="eastAsia"/>
          <w:highlight w:val="none"/>
          <w:lang w:eastAsia="zh-CN"/>
        </w:rPr>
      </w:pPr>
    </w:p>
    <w:p w14:paraId="4C15CD58">
      <w:pPr>
        <w:keepNext w:val="0"/>
        <w:keepLines w:val="0"/>
        <w:pageBreakBefore w:val="0"/>
        <w:widowControl/>
        <w:kinsoku/>
        <w:wordWrap/>
        <w:overflowPunct/>
        <w:topLinePunct w:val="0"/>
        <w:autoSpaceDE/>
        <w:autoSpaceDN/>
        <w:bidi w:val="0"/>
        <w:adjustRightInd/>
        <w:snapToGrid/>
        <w:spacing w:line="480" w:lineRule="auto"/>
        <w:ind w:firstLine="1084" w:firstLineChars="300"/>
        <w:jc w:val="left"/>
        <w:textAlignment w:val="auto"/>
        <w:rPr>
          <w:rFonts w:hint="eastAsia" w:asciiTheme="minorEastAsia" w:hAnsiTheme="minorEastAsia" w:eastAsiaTheme="minorEastAsia" w:cstheme="minorEastAsia"/>
          <w:b/>
          <w:bCs w:val="0"/>
          <w:color w:val="auto"/>
          <w:sz w:val="36"/>
          <w:szCs w:val="36"/>
          <w:highlight w:val="none"/>
          <w:lang w:eastAsia="zh-CN"/>
        </w:rPr>
      </w:pPr>
      <w:r>
        <w:rPr>
          <w:rFonts w:hint="eastAsia" w:asciiTheme="minorEastAsia" w:hAnsiTheme="minorEastAsia" w:eastAsiaTheme="minorEastAsia" w:cstheme="minorEastAsia"/>
          <w:b/>
          <w:bCs/>
          <w:color w:val="auto"/>
          <w:kern w:val="0"/>
          <w:sz w:val="36"/>
          <w:szCs w:val="36"/>
          <w:highlight w:val="none"/>
          <w:lang w:eastAsia="zh-CN"/>
        </w:rPr>
        <w:t>采</w:t>
      </w:r>
      <w:r>
        <w:rPr>
          <w:rFonts w:hint="eastAsia" w:asciiTheme="minorEastAsia" w:hAnsiTheme="minorEastAsia" w:eastAsiaTheme="minorEastAsia" w:cstheme="minorEastAsia"/>
          <w:b/>
          <w:bCs/>
          <w:color w:val="auto"/>
          <w:kern w:val="0"/>
          <w:sz w:val="36"/>
          <w:szCs w:val="36"/>
          <w:highlight w:val="none"/>
          <w:lang w:val="en-US" w:eastAsia="zh-CN"/>
        </w:rPr>
        <w:t xml:space="preserve">   </w:t>
      </w:r>
      <w:r>
        <w:rPr>
          <w:rFonts w:hint="eastAsia" w:asciiTheme="minorEastAsia" w:hAnsiTheme="minorEastAsia" w:eastAsiaTheme="minorEastAsia" w:cstheme="minorEastAsia"/>
          <w:b/>
          <w:bCs/>
          <w:color w:val="auto"/>
          <w:kern w:val="0"/>
          <w:sz w:val="36"/>
          <w:szCs w:val="36"/>
          <w:highlight w:val="none"/>
          <w:lang w:eastAsia="zh-CN"/>
        </w:rPr>
        <w:t>购</w:t>
      </w:r>
      <w:r>
        <w:rPr>
          <w:rFonts w:hint="eastAsia" w:asciiTheme="minorEastAsia" w:hAnsiTheme="minorEastAsia" w:eastAsiaTheme="minorEastAsia" w:cstheme="minorEastAsia"/>
          <w:b/>
          <w:bCs/>
          <w:color w:val="auto"/>
          <w:kern w:val="0"/>
          <w:sz w:val="36"/>
          <w:szCs w:val="36"/>
          <w:highlight w:val="none"/>
          <w:lang w:val="en-US" w:eastAsia="zh-CN"/>
        </w:rPr>
        <w:t xml:space="preserve">   </w:t>
      </w:r>
      <w:r>
        <w:rPr>
          <w:rFonts w:hint="eastAsia" w:asciiTheme="minorEastAsia" w:hAnsiTheme="minorEastAsia" w:eastAsiaTheme="minorEastAsia" w:cstheme="minorEastAsia"/>
          <w:b/>
          <w:bCs/>
          <w:color w:val="auto"/>
          <w:kern w:val="0"/>
          <w:sz w:val="36"/>
          <w:szCs w:val="36"/>
          <w:highlight w:val="none"/>
        </w:rPr>
        <w:t>人</w:t>
      </w:r>
      <w:r>
        <w:rPr>
          <w:rFonts w:hint="eastAsia" w:asciiTheme="minorEastAsia" w:hAnsiTheme="minorEastAsia" w:eastAsiaTheme="minorEastAsia" w:cstheme="minorEastAsia"/>
          <w:b/>
          <w:bCs/>
          <w:color w:val="auto"/>
          <w:kern w:val="0"/>
          <w:sz w:val="36"/>
          <w:szCs w:val="36"/>
          <w:highlight w:val="none"/>
          <w:lang w:eastAsia="zh-CN"/>
        </w:rPr>
        <w:t>：</w:t>
      </w:r>
      <w:r>
        <w:rPr>
          <w:rFonts w:hint="eastAsia" w:ascii="宋体" w:hAnsi="宋体" w:eastAsia="宋体" w:cs="宋体"/>
          <w:b/>
          <w:bCs/>
          <w:sz w:val="34"/>
          <w:lang w:eastAsia="zh-CN"/>
        </w:rPr>
        <w:t>信阳农林学院</w:t>
      </w:r>
    </w:p>
    <w:p w14:paraId="6EA2E197">
      <w:pPr>
        <w:keepNext w:val="0"/>
        <w:keepLines w:val="0"/>
        <w:pageBreakBefore w:val="0"/>
        <w:widowControl/>
        <w:kinsoku/>
        <w:wordWrap/>
        <w:overflowPunct/>
        <w:topLinePunct w:val="0"/>
        <w:autoSpaceDE/>
        <w:autoSpaceDN/>
        <w:bidi w:val="0"/>
        <w:adjustRightInd/>
        <w:snapToGrid/>
        <w:spacing w:line="480" w:lineRule="auto"/>
        <w:ind w:firstLine="1084" w:firstLineChars="300"/>
        <w:jc w:val="left"/>
        <w:textAlignment w:val="auto"/>
        <w:rPr>
          <w:rFonts w:hint="eastAsia" w:asciiTheme="minorEastAsia" w:hAnsiTheme="minorEastAsia" w:eastAsiaTheme="minorEastAsia" w:cstheme="minorEastAsia"/>
          <w:b/>
          <w:bCs/>
          <w:color w:val="auto"/>
          <w:kern w:val="0"/>
          <w:sz w:val="36"/>
          <w:szCs w:val="36"/>
          <w:highlight w:val="none"/>
          <w:lang w:eastAsia="zh-CN"/>
        </w:rPr>
      </w:pPr>
      <w:r>
        <w:rPr>
          <w:rFonts w:hint="eastAsia" w:asciiTheme="minorEastAsia" w:hAnsiTheme="minorEastAsia" w:eastAsiaTheme="minorEastAsia" w:cstheme="minorEastAsia"/>
          <w:b/>
          <w:bCs/>
          <w:color w:val="auto"/>
          <w:kern w:val="0"/>
          <w:sz w:val="36"/>
          <w:szCs w:val="36"/>
          <w:highlight w:val="none"/>
          <w:lang w:eastAsia="zh-CN"/>
        </w:rPr>
        <w:t>采购代理机构：</w:t>
      </w:r>
      <w:r>
        <w:rPr>
          <w:rFonts w:hint="eastAsia" w:asciiTheme="minorEastAsia" w:hAnsiTheme="minorEastAsia" w:eastAsiaTheme="minorEastAsia" w:cstheme="minorEastAsia"/>
          <w:b/>
          <w:bCs/>
          <w:color w:val="auto"/>
          <w:kern w:val="0"/>
          <w:sz w:val="36"/>
          <w:szCs w:val="36"/>
          <w:highlight w:val="none"/>
          <w:lang w:val="en-US" w:eastAsia="zh-CN"/>
        </w:rPr>
        <w:t>中亿正恒工程管理有限公司</w:t>
      </w:r>
    </w:p>
    <w:p w14:paraId="310E1A64">
      <w:pPr>
        <w:keepNext w:val="0"/>
        <w:keepLines w:val="0"/>
        <w:pageBreakBefore w:val="0"/>
        <w:widowControl/>
        <w:kinsoku/>
        <w:wordWrap/>
        <w:overflowPunct/>
        <w:topLinePunct w:val="0"/>
        <w:autoSpaceDE/>
        <w:autoSpaceDN/>
        <w:bidi w:val="0"/>
        <w:adjustRightInd/>
        <w:snapToGrid/>
        <w:spacing w:line="480" w:lineRule="auto"/>
        <w:ind w:firstLine="1084" w:firstLineChars="300"/>
        <w:jc w:val="left"/>
        <w:textAlignment w:val="auto"/>
        <w:rPr>
          <w:rFonts w:hint="eastAsia" w:asciiTheme="minorEastAsia" w:hAnsiTheme="minorEastAsia" w:eastAsiaTheme="minorEastAsia" w:cstheme="minorEastAsia"/>
          <w:b/>
          <w:bCs/>
          <w:color w:val="auto"/>
          <w:kern w:val="0"/>
          <w:sz w:val="36"/>
          <w:szCs w:val="36"/>
          <w:highlight w:val="none"/>
          <w:lang w:eastAsia="zh-CN"/>
        </w:rPr>
      </w:pPr>
      <w:r>
        <w:rPr>
          <w:rFonts w:hint="eastAsia" w:asciiTheme="minorEastAsia" w:hAnsiTheme="minorEastAsia" w:eastAsiaTheme="minorEastAsia" w:cstheme="minorEastAsia"/>
          <w:b/>
          <w:bCs/>
          <w:color w:val="auto"/>
          <w:kern w:val="0"/>
          <w:sz w:val="36"/>
          <w:szCs w:val="36"/>
          <w:highlight w:val="none"/>
          <w:lang w:eastAsia="zh-CN"/>
        </w:rPr>
        <w:t>日</w:t>
      </w:r>
      <w:r>
        <w:rPr>
          <w:rFonts w:hint="eastAsia" w:asciiTheme="minorEastAsia" w:hAnsiTheme="minorEastAsia" w:eastAsiaTheme="minorEastAsia" w:cstheme="minorEastAsia"/>
          <w:b/>
          <w:bCs/>
          <w:color w:val="auto"/>
          <w:kern w:val="0"/>
          <w:sz w:val="36"/>
          <w:szCs w:val="36"/>
          <w:highlight w:val="none"/>
          <w:lang w:val="en-US" w:eastAsia="zh-CN"/>
        </w:rPr>
        <w:t xml:space="preserve">        </w:t>
      </w:r>
      <w:r>
        <w:rPr>
          <w:rFonts w:hint="eastAsia" w:asciiTheme="minorEastAsia" w:hAnsiTheme="minorEastAsia" w:eastAsiaTheme="minorEastAsia" w:cstheme="minorEastAsia"/>
          <w:b/>
          <w:bCs/>
          <w:color w:val="auto"/>
          <w:kern w:val="0"/>
          <w:sz w:val="36"/>
          <w:szCs w:val="36"/>
          <w:highlight w:val="none"/>
          <w:lang w:eastAsia="zh-CN"/>
        </w:rPr>
        <w:t>期：二</w:t>
      </w:r>
      <w:r>
        <w:rPr>
          <w:rFonts w:hint="eastAsia" w:asciiTheme="minorEastAsia" w:hAnsiTheme="minorEastAsia" w:eastAsiaTheme="minorEastAsia" w:cstheme="minorEastAsia"/>
          <w:b/>
          <w:bCs/>
          <w:color w:val="auto"/>
          <w:kern w:val="0"/>
          <w:sz w:val="36"/>
          <w:szCs w:val="36"/>
          <w:highlight w:val="none"/>
          <w:lang w:val="en-US" w:eastAsia="zh-CN"/>
        </w:rPr>
        <w:t>〇</w:t>
      </w:r>
      <w:r>
        <w:rPr>
          <w:rFonts w:hint="eastAsia" w:asciiTheme="minorEastAsia" w:hAnsiTheme="minorEastAsia" w:eastAsiaTheme="minorEastAsia" w:cstheme="minorEastAsia"/>
          <w:b/>
          <w:bCs/>
          <w:color w:val="auto"/>
          <w:kern w:val="0"/>
          <w:sz w:val="36"/>
          <w:szCs w:val="36"/>
          <w:highlight w:val="none"/>
          <w:lang w:eastAsia="zh-CN"/>
        </w:rPr>
        <w:t>二</w:t>
      </w:r>
      <w:r>
        <w:rPr>
          <w:rFonts w:hint="eastAsia" w:asciiTheme="minorEastAsia" w:hAnsiTheme="minorEastAsia" w:eastAsiaTheme="minorEastAsia" w:cstheme="minorEastAsia"/>
          <w:b/>
          <w:bCs/>
          <w:color w:val="auto"/>
          <w:kern w:val="0"/>
          <w:sz w:val="36"/>
          <w:szCs w:val="36"/>
          <w:highlight w:val="none"/>
          <w:lang w:val="en-US" w:eastAsia="zh-CN"/>
        </w:rPr>
        <w:t>六</w:t>
      </w:r>
      <w:r>
        <w:rPr>
          <w:rFonts w:hint="eastAsia" w:asciiTheme="minorEastAsia" w:hAnsiTheme="minorEastAsia" w:eastAsiaTheme="minorEastAsia" w:cstheme="minorEastAsia"/>
          <w:b/>
          <w:bCs/>
          <w:color w:val="auto"/>
          <w:kern w:val="0"/>
          <w:sz w:val="36"/>
          <w:szCs w:val="36"/>
          <w:highlight w:val="none"/>
          <w:lang w:eastAsia="zh-CN"/>
        </w:rPr>
        <w:t>年</w:t>
      </w:r>
      <w:r>
        <w:rPr>
          <w:rFonts w:hint="eastAsia" w:asciiTheme="minorEastAsia" w:hAnsiTheme="minorEastAsia" w:eastAsiaTheme="minorEastAsia" w:cstheme="minorEastAsia"/>
          <w:b/>
          <w:bCs/>
          <w:color w:val="auto"/>
          <w:kern w:val="0"/>
          <w:sz w:val="36"/>
          <w:szCs w:val="36"/>
          <w:highlight w:val="none"/>
          <w:lang w:val="en-US" w:eastAsia="zh-CN"/>
        </w:rPr>
        <w:t>七</w:t>
      </w:r>
      <w:r>
        <w:rPr>
          <w:rFonts w:hint="eastAsia" w:asciiTheme="minorEastAsia" w:hAnsiTheme="minorEastAsia" w:eastAsiaTheme="minorEastAsia" w:cstheme="minorEastAsia"/>
          <w:b/>
          <w:bCs/>
          <w:color w:val="auto"/>
          <w:kern w:val="0"/>
          <w:sz w:val="36"/>
          <w:szCs w:val="36"/>
          <w:highlight w:val="none"/>
          <w:lang w:eastAsia="zh-CN"/>
        </w:rPr>
        <w:t>月</w:t>
      </w:r>
    </w:p>
    <w:p w14:paraId="1934BD06">
      <w:pPr>
        <w:shd w:val="clear"/>
        <w:ind w:left="0" w:leftChars="0" w:firstLine="0" w:firstLineChars="0"/>
        <w:jc w:val="center"/>
        <w:rPr>
          <w:rFonts w:hint="eastAsia" w:asciiTheme="minorEastAsia" w:hAnsiTheme="minorEastAsia" w:eastAsiaTheme="minorEastAsia" w:cstheme="minorEastAsia"/>
          <w:b/>
          <w:bCs/>
          <w:color w:val="auto"/>
          <w:sz w:val="32"/>
          <w:szCs w:val="32"/>
          <w:highlight w:val="none"/>
        </w:rPr>
      </w:pPr>
    </w:p>
    <w:p w14:paraId="334D1E8E">
      <w:pPr>
        <w:shd w:val="clear"/>
        <w:ind w:left="0" w:leftChars="0" w:firstLine="0" w:firstLineChars="0"/>
        <w:jc w:val="center"/>
        <w:rPr>
          <w:rFonts w:hint="eastAsia" w:asciiTheme="minorEastAsia" w:hAnsiTheme="minorEastAsia" w:eastAsiaTheme="minorEastAsia" w:cstheme="minorEastAsia"/>
          <w:b/>
          <w:bCs/>
          <w:color w:val="auto"/>
          <w:sz w:val="32"/>
          <w:szCs w:val="32"/>
          <w:highlight w:val="none"/>
        </w:rPr>
        <w:sectPr>
          <w:headerReference r:id="rId3" w:type="default"/>
          <w:pgSz w:w="11905" w:h="16838"/>
          <w:pgMar w:top="1134" w:right="1417" w:bottom="1417" w:left="1417" w:header="850" w:footer="850" w:gutter="0"/>
          <w:pgNumType w:fmt="decimal"/>
          <w:cols w:space="0" w:num="1"/>
          <w:rtlGutter w:val="0"/>
          <w:docGrid w:type="lines" w:linePitch="317" w:charSpace="0"/>
        </w:sectPr>
      </w:pPr>
    </w:p>
    <w:p w14:paraId="3EA5714C">
      <w:pPr>
        <w:pStyle w:val="5"/>
        <w:pageBreakBefore w:val="0"/>
        <w:widowControl w:val="0"/>
        <w:kinsoku/>
        <w:wordWrap/>
        <w:overflowPunct/>
        <w:topLinePunct w:val="0"/>
        <w:autoSpaceDE/>
        <w:autoSpaceDN/>
        <w:bidi w:val="0"/>
        <w:adjustRightInd/>
        <w:snapToGrid/>
        <w:ind w:firstLine="643" w:firstLineChars="200"/>
        <w:jc w:val="center"/>
        <w:textAlignment w:val="auto"/>
        <w:outlineLvl w:val="9"/>
        <w:rPr>
          <w:rFonts w:hint="eastAsia" w:ascii="宋体" w:hAnsi="宋体" w:eastAsia="宋体" w:cs="宋体"/>
          <w:b/>
          <w:bCs/>
          <w:sz w:val="32"/>
          <w:szCs w:val="32"/>
        </w:rPr>
      </w:pPr>
      <w:r>
        <w:rPr>
          <w:rFonts w:hint="eastAsia" w:ascii="宋体" w:hAnsi="宋体" w:eastAsia="宋体" w:cs="宋体"/>
          <w:b/>
          <w:bCs/>
          <w:sz w:val="32"/>
          <w:szCs w:val="32"/>
        </w:rPr>
        <w:t>致政府采购供应商和代理机构的一封信</w:t>
      </w:r>
    </w:p>
    <w:p w14:paraId="173F3747">
      <w:pPr>
        <w:pStyle w:val="5"/>
        <w:pageBreakBefore w:val="0"/>
        <w:widowControl w:val="0"/>
        <w:kinsoku/>
        <w:wordWrap/>
        <w:overflowPunct/>
        <w:topLinePunct w:val="0"/>
        <w:autoSpaceDE/>
        <w:autoSpaceDN/>
        <w:bidi w:val="0"/>
        <w:adjustRightInd/>
        <w:snapToGrid/>
        <w:ind w:firstLine="420" w:firstLineChars="200"/>
        <w:jc w:val="left"/>
        <w:textAlignment w:val="auto"/>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尊敬的政府采购供应商、代理机构：</w:t>
      </w:r>
    </w:p>
    <w:p w14:paraId="04660F98">
      <w:pPr>
        <w:pStyle w:val="5"/>
        <w:pageBreakBefore w:val="0"/>
        <w:widowControl w:val="0"/>
        <w:kinsoku/>
        <w:wordWrap/>
        <w:overflowPunct/>
        <w:topLinePunct w:val="0"/>
        <w:autoSpaceDE/>
        <w:autoSpaceDN/>
        <w:bidi w:val="0"/>
        <w:adjustRightInd/>
        <w:snapToGrid/>
        <w:ind w:firstLine="420" w:firstLineChars="200"/>
        <w:jc w:val="left"/>
        <w:textAlignment w:val="auto"/>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您好！非常感谢您一直以来对信阳市政府采购活动的关心和支持！</w:t>
      </w:r>
    </w:p>
    <w:p w14:paraId="504FB529">
      <w:pPr>
        <w:pStyle w:val="5"/>
        <w:pageBreakBefore w:val="0"/>
        <w:widowControl w:val="0"/>
        <w:kinsoku/>
        <w:wordWrap/>
        <w:overflowPunct/>
        <w:topLinePunct w:val="0"/>
        <w:autoSpaceDE/>
        <w:autoSpaceDN/>
        <w:bidi w:val="0"/>
        <w:adjustRightInd/>
        <w:snapToGrid/>
        <w:ind w:firstLine="420" w:firstLineChars="200"/>
        <w:jc w:val="left"/>
        <w:textAlignment w:val="auto"/>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近年来，信阳市财政局坚持以“服务企业、服务市场、服务基层”为出发点，以规范制度为抓手，以便民利企为目标，通过完善政府采购制度，优化政府采购流程，压缩办理时限，持续提升政府采购电子化水平，推进政府采购工作高效、规范、阳光运行。</w:t>
      </w:r>
    </w:p>
    <w:p w14:paraId="4683EF48">
      <w:pPr>
        <w:pStyle w:val="5"/>
        <w:pageBreakBefore w:val="0"/>
        <w:widowControl w:val="0"/>
        <w:kinsoku/>
        <w:wordWrap/>
        <w:overflowPunct/>
        <w:topLinePunct w:val="0"/>
        <w:autoSpaceDE/>
        <w:autoSpaceDN/>
        <w:bidi w:val="0"/>
        <w:adjustRightInd/>
        <w:snapToGrid/>
        <w:ind w:firstLine="420" w:firstLineChars="200"/>
        <w:jc w:val="left"/>
        <w:textAlignment w:val="auto"/>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为持续优化信阳市政府采购领域营商环境，信阳市财政局成立优化营商环境工作领导小组，定期召开优化营商环境调度会、推进会，党组成员带头解决重大问题，带头完成节点任务，带头落实惠企政策，以工作机制创新推进工作延伸。一是持续为各交易主体提供优质服务。在法律职权内明确采购人主体责任，减少审批事项；汇编印发政府采购相关政策规定和政府采购操作指南及流程图，方便各交易主体参与我市政府采购活动；启用“不见面开标评标”系统，实现招标采购的全流程电子化。二是落实惠企政策。免收招标文件费用、投标保证金、履约保证金，货物类、服务类政府采购项目免收质量保证金，工程类政府采购项目收取不超过合同金额3%的质量保证金，且不得以现金形式收取，建议采购人根据项目实际情况免收质量保证金；给予中小微企业价格扣除优惠，货物服务采购项目给予小微企业报价的15%-20%（工程项目为5%）扣除优惠，用扣除后的价格参与评审；鼓励采购人提高首付款或预付款比例，首付款或预付款支付比例原则上不低于合同金额的50%，对于中小微企业，首付款或预付款支付比例可提高至不低于合同金额的70%；加大政府采购合同融资政策宣传，推进政府采购合同融资，为中标企业开辟融资“绿色通道”。三是设置政府采购项目服务专员，提供全流程服务。信阳市财政局在每个部门预算科室设立一名政府采购项目服务专员，全流程为中标供应商服务。在政府采购项目中，遇到任何问题均可以和服务专员联系，如采购人不按照规定签订合同、不按照合同约定对项目履约验收、不按照合同约定付款等问题。</w:t>
      </w:r>
    </w:p>
    <w:p w14:paraId="24E889AD">
      <w:pPr>
        <w:pStyle w:val="5"/>
        <w:pageBreakBefore w:val="0"/>
        <w:widowControl w:val="0"/>
        <w:kinsoku/>
        <w:wordWrap/>
        <w:overflowPunct/>
        <w:topLinePunct w:val="0"/>
        <w:autoSpaceDE/>
        <w:autoSpaceDN/>
        <w:bidi w:val="0"/>
        <w:adjustRightInd/>
        <w:snapToGrid/>
        <w:ind w:firstLine="420" w:firstLineChars="200"/>
        <w:jc w:val="left"/>
        <w:textAlignment w:val="auto"/>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尽管做了一些工作，但我们深知，离贵公司的期望还有差距。恳请贵公司对我们的工作提出宝贵意见，并持续给予关注、支持和监督！</w:t>
      </w:r>
    </w:p>
    <w:p w14:paraId="06DE09D5">
      <w:pPr>
        <w:pStyle w:val="5"/>
        <w:pageBreakBefore w:val="0"/>
        <w:widowControl w:val="0"/>
        <w:kinsoku/>
        <w:wordWrap/>
        <w:overflowPunct/>
        <w:topLinePunct w:val="0"/>
        <w:autoSpaceDE/>
        <w:autoSpaceDN/>
        <w:bidi w:val="0"/>
        <w:adjustRightInd/>
        <w:snapToGrid/>
        <w:ind w:firstLine="420" w:firstLineChars="200"/>
        <w:jc w:val="left"/>
        <w:textAlignment w:val="auto"/>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凡涉及信阳市政府采购领域营商环境的任何问题，贵公司均可通过专线电话0376-6699123、电子邮箱czyszb228@163.com，与信阳市财政局优化营商环境办公室随时沟通交流，我们将竭诚为各位供应商服务，全力解决贵公司遇到的困难。</w:t>
      </w:r>
    </w:p>
    <w:p w14:paraId="1435AEB2">
      <w:pPr>
        <w:pStyle w:val="5"/>
        <w:pageBreakBefore w:val="0"/>
        <w:widowControl w:val="0"/>
        <w:kinsoku/>
        <w:wordWrap/>
        <w:overflowPunct/>
        <w:topLinePunct w:val="0"/>
        <w:autoSpaceDE/>
        <w:autoSpaceDN/>
        <w:bidi w:val="0"/>
        <w:adjustRightInd/>
        <w:snapToGrid/>
        <w:ind w:firstLine="420" w:firstLineChars="200"/>
        <w:jc w:val="left"/>
        <w:textAlignment w:val="auto"/>
        <w:outlineLvl w:val="9"/>
        <w:rPr>
          <w:rFonts w:hint="eastAsia" w:ascii="宋体" w:hAnsi="宋体" w:eastAsia="宋体" w:cs="宋体"/>
          <w:b w:val="0"/>
          <w:bCs w:val="0"/>
          <w:sz w:val="21"/>
          <w:szCs w:val="21"/>
        </w:rPr>
      </w:pPr>
      <w:r>
        <w:rPr>
          <w:rFonts w:hint="eastAsia" w:ascii="宋体" w:hAnsi="宋体" w:eastAsia="宋体" w:cs="宋体"/>
          <w:b w:val="0"/>
          <w:bCs w:val="0"/>
          <w:sz w:val="21"/>
          <w:szCs w:val="21"/>
        </w:rPr>
        <w:t>再次感谢贵公司对信阳市政府采购工作的关心和支持！</w:t>
      </w:r>
    </w:p>
    <w:p w14:paraId="14A1374C">
      <w:pPr>
        <w:pStyle w:val="5"/>
        <w:pageBreakBefore w:val="0"/>
        <w:widowControl w:val="0"/>
        <w:kinsoku/>
        <w:wordWrap/>
        <w:overflowPunct/>
        <w:topLinePunct w:val="0"/>
        <w:autoSpaceDE/>
        <w:autoSpaceDN/>
        <w:bidi w:val="0"/>
        <w:adjustRightInd/>
        <w:snapToGrid/>
        <w:ind w:firstLine="420" w:firstLineChars="200"/>
        <w:jc w:val="left"/>
        <w:textAlignment w:val="auto"/>
        <w:outlineLvl w:val="9"/>
        <w:rPr>
          <w:rFonts w:hint="eastAsia" w:ascii="宋体" w:hAnsi="宋体" w:eastAsia="宋体" w:cs="宋体"/>
          <w:b w:val="0"/>
          <w:bCs w:val="0"/>
          <w:sz w:val="21"/>
          <w:szCs w:val="21"/>
        </w:rPr>
      </w:pPr>
    </w:p>
    <w:p w14:paraId="284AAA3B">
      <w:pPr>
        <w:pStyle w:val="5"/>
        <w:pageBreakBefore w:val="0"/>
        <w:widowControl w:val="0"/>
        <w:kinsoku/>
        <w:wordWrap/>
        <w:overflowPunct/>
        <w:topLinePunct w:val="0"/>
        <w:autoSpaceDE/>
        <w:autoSpaceDN/>
        <w:bidi w:val="0"/>
        <w:adjustRightInd/>
        <w:snapToGrid/>
        <w:ind w:firstLine="420" w:firstLineChars="200"/>
        <w:jc w:val="right"/>
        <w:textAlignment w:val="auto"/>
        <w:outlineLvl w:val="9"/>
        <w:rPr>
          <w:rFonts w:hint="eastAsia" w:ascii="宋体" w:hAnsi="宋体" w:eastAsia="宋体" w:cs="宋体"/>
          <w:b w:val="0"/>
          <w:bCs w:val="0"/>
          <w:sz w:val="21"/>
          <w:szCs w:val="21"/>
        </w:rPr>
        <w:sectPr>
          <w:headerReference r:id="rId4" w:type="first"/>
          <w:pgSz w:w="11905" w:h="16838"/>
          <w:pgMar w:top="1134" w:right="1417" w:bottom="1417" w:left="1417" w:header="850" w:footer="850" w:gutter="0"/>
          <w:pgBorders>
            <w:top w:val="none" w:sz="0" w:space="0"/>
            <w:left w:val="none" w:sz="0" w:space="0"/>
            <w:bottom w:val="none" w:sz="0" w:space="0"/>
            <w:right w:val="none" w:sz="0" w:space="0"/>
          </w:pgBorders>
          <w:pgNumType w:fmt="decimal"/>
          <w:cols w:space="0" w:num="1"/>
          <w:rtlGutter w:val="0"/>
          <w:docGrid w:type="lines" w:linePitch="317" w:charSpace="0"/>
        </w:sectPr>
      </w:pPr>
      <w:r>
        <w:rPr>
          <w:rFonts w:hint="eastAsia" w:ascii="宋体" w:hAnsi="宋体" w:eastAsia="宋体" w:cs="宋体"/>
          <w:b w:val="0"/>
          <w:bCs w:val="0"/>
          <w:sz w:val="21"/>
          <w:szCs w:val="21"/>
        </w:rPr>
        <w:t xml:space="preserve">                                                          信阳市财政局</w:t>
      </w:r>
    </w:p>
    <w:p w14:paraId="12C9AEB2">
      <w:pPr>
        <w:pStyle w:val="5"/>
        <w:bidi w:val="0"/>
        <w:outlineLvl w:val="9"/>
        <w:rPr>
          <w:rFonts w:hint="eastAsia" w:asciiTheme="minorEastAsia" w:hAnsiTheme="minorEastAsia" w:eastAsiaTheme="minorEastAsia" w:cstheme="minorEastAsia"/>
          <w:b/>
          <w:color w:val="auto"/>
          <w:sz w:val="40"/>
          <w:szCs w:val="32"/>
          <w:highlight w:val="none"/>
        </w:rPr>
      </w:pPr>
      <w:r>
        <w:rPr>
          <w:rFonts w:hint="eastAsia" w:asciiTheme="minorEastAsia" w:hAnsiTheme="minorEastAsia" w:eastAsiaTheme="minorEastAsia" w:cstheme="minorEastAsia"/>
          <w:b/>
          <w:color w:val="auto"/>
          <w:sz w:val="40"/>
          <w:szCs w:val="32"/>
          <w:highlight w:val="none"/>
        </w:rPr>
        <w:t>目     录</w:t>
      </w:r>
    </w:p>
    <w:p w14:paraId="0DF55FC4">
      <w:pPr>
        <w:pStyle w:val="23"/>
        <w:tabs>
          <w:tab w:val="right" w:leader="dot" w:pos="9071"/>
        </w:tabs>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TOC \o "1-1" \h \u </w:instrText>
      </w:r>
      <w:r>
        <w:rPr>
          <w:rFonts w:hint="eastAsia" w:ascii="宋体" w:hAnsi="宋体" w:eastAsia="宋体" w:cs="宋体"/>
          <w:sz w:val="28"/>
          <w:szCs w:val="28"/>
        </w:rPr>
        <w:fldChar w:fldCharType="separate"/>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_Toc15029 </w:instrText>
      </w:r>
      <w:r>
        <w:rPr>
          <w:rFonts w:hint="eastAsia" w:ascii="宋体" w:hAnsi="宋体" w:eastAsia="宋体" w:cs="宋体"/>
          <w:sz w:val="28"/>
          <w:szCs w:val="28"/>
        </w:rPr>
        <w:fldChar w:fldCharType="separate"/>
      </w:r>
      <w:r>
        <w:rPr>
          <w:rFonts w:hint="eastAsia" w:ascii="宋体" w:hAnsi="宋体" w:eastAsia="宋体" w:cs="宋体"/>
          <w:sz w:val="28"/>
          <w:szCs w:val="28"/>
          <w:highlight w:val="none"/>
        </w:rPr>
        <w:t>电子招投标特别提示</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_Toc15029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F78EFC9">
      <w:pPr>
        <w:pStyle w:val="23"/>
        <w:tabs>
          <w:tab w:val="right" w:leader="dot" w:pos="9071"/>
        </w:tabs>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_Toc29739 </w:instrText>
      </w:r>
      <w:r>
        <w:rPr>
          <w:rFonts w:hint="eastAsia" w:ascii="宋体" w:hAnsi="宋体" w:eastAsia="宋体" w:cs="宋体"/>
          <w:sz w:val="28"/>
          <w:szCs w:val="28"/>
        </w:rPr>
        <w:fldChar w:fldCharType="separate"/>
      </w:r>
      <w:r>
        <w:rPr>
          <w:rFonts w:hint="eastAsia" w:ascii="宋体" w:hAnsi="宋体" w:eastAsia="宋体" w:cs="宋体"/>
          <w:sz w:val="28"/>
          <w:szCs w:val="28"/>
          <w:highlight w:val="none"/>
        </w:rPr>
        <w:t xml:space="preserve">第一章 </w:t>
      </w:r>
      <w:r>
        <w:rPr>
          <w:rFonts w:hint="eastAsia" w:ascii="宋体" w:hAnsi="宋体" w:eastAsia="宋体" w:cs="宋体"/>
          <w:sz w:val="28"/>
          <w:szCs w:val="28"/>
          <w:highlight w:val="none"/>
          <w:lang w:eastAsia="zh-CN"/>
        </w:rPr>
        <w:t>竞争性</w:t>
      </w:r>
      <w:r>
        <w:rPr>
          <w:rFonts w:hint="eastAsia" w:ascii="宋体" w:hAnsi="宋体" w:eastAsia="宋体" w:cs="宋体"/>
          <w:sz w:val="28"/>
          <w:szCs w:val="28"/>
          <w:highlight w:val="none"/>
        </w:rPr>
        <w:t>磋商公告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_Toc29739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FCE1FD4">
      <w:pPr>
        <w:pStyle w:val="23"/>
        <w:tabs>
          <w:tab w:val="right" w:leader="dot" w:pos="9071"/>
        </w:tabs>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_Toc18039 </w:instrText>
      </w:r>
      <w:r>
        <w:rPr>
          <w:rFonts w:hint="eastAsia" w:ascii="宋体" w:hAnsi="宋体" w:eastAsia="宋体" w:cs="宋体"/>
          <w:sz w:val="28"/>
          <w:szCs w:val="28"/>
        </w:rPr>
        <w:fldChar w:fldCharType="separate"/>
      </w:r>
      <w:r>
        <w:rPr>
          <w:rFonts w:hint="eastAsia" w:ascii="宋体" w:hAnsi="宋体" w:eastAsia="宋体" w:cs="宋体"/>
          <w:sz w:val="28"/>
          <w:szCs w:val="28"/>
          <w:highlight w:val="none"/>
          <w:lang w:val="en-US" w:eastAsia="zh-CN"/>
        </w:rPr>
        <w:t>第二章 供应商须知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_Toc18039 \h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C7BBB82">
      <w:pPr>
        <w:pStyle w:val="23"/>
        <w:tabs>
          <w:tab w:val="right" w:leader="dot" w:pos="9071"/>
        </w:tabs>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_Toc14970 </w:instrText>
      </w:r>
      <w:r>
        <w:rPr>
          <w:rFonts w:hint="eastAsia" w:ascii="宋体" w:hAnsi="宋体" w:eastAsia="宋体" w:cs="宋体"/>
          <w:sz w:val="28"/>
          <w:szCs w:val="28"/>
        </w:rPr>
        <w:fldChar w:fldCharType="separate"/>
      </w:r>
      <w:r>
        <w:rPr>
          <w:rFonts w:hint="eastAsia" w:ascii="宋体" w:hAnsi="宋体" w:eastAsia="宋体" w:cs="宋体"/>
          <w:sz w:val="28"/>
          <w:szCs w:val="28"/>
          <w:highlight w:val="none"/>
        </w:rPr>
        <w:t>第三章 评审办法（综合评分法）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_Toc14970 \h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8FAFD87">
      <w:pPr>
        <w:pStyle w:val="23"/>
        <w:tabs>
          <w:tab w:val="right" w:leader="dot" w:pos="9071"/>
        </w:tabs>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_Toc10470 </w:instrText>
      </w:r>
      <w:r>
        <w:rPr>
          <w:rFonts w:hint="eastAsia" w:ascii="宋体" w:hAnsi="宋体" w:eastAsia="宋体" w:cs="宋体"/>
          <w:sz w:val="28"/>
          <w:szCs w:val="28"/>
        </w:rPr>
        <w:fldChar w:fldCharType="separate"/>
      </w:r>
      <w:r>
        <w:rPr>
          <w:rFonts w:hint="eastAsia" w:ascii="宋体" w:hAnsi="宋体" w:eastAsia="宋体" w:cs="宋体"/>
          <w:sz w:val="28"/>
          <w:szCs w:val="28"/>
          <w:highlight w:val="none"/>
          <w:lang w:val="en-US" w:eastAsia="zh-CN"/>
        </w:rPr>
        <w:t xml:space="preserve">第四章 </w:t>
      </w:r>
      <w:r>
        <w:rPr>
          <w:rFonts w:hint="eastAsia" w:ascii="宋体" w:hAnsi="宋体" w:eastAsia="宋体" w:cs="宋体"/>
          <w:sz w:val="28"/>
          <w:szCs w:val="28"/>
          <w:highlight w:val="none"/>
        </w:rPr>
        <w:t>合同文本</w:t>
      </w:r>
      <w:r>
        <w:rPr>
          <w:rFonts w:hint="eastAsia" w:ascii="宋体" w:hAnsi="宋体" w:eastAsia="宋体" w:cs="宋体"/>
          <w:sz w:val="28"/>
          <w:szCs w:val="28"/>
          <w:highlight w:val="none"/>
          <w:lang w:eastAsia="zh-CN"/>
        </w:rPr>
        <w:t>（仅供参考）</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_Toc10470 \h </w:instrText>
      </w:r>
      <w:r>
        <w:rPr>
          <w:rFonts w:hint="eastAsia" w:ascii="宋体" w:hAnsi="宋体" w:eastAsia="宋体" w:cs="宋体"/>
          <w:sz w:val="28"/>
          <w:szCs w:val="28"/>
        </w:rPr>
        <w:fldChar w:fldCharType="separate"/>
      </w:r>
      <w:r>
        <w:rPr>
          <w:rFonts w:hint="eastAsia" w:ascii="宋体" w:hAnsi="宋体" w:eastAsia="宋体" w:cs="宋体"/>
          <w:sz w:val="28"/>
          <w:szCs w:val="28"/>
        </w:rPr>
        <w:t>26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7186FEB0">
      <w:pPr>
        <w:pStyle w:val="23"/>
        <w:tabs>
          <w:tab w:val="right" w:leader="dot" w:pos="9071"/>
        </w:tabs>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_Toc7348 </w:instrText>
      </w:r>
      <w:r>
        <w:rPr>
          <w:rFonts w:hint="eastAsia" w:ascii="宋体" w:hAnsi="宋体" w:eastAsia="宋体" w:cs="宋体"/>
          <w:sz w:val="28"/>
          <w:szCs w:val="28"/>
        </w:rPr>
        <w:fldChar w:fldCharType="separate"/>
      </w:r>
      <w:r>
        <w:rPr>
          <w:rFonts w:hint="eastAsia" w:ascii="宋体" w:hAnsi="宋体" w:eastAsia="宋体" w:cs="宋体"/>
          <w:sz w:val="28"/>
          <w:szCs w:val="28"/>
          <w:highlight w:val="none"/>
          <w:lang w:eastAsia="zh-CN"/>
        </w:rPr>
        <w:t>第五章</w:t>
      </w:r>
      <w:r>
        <w:rPr>
          <w:rFonts w:hint="eastAsia" w:ascii="宋体" w:hAnsi="宋体" w:eastAsia="宋体" w:cs="宋体"/>
          <w:sz w:val="28"/>
          <w:szCs w:val="28"/>
          <w:highlight w:val="none"/>
          <w:lang w:val="en-US" w:eastAsia="zh-CN"/>
        </w:rPr>
        <w:t xml:space="preserve"> 采购需求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_Toc7348 \h </w:instrText>
      </w:r>
      <w:r>
        <w:rPr>
          <w:rFonts w:hint="eastAsia" w:ascii="宋体" w:hAnsi="宋体" w:eastAsia="宋体" w:cs="宋体"/>
          <w:sz w:val="28"/>
          <w:szCs w:val="28"/>
        </w:rPr>
        <w:fldChar w:fldCharType="separate"/>
      </w:r>
      <w:r>
        <w:rPr>
          <w:rFonts w:hint="eastAsia" w:ascii="宋体" w:hAnsi="宋体" w:eastAsia="宋体" w:cs="宋体"/>
          <w:sz w:val="28"/>
          <w:szCs w:val="28"/>
        </w:rPr>
        <w:t>26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3D036E5">
      <w:pPr>
        <w:pStyle w:val="23"/>
        <w:tabs>
          <w:tab w:val="right" w:leader="dot" w:pos="9071"/>
        </w:tabs>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_Toc26822 </w:instrText>
      </w:r>
      <w:r>
        <w:rPr>
          <w:rFonts w:hint="eastAsia" w:ascii="宋体" w:hAnsi="宋体" w:eastAsia="宋体" w:cs="宋体"/>
          <w:sz w:val="28"/>
          <w:szCs w:val="28"/>
        </w:rPr>
        <w:fldChar w:fldCharType="separate"/>
      </w:r>
      <w:r>
        <w:rPr>
          <w:rFonts w:hint="eastAsia" w:ascii="宋体" w:hAnsi="宋体" w:eastAsia="宋体" w:cs="宋体"/>
          <w:sz w:val="28"/>
          <w:szCs w:val="28"/>
          <w:highlight w:val="none"/>
          <w:lang w:eastAsia="zh-CN"/>
        </w:rPr>
        <w:t>第六章 竞争性磋商响应文件格式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_Toc26822 \h </w:instrText>
      </w:r>
      <w:r>
        <w:rPr>
          <w:rFonts w:hint="eastAsia" w:ascii="宋体" w:hAnsi="宋体" w:eastAsia="宋体" w:cs="宋体"/>
          <w:sz w:val="28"/>
          <w:szCs w:val="28"/>
        </w:rPr>
        <w:fldChar w:fldCharType="separate"/>
      </w:r>
      <w:r>
        <w:rPr>
          <w:rFonts w:hint="eastAsia" w:ascii="宋体" w:hAnsi="宋体" w:eastAsia="宋体" w:cs="宋体"/>
          <w:sz w:val="28"/>
          <w:szCs w:val="28"/>
        </w:rPr>
        <w:t>39</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799420D9">
      <w:pPr>
        <w:spacing w:line="360" w:lineRule="auto"/>
        <w:rPr>
          <w:rFonts w:hint="eastAsia" w:ascii="宋体" w:hAnsi="宋体" w:eastAsia="宋体" w:cs="宋体"/>
          <w:sz w:val="28"/>
          <w:szCs w:val="28"/>
        </w:rPr>
        <w:sectPr>
          <w:pgSz w:w="11905" w:h="16838"/>
          <w:pgMar w:top="1134" w:right="1417" w:bottom="1417" w:left="1417" w:header="850" w:footer="850" w:gutter="0"/>
          <w:pgBorders>
            <w:top w:val="none" w:sz="0" w:space="0"/>
            <w:left w:val="none" w:sz="0" w:space="0"/>
            <w:bottom w:val="none" w:sz="0" w:space="0"/>
            <w:right w:val="none" w:sz="0" w:space="0"/>
          </w:pgBorders>
          <w:pgNumType w:fmt="decimal"/>
          <w:cols w:space="0" w:num="1"/>
          <w:rtlGutter w:val="0"/>
          <w:docGrid w:type="lines" w:linePitch="317" w:charSpace="0"/>
        </w:sectPr>
      </w:pPr>
      <w:r>
        <w:rPr>
          <w:rFonts w:hint="eastAsia" w:ascii="宋体" w:hAnsi="宋体" w:eastAsia="宋体" w:cs="宋体"/>
          <w:sz w:val="28"/>
          <w:szCs w:val="28"/>
        </w:rPr>
        <w:fldChar w:fldCharType="end"/>
      </w:r>
    </w:p>
    <w:p w14:paraId="067044C0">
      <w:pPr>
        <w:pStyle w:val="5"/>
        <w:keepNext w:val="0"/>
        <w:keepLines w:val="0"/>
        <w:pageBreakBefore w:val="0"/>
        <w:kinsoku/>
        <w:wordWrap/>
        <w:overflowPunct/>
        <w:topLinePunct w:val="0"/>
        <w:autoSpaceDE/>
        <w:autoSpaceDN/>
        <w:bidi w:val="0"/>
        <w:spacing w:line="480" w:lineRule="exact"/>
        <w:textAlignment w:val="auto"/>
        <w:rPr>
          <w:rFonts w:hint="eastAsia" w:asciiTheme="minorEastAsia" w:hAnsiTheme="minorEastAsia" w:eastAsiaTheme="minorEastAsia" w:cstheme="minorEastAsia"/>
          <w:color w:val="auto"/>
          <w:sz w:val="36"/>
          <w:szCs w:val="24"/>
          <w:highlight w:val="none"/>
        </w:rPr>
      </w:pPr>
      <w:bookmarkStart w:id="0" w:name="_Toc15029"/>
      <w:bookmarkStart w:id="1" w:name="_Toc21497"/>
      <w:bookmarkStart w:id="2" w:name="_Toc26210"/>
      <w:r>
        <w:rPr>
          <w:rFonts w:hint="eastAsia" w:asciiTheme="minorEastAsia" w:hAnsiTheme="minorEastAsia" w:eastAsiaTheme="minorEastAsia" w:cstheme="minorEastAsia"/>
          <w:color w:val="auto"/>
          <w:sz w:val="36"/>
          <w:szCs w:val="24"/>
          <w:highlight w:val="none"/>
        </w:rPr>
        <w:t>电子招投标特别提示</w:t>
      </w:r>
      <w:bookmarkEnd w:id="0"/>
      <w:bookmarkEnd w:id="1"/>
      <w:bookmarkEnd w:id="2"/>
    </w:p>
    <w:p w14:paraId="62AB7655">
      <w:pPr>
        <w:keepNext w:val="0"/>
        <w:keepLines w:val="0"/>
        <w:pageBreakBefore w:val="0"/>
        <w:kinsoku/>
        <w:wordWrap/>
        <w:overflowPunct/>
        <w:topLinePunct w:val="0"/>
        <w:autoSpaceDE/>
        <w:autoSpaceDN/>
        <w:bidi w:val="0"/>
        <w:spacing w:line="400" w:lineRule="exact"/>
        <w:textAlignment w:val="auto"/>
        <w:rPr>
          <w:rFonts w:hint="eastAsia"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一、投标人（</w:t>
      </w:r>
      <w:r>
        <w:rPr>
          <w:rFonts w:hint="eastAsia" w:ascii="宋体" w:hAnsi="宋体" w:eastAsia="宋体" w:cs="宋体"/>
          <w:b/>
          <w:bCs/>
          <w:color w:val="auto"/>
          <w:szCs w:val="21"/>
          <w:highlight w:val="none"/>
          <w:u w:val="double"/>
          <w:lang w:eastAsia="zh-CN"/>
        </w:rPr>
        <w:t>投标人</w:t>
      </w:r>
      <w:r>
        <w:rPr>
          <w:rFonts w:hint="eastAsia" w:ascii="宋体" w:hAnsi="宋体" w:eastAsia="宋体" w:cs="宋体"/>
          <w:b/>
          <w:bCs/>
          <w:color w:val="auto"/>
          <w:szCs w:val="21"/>
          <w:highlight w:val="none"/>
          <w:u w:val="double"/>
        </w:rPr>
        <w:t>）注册</w:t>
      </w:r>
    </w:p>
    <w:p w14:paraId="1ADC1E97">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凡有意参加本项目的投标人（</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），请</w:t>
      </w:r>
      <w:r>
        <w:rPr>
          <w:rFonts w:hint="eastAsia" w:ascii="宋体" w:hAnsi="宋体" w:eastAsia="宋体" w:cs="宋体"/>
          <w:color w:val="auto"/>
          <w:szCs w:val="21"/>
          <w:highlight w:val="none"/>
          <w:lang w:eastAsia="zh-CN"/>
        </w:rPr>
        <w:t>登录</w:t>
      </w:r>
      <w:r>
        <w:rPr>
          <w:rFonts w:hint="eastAsia" w:ascii="宋体" w:hAnsi="宋体" w:eastAsia="宋体" w:cs="宋体"/>
          <w:color w:val="auto"/>
          <w:szCs w:val="21"/>
          <w:highlight w:val="none"/>
        </w:rPr>
        <w:t>“信阳市公共资源交易中心（</w:t>
      </w:r>
      <w:r>
        <w:rPr>
          <w:rFonts w:hint="eastAsia" w:ascii="宋体" w:hAnsi="宋体" w:eastAsia="宋体" w:cs="宋体"/>
          <w:i w:val="0"/>
          <w:iCs w:val="0"/>
          <w:caps w:val="0"/>
          <w:color w:val="auto"/>
          <w:spacing w:val="0"/>
          <w:sz w:val="21"/>
          <w:szCs w:val="21"/>
          <w:highlight w:val="none"/>
          <w:shd w:val="clear" w:color="auto" w:fill="FFFFFF"/>
        </w:rPr>
        <w:t>https://ggzyjy.xinyang.gov.cn</w:t>
      </w:r>
      <w:r>
        <w:rPr>
          <w:rFonts w:hint="eastAsia" w:ascii="宋体" w:hAnsi="宋体" w:eastAsia="宋体" w:cs="宋体"/>
          <w:color w:val="auto"/>
          <w:szCs w:val="21"/>
          <w:highlight w:val="none"/>
        </w:rPr>
        <w:t>）”网站进行交易主体自主注册，按网站公告通知有关要求填报企业信息并上传有关原件扫描件至诚信库，不需携带原件到信阳市公共资源交易中心进行审核。投标人（</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）应对所上传材料的真实性、合法性、有效性负责，其上传的信息将全部对外公示，接受社会监督。</w:t>
      </w:r>
    </w:p>
    <w:p w14:paraId="46CFB27F">
      <w:pPr>
        <w:keepNext w:val="0"/>
        <w:keepLines w:val="0"/>
        <w:pageBreakBefore w:val="0"/>
        <w:kinsoku/>
        <w:wordWrap/>
        <w:overflowPunct/>
        <w:topLinePunct w:val="0"/>
        <w:autoSpaceDE/>
        <w:autoSpaceDN/>
        <w:bidi w:val="0"/>
        <w:spacing w:line="400" w:lineRule="exact"/>
        <w:textAlignment w:val="auto"/>
        <w:rPr>
          <w:rFonts w:hint="eastAsia"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二、办理CA数字证书</w:t>
      </w:r>
    </w:p>
    <w:p w14:paraId="633BBF48">
      <w:pPr>
        <w:keepNext w:val="0"/>
        <w:keepLines w:val="0"/>
        <w:pageBreakBefore w:val="0"/>
        <w:kinsoku/>
        <w:wordWrap/>
        <w:overflowPunct/>
        <w:topLinePunct w:val="0"/>
        <w:autoSpaceDE/>
        <w:autoSpaceDN/>
        <w:bidi w:val="0"/>
        <w:spacing w:line="400" w:lineRule="exact"/>
        <w:ind w:firstLine="411" w:firstLineChars="196"/>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完成企业诚信库注册后，必须办理CA数字证书方可在网上办理招投标相关业务。投标人（</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）根据信阳市公共资源交易网通知公告栏目中《关于信阳市公共资源交易平台数字证书（CA）互认系统正式上线运行的通知》要求，自行选择CA数字证书服务商，线上、线下办理CA数字证书。</w:t>
      </w:r>
    </w:p>
    <w:p w14:paraId="57BFA1E0">
      <w:pPr>
        <w:keepNext w:val="0"/>
        <w:keepLines w:val="0"/>
        <w:pageBreakBefore w:val="0"/>
        <w:kinsoku/>
        <w:wordWrap/>
        <w:overflowPunct/>
        <w:topLinePunct w:val="0"/>
        <w:autoSpaceDE/>
        <w:autoSpaceDN/>
        <w:bidi w:val="0"/>
        <w:spacing w:line="400" w:lineRule="exact"/>
        <w:textAlignment w:val="auto"/>
        <w:rPr>
          <w:rFonts w:hint="eastAsia"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三、招标（采购）文件获取方式</w:t>
      </w:r>
    </w:p>
    <w:p w14:paraId="2239D4FA">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）凭CA数字证书</w:t>
      </w:r>
      <w:r>
        <w:rPr>
          <w:rFonts w:hint="eastAsia" w:ascii="宋体" w:hAnsi="宋体" w:eastAsia="宋体" w:cs="宋体"/>
          <w:color w:val="auto"/>
          <w:szCs w:val="21"/>
          <w:highlight w:val="none"/>
          <w:lang w:eastAsia="zh-CN"/>
        </w:rPr>
        <w:t>登录</w:t>
      </w:r>
      <w:r>
        <w:rPr>
          <w:rFonts w:hint="eastAsia" w:ascii="宋体" w:hAnsi="宋体" w:eastAsia="宋体" w:cs="宋体"/>
          <w:color w:val="auto"/>
          <w:szCs w:val="21"/>
          <w:highlight w:val="none"/>
        </w:rPr>
        <w:t>会员系统后，即可按网上提示免费下载招标（采购）文件及资料（操作程序详见信阳市公共资源交易中心网站下载中心栏目里投标人操作手册）。招标文件(*.XYZF格式)下载后需使用“信阳市投标文件制作工具软件”打开（该工具软件可在“信阳市公共资源交易网</w:t>
      </w:r>
      <w:r>
        <w:rPr>
          <w:rFonts w:hint="eastAsia" w:ascii="宋体" w:hAnsi="宋体" w:eastAsia="宋体" w:cs="宋体"/>
          <w:i w:val="0"/>
          <w:iCs w:val="0"/>
          <w:caps w:val="0"/>
          <w:color w:val="auto"/>
          <w:spacing w:val="0"/>
          <w:sz w:val="21"/>
          <w:szCs w:val="21"/>
          <w:highlight w:val="none"/>
          <w:shd w:val="clear" w:color="auto" w:fill="FFFFFF"/>
        </w:rPr>
        <w:t>https://ggzyjy.xinyang.gov.cn</w:t>
      </w:r>
      <w:r>
        <w:rPr>
          <w:rFonts w:hint="eastAsia" w:ascii="宋体" w:hAnsi="宋体" w:eastAsia="宋体" w:cs="宋体"/>
          <w:color w:val="auto"/>
          <w:szCs w:val="21"/>
          <w:highlight w:val="none"/>
        </w:rPr>
        <w:t>”网站下载中心栏目内下载或在招标文件领取页面下载）。</w:t>
      </w:r>
    </w:p>
    <w:p w14:paraId="2243EC83">
      <w:pPr>
        <w:keepNext w:val="0"/>
        <w:keepLines w:val="0"/>
        <w:pageBreakBefore w:val="0"/>
        <w:tabs>
          <w:tab w:val="left" w:pos="0"/>
        </w:tabs>
        <w:kinsoku/>
        <w:wordWrap/>
        <w:overflowPunct/>
        <w:topLinePunct w:val="0"/>
        <w:autoSpaceDE/>
        <w:autoSpaceDN/>
        <w:bidi w:val="0"/>
        <w:spacing w:line="400" w:lineRule="exact"/>
        <w:textAlignment w:val="auto"/>
        <w:rPr>
          <w:rFonts w:hint="eastAsia"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四、投标（响应）文件制作</w:t>
      </w:r>
    </w:p>
    <w:p w14:paraId="73254980">
      <w:pPr>
        <w:keepNext w:val="0"/>
        <w:keepLines w:val="0"/>
        <w:pageBreakBefore w:val="0"/>
        <w:tabs>
          <w:tab w:val="left" w:pos="0"/>
        </w:tabs>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投标（响应）文件应使用信阳市公共资源交易系统投标文件制作专用工具软件编制，投标（响应）文件格式为“*.XYTF”。</w:t>
      </w:r>
    </w:p>
    <w:p w14:paraId="0F52B8E0">
      <w:pPr>
        <w:keepNext w:val="0"/>
        <w:keepLines w:val="0"/>
        <w:pageBreakBefore w:val="0"/>
        <w:tabs>
          <w:tab w:val="left" w:pos="0"/>
        </w:tabs>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）须在投标（响应）文件递交截止时间前制作并提交。</w:t>
      </w:r>
    </w:p>
    <w:p w14:paraId="1F2E1054">
      <w:pPr>
        <w:keepNext w:val="0"/>
        <w:keepLines w:val="0"/>
        <w:pageBreakBefore w:val="0"/>
        <w:widowControl w:val="0"/>
        <w:kinsoku/>
        <w:wordWrap/>
        <w:overflowPunct/>
        <w:topLinePunct w:val="0"/>
        <w:autoSpaceDE/>
        <w:autoSpaceDN/>
        <w:bidi w:val="0"/>
        <w:spacing w:after="120" w:line="400" w:lineRule="exact"/>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u w:val="double"/>
          <w:lang w:val="en-US" w:eastAsia="zh-CN" w:bidi="ar-SA"/>
        </w:rPr>
        <w:t>五、投标（响应）文件的签字和盖章要求</w:t>
      </w:r>
    </w:p>
    <w:p w14:paraId="66DD6A83">
      <w:pPr>
        <w:keepNext w:val="0"/>
        <w:keepLines w:val="0"/>
        <w:pageBreakBefore w:val="0"/>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1、投标文件（响应）格式中所有要求投标人（</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）加盖公章的地方都须加盖投标人（</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）的 CA 印章。</w:t>
      </w:r>
    </w:p>
    <w:p w14:paraId="1FB1B44E">
      <w:pPr>
        <w:keepNext w:val="0"/>
        <w:keepLines w:val="0"/>
        <w:pageBreakBefore w:val="0"/>
        <w:kinsoku/>
        <w:wordWrap/>
        <w:overflowPunct/>
        <w:topLinePunct w:val="0"/>
        <w:autoSpaceDE/>
        <w:autoSpaceDN/>
        <w:bidi w:val="0"/>
        <w:adjustRightInd w:val="0"/>
        <w:snapToGrid w:val="0"/>
        <w:spacing w:line="400" w:lineRule="exact"/>
        <w:ind w:left="-126" w:leftChars="-60" w:firstLine="525" w:firstLineChars="250"/>
        <w:jc w:val="left"/>
        <w:textAlignment w:val="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2、投标文件（响应）格式中所有要求法定代表人或其委托代理人签字或盖章的地方</w:t>
      </w:r>
      <w:r>
        <w:rPr>
          <w:rFonts w:hint="eastAsia" w:ascii="宋体" w:hAnsi="宋体" w:eastAsia="宋体" w:cs="宋体"/>
          <w:b/>
          <w:bCs/>
          <w:color w:val="auto"/>
          <w:szCs w:val="21"/>
          <w:highlight w:val="none"/>
        </w:rPr>
        <w:t>（不含授权委托书委托人签字）</w:t>
      </w:r>
      <w:r>
        <w:rPr>
          <w:rFonts w:hint="eastAsia" w:ascii="宋体" w:hAnsi="宋体" w:eastAsia="宋体" w:cs="宋体"/>
          <w:color w:val="auto"/>
          <w:szCs w:val="21"/>
          <w:highlight w:val="none"/>
        </w:rPr>
        <w:t>都须加盖法定代表人</w:t>
      </w:r>
      <w:r>
        <w:rPr>
          <w:rFonts w:hint="eastAsia" w:ascii="宋体" w:hAnsi="宋体" w:eastAsia="宋体" w:cs="宋体"/>
          <w:b/>
          <w:bCs/>
          <w:color w:val="auto"/>
          <w:szCs w:val="21"/>
          <w:highlight w:val="none"/>
        </w:rPr>
        <w:t>CA 印章。</w:t>
      </w:r>
    </w:p>
    <w:p w14:paraId="65DF8ADD">
      <w:pPr>
        <w:keepNext w:val="0"/>
        <w:keepLines w:val="0"/>
        <w:pageBreakBefore w:val="0"/>
        <w:widowControl w:val="0"/>
        <w:kinsoku/>
        <w:wordWrap/>
        <w:overflowPunct/>
        <w:topLinePunct w:val="0"/>
        <w:autoSpaceDE/>
        <w:autoSpaceDN/>
        <w:bidi w:val="0"/>
        <w:spacing w:after="120" w:line="400" w:lineRule="exact"/>
        <w:jc w:val="both"/>
        <w:textAlignment w:val="auto"/>
        <w:rPr>
          <w:rFonts w:hint="eastAsia" w:ascii="宋体" w:hAnsi="宋体" w:eastAsia="宋体" w:cs="宋体"/>
          <w:b/>
          <w:bCs/>
          <w:color w:val="auto"/>
          <w:kern w:val="2"/>
          <w:sz w:val="21"/>
          <w:szCs w:val="21"/>
          <w:highlight w:val="none"/>
          <w:u w:val="double"/>
          <w:lang w:val="en-US" w:eastAsia="zh-CN" w:bidi="ar-SA"/>
        </w:rPr>
      </w:pPr>
      <w:r>
        <w:rPr>
          <w:rFonts w:hint="eastAsia" w:ascii="宋体" w:hAnsi="宋体" w:eastAsia="宋体" w:cs="宋体"/>
          <w:b/>
          <w:bCs/>
          <w:color w:val="auto"/>
          <w:kern w:val="2"/>
          <w:sz w:val="21"/>
          <w:szCs w:val="21"/>
          <w:highlight w:val="none"/>
          <w:u w:val="double"/>
          <w:lang w:val="en-US" w:eastAsia="zh-CN" w:bidi="ar-SA"/>
        </w:rPr>
        <w:t>六、投标文件份数</w:t>
      </w:r>
    </w:p>
    <w:p w14:paraId="05227A3C">
      <w:pPr>
        <w:keepNext w:val="0"/>
        <w:keepLines w:val="0"/>
        <w:pageBreakBefore w:val="0"/>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1、加密的电子投标（响应）文件壹份（*.XYTF 格式，在会员系统指定位置上传）。</w:t>
      </w:r>
    </w:p>
    <w:p w14:paraId="6635318F">
      <w:pPr>
        <w:keepNext w:val="0"/>
        <w:keepLines w:val="0"/>
        <w:pageBreakBefore w:val="0"/>
        <w:widowControl w:val="0"/>
        <w:kinsoku/>
        <w:wordWrap/>
        <w:overflowPunct/>
        <w:topLinePunct w:val="0"/>
        <w:autoSpaceDE/>
        <w:autoSpaceDN/>
        <w:bidi w:val="0"/>
        <w:spacing w:after="120" w:line="400" w:lineRule="exact"/>
        <w:jc w:val="both"/>
        <w:textAlignment w:val="auto"/>
        <w:rPr>
          <w:rFonts w:hint="eastAsia" w:ascii="宋体" w:hAnsi="宋体" w:eastAsia="宋体" w:cs="宋体"/>
          <w:b/>
          <w:bCs/>
          <w:color w:val="auto"/>
          <w:kern w:val="2"/>
          <w:sz w:val="21"/>
          <w:szCs w:val="21"/>
          <w:highlight w:val="none"/>
          <w:u w:val="double"/>
          <w:lang w:val="en-US" w:eastAsia="zh-CN" w:bidi="ar-SA"/>
        </w:rPr>
      </w:pPr>
      <w:r>
        <w:rPr>
          <w:rFonts w:hint="eastAsia" w:ascii="宋体" w:hAnsi="宋体" w:eastAsia="宋体" w:cs="宋体"/>
          <w:b/>
          <w:bCs/>
          <w:color w:val="auto"/>
          <w:kern w:val="2"/>
          <w:sz w:val="21"/>
          <w:szCs w:val="21"/>
          <w:highlight w:val="none"/>
          <w:u w:val="double"/>
          <w:lang w:val="en-US" w:eastAsia="zh-CN" w:bidi="ar-SA"/>
        </w:rPr>
        <w:t>七、投标（响应）文件的递交</w:t>
      </w:r>
    </w:p>
    <w:p w14:paraId="418AFA01">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1、电子投标（响应）文件的递交</w:t>
      </w:r>
    </w:p>
    <w:p w14:paraId="7F558C88">
      <w:pPr>
        <w:keepNext w:val="0"/>
        <w:keepLines w:val="0"/>
        <w:pageBreakBefore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各投标（</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人应在投标截止时间前上传加密的电子投标（响应）文件（*.XYTF）到会员系统的指定位置。上传的电子投标文件应使用投标人CA数字证书认证并加密。上传时必须得到交易系统“上传成功”的确认回复后方为上传成功。请投标人（</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）在上传前务必认真检查上传投标（响应）文件是否完整、正确。</w:t>
      </w:r>
    </w:p>
    <w:p w14:paraId="485301B5">
      <w:pPr>
        <w:keepNext w:val="0"/>
        <w:keepLines w:val="0"/>
        <w:pageBreakBefore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、除电子投标（响应）文件外，不再接受任何纸质文件、资料原件等。</w:t>
      </w:r>
    </w:p>
    <w:p w14:paraId="12222A88">
      <w:pPr>
        <w:keepNext w:val="0"/>
        <w:keepLines w:val="0"/>
        <w:pageBreakBefore w:val="0"/>
        <w:kinsoku/>
        <w:wordWrap/>
        <w:overflowPunct/>
        <w:topLinePunct w:val="0"/>
        <w:autoSpaceDE/>
        <w:autoSpaceDN/>
        <w:bidi w:val="0"/>
        <w:spacing w:line="400" w:lineRule="exact"/>
        <w:textAlignment w:val="auto"/>
        <w:rPr>
          <w:rFonts w:hint="eastAsia"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八、澄清与变更</w:t>
      </w:r>
    </w:p>
    <w:p w14:paraId="015CDF7D">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有疑问，以书面形式（包括信函、电报、传真等可以有形表现所载内容的形式），要求招标人（采购人）对招标（采购）文件予以澄清。澄清或修改的内容在信阳市公共资源交易系统“变更公告”或“答疑文件”菜单进行发布，投标人（</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）应在投标（响应）文件递交截止时间前及时查看澄清或修改内容，因投标人（</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）未及时查看而造成的后果自负。</w:t>
      </w:r>
    </w:p>
    <w:p w14:paraId="5B0A53FF">
      <w:pPr>
        <w:spacing w:line="360" w:lineRule="auto"/>
        <w:rPr>
          <w:rFonts w:hint="eastAsia" w:ascii="宋体" w:hAnsi="宋体" w:eastAsia="宋体" w:cs="宋体"/>
          <w:b/>
          <w:bCs/>
          <w:color w:val="auto"/>
          <w:szCs w:val="21"/>
          <w:u w:val="double"/>
        </w:rPr>
      </w:pPr>
      <w:r>
        <w:rPr>
          <w:rFonts w:hint="eastAsia" w:ascii="宋体" w:hAnsi="宋体" w:eastAsia="宋体" w:cs="宋体"/>
          <w:b/>
          <w:bCs/>
          <w:color w:val="auto"/>
          <w:szCs w:val="21"/>
          <w:u w:val="double"/>
        </w:rPr>
        <w:t xml:space="preserve">九、其他注意事项 </w:t>
      </w:r>
    </w:p>
    <w:p w14:paraId="1C4F1201">
      <w:pPr>
        <w:spacing w:line="360" w:lineRule="auto"/>
        <w:rPr>
          <w:rFonts w:hint="eastAsia" w:ascii="宋体" w:hAnsi="宋体" w:eastAsia="宋体" w:cs="宋体"/>
          <w:b/>
          <w:bCs/>
          <w:color w:val="auto"/>
          <w:szCs w:val="21"/>
          <w:u w:val="double"/>
        </w:rPr>
      </w:pPr>
      <w:r>
        <w:rPr>
          <w:rFonts w:hint="eastAsia" w:ascii="宋体" w:hAnsi="宋体" w:eastAsia="宋体" w:cs="宋体"/>
          <w:b/>
          <w:bCs/>
          <w:color w:val="auto"/>
          <w:szCs w:val="21"/>
          <w:u w:val="double"/>
        </w:rPr>
        <w:t>1、</w:t>
      </w:r>
      <w:r>
        <w:rPr>
          <w:rFonts w:hint="eastAsia" w:ascii="宋体" w:hAnsi="宋体" w:eastAsia="宋体" w:cs="宋体"/>
          <w:b/>
          <w:bCs/>
          <w:color w:val="auto"/>
          <w:szCs w:val="21"/>
          <w:u w:val="double"/>
          <w:lang w:eastAsia="zh-CN"/>
        </w:rPr>
        <w:t>投标人</w:t>
      </w:r>
      <w:r>
        <w:rPr>
          <w:rFonts w:hint="eastAsia" w:ascii="宋体" w:hAnsi="宋体" w:eastAsia="宋体" w:cs="宋体"/>
          <w:b/>
          <w:bCs/>
          <w:color w:val="auto"/>
          <w:szCs w:val="21"/>
          <w:u w:val="double"/>
        </w:rPr>
        <w:t xml:space="preserve">编制响应文件时，涉及的营业执照、资质、获奖、社保、纳税等固定内容可在交易中心主体信用信息中录入。 </w:t>
      </w:r>
    </w:p>
    <w:p w14:paraId="6C977D37">
      <w:pPr>
        <w:spacing w:line="360" w:lineRule="auto"/>
        <w:rPr>
          <w:rFonts w:hint="eastAsia" w:ascii="宋体" w:hAnsi="宋体" w:eastAsia="宋体" w:cs="宋体"/>
          <w:b/>
          <w:bCs/>
          <w:color w:val="auto"/>
          <w:szCs w:val="21"/>
          <w:u w:val="double"/>
        </w:rPr>
      </w:pPr>
      <w:r>
        <w:rPr>
          <w:rFonts w:hint="eastAsia" w:ascii="宋体" w:hAnsi="宋体" w:eastAsia="宋体" w:cs="宋体"/>
          <w:b/>
          <w:bCs/>
          <w:color w:val="auto"/>
          <w:szCs w:val="21"/>
          <w:u w:val="double"/>
        </w:rPr>
        <w:t>2、</w:t>
      </w:r>
      <w:r>
        <w:rPr>
          <w:rFonts w:hint="eastAsia" w:ascii="宋体" w:hAnsi="宋体" w:eastAsia="宋体" w:cs="宋体"/>
          <w:b/>
          <w:bCs/>
          <w:color w:val="auto"/>
          <w:szCs w:val="21"/>
          <w:u w:val="double"/>
          <w:lang w:eastAsia="zh-CN"/>
        </w:rPr>
        <w:t>投标人</w:t>
      </w:r>
      <w:r>
        <w:rPr>
          <w:rFonts w:hint="eastAsia" w:ascii="宋体" w:hAnsi="宋体" w:eastAsia="宋体" w:cs="宋体"/>
          <w:b/>
          <w:bCs/>
          <w:color w:val="auto"/>
          <w:szCs w:val="21"/>
          <w:u w:val="double"/>
        </w:rPr>
        <w:t>编制响应文件时，涉及营业执照、资质、业绩、获奖、人员、财务、社保、纳税、各类证书等内容，须扫描编制在响应文件内。评委评审只需依法对响应文件进行评审，并以响应文件的响应为唯一评审依据，不再比对主体信用信息。</w:t>
      </w:r>
    </w:p>
    <w:p w14:paraId="38D2FC50">
      <w:pPr>
        <w:spacing w:line="360" w:lineRule="auto"/>
        <w:rPr>
          <w:rFonts w:hint="eastAsia" w:ascii="宋体" w:hAnsi="宋体" w:eastAsia="宋体" w:cs="宋体"/>
          <w:b/>
          <w:bCs/>
          <w:color w:val="auto"/>
          <w:szCs w:val="21"/>
          <w:u w:val="double"/>
        </w:rPr>
      </w:pPr>
      <w:r>
        <w:rPr>
          <w:rFonts w:hint="eastAsia" w:ascii="宋体" w:hAnsi="宋体" w:eastAsia="宋体" w:cs="宋体"/>
          <w:b/>
          <w:bCs/>
          <w:color w:val="auto"/>
          <w:szCs w:val="21"/>
          <w:u w:val="double"/>
        </w:rPr>
        <w:t>3、潜在</w:t>
      </w:r>
      <w:r>
        <w:rPr>
          <w:rFonts w:hint="eastAsia" w:ascii="宋体" w:hAnsi="宋体" w:eastAsia="宋体" w:cs="宋体"/>
          <w:b/>
          <w:bCs/>
          <w:color w:val="auto"/>
          <w:szCs w:val="21"/>
          <w:u w:val="double"/>
          <w:lang w:eastAsia="zh-CN"/>
        </w:rPr>
        <w:t>投标人</w:t>
      </w:r>
      <w:r>
        <w:rPr>
          <w:rFonts w:hint="eastAsia" w:ascii="宋体" w:hAnsi="宋体" w:eastAsia="宋体" w:cs="宋体"/>
          <w:b/>
          <w:bCs/>
          <w:color w:val="auto"/>
          <w:szCs w:val="21"/>
          <w:u w:val="double"/>
        </w:rPr>
        <w:t>有异议的，可以在公告发布之日起七个工作日内，以书面形式同时向采购人与招标代理机构提交质疑函和必要的证明材料。质疑函应当包括下列内容：（一）</w:t>
      </w:r>
      <w:r>
        <w:rPr>
          <w:rFonts w:hint="eastAsia" w:ascii="宋体" w:hAnsi="宋体" w:eastAsia="宋体" w:cs="宋体"/>
          <w:b/>
          <w:bCs/>
          <w:color w:val="auto"/>
          <w:szCs w:val="21"/>
          <w:u w:val="double"/>
          <w:lang w:eastAsia="zh-CN"/>
        </w:rPr>
        <w:t>投标人</w:t>
      </w:r>
      <w:r>
        <w:rPr>
          <w:rFonts w:hint="eastAsia" w:ascii="宋体" w:hAnsi="宋体" w:eastAsia="宋体" w:cs="宋体"/>
          <w:b/>
          <w:bCs/>
          <w:color w:val="auto"/>
          <w:szCs w:val="21"/>
          <w:u w:val="double"/>
        </w:rPr>
        <w:t>的姓名或者名称、地址、邮编、联系人及联系电话；（二）质疑项目的名称、编号；（三）具体、明确的质疑事项和与质疑事项相关的请求；（四）事实依据；（五）必要的法律依据；（六）提出质疑的日期。</w:t>
      </w:r>
      <w:r>
        <w:rPr>
          <w:rFonts w:hint="eastAsia" w:ascii="宋体" w:hAnsi="宋体" w:eastAsia="宋体" w:cs="宋体"/>
          <w:b/>
          <w:bCs/>
          <w:color w:val="auto"/>
          <w:szCs w:val="21"/>
          <w:u w:val="double"/>
          <w:lang w:eastAsia="zh-CN"/>
        </w:rPr>
        <w:t>投标人</w:t>
      </w:r>
      <w:r>
        <w:rPr>
          <w:rFonts w:hint="eastAsia" w:ascii="宋体" w:hAnsi="宋体" w:eastAsia="宋体" w:cs="宋体"/>
          <w:b/>
          <w:bCs/>
          <w:color w:val="auto"/>
          <w:szCs w:val="21"/>
          <w:u w:val="double"/>
        </w:rPr>
        <w:t>为自然人的，应当由本人签字；</w:t>
      </w:r>
      <w:r>
        <w:rPr>
          <w:rFonts w:hint="eastAsia" w:ascii="宋体" w:hAnsi="宋体" w:eastAsia="宋体" w:cs="宋体"/>
          <w:b/>
          <w:bCs/>
          <w:color w:val="auto"/>
          <w:szCs w:val="21"/>
          <w:u w:val="double"/>
          <w:lang w:eastAsia="zh-CN"/>
        </w:rPr>
        <w:t>投标人</w:t>
      </w:r>
      <w:r>
        <w:rPr>
          <w:rFonts w:hint="eastAsia" w:ascii="宋体" w:hAnsi="宋体" w:eastAsia="宋体" w:cs="宋体"/>
          <w:b/>
          <w:bCs/>
          <w:color w:val="auto"/>
          <w:szCs w:val="21"/>
          <w:u w:val="double"/>
        </w:rPr>
        <w:t>为法人或者其他组织的，应当由法定代表人、主要负责人，或者其授权代表签字或者盖章，并加盖公章。（企业营业执照复印件及本人身份证复印件（加盖单位公章）一并提交），以质疑函接收确认日期作为受理时间；逾期未提交或未按照要求提交的质疑函将不予受理。</w:t>
      </w:r>
    </w:p>
    <w:p w14:paraId="528C938B">
      <w:pPr>
        <w:spacing w:line="360" w:lineRule="auto"/>
        <w:rPr>
          <w:rFonts w:hint="eastAsia" w:ascii="宋体" w:hAnsi="宋体" w:eastAsia="宋体" w:cs="宋体"/>
          <w:b/>
          <w:bCs/>
          <w:color w:val="auto"/>
          <w:szCs w:val="21"/>
          <w:u w:val="double"/>
        </w:rPr>
      </w:pPr>
      <w:r>
        <w:rPr>
          <w:rFonts w:hint="eastAsia" w:ascii="宋体" w:hAnsi="宋体" w:eastAsia="宋体" w:cs="宋体"/>
          <w:b/>
          <w:bCs/>
          <w:color w:val="auto"/>
          <w:szCs w:val="21"/>
          <w:u w:val="double"/>
        </w:rPr>
        <w:t>十、特别提醒</w:t>
      </w:r>
    </w:p>
    <w:p w14:paraId="178EF02F">
      <w:pPr>
        <w:spacing w:line="360" w:lineRule="auto"/>
        <w:rPr>
          <w:rFonts w:hint="eastAsia" w:ascii="宋体" w:hAnsi="宋体" w:eastAsia="宋体" w:cs="宋体"/>
          <w:b/>
          <w:bCs/>
          <w:color w:val="auto"/>
          <w:szCs w:val="21"/>
          <w:u w:val="double"/>
        </w:rPr>
      </w:pPr>
      <w:r>
        <w:rPr>
          <w:rFonts w:hint="eastAsia" w:ascii="宋体" w:hAnsi="宋体" w:eastAsia="宋体" w:cs="宋体"/>
          <w:b/>
          <w:bCs/>
          <w:color w:val="auto"/>
          <w:szCs w:val="21"/>
          <w:u w:val="double"/>
        </w:rPr>
        <w:t>响应文件中的扫描件，在确保清晰的前提下，每张最好控制在 500kb 内，生成的加密电子响应文件最好不要超过50MB。</w:t>
      </w:r>
    </w:p>
    <w:p w14:paraId="10B671EF">
      <w:pPr>
        <w:keepNext w:val="0"/>
        <w:keepLines w:val="0"/>
        <w:pageBreakBefore w:val="0"/>
        <w:widowControl/>
        <w:kinsoku/>
        <w:wordWrap/>
        <w:overflowPunct/>
        <w:topLinePunct w:val="0"/>
        <w:autoSpaceDE/>
        <w:autoSpaceDN/>
        <w:bidi w:val="0"/>
        <w:spacing w:line="480" w:lineRule="exact"/>
        <w:ind w:left="0" w:leftChars="0" w:firstLine="420" w:firstLineChars="200"/>
        <w:jc w:val="left"/>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br w:type="page"/>
      </w:r>
    </w:p>
    <w:p w14:paraId="5DF19723">
      <w:pPr>
        <w:pStyle w:val="5"/>
        <w:bidi w:val="0"/>
        <w:rPr>
          <w:rFonts w:hint="eastAsia" w:asciiTheme="minorEastAsia" w:hAnsiTheme="minorEastAsia" w:eastAsiaTheme="minorEastAsia" w:cstheme="minorEastAsia"/>
          <w:color w:val="auto"/>
          <w:sz w:val="32"/>
          <w:szCs w:val="32"/>
          <w:highlight w:val="none"/>
        </w:rPr>
      </w:pPr>
      <w:bookmarkStart w:id="3" w:name="_Toc30363"/>
      <w:bookmarkStart w:id="4" w:name="_Toc17548"/>
      <w:bookmarkStart w:id="5" w:name="_Toc17154"/>
      <w:bookmarkStart w:id="6" w:name="_Toc29739"/>
      <w:r>
        <w:rPr>
          <w:rFonts w:hint="eastAsia" w:asciiTheme="minorEastAsia" w:hAnsiTheme="minorEastAsia" w:eastAsiaTheme="minorEastAsia" w:cstheme="minorEastAsia"/>
          <w:color w:val="auto"/>
          <w:sz w:val="32"/>
          <w:szCs w:val="32"/>
          <w:highlight w:val="none"/>
        </w:rPr>
        <w:t xml:space="preserve">第一章 </w:t>
      </w:r>
      <w:r>
        <w:rPr>
          <w:rFonts w:hint="eastAsia" w:asciiTheme="minorEastAsia" w:hAnsiTheme="minorEastAsia" w:eastAsiaTheme="minorEastAsia" w:cstheme="minorEastAsia"/>
          <w:color w:val="auto"/>
          <w:sz w:val="32"/>
          <w:szCs w:val="32"/>
          <w:highlight w:val="none"/>
          <w:lang w:eastAsia="zh-CN"/>
        </w:rPr>
        <w:t>竞争性</w:t>
      </w:r>
      <w:r>
        <w:rPr>
          <w:rFonts w:hint="eastAsia" w:asciiTheme="minorEastAsia" w:hAnsiTheme="minorEastAsia" w:eastAsiaTheme="minorEastAsia" w:cstheme="minorEastAsia"/>
          <w:color w:val="auto"/>
          <w:sz w:val="32"/>
          <w:szCs w:val="32"/>
          <w:highlight w:val="none"/>
        </w:rPr>
        <w:t>磋商公告</w:t>
      </w:r>
      <w:bookmarkEnd w:id="3"/>
      <w:bookmarkEnd w:id="4"/>
      <w:bookmarkEnd w:id="5"/>
      <w:bookmarkEnd w:id="6"/>
    </w:p>
    <w:p w14:paraId="0831D4E8">
      <w:pPr>
        <w:keepNext w:val="0"/>
        <w:keepLines w:val="0"/>
        <w:pageBreakBefore w:val="0"/>
        <w:pBdr>
          <w:top w:val="single" w:color="auto" w:sz="4" w:space="1"/>
          <w:left w:val="single" w:color="auto" w:sz="4" w:space="4"/>
          <w:bottom w:val="single" w:color="auto" w:sz="4" w:space="1"/>
          <w:right w:val="single" w:color="auto" w:sz="4" w:space="4"/>
        </w:pBdr>
        <w:shd w:val="clear" w:color="auto"/>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color w:val="auto"/>
          <w:sz w:val="21"/>
          <w:szCs w:val="21"/>
          <w:highlight w:val="none"/>
        </w:rPr>
      </w:pPr>
      <w:bookmarkStart w:id="7" w:name="_Toc18113"/>
      <w:bookmarkStart w:id="8" w:name="_Toc31204"/>
      <w:bookmarkStart w:id="9" w:name="_Toc152042303"/>
      <w:bookmarkStart w:id="10" w:name="_Toc152045527"/>
      <w:bookmarkStart w:id="11" w:name="_Toc144974495"/>
      <w:bookmarkStart w:id="12" w:name="_Toc8890"/>
      <w:r>
        <w:rPr>
          <w:rFonts w:hint="eastAsia" w:ascii="宋体" w:hAnsi="宋体" w:eastAsia="宋体" w:cs="宋体"/>
          <w:b/>
          <w:bCs/>
          <w:i w:val="0"/>
          <w:iCs w:val="0"/>
          <w:color w:val="auto"/>
          <w:sz w:val="21"/>
          <w:szCs w:val="21"/>
          <w:highlight w:val="none"/>
        </w:rPr>
        <w:t>项目概况</w:t>
      </w:r>
    </w:p>
    <w:p w14:paraId="748C4D2D">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u w:val="single"/>
          <w:lang w:eastAsia="zh-CN"/>
        </w:rPr>
        <w:t>信阳农林学院校园生活垃圾收集外运项目</w:t>
      </w:r>
      <w:r>
        <w:rPr>
          <w:rFonts w:hint="eastAsia" w:ascii="宋体" w:hAnsi="宋体" w:eastAsia="宋体" w:cs="宋体"/>
          <w:color w:val="auto"/>
          <w:sz w:val="21"/>
          <w:szCs w:val="21"/>
        </w:rPr>
        <w:t xml:space="preserve"> 招标项目的潜在投标人应在“全国公共资源交易平台（河南省·信阳市）（</w:t>
      </w:r>
      <w:r>
        <w:rPr>
          <w:rFonts w:hint="eastAsia" w:ascii="宋体" w:hAnsi="宋体" w:eastAsia="宋体" w:cs="宋体"/>
          <w:color w:val="auto"/>
          <w:sz w:val="21"/>
          <w:szCs w:val="21"/>
          <w:lang w:eastAsia="zh-CN"/>
        </w:rPr>
        <w:t>https://ggzyjy.xinyang.gov.cn/</w:t>
      </w:r>
      <w:r>
        <w:rPr>
          <w:rFonts w:hint="eastAsia" w:ascii="宋体" w:hAnsi="宋体" w:eastAsia="宋体" w:cs="宋体"/>
          <w:color w:val="auto"/>
          <w:sz w:val="21"/>
          <w:szCs w:val="21"/>
        </w:rPr>
        <w:t xml:space="preserve">）” </w:t>
      </w:r>
      <w:r>
        <w:rPr>
          <w:rFonts w:hint="eastAsia" w:ascii="宋体" w:hAnsi="宋体" w:eastAsia="宋体" w:cs="宋体"/>
          <w:color w:val="auto"/>
          <w:sz w:val="21"/>
          <w:szCs w:val="21"/>
          <w:lang w:val="en-US" w:eastAsia="zh-CN"/>
        </w:rPr>
        <w:t>网站，凭办理的企业身份认证锁（CA数字证书）登录会员系统获取磋商文件</w:t>
      </w:r>
      <w:r>
        <w:rPr>
          <w:rFonts w:hint="eastAsia" w:ascii="宋体" w:hAnsi="宋体" w:eastAsia="宋体" w:cs="宋体"/>
          <w:color w:val="auto"/>
          <w:kern w:val="0"/>
          <w:sz w:val="21"/>
          <w:szCs w:val="21"/>
        </w:rPr>
        <w:t>，</w:t>
      </w:r>
      <w:r>
        <w:rPr>
          <w:rFonts w:hint="eastAsia" w:ascii="宋体" w:hAnsi="宋体" w:eastAsia="宋体" w:cs="宋体"/>
          <w:color w:val="auto"/>
          <w:sz w:val="21"/>
          <w:szCs w:val="21"/>
        </w:rPr>
        <w:t>并于</w:t>
      </w:r>
      <w:r>
        <w:rPr>
          <w:rFonts w:hint="eastAsia" w:ascii="宋体" w:hAnsi="宋体" w:eastAsia="宋体" w:cs="宋体"/>
          <w:color w:val="auto"/>
          <w:sz w:val="21"/>
          <w:szCs w:val="21"/>
          <w:u w:val="single"/>
        </w:rPr>
        <w:t xml:space="preserve"> 202</w:t>
      </w:r>
      <w:r>
        <w:rPr>
          <w:rFonts w:hint="eastAsia" w:ascii="宋体" w:hAnsi="宋体" w:eastAsia="宋体" w:cs="宋体"/>
          <w:color w:val="auto"/>
          <w:sz w:val="21"/>
          <w:szCs w:val="21"/>
          <w:u w:val="single"/>
          <w:lang w:val="en-US" w:eastAsia="zh-CN"/>
        </w:rPr>
        <w:t>6</w:t>
      </w:r>
      <w:r>
        <w:rPr>
          <w:rFonts w:hint="eastAsia" w:ascii="宋体" w:hAnsi="宋体" w:eastAsia="宋体" w:cs="宋体"/>
          <w:bCs/>
          <w:color w:val="auto"/>
          <w:sz w:val="21"/>
          <w:szCs w:val="21"/>
          <w:u w:val="single"/>
        </w:rPr>
        <w:t>年</w:t>
      </w:r>
      <w:r>
        <w:rPr>
          <w:rFonts w:hint="eastAsia" w:ascii="宋体" w:hAnsi="宋体" w:cs="宋体"/>
          <w:bCs/>
          <w:color w:val="auto"/>
          <w:sz w:val="21"/>
          <w:szCs w:val="21"/>
          <w:u w:val="single"/>
          <w:lang w:val="en-US" w:eastAsia="zh-CN"/>
        </w:rPr>
        <w:t>0</w:t>
      </w:r>
      <w:r>
        <w:rPr>
          <w:rFonts w:hint="eastAsia" w:ascii="宋体" w:hAnsi="宋体" w:eastAsia="宋体" w:cs="宋体"/>
          <w:bCs/>
          <w:color w:val="auto"/>
          <w:sz w:val="21"/>
          <w:szCs w:val="21"/>
          <w:u w:val="single"/>
          <w:lang w:val="en-US" w:eastAsia="zh-CN"/>
        </w:rPr>
        <w:t>7</w:t>
      </w:r>
      <w:r>
        <w:rPr>
          <w:rFonts w:hint="eastAsia" w:ascii="宋体" w:hAnsi="宋体" w:eastAsia="宋体" w:cs="宋体"/>
          <w:bCs/>
          <w:color w:val="auto"/>
          <w:sz w:val="21"/>
          <w:szCs w:val="21"/>
          <w:u w:val="single"/>
        </w:rPr>
        <w:t>月</w:t>
      </w:r>
      <w:r>
        <w:rPr>
          <w:rFonts w:hint="eastAsia" w:ascii="宋体" w:hAnsi="宋体" w:cs="宋体"/>
          <w:bCs/>
          <w:color w:val="auto"/>
          <w:sz w:val="21"/>
          <w:szCs w:val="21"/>
          <w:u w:val="single"/>
          <w:lang w:val="en-US" w:eastAsia="zh-CN"/>
        </w:rPr>
        <w:t>27</w:t>
      </w:r>
      <w:r>
        <w:rPr>
          <w:rFonts w:hint="eastAsia" w:ascii="宋体" w:hAnsi="宋体" w:eastAsia="宋体" w:cs="宋体"/>
          <w:bCs/>
          <w:color w:val="auto"/>
          <w:sz w:val="21"/>
          <w:szCs w:val="21"/>
          <w:u w:val="single"/>
        </w:rPr>
        <w:t>日09时</w:t>
      </w:r>
      <w:r>
        <w:rPr>
          <w:rFonts w:hint="eastAsia" w:ascii="宋体" w:hAnsi="宋体" w:eastAsia="宋体" w:cs="宋体"/>
          <w:bCs/>
          <w:color w:val="auto"/>
          <w:sz w:val="21"/>
          <w:szCs w:val="21"/>
          <w:u w:val="single"/>
          <w:lang w:val="en-US" w:eastAsia="zh-CN"/>
        </w:rPr>
        <w:t>0</w:t>
      </w:r>
      <w:r>
        <w:rPr>
          <w:rFonts w:hint="eastAsia" w:ascii="宋体" w:hAnsi="宋体" w:eastAsia="宋体" w:cs="宋体"/>
          <w:bCs/>
          <w:color w:val="auto"/>
          <w:sz w:val="21"/>
          <w:szCs w:val="21"/>
          <w:u w:val="single"/>
        </w:rPr>
        <w:t>0分</w:t>
      </w:r>
      <w:r>
        <w:rPr>
          <w:rFonts w:hint="eastAsia" w:ascii="宋体" w:hAnsi="宋体" w:eastAsia="宋体" w:cs="宋体"/>
          <w:bCs/>
          <w:color w:val="auto"/>
          <w:sz w:val="21"/>
          <w:szCs w:val="21"/>
          <w:u w:val="none"/>
        </w:rPr>
        <w:t>（</w:t>
      </w:r>
      <w:r>
        <w:rPr>
          <w:rFonts w:hint="eastAsia" w:ascii="宋体" w:hAnsi="宋体" w:eastAsia="宋体" w:cs="宋体"/>
          <w:bCs/>
          <w:color w:val="auto"/>
          <w:sz w:val="21"/>
          <w:szCs w:val="21"/>
        </w:rPr>
        <w:t>北京时间）前</w:t>
      </w:r>
      <w:r>
        <w:rPr>
          <w:rFonts w:hint="eastAsia" w:ascii="宋体" w:hAnsi="宋体" w:eastAsia="宋体" w:cs="宋体"/>
          <w:bCs/>
          <w:color w:val="auto"/>
          <w:sz w:val="21"/>
          <w:szCs w:val="21"/>
          <w:lang w:val="en-US" w:eastAsia="zh-CN"/>
        </w:rPr>
        <w:t>递交</w:t>
      </w:r>
      <w:r>
        <w:rPr>
          <w:rFonts w:hint="eastAsia" w:ascii="宋体" w:hAnsi="宋体" w:eastAsia="宋体" w:cs="宋体"/>
          <w:bCs/>
          <w:color w:val="auto"/>
          <w:sz w:val="21"/>
          <w:szCs w:val="21"/>
        </w:rPr>
        <w:t>响应文件。</w:t>
      </w:r>
    </w:p>
    <w:p w14:paraId="7B02CA67">
      <w:pPr>
        <w:keepNext w:val="0"/>
        <w:keepLines w:val="0"/>
        <w:pageBreakBefore w:val="0"/>
        <w:widowControl/>
        <w:numPr>
          <w:ilvl w:val="0"/>
          <w:numId w:val="0"/>
        </w:numPr>
        <w:shd w:val="clear" w:color="auto"/>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lang w:val="en-US" w:eastAsia="zh-CN" w:bidi="ar-SA"/>
        </w:rPr>
        <w:t>一、</w:t>
      </w:r>
      <w:r>
        <w:rPr>
          <w:rFonts w:hint="eastAsia" w:ascii="宋体" w:hAnsi="宋体" w:eastAsia="宋体" w:cs="宋体"/>
          <w:b/>
          <w:bCs/>
          <w:color w:val="auto"/>
          <w:kern w:val="0"/>
          <w:sz w:val="21"/>
          <w:szCs w:val="21"/>
          <w:highlight w:val="none"/>
          <w:lang w:eastAsia="zh-CN"/>
        </w:rPr>
        <w:t>项目基本情况</w:t>
      </w:r>
    </w:p>
    <w:p w14:paraId="0A100E47">
      <w:pPr>
        <w:keepNext w:val="0"/>
        <w:keepLines w:val="0"/>
        <w:pageBreakBefore w:val="0"/>
        <w:widowControl/>
        <w:shd w:val="clear" w:color="auto"/>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kern w:val="0"/>
          <w:sz w:val="21"/>
          <w:szCs w:val="21"/>
          <w:highlight w:val="none"/>
          <w:shd w:val="clear" w:color="auto" w:fill="FFFFFF"/>
          <w:lang w:val="en-US" w:eastAsia="zh-CN"/>
        </w:rPr>
      </w:pPr>
      <w:r>
        <w:rPr>
          <w:rFonts w:hint="eastAsia" w:ascii="宋体" w:hAnsi="宋体" w:eastAsia="宋体" w:cs="宋体"/>
          <w:color w:val="auto"/>
          <w:kern w:val="0"/>
          <w:sz w:val="21"/>
          <w:szCs w:val="21"/>
          <w:highlight w:val="none"/>
          <w:shd w:val="clear" w:color="auto" w:fill="FFFFFF"/>
          <w:lang w:val="en-US" w:eastAsia="zh-CN"/>
        </w:rPr>
        <w:t>1.项目编号：</w:t>
      </w:r>
      <w:r>
        <w:rPr>
          <w:rFonts w:hint="eastAsia" w:ascii="宋体" w:hAnsi="宋体" w:eastAsia="宋体" w:cs="宋体"/>
          <w:color w:val="auto"/>
          <w:sz w:val="21"/>
          <w:szCs w:val="21"/>
          <w:highlight w:val="none"/>
          <w:lang w:eastAsia="zh-CN"/>
        </w:rPr>
        <w:t>信财磋商采购-2026-31</w:t>
      </w:r>
    </w:p>
    <w:p w14:paraId="391B4A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lang w:eastAsia="zh-CN"/>
        </w:rPr>
        <w:t>信阳农林学院校园生活垃圾收集外运项目</w:t>
      </w:r>
      <w:r>
        <w:rPr>
          <w:rFonts w:hint="eastAsia" w:ascii="宋体" w:hAnsi="宋体" w:eastAsia="宋体" w:cs="宋体"/>
          <w:color w:val="auto"/>
          <w:sz w:val="21"/>
          <w:szCs w:val="21"/>
          <w:highlight w:val="none"/>
        </w:rPr>
        <w:t xml:space="preserve"> </w:t>
      </w:r>
    </w:p>
    <w:p w14:paraId="0AEF83EE">
      <w:pPr>
        <w:keepNext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采购方式：竞争性磋商</w:t>
      </w:r>
    </w:p>
    <w:p w14:paraId="3FDF98AA">
      <w:pPr>
        <w:keepNext w:val="0"/>
        <w:pageBreakBefore w:val="0"/>
        <w:kinsoku/>
        <w:wordWrap/>
        <w:overflowPunct/>
        <w:topLinePunct w:val="0"/>
        <w:autoSpaceDE/>
        <w:autoSpaceDN/>
        <w:bidi w:val="0"/>
        <w:spacing w:line="360" w:lineRule="auto"/>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预算金额：</w:t>
      </w:r>
      <w:r>
        <w:rPr>
          <w:rFonts w:hint="eastAsia" w:ascii="宋体" w:hAnsi="宋体" w:eastAsia="宋体" w:cs="宋体"/>
          <w:color w:val="auto"/>
          <w:sz w:val="21"/>
          <w:szCs w:val="21"/>
          <w:highlight w:val="none"/>
          <w:lang w:eastAsia="zh-CN"/>
        </w:rPr>
        <w:t>522982.50</w:t>
      </w:r>
      <w:r>
        <w:rPr>
          <w:rFonts w:hint="eastAsia" w:ascii="宋体" w:hAnsi="宋体" w:eastAsia="宋体" w:cs="宋体"/>
          <w:color w:val="auto"/>
          <w:sz w:val="21"/>
          <w:szCs w:val="21"/>
          <w:highlight w:val="none"/>
        </w:rPr>
        <w:t>元</w:t>
      </w:r>
      <w:r>
        <w:rPr>
          <w:rFonts w:hint="eastAsia" w:ascii="宋体" w:hAnsi="宋体" w:cs="宋体"/>
          <w:color w:val="auto"/>
          <w:sz w:val="21"/>
          <w:szCs w:val="21"/>
          <w:highlight w:val="none"/>
          <w:lang w:val="en-US" w:eastAsia="zh-CN"/>
        </w:rPr>
        <w:t>/年</w:t>
      </w:r>
    </w:p>
    <w:p w14:paraId="265F9551">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最高限价：</w:t>
      </w:r>
      <w:r>
        <w:rPr>
          <w:rFonts w:hint="eastAsia" w:ascii="宋体" w:hAnsi="宋体" w:eastAsia="宋体" w:cs="宋体"/>
          <w:color w:val="auto"/>
          <w:sz w:val="21"/>
          <w:szCs w:val="21"/>
          <w:highlight w:val="none"/>
          <w:lang w:eastAsia="zh-CN"/>
        </w:rPr>
        <w:t>522982.50</w:t>
      </w:r>
      <w:r>
        <w:rPr>
          <w:rFonts w:hint="eastAsia" w:ascii="宋体" w:hAnsi="宋体" w:eastAsia="宋体" w:cs="宋体"/>
          <w:color w:val="auto"/>
          <w:sz w:val="21"/>
          <w:szCs w:val="21"/>
          <w:highlight w:val="none"/>
        </w:rPr>
        <w:t>元</w:t>
      </w:r>
      <w:r>
        <w:rPr>
          <w:rFonts w:hint="eastAsia" w:ascii="宋体" w:hAnsi="宋体" w:cs="宋体"/>
          <w:color w:val="auto"/>
          <w:sz w:val="21"/>
          <w:szCs w:val="21"/>
          <w:highlight w:val="none"/>
          <w:lang w:val="en-US" w:eastAsia="zh-CN"/>
        </w:rPr>
        <w:t>/年</w:t>
      </w:r>
    </w:p>
    <w:tbl>
      <w:tblPr>
        <w:tblStyle w:val="31"/>
        <w:tblW w:w="9294" w:type="dxa"/>
        <w:tblInd w:w="4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
        <w:gridCol w:w="1526"/>
        <w:gridCol w:w="2142"/>
        <w:gridCol w:w="1260"/>
        <w:gridCol w:w="1259"/>
        <w:gridCol w:w="1334"/>
        <w:gridCol w:w="1320"/>
      </w:tblGrid>
      <w:tr w14:paraId="5B676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 w:type="dxa"/>
            <w:noWrap w:val="0"/>
            <w:vAlign w:val="center"/>
          </w:tcPr>
          <w:p w14:paraId="72CBC728">
            <w:pPr>
              <w:keepNext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526" w:type="dxa"/>
            <w:noWrap w:val="0"/>
            <w:vAlign w:val="center"/>
          </w:tcPr>
          <w:p w14:paraId="146D59C2">
            <w:pPr>
              <w:keepNext w:val="0"/>
              <w:keepLines w:val="0"/>
              <w:pageBreakBefore w:val="0"/>
              <w:kinsoku/>
              <w:wordWrap/>
              <w:overflowPunct/>
              <w:topLinePunct w:val="0"/>
              <w:autoSpaceDE/>
              <w:autoSpaceDN/>
              <w:bidi w:val="0"/>
              <w:adjustRightInd/>
              <w:snapToGrid/>
              <w:spacing w:line="360" w:lineRule="auto"/>
              <w:ind w:left="0" w:lef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包号</w:t>
            </w:r>
          </w:p>
        </w:tc>
        <w:tc>
          <w:tcPr>
            <w:tcW w:w="2142" w:type="dxa"/>
            <w:noWrap w:val="0"/>
            <w:vAlign w:val="center"/>
          </w:tcPr>
          <w:p w14:paraId="09ED67C1">
            <w:pPr>
              <w:keepNext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包名称</w:t>
            </w:r>
          </w:p>
        </w:tc>
        <w:tc>
          <w:tcPr>
            <w:tcW w:w="1260" w:type="dxa"/>
            <w:noWrap w:val="0"/>
            <w:vAlign w:val="center"/>
          </w:tcPr>
          <w:p w14:paraId="748091E9">
            <w:pPr>
              <w:keepNext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包预算（元</w:t>
            </w:r>
            <w:r>
              <w:rPr>
                <w:rFonts w:hint="eastAsia" w:ascii="宋体" w:hAnsi="宋体" w:cs="宋体"/>
                <w:color w:val="auto"/>
                <w:sz w:val="21"/>
                <w:szCs w:val="21"/>
                <w:highlight w:val="none"/>
                <w:lang w:val="en-US" w:eastAsia="zh-CN"/>
              </w:rPr>
              <w:t>/年</w:t>
            </w:r>
            <w:r>
              <w:rPr>
                <w:rFonts w:hint="eastAsia" w:ascii="宋体" w:hAnsi="宋体" w:eastAsia="宋体" w:cs="宋体"/>
                <w:color w:val="auto"/>
                <w:sz w:val="21"/>
                <w:szCs w:val="21"/>
                <w:highlight w:val="none"/>
              </w:rPr>
              <w:t>）</w:t>
            </w:r>
          </w:p>
        </w:tc>
        <w:tc>
          <w:tcPr>
            <w:tcW w:w="1259" w:type="dxa"/>
            <w:noWrap w:val="0"/>
            <w:vAlign w:val="center"/>
          </w:tcPr>
          <w:p w14:paraId="49C9AF4F">
            <w:pPr>
              <w:keepNext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包最高限价（元</w:t>
            </w:r>
            <w:r>
              <w:rPr>
                <w:rFonts w:hint="eastAsia" w:ascii="宋体" w:hAnsi="宋体" w:cs="宋体"/>
                <w:color w:val="auto"/>
                <w:sz w:val="21"/>
                <w:szCs w:val="21"/>
                <w:highlight w:val="none"/>
                <w:lang w:val="en-US" w:eastAsia="zh-CN"/>
              </w:rPr>
              <w:t>/年</w:t>
            </w:r>
            <w:r>
              <w:rPr>
                <w:rFonts w:hint="eastAsia" w:ascii="宋体" w:hAnsi="宋体" w:eastAsia="宋体" w:cs="宋体"/>
                <w:color w:val="auto"/>
                <w:sz w:val="21"/>
                <w:szCs w:val="21"/>
                <w:highlight w:val="none"/>
              </w:rPr>
              <w:t>）</w:t>
            </w:r>
          </w:p>
        </w:tc>
        <w:tc>
          <w:tcPr>
            <w:tcW w:w="1334" w:type="dxa"/>
            <w:noWrap w:val="0"/>
            <w:vAlign w:val="center"/>
          </w:tcPr>
          <w:p w14:paraId="788CB15D">
            <w:pPr>
              <w:keepNext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是否专门面向中小企业</w:t>
            </w:r>
          </w:p>
        </w:tc>
        <w:tc>
          <w:tcPr>
            <w:tcW w:w="1320" w:type="dxa"/>
            <w:noWrap w:val="0"/>
            <w:vAlign w:val="center"/>
          </w:tcPr>
          <w:p w14:paraId="154DC159">
            <w:pPr>
              <w:keepNext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采购预留金额（元</w:t>
            </w:r>
            <w:r>
              <w:rPr>
                <w:rFonts w:hint="eastAsia" w:ascii="宋体" w:hAnsi="宋体" w:cs="宋体"/>
                <w:color w:val="auto"/>
                <w:sz w:val="21"/>
                <w:szCs w:val="21"/>
                <w:highlight w:val="none"/>
                <w:lang w:val="en-US" w:eastAsia="zh-CN"/>
              </w:rPr>
              <w:t>/年</w:t>
            </w:r>
            <w:r>
              <w:rPr>
                <w:rFonts w:hint="eastAsia" w:ascii="宋体" w:hAnsi="宋体" w:eastAsia="宋体" w:cs="宋体"/>
                <w:color w:val="auto"/>
                <w:sz w:val="21"/>
                <w:szCs w:val="21"/>
                <w:highlight w:val="none"/>
              </w:rPr>
              <w:t>）</w:t>
            </w:r>
          </w:p>
        </w:tc>
      </w:tr>
      <w:tr w14:paraId="1FD54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 w:type="dxa"/>
            <w:noWrap w:val="0"/>
            <w:vAlign w:val="center"/>
          </w:tcPr>
          <w:p w14:paraId="35D88E71">
            <w:pPr>
              <w:keepNext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526" w:type="dxa"/>
            <w:noWrap w:val="0"/>
            <w:vAlign w:val="center"/>
          </w:tcPr>
          <w:p w14:paraId="1F1D280B">
            <w:pPr>
              <w:keepNext w:val="0"/>
              <w:keepLines/>
              <w:pageBreakBefore/>
              <w:widowControl w:val="0"/>
              <w:kinsoku/>
              <w:wordWrap w:val="0"/>
              <w:overflowPunct/>
              <w:topLinePunct w:val="0"/>
              <w:autoSpaceDE/>
              <w:autoSpaceDN/>
              <w:bidi w:val="0"/>
              <w:adjustRightInd/>
              <w:snapToGrid/>
              <w:spacing w:line="360" w:lineRule="auto"/>
              <w:ind w:left="0" w:lef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信财磋商采购-2026-31</w:t>
            </w:r>
            <w:r>
              <w:rPr>
                <w:rFonts w:hint="eastAsia" w:ascii="宋体" w:hAnsi="宋体" w:eastAsia="宋体" w:cs="宋体"/>
                <w:color w:val="auto"/>
                <w:sz w:val="21"/>
                <w:szCs w:val="21"/>
                <w:highlight w:val="none"/>
                <w:lang w:val="en-US" w:eastAsia="zh-CN"/>
              </w:rPr>
              <w:t>-1</w:t>
            </w:r>
          </w:p>
        </w:tc>
        <w:tc>
          <w:tcPr>
            <w:tcW w:w="2142" w:type="dxa"/>
            <w:noWrap w:val="0"/>
            <w:vAlign w:val="center"/>
          </w:tcPr>
          <w:p w14:paraId="48DB325C">
            <w:pPr>
              <w:keepNext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信阳农林学院校园生活垃圾收集外运项目</w:t>
            </w:r>
          </w:p>
        </w:tc>
        <w:tc>
          <w:tcPr>
            <w:tcW w:w="1260" w:type="dxa"/>
            <w:noWrap w:val="0"/>
            <w:vAlign w:val="center"/>
          </w:tcPr>
          <w:p w14:paraId="22DF0E41">
            <w:pPr>
              <w:keepNext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522982.50</w:t>
            </w:r>
          </w:p>
        </w:tc>
        <w:tc>
          <w:tcPr>
            <w:tcW w:w="1259" w:type="dxa"/>
            <w:noWrap w:val="0"/>
            <w:vAlign w:val="center"/>
          </w:tcPr>
          <w:p w14:paraId="3508FF45">
            <w:pPr>
              <w:keepNext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522982.50</w:t>
            </w:r>
          </w:p>
        </w:tc>
        <w:tc>
          <w:tcPr>
            <w:tcW w:w="1334" w:type="dxa"/>
            <w:noWrap w:val="0"/>
            <w:vAlign w:val="center"/>
          </w:tcPr>
          <w:p w14:paraId="7E98952D">
            <w:pPr>
              <w:keepNext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w:t>
            </w:r>
          </w:p>
        </w:tc>
        <w:tc>
          <w:tcPr>
            <w:tcW w:w="1320" w:type="dxa"/>
            <w:noWrap w:val="0"/>
            <w:vAlign w:val="center"/>
          </w:tcPr>
          <w:p w14:paraId="22664412">
            <w:pPr>
              <w:keepNext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522982.50</w:t>
            </w:r>
          </w:p>
        </w:tc>
      </w:tr>
    </w:tbl>
    <w:p w14:paraId="6E4E3D54">
      <w:pPr>
        <w:keepNext w:val="0"/>
        <w:keepLines w:val="0"/>
        <w:pageBreakBefore w:val="0"/>
        <w:widowControl/>
        <w:shd w:val="clear" w:color="auto"/>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kern w:val="0"/>
          <w:sz w:val="21"/>
          <w:szCs w:val="21"/>
          <w:highlight w:val="none"/>
          <w:shd w:val="clear" w:color="auto" w:fill="FFFFFF"/>
          <w:lang w:val="en-US" w:eastAsia="zh-CN"/>
        </w:rPr>
      </w:pPr>
      <w:r>
        <w:rPr>
          <w:rFonts w:hint="eastAsia" w:ascii="宋体" w:hAnsi="宋体" w:eastAsia="宋体" w:cs="宋体"/>
          <w:color w:val="auto"/>
          <w:kern w:val="0"/>
          <w:sz w:val="21"/>
          <w:szCs w:val="21"/>
          <w:highlight w:val="none"/>
          <w:shd w:val="clear" w:color="auto" w:fill="FFFFFF"/>
          <w:lang w:val="en-US" w:eastAsia="zh-CN"/>
        </w:rPr>
        <w:t>5.采购需求（包括但不限于标的的名称、数量、简要技术需求或服务要求等）</w:t>
      </w:r>
    </w:p>
    <w:p w14:paraId="3253DADF">
      <w:pPr>
        <w:keepNext w:val="0"/>
        <w:keepLines w:val="0"/>
        <w:pageBreakBefore w:val="0"/>
        <w:widowControl/>
        <w:shd w:val="clear" w:color="auto"/>
        <w:kinsoku/>
        <w:wordWrap/>
        <w:overflowPunct/>
        <w:topLinePunct w:val="0"/>
        <w:autoSpaceDE/>
        <w:autoSpaceDN/>
        <w:bidi w:val="0"/>
        <w:adjustRightInd/>
        <w:snapToGrid/>
        <w:spacing w:line="360" w:lineRule="auto"/>
        <w:ind w:firstLine="840" w:firstLineChars="400"/>
        <w:textAlignment w:val="auto"/>
        <w:rPr>
          <w:rFonts w:hint="eastAsia" w:ascii="宋体" w:hAnsi="宋体" w:eastAsia="宋体" w:cs="宋体"/>
          <w:color w:val="auto"/>
          <w:kern w:val="0"/>
          <w:sz w:val="21"/>
          <w:szCs w:val="21"/>
          <w:highlight w:val="none"/>
          <w:shd w:val="clear" w:color="auto" w:fill="FFFFFF"/>
          <w:lang w:val="en-US" w:eastAsia="zh-CN"/>
        </w:rPr>
      </w:pPr>
      <w:r>
        <w:rPr>
          <w:rFonts w:hint="eastAsia" w:ascii="宋体" w:hAnsi="宋体" w:eastAsia="宋体" w:cs="宋体"/>
          <w:color w:val="auto"/>
          <w:kern w:val="0"/>
          <w:sz w:val="21"/>
          <w:szCs w:val="21"/>
          <w:highlight w:val="none"/>
          <w:shd w:val="clear" w:color="auto" w:fill="FFFFFF"/>
          <w:lang w:val="en-US" w:eastAsia="zh-CN"/>
        </w:rPr>
        <w:t>5.1采购内容：信阳农林学院羊山校区的普通生活垃圾和废弃垃圾（包含废弃物品、维修更换的废弃材料等）的收集和外运，各项费用一次性包干；具体内容详见采购文件第五章；</w:t>
      </w:r>
    </w:p>
    <w:p w14:paraId="28A581FB">
      <w:pPr>
        <w:keepNext w:val="0"/>
        <w:keepLines w:val="0"/>
        <w:pageBreakBefore w:val="0"/>
        <w:widowControl/>
        <w:shd w:val="clear" w:color="auto"/>
        <w:kinsoku/>
        <w:wordWrap/>
        <w:overflowPunct/>
        <w:topLinePunct w:val="0"/>
        <w:autoSpaceDE/>
        <w:autoSpaceDN/>
        <w:bidi w:val="0"/>
        <w:adjustRightInd/>
        <w:snapToGrid/>
        <w:spacing w:line="360" w:lineRule="auto"/>
        <w:ind w:firstLine="840" w:firstLineChars="400"/>
        <w:textAlignment w:val="auto"/>
        <w:rPr>
          <w:rFonts w:hint="eastAsia" w:ascii="宋体" w:hAnsi="宋体" w:eastAsia="宋体" w:cs="宋体"/>
          <w:color w:val="auto"/>
          <w:kern w:val="0"/>
          <w:sz w:val="21"/>
          <w:szCs w:val="21"/>
          <w:highlight w:val="none"/>
          <w:shd w:val="clear" w:color="auto" w:fill="FFFFFF"/>
          <w:lang w:val="en-US" w:eastAsia="zh-CN"/>
        </w:rPr>
      </w:pPr>
      <w:r>
        <w:rPr>
          <w:rFonts w:hint="eastAsia" w:ascii="宋体" w:hAnsi="宋体" w:eastAsia="宋体" w:cs="宋体"/>
          <w:color w:val="auto"/>
          <w:kern w:val="0"/>
          <w:sz w:val="21"/>
          <w:szCs w:val="21"/>
          <w:highlight w:val="none"/>
          <w:shd w:val="clear" w:color="auto" w:fill="FFFFFF"/>
          <w:lang w:val="en-US" w:eastAsia="zh-CN"/>
        </w:rPr>
        <w:t>5.2资金来源：财政资金，已落实；</w:t>
      </w:r>
    </w:p>
    <w:p w14:paraId="41C52CAF">
      <w:pPr>
        <w:keepNext w:val="0"/>
        <w:keepLines w:val="0"/>
        <w:pageBreakBefore w:val="0"/>
        <w:widowControl/>
        <w:shd w:val="clear" w:color="auto"/>
        <w:kinsoku/>
        <w:wordWrap/>
        <w:overflowPunct/>
        <w:topLinePunct w:val="0"/>
        <w:autoSpaceDE/>
        <w:autoSpaceDN/>
        <w:bidi w:val="0"/>
        <w:adjustRightInd/>
        <w:snapToGrid/>
        <w:spacing w:line="360" w:lineRule="auto"/>
        <w:ind w:firstLine="840" w:firstLineChars="400"/>
        <w:textAlignment w:val="auto"/>
        <w:rPr>
          <w:rFonts w:hint="eastAsia" w:ascii="宋体" w:hAnsi="宋体" w:eastAsia="宋体" w:cs="宋体"/>
          <w:color w:val="auto"/>
          <w:kern w:val="0"/>
          <w:sz w:val="21"/>
          <w:szCs w:val="21"/>
          <w:highlight w:val="none"/>
          <w:shd w:val="clear" w:color="auto" w:fill="FFFFFF"/>
          <w:lang w:val="en-US" w:eastAsia="zh-CN"/>
        </w:rPr>
      </w:pPr>
      <w:r>
        <w:rPr>
          <w:rFonts w:hint="eastAsia" w:ascii="宋体" w:hAnsi="宋体" w:eastAsia="宋体" w:cs="宋体"/>
          <w:color w:val="auto"/>
          <w:kern w:val="0"/>
          <w:sz w:val="21"/>
          <w:szCs w:val="21"/>
          <w:highlight w:val="none"/>
          <w:shd w:val="clear" w:color="auto" w:fill="FFFFFF"/>
          <w:lang w:val="en-US" w:eastAsia="zh-CN"/>
        </w:rPr>
        <w:t>5.3服务期：</w:t>
      </w:r>
      <w:r>
        <w:rPr>
          <w:rFonts w:hint="eastAsia" w:ascii="宋体" w:hAnsi="宋体" w:cs="宋体"/>
          <w:color w:val="auto"/>
          <w:kern w:val="0"/>
          <w:sz w:val="21"/>
          <w:szCs w:val="21"/>
          <w:highlight w:val="none"/>
          <w:shd w:val="clear" w:color="auto" w:fill="FFFFFF"/>
          <w:lang w:val="en-US" w:eastAsia="zh-CN"/>
        </w:rPr>
        <w:t>两</w:t>
      </w:r>
      <w:r>
        <w:rPr>
          <w:rFonts w:hint="eastAsia" w:ascii="宋体" w:hAnsi="宋体" w:eastAsia="宋体" w:cs="宋体"/>
          <w:color w:val="auto"/>
          <w:kern w:val="0"/>
          <w:sz w:val="21"/>
          <w:szCs w:val="21"/>
          <w:highlight w:val="none"/>
          <w:shd w:val="clear" w:color="auto" w:fill="FFFFFF"/>
          <w:lang w:val="en-US" w:eastAsia="zh-CN"/>
        </w:rPr>
        <w:t>年（</w:t>
      </w:r>
      <w:r>
        <w:rPr>
          <w:rFonts w:hint="eastAsia" w:ascii="宋体" w:hAnsi="宋体" w:cs="宋体"/>
          <w:color w:val="auto"/>
          <w:kern w:val="0"/>
          <w:sz w:val="21"/>
          <w:szCs w:val="21"/>
          <w:highlight w:val="none"/>
          <w:shd w:val="clear" w:color="auto" w:fill="FFFFFF"/>
          <w:lang w:val="en-US" w:eastAsia="zh-CN"/>
        </w:rPr>
        <w:t>合同一年一签，</w:t>
      </w:r>
      <w:r>
        <w:rPr>
          <w:rFonts w:hint="eastAsia" w:ascii="宋体" w:hAnsi="宋体" w:eastAsia="宋体" w:cs="宋体"/>
          <w:color w:val="auto"/>
          <w:kern w:val="0"/>
          <w:sz w:val="21"/>
          <w:szCs w:val="21"/>
          <w:highlight w:val="none"/>
          <w:shd w:val="clear" w:color="auto" w:fill="FFFFFF"/>
          <w:lang w:val="en-US" w:eastAsia="zh-CN"/>
        </w:rPr>
        <w:t>业主单位通过对服务单位进行综合评定后可续签</w:t>
      </w:r>
      <w:r>
        <w:rPr>
          <w:rFonts w:hint="eastAsia" w:ascii="宋体" w:hAnsi="宋体" w:cs="宋体"/>
          <w:color w:val="auto"/>
          <w:kern w:val="0"/>
          <w:sz w:val="21"/>
          <w:szCs w:val="21"/>
          <w:highlight w:val="none"/>
          <w:shd w:val="clear" w:color="auto" w:fill="FFFFFF"/>
          <w:lang w:val="en-US" w:eastAsia="zh-CN"/>
        </w:rPr>
        <w:t>下</w:t>
      </w:r>
      <w:r>
        <w:rPr>
          <w:rFonts w:hint="eastAsia" w:ascii="宋体" w:hAnsi="宋体" w:eastAsia="宋体" w:cs="宋体"/>
          <w:color w:val="auto"/>
          <w:kern w:val="0"/>
          <w:sz w:val="21"/>
          <w:szCs w:val="21"/>
          <w:highlight w:val="none"/>
          <w:shd w:val="clear" w:color="auto" w:fill="FFFFFF"/>
          <w:lang w:val="en-US" w:eastAsia="zh-CN"/>
        </w:rPr>
        <w:t>一年的合同，具体起止时间以双方签订合同约定为准）；</w:t>
      </w:r>
    </w:p>
    <w:p w14:paraId="5B83E57B">
      <w:pPr>
        <w:keepNext w:val="0"/>
        <w:keepLines w:val="0"/>
        <w:pageBreakBefore w:val="0"/>
        <w:widowControl/>
        <w:shd w:val="clear" w:color="auto"/>
        <w:kinsoku/>
        <w:wordWrap/>
        <w:overflowPunct/>
        <w:topLinePunct w:val="0"/>
        <w:autoSpaceDE/>
        <w:autoSpaceDN/>
        <w:bidi w:val="0"/>
        <w:adjustRightInd/>
        <w:snapToGrid/>
        <w:spacing w:line="360" w:lineRule="auto"/>
        <w:ind w:firstLine="840" w:firstLineChars="400"/>
        <w:textAlignment w:val="auto"/>
        <w:rPr>
          <w:rFonts w:hint="eastAsia" w:ascii="宋体" w:hAnsi="宋体" w:eastAsia="宋体" w:cs="宋体"/>
          <w:color w:val="auto"/>
          <w:kern w:val="0"/>
          <w:sz w:val="21"/>
          <w:szCs w:val="21"/>
          <w:highlight w:val="none"/>
          <w:shd w:val="clear" w:color="auto" w:fill="FFFFFF"/>
          <w:lang w:val="en-US" w:eastAsia="zh-CN"/>
        </w:rPr>
      </w:pPr>
      <w:r>
        <w:rPr>
          <w:rFonts w:hint="eastAsia" w:ascii="宋体" w:hAnsi="宋体" w:eastAsia="宋体" w:cs="宋体"/>
          <w:color w:val="auto"/>
          <w:kern w:val="0"/>
          <w:sz w:val="21"/>
          <w:szCs w:val="21"/>
          <w:highlight w:val="none"/>
          <w:shd w:val="clear" w:color="auto" w:fill="FFFFFF"/>
          <w:lang w:val="en-US" w:eastAsia="zh-CN"/>
        </w:rPr>
        <w:t>5.4服务标准：按照河南省、信阳市垃圾分类工作要求，自备垃圾外运车辆，将校园内各收集点的垃圾清运至政府部门指定的垃圾处理场，做到日产日清、不积压。</w:t>
      </w:r>
    </w:p>
    <w:p w14:paraId="37164F94">
      <w:pPr>
        <w:keepNext w:val="0"/>
        <w:keepLines w:val="0"/>
        <w:pageBreakBefore w:val="0"/>
        <w:widowControl/>
        <w:shd w:val="clear" w:color="auto"/>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kern w:val="0"/>
          <w:sz w:val="21"/>
          <w:szCs w:val="21"/>
          <w:highlight w:val="none"/>
          <w:shd w:val="clear" w:color="auto" w:fill="FFFFFF"/>
          <w:lang w:val="en-US" w:eastAsia="zh-CN"/>
        </w:rPr>
      </w:pPr>
      <w:r>
        <w:rPr>
          <w:rFonts w:hint="eastAsia" w:ascii="宋体" w:hAnsi="宋体" w:eastAsia="宋体" w:cs="宋体"/>
          <w:color w:val="auto"/>
          <w:kern w:val="0"/>
          <w:sz w:val="21"/>
          <w:szCs w:val="21"/>
          <w:highlight w:val="none"/>
          <w:shd w:val="clear" w:color="auto" w:fill="FFFFFF"/>
          <w:lang w:val="en-US" w:eastAsia="zh-CN"/>
        </w:rPr>
        <w:t>6、合同履行期限：同服务期。</w:t>
      </w:r>
    </w:p>
    <w:p w14:paraId="7BD12494">
      <w:pPr>
        <w:keepNext w:val="0"/>
        <w:keepLines w:val="0"/>
        <w:pageBreakBefore w:val="0"/>
        <w:widowControl/>
        <w:shd w:val="clear" w:color="auto"/>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kern w:val="0"/>
          <w:sz w:val="21"/>
          <w:szCs w:val="21"/>
          <w:highlight w:val="none"/>
          <w:shd w:val="clear" w:color="auto" w:fill="FFFFFF"/>
          <w:lang w:val="en-US" w:eastAsia="zh-CN"/>
        </w:rPr>
      </w:pPr>
      <w:r>
        <w:rPr>
          <w:rFonts w:hint="eastAsia" w:ascii="宋体" w:hAnsi="宋体" w:eastAsia="宋体" w:cs="宋体"/>
          <w:color w:val="auto"/>
          <w:kern w:val="0"/>
          <w:sz w:val="21"/>
          <w:szCs w:val="21"/>
          <w:highlight w:val="none"/>
          <w:shd w:val="clear" w:color="auto" w:fill="FFFFFF"/>
          <w:lang w:val="en-US" w:eastAsia="zh-CN"/>
        </w:rPr>
        <w:t>7、本项目是否接受联合体投标：否。</w:t>
      </w:r>
    </w:p>
    <w:p w14:paraId="68A1F8B9">
      <w:pPr>
        <w:keepNext w:val="0"/>
        <w:keepLines w:val="0"/>
        <w:pageBreakBefore w:val="0"/>
        <w:widowControl/>
        <w:shd w:val="clear" w:color="auto"/>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kern w:val="0"/>
          <w:sz w:val="21"/>
          <w:szCs w:val="21"/>
          <w:highlight w:val="none"/>
          <w:shd w:val="clear" w:color="auto" w:fill="FFFFFF"/>
          <w:lang w:val="en-US" w:eastAsia="zh-CN"/>
        </w:rPr>
      </w:pPr>
      <w:r>
        <w:rPr>
          <w:rFonts w:hint="eastAsia" w:ascii="宋体" w:hAnsi="宋体" w:eastAsia="宋体" w:cs="宋体"/>
          <w:color w:val="auto"/>
          <w:kern w:val="0"/>
          <w:sz w:val="21"/>
          <w:szCs w:val="21"/>
          <w:highlight w:val="none"/>
          <w:shd w:val="clear" w:color="auto" w:fill="FFFFFF"/>
          <w:lang w:val="en-US" w:eastAsia="zh-CN"/>
        </w:rPr>
        <w:t>8、是否接受进口产品：否；</w:t>
      </w:r>
    </w:p>
    <w:p w14:paraId="433BF09A">
      <w:pPr>
        <w:keepNext w:val="0"/>
        <w:keepLines w:val="0"/>
        <w:pageBreakBefore w:val="0"/>
        <w:widowControl/>
        <w:shd w:val="clear" w:color="auto"/>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kern w:val="0"/>
          <w:sz w:val="21"/>
          <w:szCs w:val="21"/>
          <w:highlight w:val="none"/>
          <w:shd w:val="clear" w:color="auto" w:fill="FFFFFF"/>
          <w:lang w:val="en-US" w:eastAsia="zh-CN"/>
        </w:rPr>
      </w:pPr>
      <w:r>
        <w:rPr>
          <w:rFonts w:hint="eastAsia" w:ascii="宋体" w:hAnsi="宋体" w:eastAsia="宋体" w:cs="宋体"/>
          <w:color w:val="auto"/>
          <w:kern w:val="0"/>
          <w:sz w:val="21"/>
          <w:szCs w:val="21"/>
          <w:highlight w:val="none"/>
          <w:shd w:val="clear" w:color="auto" w:fill="FFFFFF"/>
          <w:lang w:val="en-US" w:eastAsia="zh-CN"/>
        </w:rPr>
        <w:t>9、是否专门面向中小企业：是。</w:t>
      </w:r>
    </w:p>
    <w:p w14:paraId="09EDE083">
      <w:pPr>
        <w:keepNext w:val="0"/>
        <w:keepLines w:val="0"/>
        <w:pageBreakBefore w:val="0"/>
        <w:widowControl/>
        <w:numPr>
          <w:ilvl w:val="0"/>
          <w:numId w:val="0"/>
        </w:numPr>
        <w:shd w:val="clear" w:color="auto"/>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eastAsia="zh-CN"/>
        </w:rPr>
        <w:t>二、申请人资格要求</w:t>
      </w:r>
    </w:p>
    <w:p w14:paraId="6E6BF8D2">
      <w:pPr>
        <w:keepNext w:val="0"/>
        <w:keepLines w:val="0"/>
        <w:pageBreakBefore w:val="0"/>
        <w:widowControl/>
        <w:shd w:val="clear" w:color="auto"/>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kern w:val="0"/>
          <w:sz w:val="21"/>
          <w:szCs w:val="21"/>
          <w:highlight w:val="none"/>
          <w:shd w:val="clear" w:color="auto" w:fill="FFFFFF"/>
          <w:lang w:val="en-US" w:eastAsia="zh-CN"/>
        </w:rPr>
      </w:pPr>
      <w:r>
        <w:rPr>
          <w:rFonts w:hint="eastAsia" w:ascii="宋体" w:hAnsi="宋体" w:eastAsia="宋体" w:cs="宋体"/>
          <w:color w:val="auto"/>
          <w:kern w:val="0"/>
          <w:sz w:val="21"/>
          <w:szCs w:val="21"/>
          <w:highlight w:val="none"/>
          <w:shd w:val="clear" w:color="auto" w:fill="FFFFFF"/>
          <w:lang w:val="en-US" w:eastAsia="zh-CN"/>
        </w:rPr>
        <w:t>1、满足《中华人民共和国政府采购法》第二十二条规定；</w:t>
      </w:r>
    </w:p>
    <w:p w14:paraId="4D634DBA">
      <w:pPr>
        <w:keepNext w:val="0"/>
        <w:keepLines w:val="0"/>
        <w:pageBreakBefore w:val="0"/>
        <w:widowControl/>
        <w:shd w:val="clear" w:color="auto"/>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FF0000"/>
          <w:sz w:val="21"/>
          <w:szCs w:val="21"/>
        </w:rPr>
      </w:pPr>
      <w:r>
        <w:rPr>
          <w:rFonts w:hint="eastAsia" w:ascii="宋体" w:hAnsi="宋体" w:eastAsia="宋体" w:cs="宋体"/>
          <w:color w:val="auto"/>
          <w:kern w:val="0"/>
          <w:sz w:val="21"/>
          <w:szCs w:val="21"/>
          <w:highlight w:val="none"/>
          <w:shd w:val="clear" w:color="auto" w:fill="FFFFFF"/>
          <w:lang w:val="en-US" w:eastAsia="zh-CN"/>
        </w:rPr>
        <w:t>2、落实政府采购政策满足的资格要求：本项目专门面向中小企业采购。参加本项目的中小企业须提供《中小企业声明函》（格式详见招标文件内《中小企业声明函》样本），不符合要求的声明函或未提供的将视为不符合资格要求。</w:t>
      </w:r>
      <w:r>
        <w:rPr>
          <w:rFonts w:hint="eastAsia" w:ascii="宋体" w:hAnsi="宋体" w:eastAsia="宋体" w:cs="宋体"/>
          <w:color w:val="auto"/>
          <w:sz w:val="21"/>
          <w:szCs w:val="21"/>
        </w:rPr>
        <w:t>本项目落实节约能源、保护环境、扶持不发达地区和少数民族地区、促进中小微企业、监狱企业及残疾人福利性单位发展等政府采购政策。</w:t>
      </w:r>
    </w:p>
    <w:p w14:paraId="628D65EB">
      <w:pPr>
        <w:keepNext w:val="0"/>
        <w:keepLines w:val="0"/>
        <w:pageBreakBefore w:val="0"/>
        <w:widowControl/>
        <w:shd w:val="clear" w:color="auto"/>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kern w:val="0"/>
          <w:sz w:val="21"/>
          <w:szCs w:val="21"/>
          <w:highlight w:val="none"/>
          <w:shd w:val="clear" w:color="auto" w:fill="FFFFFF"/>
          <w:lang w:val="en-US" w:eastAsia="zh-CN"/>
        </w:rPr>
      </w:pPr>
      <w:r>
        <w:rPr>
          <w:rFonts w:hint="eastAsia" w:ascii="宋体" w:hAnsi="宋体" w:eastAsia="宋体" w:cs="宋体"/>
          <w:color w:val="auto"/>
          <w:kern w:val="0"/>
          <w:sz w:val="21"/>
          <w:szCs w:val="21"/>
          <w:highlight w:val="none"/>
          <w:shd w:val="clear" w:color="auto" w:fill="FFFFFF"/>
          <w:lang w:val="en-US" w:eastAsia="zh-CN"/>
        </w:rPr>
        <w:t>3、本项目的特定资格要求：无</w:t>
      </w:r>
      <w:r>
        <w:rPr>
          <w:rFonts w:hint="eastAsia" w:ascii="宋体" w:hAnsi="宋体" w:cs="宋体"/>
          <w:color w:val="auto"/>
          <w:kern w:val="0"/>
          <w:sz w:val="21"/>
          <w:szCs w:val="21"/>
          <w:highlight w:val="none"/>
          <w:shd w:val="clear" w:color="auto" w:fill="FFFFFF"/>
          <w:lang w:val="en-US" w:eastAsia="zh-CN"/>
        </w:rPr>
        <w:t>。</w:t>
      </w:r>
    </w:p>
    <w:p w14:paraId="3E571CF9">
      <w:pPr>
        <w:keepNext w:val="0"/>
        <w:keepLines w:val="0"/>
        <w:pageBreakBefore w:val="0"/>
        <w:widowControl/>
        <w:shd w:val="clear" w:color="auto"/>
        <w:kinsoku/>
        <w:wordWrap w:val="0"/>
        <w:overflowPunct/>
        <w:topLinePunct w:val="0"/>
        <w:autoSpaceDE/>
        <w:autoSpaceDN/>
        <w:bidi w:val="0"/>
        <w:adjustRightInd/>
        <w:snapToGrid/>
        <w:spacing w:line="360" w:lineRule="auto"/>
        <w:ind w:firstLine="482"/>
        <w:textAlignment w:val="auto"/>
        <w:rPr>
          <w:rFonts w:hint="eastAsia" w:ascii="宋体" w:hAnsi="宋体" w:eastAsia="宋体" w:cs="宋体"/>
          <w:color w:val="auto"/>
          <w:kern w:val="0"/>
          <w:sz w:val="21"/>
          <w:szCs w:val="21"/>
          <w:highlight w:val="none"/>
          <w:shd w:val="clear" w:color="auto" w:fill="FFFFFF"/>
          <w:lang w:val="en-US" w:eastAsia="zh-CN"/>
        </w:rPr>
      </w:pPr>
      <w:r>
        <w:rPr>
          <w:rFonts w:hint="eastAsia" w:ascii="宋体" w:hAnsi="宋体" w:eastAsia="宋体" w:cs="宋体"/>
          <w:color w:val="auto"/>
          <w:kern w:val="0"/>
          <w:sz w:val="21"/>
          <w:szCs w:val="21"/>
          <w:highlight w:val="none"/>
          <w:shd w:val="clear" w:color="auto" w:fill="FFFFFF"/>
          <w:lang w:val="en-US" w:eastAsia="zh-CN"/>
        </w:rPr>
        <w:t>4、信用要求：根据《关于在政府采购活动中查询及使用信用记录有关问题的通知》（财库〔2016〕125号文件和豫财购〔2016〕15号文件的规定，供应商应提供“信用中国”网站（www.creditchina.gov.cn）查询“失信被执行人”（跳转至中国执行信息公开网）、“重大税收违法失信主体”和“政府采购严重违法失信行为记录名单”；在中国政府采购网（www.ccgp.gov.cn）查询“政府采购严重违法失信行为记录名单”渠道查询自身信用记录，提供查询网页截图，查询</w:t>
      </w:r>
      <w:r>
        <w:rPr>
          <w:rFonts w:hint="eastAsia" w:ascii="宋体" w:hAnsi="宋体" w:cs="宋体"/>
          <w:color w:val="auto"/>
          <w:kern w:val="0"/>
          <w:sz w:val="21"/>
          <w:szCs w:val="21"/>
          <w:highlight w:val="none"/>
          <w:shd w:val="clear" w:color="auto" w:fill="FFFFFF"/>
          <w:lang w:val="en-US" w:eastAsia="zh-CN"/>
        </w:rPr>
        <w:t>时间</w:t>
      </w:r>
      <w:r>
        <w:rPr>
          <w:rFonts w:hint="eastAsia" w:ascii="宋体" w:hAnsi="宋体" w:eastAsia="宋体" w:cs="宋体"/>
          <w:color w:val="auto"/>
          <w:kern w:val="0"/>
          <w:sz w:val="21"/>
          <w:szCs w:val="21"/>
          <w:highlight w:val="none"/>
          <w:shd w:val="clear" w:color="auto" w:fill="FFFFFF"/>
          <w:lang w:val="en-US" w:eastAsia="zh-CN"/>
        </w:rPr>
        <w:t>为：从公告发布之日起至投标截止之日止</w:t>
      </w:r>
      <w:r>
        <w:rPr>
          <w:rFonts w:hint="eastAsia" w:ascii="宋体" w:hAnsi="宋体" w:cs="宋体"/>
          <w:color w:val="auto"/>
          <w:kern w:val="0"/>
          <w:sz w:val="21"/>
          <w:szCs w:val="21"/>
          <w:highlight w:val="none"/>
          <w:shd w:val="clear" w:color="auto" w:fill="FFFFFF"/>
          <w:lang w:val="en-US" w:eastAsia="zh-CN"/>
        </w:rPr>
        <w:t>。</w:t>
      </w:r>
    </w:p>
    <w:p w14:paraId="7FD2AE18">
      <w:pPr>
        <w:keepNext w:val="0"/>
        <w:keepLines w:val="0"/>
        <w:pageBreakBefore w:val="0"/>
        <w:widowControl/>
        <w:shd w:val="clear" w:color="auto"/>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kern w:val="0"/>
          <w:sz w:val="21"/>
          <w:szCs w:val="21"/>
          <w:highlight w:val="none"/>
          <w:shd w:val="clear" w:color="auto" w:fill="FFFFFF"/>
          <w:lang w:val="en-US" w:eastAsia="zh-CN"/>
        </w:rPr>
      </w:pPr>
      <w:r>
        <w:rPr>
          <w:rFonts w:hint="eastAsia" w:ascii="宋体" w:hAnsi="宋体" w:eastAsia="宋体" w:cs="宋体"/>
          <w:color w:val="auto"/>
          <w:kern w:val="0"/>
          <w:sz w:val="21"/>
          <w:szCs w:val="21"/>
          <w:highlight w:val="none"/>
          <w:shd w:val="clear" w:color="auto" w:fill="FFFFFF"/>
          <w:lang w:val="en-US" w:eastAsia="zh-CN"/>
        </w:rPr>
        <w:t>5、单位负责人为同一人或者存在直接控股、管理关系的不同单位，不得同时参加同一合同项下的政府采购活动。</w:t>
      </w:r>
    </w:p>
    <w:p w14:paraId="23D12D17">
      <w:pPr>
        <w:keepNext w:val="0"/>
        <w:keepLines w:val="0"/>
        <w:pageBreakBefore w:val="0"/>
        <w:widowControl/>
        <w:shd w:val="clear" w:color="auto"/>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kern w:val="0"/>
          <w:sz w:val="21"/>
          <w:szCs w:val="21"/>
          <w:highlight w:val="none"/>
          <w:shd w:val="clear" w:color="auto" w:fill="FFFFFF"/>
          <w:lang w:val="en-US" w:eastAsia="zh-CN"/>
        </w:rPr>
      </w:pPr>
      <w:r>
        <w:rPr>
          <w:rFonts w:hint="eastAsia" w:ascii="宋体" w:hAnsi="宋体" w:eastAsia="宋体" w:cs="宋体"/>
          <w:color w:val="auto"/>
          <w:kern w:val="0"/>
          <w:sz w:val="21"/>
          <w:szCs w:val="21"/>
          <w:highlight w:val="none"/>
          <w:shd w:val="clear" w:color="auto" w:fill="FFFFFF"/>
          <w:lang w:val="en-US" w:eastAsia="zh-CN"/>
        </w:rPr>
        <w:t>6、本项目不接受联合体投标，同时不得分包，不得转包(提供书面承诺书，格式自拟)</w:t>
      </w:r>
      <w:r>
        <w:rPr>
          <w:rFonts w:hint="eastAsia" w:ascii="宋体" w:hAnsi="宋体" w:cs="宋体"/>
          <w:color w:val="auto"/>
          <w:kern w:val="0"/>
          <w:sz w:val="21"/>
          <w:szCs w:val="21"/>
          <w:highlight w:val="none"/>
          <w:shd w:val="clear" w:color="auto" w:fill="FFFFFF"/>
          <w:lang w:val="en-US" w:eastAsia="zh-CN"/>
        </w:rPr>
        <w:t>。</w:t>
      </w:r>
    </w:p>
    <w:p w14:paraId="72F9D521">
      <w:pPr>
        <w:keepNext w:val="0"/>
        <w:keepLines w:val="0"/>
        <w:pageBreakBefore w:val="0"/>
        <w:widowControl/>
        <w:shd w:val="clear" w:color="auto"/>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eastAsia="zh-CN"/>
        </w:rPr>
        <w:t>三</w:t>
      </w:r>
      <w:r>
        <w:rPr>
          <w:rFonts w:hint="eastAsia" w:ascii="宋体" w:hAnsi="宋体" w:eastAsia="宋体" w:cs="宋体"/>
          <w:b/>
          <w:bCs/>
          <w:color w:val="auto"/>
          <w:kern w:val="0"/>
          <w:sz w:val="21"/>
          <w:szCs w:val="21"/>
          <w:highlight w:val="none"/>
        </w:rPr>
        <w:t>、</w:t>
      </w:r>
      <w:r>
        <w:rPr>
          <w:rFonts w:hint="eastAsia" w:ascii="宋体" w:hAnsi="宋体" w:eastAsia="宋体" w:cs="宋体"/>
          <w:b/>
          <w:bCs/>
          <w:color w:val="auto"/>
          <w:kern w:val="0"/>
          <w:sz w:val="21"/>
          <w:szCs w:val="21"/>
          <w:highlight w:val="none"/>
          <w:lang w:eastAsia="zh-CN"/>
        </w:rPr>
        <w:t>获取采购文件</w:t>
      </w:r>
    </w:p>
    <w:p w14:paraId="6F66084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Autospacing="0" w:line="360" w:lineRule="auto"/>
        <w:ind w:right="0" w:firstLine="422"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b/>
          <w:bCs/>
          <w:color w:val="auto"/>
          <w:sz w:val="21"/>
          <w:szCs w:val="21"/>
          <w:highlight w:val="none"/>
        </w:rPr>
        <w:t>1</w:t>
      </w:r>
      <w:r>
        <w:rPr>
          <w:rFonts w:hint="eastAsia" w:ascii="宋体" w:hAnsi="宋体" w:eastAsia="宋体" w:cs="宋体"/>
          <w:color w:val="auto"/>
          <w:kern w:val="0"/>
          <w:sz w:val="21"/>
          <w:szCs w:val="21"/>
          <w:highlight w:val="none"/>
          <w:shd w:val="clear" w:color="auto" w:fill="FFFFFF"/>
          <w:lang w:val="en-US" w:eastAsia="zh-CN"/>
        </w:rPr>
        <w:t>、</w:t>
      </w:r>
      <w:r>
        <w:rPr>
          <w:rFonts w:hint="eastAsia" w:ascii="宋体" w:hAnsi="宋体" w:eastAsia="宋体" w:cs="宋体"/>
          <w:b/>
          <w:bCs/>
          <w:color w:val="auto"/>
          <w:sz w:val="21"/>
          <w:szCs w:val="21"/>
          <w:highlight w:val="none"/>
        </w:rPr>
        <w:t>时间</w:t>
      </w:r>
      <w:r>
        <w:rPr>
          <w:rFonts w:hint="eastAsia" w:ascii="宋体" w:hAnsi="宋体" w:eastAsia="宋体" w:cs="宋体"/>
          <w:color w:val="auto"/>
          <w:sz w:val="21"/>
          <w:szCs w:val="21"/>
          <w:highlight w:val="none"/>
        </w:rPr>
        <w:t>：202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07</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16</w:t>
      </w:r>
      <w:r>
        <w:rPr>
          <w:rFonts w:hint="eastAsia" w:ascii="宋体" w:hAnsi="宋体" w:eastAsia="宋体" w:cs="宋体"/>
          <w:color w:val="auto"/>
          <w:sz w:val="21"/>
          <w:szCs w:val="21"/>
          <w:highlight w:val="none"/>
        </w:rPr>
        <w:t>日至202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07</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22</w:t>
      </w:r>
      <w:r>
        <w:rPr>
          <w:rFonts w:hint="eastAsia" w:ascii="宋体" w:hAnsi="宋体" w:eastAsia="宋体" w:cs="宋体"/>
          <w:color w:val="auto"/>
          <w:sz w:val="21"/>
          <w:szCs w:val="21"/>
          <w:highlight w:val="none"/>
        </w:rPr>
        <w:t>日，每天上午00:00至12:00，下午</w:t>
      </w:r>
      <w:r>
        <w:rPr>
          <w:rFonts w:hint="eastAsia" w:ascii="宋体" w:hAnsi="宋体" w:eastAsia="宋体" w:cs="宋体"/>
          <w:color w:val="auto"/>
          <w:kern w:val="2"/>
          <w:sz w:val="21"/>
          <w:szCs w:val="21"/>
          <w:highlight w:val="none"/>
          <w:lang w:val="en-US" w:eastAsia="zh-CN" w:bidi="ar"/>
        </w:rPr>
        <w:t>12:0</w:t>
      </w:r>
      <w:r>
        <w:rPr>
          <w:rFonts w:hint="eastAsia" w:ascii="宋体" w:hAnsi="宋体" w:cs="宋体"/>
          <w:color w:val="auto"/>
          <w:kern w:val="2"/>
          <w:sz w:val="21"/>
          <w:szCs w:val="21"/>
          <w:highlight w:val="none"/>
          <w:lang w:val="en-US" w:eastAsia="zh-CN" w:bidi="ar"/>
        </w:rPr>
        <w:t>0</w:t>
      </w:r>
      <w:r>
        <w:rPr>
          <w:rFonts w:hint="eastAsia" w:ascii="宋体" w:hAnsi="宋体" w:eastAsia="宋体" w:cs="宋体"/>
          <w:color w:val="auto"/>
          <w:kern w:val="2"/>
          <w:sz w:val="21"/>
          <w:szCs w:val="21"/>
          <w:highlight w:val="none"/>
          <w:lang w:val="en-US" w:eastAsia="zh-CN" w:bidi="ar"/>
        </w:rPr>
        <w:t>至23:59。（北京时间，法定节假日除外）</w:t>
      </w:r>
    </w:p>
    <w:p w14:paraId="2976C78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Autospacing="0" w:line="360" w:lineRule="auto"/>
        <w:ind w:right="0" w:firstLine="422"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b/>
          <w:bCs/>
          <w:color w:val="auto"/>
          <w:kern w:val="2"/>
          <w:sz w:val="21"/>
          <w:szCs w:val="21"/>
          <w:highlight w:val="none"/>
          <w:lang w:val="en-US" w:eastAsia="zh-CN" w:bidi="ar"/>
        </w:rPr>
        <w:t>2</w:t>
      </w:r>
      <w:r>
        <w:rPr>
          <w:rFonts w:hint="eastAsia" w:ascii="宋体" w:hAnsi="宋体" w:eastAsia="宋体" w:cs="宋体"/>
          <w:color w:val="auto"/>
          <w:kern w:val="0"/>
          <w:sz w:val="21"/>
          <w:szCs w:val="21"/>
          <w:highlight w:val="none"/>
          <w:shd w:val="clear" w:color="auto" w:fill="FFFFFF"/>
          <w:lang w:val="en-US" w:eastAsia="zh-CN"/>
        </w:rPr>
        <w:t>、</w:t>
      </w:r>
      <w:r>
        <w:rPr>
          <w:rFonts w:hint="eastAsia" w:ascii="宋体" w:hAnsi="宋体" w:eastAsia="宋体" w:cs="宋体"/>
          <w:b/>
          <w:bCs/>
          <w:color w:val="auto"/>
          <w:kern w:val="2"/>
          <w:sz w:val="21"/>
          <w:szCs w:val="21"/>
          <w:highlight w:val="none"/>
          <w:lang w:val="en-US" w:eastAsia="zh-CN" w:bidi="ar"/>
        </w:rPr>
        <w:t>地点</w:t>
      </w:r>
      <w:r>
        <w:rPr>
          <w:rFonts w:hint="eastAsia" w:ascii="宋体" w:hAnsi="宋体" w:eastAsia="宋体" w:cs="宋体"/>
          <w:color w:val="auto"/>
          <w:kern w:val="2"/>
          <w:sz w:val="21"/>
          <w:szCs w:val="21"/>
          <w:highlight w:val="none"/>
          <w:lang w:val="en-US" w:eastAsia="zh-CN" w:bidi="ar"/>
        </w:rPr>
        <w:t>：登录“全国公共资源交易平台（河南省·信阳市）（https://ggzyjy.xinyang.gov.cn/）”网站，凭办理的企业身份认证锁（CA数字证书）登录会员系统。</w:t>
      </w:r>
    </w:p>
    <w:p w14:paraId="5F0D66C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Autospacing="0" w:line="360" w:lineRule="auto"/>
        <w:ind w:right="0" w:firstLine="422"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b/>
          <w:bCs/>
          <w:color w:val="auto"/>
          <w:kern w:val="2"/>
          <w:sz w:val="21"/>
          <w:szCs w:val="21"/>
          <w:highlight w:val="none"/>
          <w:lang w:val="en-US" w:eastAsia="zh-CN" w:bidi="ar"/>
        </w:rPr>
        <w:t>3</w:t>
      </w:r>
      <w:r>
        <w:rPr>
          <w:rFonts w:hint="eastAsia" w:ascii="宋体" w:hAnsi="宋体" w:eastAsia="宋体" w:cs="宋体"/>
          <w:color w:val="auto"/>
          <w:kern w:val="0"/>
          <w:sz w:val="21"/>
          <w:szCs w:val="21"/>
          <w:highlight w:val="none"/>
          <w:shd w:val="clear" w:color="auto" w:fill="FFFFFF"/>
          <w:lang w:val="en-US" w:eastAsia="zh-CN"/>
        </w:rPr>
        <w:t>、</w:t>
      </w:r>
      <w:r>
        <w:rPr>
          <w:rFonts w:hint="eastAsia" w:ascii="宋体" w:hAnsi="宋体" w:eastAsia="宋体" w:cs="宋体"/>
          <w:b/>
          <w:bCs/>
          <w:color w:val="auto"/>
          <w:kern w:val="2"/>
          <w:sz w:val="21"/>
          <w:szCs w:val="21"/>
          <w:highlight w:val="none"/>
          <w:lang w:val="en-US" w:eastAsia="zh-CN" w:bidi="ar"/>
        </w:rPr>
        <w:t>方式</w:t>
      </w:r>
      <w:r>
        <w:rPr>
          <w:rFonts w:hint="eastAsia" w:ascii="宋体" w:hAnsi="宋体" w:eastAsia="宋体" w:cs="宋体"/>
          <w:color w:val="auto"/>
          <w:kern w:val="2"/>
          <w:sz w:val="21"/>
          <w:szCs w:val="21"/>
          <w:highlight w:val="none"/>
          <w:lang w:val="en-US" w:eastAsia="zh-CN" w:bidi="ar"/>
        </w:rPr>
        <w:t>：</w:t>
      </w:r>
    </w:p>
    <w:p w14:paraId="25781DE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Autospacing="0" w:line="360" w:lineRule="auto"/>
        <w:ind w:right="0" w:firstLine="420" w:firstLineChars="200"/>
        <w:jc w:val="left"/>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3.1潜在供应商凭CA数字证书登录会员系统后，即可按网上提示免费下载招标（采购）文件及资料（操作程序详见信阳市公共资源交易中心网站下载中心栏目里投标人操作手册）。</w:t>
      </w:r>
    </w:p>
    <w:p w14:paraId="080DB406">
      <w:pPr>
        <w:keepNext w:val="0"/>
        <w:keepLines w:val="0"/>
        <w:pageBreakBefore w:val="0"/>
        <w:widowControl/>
        <w:shd w:val="clear" w:color="auto"/>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3.2请</w:t>
      </w:r>
      <w:r>
        <w:rPr>
          <w:rFonts w:hint="eastAsia" w:ascii="宋体" w:hAnsi="宋体" w:eastAsia="宋体" w:cs="宋体"/>
          <w:b w:val="0"/>
          <w:bCs w:val="0"/>
          <w:color w:val="auto"/>
          <w:sz w:val="21"/>
          <w:szCs w:val="21"/>
          <w:highlight w:val="none"/>
          <w:lang w:val="en-US" w:eastAsia="zh-CN"/>
        </w:rPr>
        <w:t>供应商</w:t>
      </w:r>
      <w:r>
        <w:rPr>
          <w:rFonts w:hint="eastAsia" w:ascii="宋体" w:hAnsi="宋体" w:eastAsia="宋体" w:cs="宋体"/>
          <w:b w:val="0"/>
          <w:bCs w:val="0"/>
          <w:color w:val="auto"/>
          <w:sz w:val="21"/>
          <w:szCs w:val="21"/>
          <w:highlight w:val="none"/>
        </w:rPr>
        <w:t>下载</w:t>
      </w:r>
      <w:r>
        <w:rPr>
          <w:rFonts w:hint="eastAsia" w:ascii="宋体" w:hAnsi="宋体" w:eastAsia="宋体" w:cs="宋体"/>
          <w:color w:val="auto"/>
          <w:kern w:val="2"/>
          <w:sz w:val="21"/>
          <w:szCs w:val="21"/>
          <w:highlight w:val="none"/>
          <w:lang w:val="en-US" w:eastAsia="zh-CN" w:bidi="ar"/>
        </w:rPr>
        <w:t>招标（采购）文件</w:t>
      </w:r>
      <w:r>
        <w:rPr>
          <w:rFonts w:hint="eastAsia" w:ascii="宋体" w:hAnsi="宋体" w:eastAsia="宋体" w:cs="宋体"/>
          <w:b w:val="0"/>
          <w:bCs w:val="0"/>
          <w:color w:val="auto"/>
          <w:sz w:val="21"/>
          <w:szCs w:val="21"/>
          <w:highlight w:val="none"/>
        </w:rPr>
        <w:t>后及时关注系统业务菜单（“答疑澄清文件领取”，“控制价文件领取”）内该项目是否有新的答疑澄清文件或控制价文件。如有请直接下载，不再另行通知。</w:t>
      </w:r>
    </w:p>
    <w:p w14:paraId="6855B1E4">
      <w:pPr>
        <w:keepNext w:val="0"/>
        <w:keepLines w:val="0"/>
        <w:pageBreakBefore w:val="0"/>
        <w:widowControl/>
        <w:shd w:val="clear" w:color="auto"/>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bCs/>
          <w:color w:val="auto"/>
          <w:sz w:val="21"/>
          <w:szCs w:val="21"/>
          <w:highlight w:val="none"/>
        </w:rPr>
        <w:t>4</w:t>
      </w:r>
      <w:r>
        <w:rPr>
          <w:rFonts w:hint="eastAsia" w:ascii="宋体" w:hAnsi="宋体" w:eastAsia="宋体" w:cs="宋体"/>
          <w:color w:val="auto"/>
          <w:kern w:val="0"/>
          <w:sz w:val="21"/>
          <w:szCs w:val="21"/>
          <w:highlight w:val="none"/>
          <w:shd w:val="clear" w:color="auto" w:fill="FFFFFF"/>
          <w:lang w:val="en-US" w:eastAsia="zh-CN"/>
        </w:rPr>
        <w:t>、</w:t>
      </w:r>
      <w:r>
        <w:rPr>
          <w:rFonts w:hint="eastAsia" w:ascii="宋体" w:hAnsi="宋体" w:eastAsia="宋体" w:cs="宋体"/>
          <w:b/>
          <w:bCs/>
          <w:color w:val="auto"/>
          <w:sz w:val="21"/>
          <w:szCs w:val="21"/>
          <w:highlight w:val="none"/>
        </w:rPr>
        <w:t>售价：</w:t>
      </w:r>
      <w:r>
        <w:rPr>
          <w:rFonts w:hint="eastAsia" w:ascii="宋体" w:hAnsi="宋体" w:eastAsia="宋体" w:cs="宋体"/>
          <w:b w:val="0"/>
          <w:bCs w:val="0"/>
          <w:color w:val="auto"/>
          <w:sz w:val="21"/>
          <w:szCs w:val="21"/>
          <w:highlight w:val="none"/>
        </w:rPr>
        <w:t>0元</w:t>
      </w:r>
      <w:r>
        <w:rPr>
          <w:rFonts w:hint="eastAsia" w:ascii="宋体" w:hAnsi="宋体" w:eastAsia="宋体" w:cs="宋体"/>
          <w:b w:val="0"/>
          <w:bCs w:val="0"/>
          <w:color w:val="auto"/>
          <w:sz w:val="21"/>
          <w:szCs w:val="21"/>
          <w:highlight w:val="none"/>
          <w:lang w:eastAsia="zh-CN"/>
        </w:rPr>
        <w:t>。</w:t>
      </w:r>
    </w:p>
    <w:p w14:paraId="198A6CD9">
      <w:pPr>
        <w:keepNext w:val="0"/>
        <w:keepLines w:val="0"/>
        <w:pageBreakBefore w:val="0"/>
        <w:widowControl/>
        <w:shd w:val="clear" w:color="auto"/>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eastAsia="zh-CN"/>
        </w:rPr>
        <w:t>四</w:t>
      </w:r>
      <w:r>
        <w:rPr>
          <w:rFonts w:hint="eastAsia" w:ascii="宋体" w:hAnsi="宋体" w:eastAsia="宋体" w:cs="宋体"/>
          <w:b/>
          <w:bCs/>
          <w:color w:val="auto"/>
          <w:kern w:val="0"/>
          <w:sz w:val="21"/>
          <w:szCs w:val="21"/>
          <w:highlight w:val="none"/>
        </w:rPr>
        <w:t>、</w:t>
      </w:r>
      <w:r>
        <w:rPr>
          <w:rFonts w:hint="eastAsia" w:ascii="宋体" w:hAnsi="宋体" w:eastAsia="宋体" w:cs="宋体"/>
          <w:b/>
          <w:bCs/>
          <w:color w:val="auto"/>
          <w:kern w:val="0"/>
          <w:sz w:val="21"/>
          <w:szCs w:val="21"/>
          <w:highlight w:val="none"/>
          <w:lang w:eastAsia="zh-CN"/>
        </w:rPr>
        <w:t>响应文件提交</w:t>
      </w:r>
    </w:p>
    <w:p w14:paraId="4B9EA08D">
      <w:pPr>
        <w:keepNext w:val="0"/>
        <w:keepLines w:val="0"/>
        <w:pageBreakBefore w:val="0"/>
        <w:widowControl/>
        <w:shd w:val="clear" w:color="auto"/>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shd w:val="clear" w:color="auto" w:fill="FFFFFF"/>
          <w:lang w:val="en-US" w:eastAsia="zh-CN"/>
        </w:rPr>
        <w:t>、</w:t>
      </w:r>
      <w:r>
        <w:rPr>
          <w:rFonts w:hint="eastAsia" w:ascii="宋体" w:hAnsi="宋体" w:eastAsia="宋体" w:cs="宋体"/>
          <w:color w:val="auto"/>
          <w:kern w:val="0"/>
          <w:sz w:val="21"/>
          <w:szCs w:val="21"/>
          <w:highlight w:val="none"/>
        </w:rPr>
        <w:t>时间：</w:t>
      </w:r>
      <w:r>
        <w:rPr>
          <w:rFonts w:hint="eastAsia" w:ascii="宋体" w:hAnsi="宋体" w:eastAsia="宋体" w:cs="宋体"/>
          <w:color w:val="auto"/>
          <w:sz w:val="21"/>
          <w:szCs w:val="21"/>
          <w:u w:val="none"/>
        </w:rPr>
        <w:t>202</w:t>
      </w:r>
      <w:r>
        <w:rPr>
          <w:rFonts w:hint="eastAsia" w:ascii="宋体" w:hAnsi="宋体" w:eastAsia="宋体" w:cs="宋体"/>
          <w:color w:val="auto"/>
          <w:sz w:val="21"/>
          <w:szCs w:val="21"/>
          <w:u w:val="none"/>
          <w:lang w:val="en-US" w:eastAsia="zh-CN"/>
        </w:rPr>
        <w:t>6</w:t>
      </w:r>
      <w:r>
        <w:rPr>
          <w:rFonts w:hint="eastAsia" w:ascii="宋体" w:hAnsi="宋体" w:eastAsia="宋体" w:cs="宋体"/>
          <w:bCs/>
          <w:color w:val="auto"/>
          <w:sz w:val="21"/>
          <w:szCs w:val="21"/>
          <w:u w:val="none"/>
        </w:rPr>
        <w:t>年</w:t>
      </w:r>
      <w:r>
        <w:rPr>
          <w:rFonts w:hint="eastAsia" w:ascii="宋体" w:hAnsi="宋体" w:cs="宋体"/>
          <w:bCs/>
          <w:color w:val="auto"/>
          <w:sz w:val="21"/>
          <w:szCs w:val="21"/>
          <w:u w:val="none"/>
          <w:lang w:val="en-US" w:eastAsia="zh-CN"/>
        </w:rPr>
        <w:t>0</w:t>
      </w:r>
      <w:r>
        <w:rPr>
          <w:rFonts w:hint="eastAsia" w:ascii="宋体" w:hAnsi="宋体" w:eastAsia="宋体" w:cs="宋体"/>
          <w:bCs/>
          <w:color w:val="auto"/>
          <w:sz w:val="21"/>
          <w:szCs w:val="21"/>
          <w:u w:val="none"/>
          <w:lang w:val="en-US" w:eastAsia="zh-CN"/>
        </w:rPr>
        <w:t>7</w:t>
      </w:r>
      <w:r>
        <w:rPr>
          <w:rFonts w:hint="eastAsia" w:ascii="宋体" w:hAnsi="宋体" w:eastAsia="宋体" w:cs="宋体"/>
          <w:bCs/>
          <w:color w:val="auto"/>
          <w:sz w:val="21"/>
          <w:szCs w:val="21"/>
          <w:u w:val="none"/>
        </w:rPr>
        <w:t>月</w:t>
      </w:r>
      <w:r>
        <w:rPr>
          <w:rFonts w:hint="eastAsia" w:ascii="宋体" w:hAnsi="宋体" w:cs="宋体"/>
          <w:bCs/>
          <w:color w:val="auto"/>
          <w:sz w:val="21"/>
          <w:szCs w:val="21"/>
          <w:u w:val="none"/>
          <w:lang w:val="en-US" w:eastAsia="zh-CN"/>
        </w:rPr>
        <w:t>27</w:t>
      </w:r>
      <w:r>
        <w:rPr>
          <w:rFonts w:hint="eastAsia" w:ascii="宋体" w:hAnsi="宋体" w:eastAsia="宋体" w:cs="宋体"/>
          <w:bCs/>
          <w:color w:val="auto"/>
          <w:sz w:val="21"/>
          <w:szCs w:val="21"/>
          <w:u w:val="none"/>
        </w:rPr>
        <w:t>日09时</w:t>
      </w:r>
      <w:r>
        <w:rPr>
          <w:rFonts w:hint="eastAsia" w:ascii="宋体" w:hAnsi="宋体" w:eastAsia="宋体" w:cs="宋体"/>
          <w:bCs/>
          <w:color w:val="auto"/>
          <w:sz w:val="21"/>
          <w:szCs w:val="21"/>
          <w:u w:val="none"/>
          <w:lang w:val="en-US" w:eastAsia="zh-CN"/>
        </w:rPr>
        <w:t>0</w:t>
      </w:r>
      <w:r>
        <w:rPr>
          <w:rFonts w:hint="eastAsia" w:ascii="宋体" w:hAnsi="宋体" w:eastAsia="宋体" w:cs="宋体"/>
          <w:bCs/>
          <w:color w:val="auto"/>
          <w:sz w:val="21"/>
          <w:szCs w:val="21"/>
          <w:u w:val="none"/>
        </w:rPr>
        <w:t>0分</w:t>
      </w:r>
      <w:r>
        <w:rPr>
          <w:rFonts w:hint="eastAsia" w:ascii="宋体" w:hAnsi="宋体" w:eastAsia="宋体" w:cs="宋体"/>
          <w:color w:val="auto"/>
          <w:kern w:val="0"/>
          <w:sz w:val="21"/>
          <w:szCs w:val="21"/>
          <w:highlight w:val="none"/>
        </w:rPr>
        <w:t>（北京时间）</w:t>
      </w:r>
      <w:r>
        <w:rPr>
          <w:rFonts w:hint="eastAsia" w:ascii="宋体" w:hAnsi="宋体" w:eastAsia="宋体" w:cs="宋体"/>
          <w:color w:val="auto"/>
          <w:kern w:val="0"/>
          <w:sz w:val="21"/>
          <w:szCs w:val="21"/>
          <w:highlight w:val="none"/>
          <w:lang w:eastAsia="zh-CN"/>
        </w:rPr>
        <w:t>；</w:t>
      </w:r>
    </w:p>
    <w:p w14:paraId="7D5A542E">
      <w:pPr>
        <w:keepNext w:val="0"/>
        <w:keepLines w:val="0"/>
        <w:pageBreakBefore w:val="0"/>
        <w:widowControl/>
        <w:shd w:val="clear" w:color="auto"/>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shd w:val="clear" w:color="auto" w:fill="FFFFFF"/>
          <w:lang w:val="en-US" w:eastAsia="zh-CN"/>
        </w:rPr>
        <w:t>、</w:t>
      </w:r>
      <w:r>
        <w:rPr>
          <w:rFonts w:hint="eastAsia" w:ascii="宋体" w:hAnsi="宋体" w:eastAsia="宋体" w:cs="宋体"/>
          <w:color w:val="auto"/>
          <w:kern w:val="0"/>
          <w:sz w:val="21"/>
          <w:szCs w:val="21"/>
          <w:highlight w:val="none"/>
        </w:rPr>
        <w:t>地点：各</w:t>
      </w:r>
      <w:r>
        <w:rPr>
          <w:rFonts w:hint="eastAsia" w:ascii="宋体" w:hAnsi="宋体" w:eastAsia="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rPr>
        <w:t>应在</w:t>
      </w:r>
      <w:r>
        <w:rPr>
          <w:rFonts w:hint="eastAsia" w:ascii="宋体" w:hAnsi="宋体" w:eastAsia="宋体" w:cs="宋体"/>
          <w:color w:val="auto"/>
          <w:kern w:val="0"/>
          <w:sz w:val="21"/>
          <w:szCs w:val="21"/>
          <w:highlight w:val="none"/>
          <w:lang w:val="en-US" w:eastAsia="zh-CN"/>
        </w:rPr>
        <w:t>响应文件</w:t>
      </w:r>
      <w:r>
        <w:rPr>
          <w:rFonts w:hint="eastAsia" w:ascii="宋体" w:hAnsi="宋体" w:eastAsia="宋体" w:cs="宋体"/>
          <w:color w:val="auto"/>
          <w:kern w:val="0"/>
          <w:sz w:val="21"/>
          <w:szCs w:val="21"/>
          <w:highlight w:val="none"/>
        </w:rPr>
        <w:t>递交截止时间前上传加密的电子</w:t>
      </w:r>
      <w:r>
        <w:rPr>
          <w:rFonts w:hint="eastAsia" w:ascii="宋体" w:hAnsi="宋体" w:eastAsia="宋体" w:cs="宋体"/>
          <w:color w:val="auto"/>
          <w:kern w:val="0"/>
          <w:sz w:val="21"/>
          <w:szCs w:val="21"/>
          <w:highlight w:val="none"/>
          <w:lang w:val="en-US" w:eastAsia="zh-CN"/>
        </w:rPr>
        <w:t>响应文</w:t>
      </w:r>
      <w:r>
        <w:rPr>
          <w:rFonts w:hint="eastAsia" w:ascii="宋体" w:hAnsi="宋体" w:eastAsia="宋体" w:cs="宋体"/>
          <w:color w:val="auto"/>
          <w:kern w:val="0"/>
          <w:sz w:val="21"/>
          <w:szCs w:val="21"/>
          <w:highlight w:val="none"/>
        </w:rPr>
        <w:t>件（*.XYTF）到会员系统的指定位置。</w:t>
      </w:r>
    </w:p>
    <w:p w14:paraId="7A02A8B1">
      <w:pPr>
        <w:pStyle w:val="2"/>
        <w:keepNext w:val="0"/>
        <w:keepLines w:val="0"/>
        <w:pageBreakBefore w:val="0"/>
        <w:shd w:val="clear" w:color="auto"/>
        <w:kinsoku/>
        <w:overflowPunct/>
        <w:topLinePunct w:val="0"/>
        <w:autoSpaceDE/>
        <w:autoSpaceDN/>
        <w:bidi w:val="0"/>
        <w:adjustRightInd/>
        <w:snapToGrid/>
        <w:spacing w:after="0" w:afterLines="0" w:line="360" w:lineRule="auto"/>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五、</w:t>
      </w:r>
      <w:r>
        <w:rPr>
          <w:rFonts w:hint="eastAsia" w:ascii="宋体" w:hAnsi="宋体" w:eastAsia="宋体" w:cs="宋体"/>
          <w:b/>
          <w:bCs/>
          <w:color w:val="auto"/>
          <w:kern w:val="0"/>
          <w:sz w:val="21"/>
          <w:szCs w:val="21"/>
          <w:highlight w:val="none"/>
          <w:lang w:val="en-US" w:eastAsia="zh-CN"/>
        </w:rPr>
        <w:t>响应文件的开启</w:t>
      </w:r>
    </w:p>
    <w:p w14:paraId="116BD7F9">
      <w:pPr>
        <w:keepNext w:val="0"/>
        <w:keepLines w:val="0"/>
        <w:pageBreakBefore w:val="0"/>
        <w:widowControl/>
        <w:shd w:val="clear" w:color="auto"/>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shd w:val="clear" w:color="auto" w:fill="FFFFFF"/>
          <w:lang w:val="en-US" w:eastAsia="zh-CN"/>
        </w:rPr>
        <w:t>、</w:t>
      </w:r>
      <w:r>
        <w:rPr>
          <w:rFonts w:hint="eastAsia" w:ascii="宋体" w:hAnsi="宋体" w:eastAsia="宋体" w:cs="宋体"/>
          <w:color w:val="auto"/>
          <w:kern w:val="0"/>
          <w:sz w:val="21"/>
          <w:szCs w:val="21"/>
          <w:highlight w:val="none"/>
        </w:rPr>
        <w:t>时间：</w:t>
      </w:r>
      <w:r>
        <w:rPr>
          <w:rFonts w:hint="eastAsia" w:ascii="宋体" w:hAnsi="宋体" w:eastAsia="宋体" w:cs="宋体"/>
          <w:color w:val="auto"/>
          <w:sz w:val="21"/>
          <w:szCs w:val="21"/>
          <w:u w:val="none"/>
        </w:rPr>
        <w:t>202</w:t>
      </w:r>
      <w:r>
        <w:rPr>
          <w:rFonts w:hint="eastAsia" w:ascii="宋体" w:hAnsi="宋体" w:eastAsia="宋体" w:cs="宋体"/>
          <w:color w:val="auto"/>
          <w:sz w:val="21"/>
          <w:szCs w:val="21"/>
          <w:u w:val="none"/>
          <w:lang w:val="en-US" w:eastAsia="zh-CN"/>
        </w:rPr>
        <w:t>6</w:t>
      </w:r>
      <w:r>
        <w:rPr>
          <w:rFonts w:hint="eastAsia" w:ascii="宋体" w:hAnsi="宋体" w:eastAsia="宋体" w:cs="宋体"/>
          <w:bCs/>
          <w:color w:val="auto"/>
          <w:sz w:val="21"/>
          <w:szCs w:val="21"/>
          <w:u w:val="none"/>
        </w:rPr>
        <w:t>年</w:t>
      </w:r>
      <w:r>
        <w:rPr>
          <w:rFonts w:hint="eastAsia" w:ascii="宋体" w:hAnsi="宋体" w:cs="宋体"/>
          <w:bCs/>
          <w:color w:val="auto"/>
          <w:sz w:val="21"/>
          <w:szCs w:val="21"/>
          <w:u w:val="none"/>
          <w:lang w:val="en-US" w:eastAsia="zh-CN"/>
        </w:rPr>
        <w:t>0</w:t>
      </w:r>
      <w:r>
        <w:rPr>
          <w:rFonts w:hint="eastAsia" w:ascii="宋体" w:hAnsi="宋体" w:eastAsia="宋体" w:cs="宋体"/>
          <w:bCs/>
          <w:color w:val="auto"/>
          <w:sz w:val="21"/>
          <w:szCs w:val="21"/>
          <w:u w:val="none"/>
          <w:lang w:val="en-US" w:eastAsia="zh-CN"/>
        </w:rPr>
        <w:t>7</w:t>
      </w:r>
      <w:r>
        <w:rPr>
          <w:rFonts w:hint="eastAsia" w:ascii="宋体" w:hAnsi="宋体" w:eastAsia="宋体" w:cs="宋体"/>
          <w:bCs/>
          <w:color w:val="auto"/>
          <w:sz w:val="21"/>
          <w:szCs w:val="21"/>
          <w:u w:val="none"/>
        </w:rPr>
        <w:t>月</w:t>
      </w:r>
      <w:r>
        <w:rPr>
          <w:rFonts w:hint="eastAsia" w:ascii="宋体" w:hAnsi="宋体" w:cs="宋体"/>
          <w:bCs/>
          <w:color w:val="auto"/>
          <w:sz w:val="21"/>
          <w:szCs w:val="21"/>
          <w:u w:val="none"/>
          <w:lang w:val="en-US" w:eastAsia="zh-CN"/>
        </w:rPr>
        <w:t>27</w:t>
      </w:r>
      <w:r>
        <w:rPr>
          <w:rFonts w:hint="eastAsia" w:ascii="宋体" w:hAnsi="宋体" w:eastAsia="宋体" w:cs="宋体"/>
          <w:bCs/>
          <w:color w:val="auto"/>
          <w:sz w:val="21"/>
          <w:szCs w:val="21"/>
          <w:u w:val="none"/>
        </w:rPr>
        <w:t>日09时</w:t>
      </w:r>
      <w:r>
        <w:rPr>
          <w:rFonts w:hint="eastAsia" w:ascii="宋体" w:hAnsi="宋体" w:eastAsia="宋体" w:cs="宋体"/>
          <w:bCs/>
          <w:color w:val="auto"/>
          <w:sz w:val="21"/>
          <w:szCs w:val="21"/>
          <w:u w:val="none"/>
          <w:lang w:val="en-US" w:eastAsia="zh-CN"/>
        </w:rPr>
        <w:t>0</w:t>
      </w:r>
      <w:r>
        <w:rPr>
          <w:rFonts w:hint="eastAsia" w:ascii="宋体" w:hAnsi="宋体" w:eastAsia="宋体" w:cs="宋体"/>
          <w:bCs/>
          <w:color w:val="auto"/>
          <w:sz w:val="21"/>
          <w:szCs w:val="21"/>
          <w:u w:val="none"/>
        </w:rPr>
        <w:t>0分</w:t>
      </w:r>
      <w:r>
        <w:rPr>
          <w:rFonts w:hint="eastAsia" w:ascii="宋体" w:hAnsi="宋体" w:eastAsia="宋体" w:cs="宋体"/>
          <w:color w:val="auto"/>
          <w:kern w:val="0"/>
          <w:sz w:val="21"/>
          <w:szCs w:val="21"/>
          <w:highlight w:val="none"/>
        </w:rPr>
        <w:t>（北京时间）</w:t>
      </w:r>
      <w:r>
        <w:rPr>
          <w:rFonts w:hint="eastAsia" w:ascii="宋体" w:hAnsi="宋体" w:eastAsia="宋体" w:cs="宋体"/>
          <w:color w:val="auto"/>
          <w:kern w:val="0"/>
          <w:sz w:val="21"/>
          <w:szCs w:val="21"/>
          <w:highlight w:val="none"/>
          <w:lang w:eastAsia="zh-CN"/>
        </w:rPr>
        <w:t>；</w:t>
      </w:r>
    </w:p>
    <w:p w14:paraId="6788C70C">
      <w:pPr>
        <w:keepNext w:val="0"/>
        <w:keepLines w:val="0"/>
        <w:pageBreakBefore w:val="0"/>
        <w:widowControl/>
        <w:shd w:val="clear" w:color="auto"/>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shd w:val="clear" w:color="auto" w:fill="FFFFFF"/>
          <w:lang w:val="en-US" w:eastAsia="zh-CN"/>
        </w:rPr>
        <w:t>、</w:t>
      </w:r>
      <w:r>
        <w:rPr>
          <w:rFonts w:hint="eastAsia" w:ascii="宋体" w:hAnsi="宋体" w:eastAsia="宋体" w:cs="宋体"/>
          <w:color w:val="auto"/>
          <w:kern w:val="0"/>
          <w:sz w:val="21"/>
          <w:szCs w:val="21"/>
          <w:highlight w:val="none"/>
        </w:rPr>
        <w:t>地点：</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信阳市公共资源交易中心AI机器人开</w:t>
      </w:r>
      <w:r>
        <w:rPr>
          <w:rFonts w:hint="eastAsia" w:ascii="宋体" w:hAnsi="宋体" w:eastAsia="宋体" w:cs="宋体"/>
          <w:color w:val="auto"/>
          <w:kern w:val="0"/>
          <w:sz w:val="21"/>
          <w:szCs w:val="21"/>
          <w:highlight w:val="none"/>
          <w:lang w:val="en-US" w:eastAsia="zh-CN"/>
        </w:rPr>
        <w:t>标虚拟二厅</w:t>
      </w:r>
      <w:r>
        <w:rPr>
          <w:rFonts w:hint="eastAsia" w:ascii="宋体" w:hAnsi="宋体" w:eastAsia="宋体" w:cs="宋体"/>
          <w:color w:val="auto"/>
          <w:kern w:val="0"/>
          <w:sz w:val="21"/>
          <w:szCs w:val="21"/>
          <w:highlight w:val="none"/>
        </w:rPr>
        <w:t>。</w:t>
      </w:r>
    </w:p>
    <w:p w14:paraId="324EED27">
      <w:pPr>
        <w:keepNext w:val="0"/>
        <w:keepLines w:val="0"/>
        <w:pageBreakBefore w:val="0"/>
        <w:widowControl/>
        <w:shd w:val="clear" w:color="auto"/>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六</w:t>
      </w:r>
      <w:r>
        <w:rPr>
          <w:rFonts w:hint="eastAsia" w:ascii="宋体" w:hAnsi="宋体" w:eastAsia="宋体" w:cs="宋体"/>
          <w:b/>
          <w:bCs/>
          <w:color w:val="auto"/>
          <w:kern w:val="0"/>
          <w:sz w:val="21"/>
          <w:szCs w:val="21"/>
          <w:highlight w:val="none"/>
        </w:rPr>
        <w:t>、发布公告的媒介及期限</w:t>
      </w:r>
    </w:p>
    <w:p w14:paraId="7457720D">
      <w:pPr>
        <w:keepNext w:val="0"/>
        <w:keepLines w:val="0"/>
        <w:pageBreakBefore w:val="0"/>
        <w:widowControl/>
        <w:shd w:val="clear" w:color="auto"/>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本次</w:t>
      </w:r>
      <w:r>
        <w:rPr>
          <w:rFonts w:hint="eastAsia" w:ascii="宋体" w:hAnsi="宋体" w:eastAsia="宋体" w:cs="宋体"/>
          <w:color w:val="auto"/>
          <w:kern w:val="0"/>
          <w:sz w:val="21"/>
          <w:szCs w:val="21"/>
          <w:highlight w:val="none"/>
          <w:lang w:eastAsia="zh-CN"/>
        </w:rPr>
        <w:t>招标</w:t>
      </w:r>
      <w:r>
        <w:rPr>
          <w:rFonts w:hint="eastAsia" w:ascii="宋体" w:hAnsi="宋体" w:eastAsia="宋体" w:cs="宋体"/>
          <w:color w:val="auto"/>
          <w:kern w:val="0"/>
          <w:sz w:val="21"/>
          <w:szCs w:val="21"/>
          <w:highlight w:val="none"/>
        </w:rPr>
        <w:t>公告同时在《河南省政府采购网</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全国公共资源交易平台（河南省·信阳市）》上发布</w:t>
      </w:r>
      <w:r>
        <w:rPr>
          <w:rFonts w:hint="eastAsia" w:ascii="宋体" w:hAnsi="宋体" w:eastAsia="宋体" w:cs="宋体"/>
          <w:color w:val="auto"/>
          <w:kern w:val="0"/>
          <w:sz w:val="21"/>
          <w:szCs w:val="21"/>
          <w:highlight w:val="none"/>
          <w:lang w:eastAsia="zh-CN"/>
        </w:rPr>
        <w:t>，招标</w:t>
      </w:r>
      <w:r>
        <w:rPr>
          <w:rFonts w:hint="eastAsia" w:ascii="宋体" w:hAnsi="宋体" w:eastAsia="宋体" w:cs="宋体"/>
          <w:color w:val="auto"/>
          <w:kern w:val="0"/>
          <w:sz w:val="21"/>
          <w:szCs w:val="21"/>
          <w:highlight w:val="none"/>
        </w:rPr>
        <w:t>公告期限为五个工作日。</w:t>
      </w:r>
    </w:p>
    <w:p w14:paraId="56427CB4">
      <w:pPr>
        <w:keepNext w:val="0"/>
        <w:keepLines w:val="0"/>
        <w:pageBreakBefore w:val="0"/>
        <w:widowControl/>
        <w:shd w:val="clear" w:color="auto"/>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val="en-US" w:eastAsia="zh-CN"/>
        </w:rPr>
        <w:t>七</w:t>
      </w:r>
      <w:r>
        <w:rPr>
          <w:rFonts w:hint="eastAsia" w:ascii="宋体" w:hAnsi="宋体" w:eastAsia="宋体" w:cs="宋体"/>
          <w:b/>
          <w:bCs/>
          <w:color w:val="auto"/>
          <w:kern w:val="0"/>
          <w:sz w:val="21"/>
          <w:szCs w:val="21"/>
          <w:highlight w:val="none"/>
          <w:lang w:eastAsia="zh-CN"/>
        </w:rPr>
        <w:t>、其他补充事宜</w:t>
      </w:r>
    </w:p>
    <w:p w14:paraId="6A935F33">
      <w:pPr>
        <w:keepNext w:val="0"/>
        <w:keepLines w:val="0"/>
        <w:pageBreakBefore w:val="0"/>
        <w:widowControl/>
        <w:shd w:val="clear" w:color="auto"/>
        <w:kinsoku/>
        <w:wordWrap w:val="0"/>
        <w:overflowPunct/>
        <w:topLinePunct w:val="0"/>
        <w:autoSpaceDE/>
        <w:autoSpaceDN/>
        <w:bidi w:val="0"/>
        <w:adjustRightInd/>
        <w:snapToGrid/>
        <w:spacing w:line="360" w:lineRule="auto"/>
        <w:ind w:firstLine="482"/>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凡有意参加本项目的供应商，请登录“全国公共资源交易平台（河南省·信阳市）（https://ggzyjy.xinyang.gov.cn）”网站进行交易主体自主注册，按网站公告通知有关要求填报企业信息并上传有关原件扫描件至诚信库，不需携带原件到信阳市公共资源交易中心进行审核。供应商应对所上传材料的真实性、合法性、有效性负责，其上传的信息将全部对外公示，接受社会监督。完成企业诚信库注册后，必须办理CA数字证书方可在网上办理招投标相关业务。供应商根据信阳市公共资源交易网通知公告栏目中《关于信阳市公共资源交易平台数字证书（CA）互认系统正式上线运行的通知》要求，自行选择CA数字证书服务商，线上、线下办理CA数字证书。</w:t>
      </w:r>
    </w:p>
    <w:p w14:paraId="2BCB22F5">
      <w:pPr>
        <w:keepNext w:val="0"/>
        <w:keepLines w:val="0"/>
        <w:pageBreakBefore w:val="0"/>
        <w:widowControl/>
        <w:shd w:val="clear" w:color="auto"/>
        <w:kinsoku/>
        <w:wordWrap w:val="0"/>
        <w:overflowPunct/>
        <w:topLinePunct w:val="0"/>
        <w:autoSpaceDE/>
        <w:autoSpaceDN/>
        <w:bidi w:val="0"/>
        <w:adjustRightInd/>
        <w:snapToGrid/>
        <w:spacing w:line="360" w:lineRule="auto"/>
        <w:ind w:firstLine="482"/>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shd w:val="clear" w:color="auto" w:fill="FFFFFF"/>
          <w:lang w:val="en-US" w:eastAsia="zh-CN"/>
        </w:rPr>
        <w:t>、</w:t>
      </w:r>
      <w:r>
        <w:rPr>
          <w:rFonts w:hint="eastAsia" w:ascii="宋体" w:hAnsi="宋体" w:eastAsia="宋体" w:cs="宋体"/>
          <w:color w:val="auto"/>
          <w:kern w:val="0"/>
          <w:sz w:val="21"/>
          <w:szCs w:val="21"/>
          <w:highlight w:val="none"/>
        </w:rPr>
        <w:t>本项目采用“不见面开标”交易方式，不见面开标大厅网址为</w:t>
      </w:r>
      <w:r>
        <w:rPr>
          <w:rFonts w:hint="eastAsia" w:ascii="宋体" w:hAnsi="宋体" w:eastAsia="宋体" w:cs="宋体"/>
          <w:color w:val="auto"/>
          <w:kern w:val="0"/>
          <w:sz w:val="21"/>
          <w:szCs w:val="21"/>
          <w:highlight w:val="none"/>
          <w:u w:val="none"/>
          <w:lang w:eastAsia="zh-CN"/>
        </w:rPr>
        <w:t>https://ggzyjy.xinyang.gov.cn/BidOpening</w:t>
      </w:r>
      <w:r>
        <w:rPr>
          <w:rFonts w:hint="eastAsia" w:ascii="宋体" w:hAnsi="宋体" w:eastAsia="宋体" w:cs="宋体"/>
          <w:color w:val="auto"/>
          <w:kern w:val="0"/>
          <w:sz w:val="21"/>
          <w:szCs w:val="21"/>
          <w:highlight w:val="none"/>
          <w:u w:val="none"/>
        </w:rPr>
        <w:t>，</w:t>
      </w:r>
      <w:r>
        <w:rPr>
          <w:rFonts w:hint="eastAsia" w:ascii="宋体" w:hAnsi="宋体" w:eastAsia="宋体" w:cs="宋体"/>
          <w:color w:val="auto"/>
          <w:kern w:val="0"/>
          <w:sz w:val="21"/>
          <w:szCs w:val="21"/>
          <w:highlight w:val="none"/>
          <w:u w:val="none"/>
          <w:lang w:val="en-US" w:eastAsia="zh-CN"/>
        </w:rPr>
        <w:t>供应商</w:t>
      </w:r>
      <w:r>
        <w:rPr>
          <w:rFonts w:hint="eastAsia" w:ascii="宋体" w:hAnsi="宋体" w:eastAsia="宋体" w:cs="宋体"/>
          <w:color w:val="auto"/>
          <w:kern w:val="0"/>
          <w:sz w:val="21"/>
          <w:szCs w:val="21"/>
          <w:highlight w:val="none"/>
          <w:u w:val="none"/>
        </w:rPr>
        <w:t>无需寄送和递交非加密的电子</w:t>
      </w:r>
      <w:r>
        <w:rPr>
          <w:rFonts w:hint="eastAsia" w:ascii="宋体" w:hAnsi="宋体" w:eastAsia="宋体" w:cs="宋体"/>
          <w:color w:val="auto"/>
          <w:kern w:val="0"/>
          <w:sz w:val="21"/>
          <w:szCs w:val="21"/>
          <w:highlight w:val="none"/>
          <w:u w:val="none"/>
          <w:lang w:val="en-US" w:eastAsia="zh-CN"/>
        </w:rPr>
        <w:t>响应文件</w:t>
      </w:r>
      <w:r>
        <w:rPr>
          <w:rFonts w:hint="eastAsia" w:ascii="宋体" w:hAnsi="宋体" w:eastAsia="宋体" w:cs="宋体"/>
          <w:color w:val="auto"/>
          <w:kern w:val="0"/>
          <w:sz w:val="21"/>
          <w:szCs w:val="21"/>
          <w:highlight w:val="none"/>
          <w:u w:val="none"/>
        </w:rPr>
        <w:t>，无需到现场参加开标会议，无需到达现场提交原件资料。</w:t>
      </w:r>
    </w:p>
    <w:p w14:paraId="6EC029E3">
      <w:pPr>
        <w:keepNext w:val="0"/>
        <w:keepLines w:val="0"/>
        <w:pageBreakBefore w:val="0"/>
        <w:widowControl/>
        <w:shd w:val="clear" w:color="auto"/>
        <w:kinsoku/>
        <w:wordWrap w:val="0"/>
        <w:overflowPunct/>
        <w:topLinePunct w:val="0"/>
        <w:autoSpaceDE/>
        <w:autoSpaceDN/>
        <w:bidi w:val="0"/>
        <w:adjustRightInd/>
        <w:snapToGrid/>
        <w:spacing w:line="360" w:lineRule="auto"/>
        <w:ind w:firstLine="482"/>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shd w:val="clear" w:color="auto" w:fill="FFFFFF"/>
          <w:lang w:val="en-US" w:eastAsia="zh-CN"/>
        </w:rPr>
        <w:t>、</w:t>
      </w:r>
      <w:r>
        <w:rPr>
          <w:rFonts w:hint="eastAsia" w:ascii="宋体" w:hAnsi="宋体" w:eastAsia="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rPr>
        <w:t>应当在投标截止时间前，使用</w:t>
      </w:r>
      <w:r>
        <w:rPr>
          <w:rFonts w:hint="eastAsia" w:ascii="宋体" w:hAnsi="宋体" w:eastAsia="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rPr>
        <w:t>CA数字证书登录不见面开标大厅，在线签到并准时参加开标活动，并在规定时间内完成</w:t>
      </w:r>
      <w:r>
        <w:rPr>
          <w:rFonts w:hint="eastAsia" w:ascii="宋体" w:hAnsi="宋体" w:eastAsia="宋体" w:cs="宋体"/>
          <w:color w:val="auto"/>
          <w:kern w:val="0"/>
          <w:sz w:val="21"/>
          <w:szCs w:val="21"/>
          <w:highlight w:val="none"/>
          <w:lang w:val="en-US" w:eastAsia="zh-CN"/>
        </w:rPr>
        <w:t>响应</w:t>
      </w:r>
      <w:r>
        <w:rPr>
          <w:rFonts w:hint="eastAsia" w:ascii="宋体" w:hAnsi="宋体" w:eastAsia="宋体" w:cs="宋体"/>
          <w:color w:val="auto"/>
          <w:kern w:val="0"/>
          <w:sz w:val="21"/>
          <w:szCs w:val="21"/>
          <w:highlight w:val="none"/>
        </w:rPr>
        <w:t>文件解密、答疑澄清等。</w:t>
      </w:r>
    </w:p>
    <w:p w14:paraId="3F61CDDF">
      <w:pPr>
        <w:keepNext w:val="0"/>
        <w:keepLines w:val="0"/>
        <w:pageBreakBefore w:val="0"/>
        <w:widowControl/>
        <w:shd w:val="clear" w:color="auto"/>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shd w:val="clear" w:color="auto" w:fill="FFFFFF"/>
          <w:lang w:val="en-US" w:eastAsia="zh-CN"/>
        </w:rPr>
        <w:t>、</w:t>
      </w:r>
      <w:r>
        <w:rPr>
          <w:rFonts w:hint="eastAsia" w:ascii="宋体" w:hAnsi="宋体" w:eastAsia="宋体" w:cs="宋体"/>
          <w:color w:val="auto"/>
          <w:kern w:val="0"/>
          <w:sz w:val="21"/>
          <w:szCs w:val="21"/>
          <w:highlight w:val="none"/>
        </w:rPr>
        <w:t>逾期解密或者没有准时在线参加开标活动导致的一切后</w:t>
      </w:r>
      <w:r>
        <w:rPr>
          <w:rFonts w:hint="eastAsia" w:ascii="宋体" w:hAnsi="宋体" w:cs="宋体"/>
          <w:color w:val="auto"/>
          <w:kern w:val="0"/>
          <w:sz w:val="21"/>
          <w:szCs w:val="21"/>
          <w:highlight w:val="none"/>
          <w:lang w:eastAsia="zh-CN"/>
        </w:rPr>
        <w:t>果由</w:t>
      </w:r>
      <w:r>
        <w:rPr>
          <w:rFonts w:hint="eastAsia" w:ascii="宋体" w:hAnsi="宋体" w:eastAsia="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rPr>
        <w:t>自行承担。</w:t>
      </w:r>
    </w:p>
    <w:p w14:paraId="0B000F2A">
      <w:pPr>
        <w:keepNext w:val="0"/>
        <w:keepLines w:val="0"/>
        <w:pageBreakBefore w:val="0"/>
        <w:widowControl/>
        <w:shd w:val="clear" w:color="auto"/>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shd w:val="clear" w:color="auto" w:fill="FFFFFF"/>
          <w:lang w:val="en-US" w:eastAsia="zh-CN"/>
        </w:rPr>
        <w:t>、</w:t>
      </w:r>
      <w:r>
        <w:rPr>
          <w:rFonts w:hint="eastAsia" w:ascii="宋体" w:hAnsi="宋体" w:eastAsia="宋体" w:cs="宋体"/>
          <w:color w:val="auto"/>
          <w:kern w:val="0"/>
          <w:sz w:val="21"/>
          <w:szCs w:val="21"/>
          <w:highlight w:val="none"/>
        </w:rPr>
        <w:t>不见面开标服务的具体事宜，请查阅信阳市公共资源交易中心网站首页—下载中心—信阳市不见面开标大厅系统操作手册。</w:t>
      </w:r>
    </w:p>
    <w:p w14:paraId="7710CFAA">
      <w:pPr>
        <w:keepNext w:val="0"/>
        <w:keepLines w:val="0"/>
        <w:pageBreakBefore w:val="0"/>
        <w:widowControl/>
        <w:shd w:val="clear" w:color="auto"/>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shd w:val="clear" w:color="auto" w:fill="FFFFFF"/>
          <w:lang w:val="en-US" w:eastAsia="zh-CN"/>
        </w:rPr>
        <w:t>、</w:t>
      </w:r>
      <w:r>
        <w:rPr>
          <w:rFonts w:hint="eastAsia" w:ascii="宋体" w:hAnsi="宋体" w:eastAsia="宋体" w:cs="宋体"/>
          <w:b/>
          <w:bCs/>
          <w:color w:val="auto"/>
          <w:kern w:val="0"/>
          <w:sz w:val="21"/>
          <w:szCs w:val="21"/>
          <w:highlight w:val="none"/>
        </w:rPr>
        <w:t>特别提示：</w:t>
      </w:r>
      <w:r>
        <w:rPr>
          <w:rFonts w:hint="eastAsia" w:ascii="宋体" w:hAnsi="宋体" w:eastAsia="宋体" w:cs="宋体"/>
          <w:b/>
          <w:bCs/>
          <w:color w:val="auto"/>
          <w:kern w:val="0"/>
          <w:sz w:val="21"/>
          <w:szCs w:val="21"/>
          <w:highlight w:val="none"/>
          <w:lang w:val="en-US" w:eastAsia="zh-CN"/>
        </w:rPr>
        <w:t>供应商</w:t>
      </w:r>
      <w:r>
        <w:rPr>
          <w:rFonts w:hint="eastAsia" w:ascii="宋体" w:hAnsi="宋体" w:eastAsia="宋体" w:cs="宋体"/>
          <w:b/>
          <w:bCs/>
          <w:color w:val="auto"/>
          <w:kern w:val="0"/>
          <w:sz w:val="21"/>
          <w:szCs w:val="21"/>
          <w:highlight w:val="none"/>
        </w:rPr>
        <w:t>在线签到时，应如实准确</w:t>
      </w:r>
      <w:r>
        <w:rPr>
          <w:rFonts w:hint="eastAsia" w:ascii="宋体" w:hAnsi="宋体" w:eastAsia="宋体" w:cs="宋体"/>
          <w:b/>
          <w:bCs/>
          <w:color w:val="auto"/>
          <w:kern w:val="0"/>
          <w:sz w:val="21"/>
          <w:szCs w:val="21"/>
          <w:highlight w:val="none"/>
          <w:lang w:val="en-US" w:eastAsia="zh-CN"/>
        </w:rPr>
        <w:t>地</w:t>
      </w:r>
      <w:r>
        <w:rPr>
          <w:rFonts w:hint="eastAsia" w:ascii="宋体" w:hAnsi="宋体" w:eastAsia="宋体" w:cs="宋体"/>
          <w:b/>
          <w:bCs/>
          <w:color w:val="auto"/>
          <w:kern w:val="0"/>
          <w:sz w:val="21"/>
          <w:szCs w:val="21"/>
          <w:highlight w:val="none"/>
        </w:rPr>
        <w:t>填写授权委托人的联系电话，开标当天请务必保证电话保持畅通。</w:t>
      </w:r>
    </w:p>
    <w:p w14:paraId="7F232CCB">
      <w:pPr>
        <w:keepNext w:val="0"/>
        <w:keepLines w:val="0"/>
        <w:pageBreakBefore w:val="0"/>
        <w:widowControl/>
        <w:shd w:val="clear" w:color="auto"/>
        <w:kinsoku/>
        <w:wordWrap/>
        <w:overflowPunct/>
        <w:topLinePunct w:val="0"/>
        <w:autoSpaceDE/>
        <w:autoSpaceDN/>
        <w:bidi w:val="0"/>
        <w:adjustRightInd/>
        <w:snapToGrid/>
        <w:spacing w:line="360" w:lineRule="auto"/>
        <w:ind w:left="210" w:leftChars="100" w:firstLine="270" w:firstLineChars="129"/>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7、监督单位：信阳市财政局政府采购科</w:t>
      </w:r>
    </w:p>
    <w:p w14:paraId="6539EE13">
      <w:pPr>
        <w:keepNext w:val="0"/>
        <w:keepLines w:val="0"/>
        <w:pageBreakBefore w:val="0"/>
        <w:widowControl/>
        <w:shd w:val="clear" w:color="auto"/>
        <w:kinsoku/>
        <w:wordWrap/>
        <w:overflowPunct/>
        <w:topLinePunct w:val="0"/>
        <w:autoSpaceDE/>
        <w:autoSpaceDN/>
        <w:bidi w:val="0"/>
        <w:adjustRightInd/>
        <w:snapToGrid/>
        <w:spacing w:line="360" w:lineRule="auto"/>
        <w:ind w:left="420" w:leftChars="200" w:firstLine="420" w:firstLineChars="200"/>
        <w:textAlignment w:val="auto"/>
        <w:rPr>
          <w:rFonts w:hint="eastAsia" w:ascii="宋体" w:hAnsi="宋体" w:eastAsia="宋体" w:cs="宋体"/>
          <w:color w:val="auto"/>
          <w:kern w:val="0"/>
          <w:sz w:val="21"/>
          <w:szCs w:val="21"/>
          <w:highlight w:val="none"/>
          <w:lang w:val="en-US" w:eastAsia="zh-CN"/>
        </w:rPr>
      </w:pPr>
      <w:r>
        <w:rPr>
          <w:rFonts w:hint="default" w:ascii="宋体" w:hAnsi="宋体" w:eastAsia="宋体" w:cs="宋体"/>
          <w:color w:val="auto"/>
          <w:kern w:val="0"/>
          <w:sz w:val="21"/>
          <w:szCs w:val="21"/>
          <w:highlight w:val="none"/>
          <w:lang w:val="en-US" w:eastAsia="zh-CN"/>
        </w:rPr>
        <w:t>联系方式：0376-6699188</w:t>
      </w:r>
    </w:p>
    <w:p w14:paraId="565621E9">
      <w:pPr>
        <w:keepNext w:val="0"/>
        <w:keepLines w:val="0"/>
        <w:pageBreakBefore w:val="0"/>
        <w:widowControl/>
        <w:shd w:val="clear" w:color="auto"/>
        <w:kinsoku/>
        <w:wordWrap/>
        <w:overflowPunct/>
        <w:topLinePunct w:val="0"/>
        <w:autoSpaceDE/>
        <w:autoSpaceDN/>
        <w:bidi w:val="0"/>
        <w:adjustRightInd/>
        <w:snapToGrid/>
        <w:spacing w:line="360" w:lineRule="auto"/>
        <w:ind w:firstLine="482"/>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shd w:val="clear" w:color="auto" w:fill="FFFFFF"/>
          <w:lang w:val="en-US" w:eastAsia="zh-CN"/>
        </w:rPr>
        <w:t>、</w:t>
      </w:r>
      <w:r>
        <w:rPr>
          <w:rFonts w:hint="eastAsia" w:ascii="宋体" w:hAnsi="宋体" w:eastAsia="宋体" w:cs="宋体"/>
          <w:color w:val="auto"/>
          <w:kern w:val="0"/>
          <w:sz w:val="21"/>
          <w:szCs w:val="21"/>
          <w:highlight w:val="none"/>
          <w:lang w:val="en-US" w:eastAsia="zh-CN"/>
        </w:rPr>
        <w:t>本项目参照《河南省招标代理服务收费指导意见》豫招协【2023】002号文件的规定收取代理费用，本项目收费金额不高于8890.70元。</w:t>
      </w:r>
    </w:p>
    <w:p w14:paraId="3BD3A1BA">
      <w:pPr>
        <w:keepNext w:val="0"/>
        <w:keepLines w:val="0"/>
        <w:pageBreakBefore w:val="0"/>
        <w:widowControl/>
        <w:shd w:val="clear" w:color="auto"/>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八、凡对本次招标提出询问，请按照以下方式联系：</w:t>
      </w:r>
    </w:p>
    <w:p w14:paraId="34583CC5">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1.采购人信息</w:t>
      </w:r>
    </w:p>
    <w:p w14:paraId="30689BC0">
      <w:pPr>
        <w:keepNext w:val="0"/>
        <w:keepLines w:val="0"/>
        <w:pageBreakBefore w:val="0"/>
        <w:kinsoku/>
        <w:wordWrap/>
        <w:overflowPunct/>
        <w:topLinePunct w:val="0"/>
        <w:autoSpaceDE/>
        <w:autoSpaceDN/>
        <w:bidi w:val="0"/>
        <w:spacing w:line="360" w:lineRule="auto"/>
        <w:ind w:firstLine="630" w:firstLineChars="300"/>
        <w:jc w:val="left"/>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名</w:t>
      </w:r>
      <w:r>
        <w:rPr>
          <w:rFonts w:hint="eastAsia" w:ascii="宋体" w:hAnsi="宋体" w:eastAsia="宋体" w:cs="宋体"/>
          <w:color w:val="000000"/>
          <w:kern w:val="0"/>
          <w:sz w:val="21"/>
          <w:szCs w:val="21"/>
          <w:highlight w:val="none"/>
          <w:lang w:val="en-US" w:eastAsia="zh-CN"/>
        </w:rPr>
        <w:t xml:space="preserve">    </w:t>
      </w:r>
      <w:r>
        <w:rPr>
          <w:rFonts w:hint="eastAsia" w:ascii="宋体" w:hAnsi="宋体" w:eastAsia="宋体" w:cs="宋体"/>
          <w:color w:val="000000"/>
          <w:kern w:val="0"/>
          <w:sz w:val="21"/>
          <w:szCs w:val="21"/>
          <w:highlight w:val="none"/>
        </w:rPr>
        <w:t>称：信阳农林学院</w:t>
      </w:r>
    </w:p>
    <w:p w14:paraId="6F1225C5">
      <w:pPr>
        <w:keepNext w:val="0"/>
        <w:keepLines w:val="0"/>
        <w:pageBreakBefore w:val="0"/>
        <w:kinsoku/>
        <w:wordWrap/>
        <w:overflowPunct/>
        <w:topLinePunct w:val="0"/>
        <w:autoSpaceDE/>
        <w:autoSpaceDN/>
        <w:bidi w:val="0"/>
        <w:spacing w:line="360" w:lineRule="auto"/>
        <w:ind w:firstLine="630" w:firstLineChars="300"/>
        <w:jc w:val="left"/>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地    址：信阳市平桥区北环路1号</w:t>
      </w:r>
    </w:p>
    <w:p w14:paraId="427568C4">
      <w:pPr>
        <w:keepNext w:val="0"/>
        <w:keepLines w:val="0"/>
        <w:pageBreakBefore w:val="0"/>
        <w:kinsoku/>
        <w:wordWrap/>
        <w:overflowPunct/>
        <w:topLinePunct w:val="0"/>
        <w:autoSpaceDE/>
        <w:autoSpaceDN/>
        <w:bidi w:val="0"/>
        <w:spacing w:line="360" w:lineRule="auto"/>
        <w:ind w:firstLine="630" w:firstLineChars="300"/>
        <w:jc w:val="left"/>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联 系 人：杜老师</w:t>
      </w:r>
    </w:p>
    <w:p w14:paraId="377E9E35">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630" w:firstLineChars="300"/>
        <w:jc w:val="left"/>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xml:space="preserve">联系方式：0376-6599218 </w:t>
      </w:r>
    </w:p>
    <w:p w14:paraId="7C72541F">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2.采购代理机构信息</w:t>
      </w:r>
    </w:p>
    <w:p w14:paraId="3835F81F">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630" w:firstLineChars="3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    称：中亿正恒工程管理有限公司</w:t>
      </w:r>
    </w:p>
    <w:p w14:paraId="6354D630">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630" w:firstLineChars="3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    址：河南省郑州高新技术产业开发区西三环河南省大学科技园（东区）18号楼B座5层501</w:t>
      </w:r>
    </w:p>
    <w:p w14:paraId="78172F18">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630" w:firstLineChars="3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 系 人：</w:t>
      </w:r>
      <w:r>
        <w:rPr>
          <w:rFonts w:hint="eastAsia" w:ascii="宋体" w:hAnsi="宋体" w:cs="宋体"/>
          <w:color w:val="auto"/>
          <w:sz w:val="21"/>
          <w:szCs w:val="21"/>
          <w:highlight w:val="none"/>
          <w:lang w:val="en-US" w:eastAsia="zh-CN"/>
        </w:rPr>
        <w:t>朱金玲、</w:t>
      </w:r>
      <w:r>
        <w:rPr>
          <w:rFonts w:hint="eastAsia" w:ascii="宋体" w:hAnsi="宋体" w:eastAsia="宋体" w:cs="宋体"/>
          <w:color w:val="auto"/>
          <w:sz w:val="21"/>
          <w:szCs w:val="21"/>
          <w:highlight w:val="none"/>
          <w:lang w:val="en-US" w:eastAsia="zh-CN"/>
        </w:rPr>
        <w:t>李雪</w:t>
      </w:r>
    </w:p>
    <w:p w14:paraId="652F025E">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630" w:firstLineChars="3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联系方式：15537635797</w:t>
      </w:r>
    </w:p>
    <w:p w14:paraId="59A73291">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3.项目联系方式</w:t>
      </w:r>
    </w:p>
    <w:p w14:paraId="4AD7C61E">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630" w:firstLineChars="3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项目联系人：</w:t>
      </w:r>
      <w:r>
        <w:rPr>
          <w:rFonts w:hint="eastAsia" w:ascii="宋体" w:hAnsi="宋体" w:cs="宋体"/>
          <w:color w:val="auto"/>
          <w:sz w:val="21"/>
          <w:szCs w:val="21"/>
          <w:highlight w:val="none"/>
          <w:lang w:val="en-US" w:eastAsia="zh-CN"/>
        </w:rPr>
        <w:t>朱金玲、</w:t>
      </w:r>
      <w:r>
        <w:rPr>
          <w:rFonts w:hint="eastAsia" w:ascii="宋体" w:hAnsi="宋体" w:eastAsia="宋体" w:cs="宋体"/>
          <w:color w:val="auto"/>
          <w:sz w:val="21"/>
          <w:szCs w:val="21"/>
          <w:highlight w:val="none"/>
          <w:lang w:val="en-US" w:eastAsia="zh-CN"/>
        </w:rPr>
        <w:t>李雪</w:t>
      </w:r>
    </w:p>
    <w:p w14:paraId="4E10AAD2">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630" w:firstLineChars="3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联系方式：15537635797</w:t>
      </w:r>
    </w:p>
    <w:p w14:paraId="4D0F0E8F">
      <w:pPr>
        <w:keepNext w:val="0"/>
        <w:keepLines w:val="0"/>
        <w:pageBreakBefore w:val="0"/>
        <w:widowControl/>
        <w:kinsoku/>
        <w:overflowPunct/>
        <w:topLinePunct w:val="0"/>
        <w:autoSpaceDE/>
        <w:autoSpaceDN/>
        <w:bidi w:val="0"/>
        <w:spacing w:line="360" w:lineRule="auto"/>
        <w:ind w:left="0" w:leftChars="0" w:firstLine="2319" w:firstLineChars="1100"/>
        <w:jc w:val="both"/>
        <w:textAlignment w:val="auto"/>
        <w:outlineLvl w:val="0"/>
        <w:rPr>
          <w:rStyle w:val="44"/>
          <w:rFonts w:hint="eastAsia" w:ascii="宋体" w:hAnsi="宋体" w:eastAsia="宋体" w:cs="宋体"/>
          <w:color w:val="auto"/>
          <w:sz w:val="21"/>
          <w:szCs w:val="21"/>
          <w:highlight w:val="none"/>
          <w:lang w:val="en-US" w:eastAsia="zh-CN"/>
        </w:rPr>
        <w:sectPr>
          <w:footerReference r:id="rId5" w:type="default"/>
          <w:pgSz w:w="11905" w:h="16838"/>
          <w:pgMar w:top="1134" w:right="1417" w:bottom="1417" w:left="1417" w:header="850" w:footer="850" w:gutter="0"/>
          <w:pgBorders>
            <w:top w:val="none" w:sz="0" w:space="0"/>
            <w:left w:val="none" w:sz="0" w:space="0"/>
            <w:bottom w:val="none" w:sz="0" w:space="0"/>
            <w:right w:val="none" w:sz="0" w:space="0"/>
          </w:pgBorders>
          <w:pgNumType w:fmt="decimal" w:start="1"/>
          <w:cols w:space="0" w:num="1"/>
          <w:rtlGutter w:val="0"/>
          <w:docGrid w:type="lines" w:linePitch="317" w:charSpace="0"/>
        </w:sectPr>
      </w:pPr>
      <w:bookmarkStart w:id="13" w:name="_Toc18039"/>
    </w:p>
    <w:p w14:paraId="7713A318">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outlineLvl w:val="0"/>
        <w:rPr>
          <w:rStyle w:val="44"/>
          <w:rFonts w:hint="eastAsia" w:asciiTheme="minorEastAsia" w:hAnsiTheme="minorEastAsia" w:eastAsiaTheme="minorEastAsia" w:cstheme="minorEastAsia"/>
          <w:color w:val="auto"/>
          <w:sz w:val="32"/>
          <w:szCs w:val="32"/>
          <w:highlight w:val="none"/>
          <w:lang w:val="en-US" w:eastAsia="zh-CN"/>
        </w:rPr>
      </w:pPr>
      <w:r>
        <w:rPr>
          <w:rStyle w:val="44"/>
          <w:rFonts w:hint="eastAsia" w:asciiTheme="minorEastAsia" w:hAnsiTheme="minorEastAsia" w:eastAsiaTheme="minorEastAsia" w:cstheme="minorEastAsia"/>
          <w:color w:val="auto"/>
          <w:sz w:val="32"/>
          <w:szCs w:val="32"/>
          <w:highlight w:val="none"/>
          <w:lang w:val="en-US" w:eastAsia="zh-CN"/>
        </w:rPr>
        <w:t>第二章 供应商须知</w:t>
      </w:r>
      <w:bookmarkEnd w:id="7"/>
      <w:bookmarkEnd w:id="8"/>
      <w:bookmarkEnd w:id="9"/>
      <w:bookmarkEnd w:id="10"/>
      <w:bookmarkEnd w:id="11"/>
      <w:bookmarkEnd w:id="12"/>
      <w:bookmarkEnd w:id="13"/>
    </w:p>
    <w:p w14:paraId="455DA3A0">
      <w:pPr>
        <w:pStyle w:val="6"/>
        <w:numPr>
          <w:ilvl w:val="1"/>
          <w:numId w:val="0"/>
        </w:numPr>
        <w:bidi w:val="0"/>
        <w:spacing w:line="360" w:lineRule="auto"/>
        <w:ind w:leftChars="0"/>
        <w:jc w:val="center"/>
        <w:rPr>
          <w:rFonts w:hint="eastAsia" w:asciiTheme="minorEastAsia" w:hAnsiTheme="minorEastAsia" w:eastAsiaTheme="minorEastAsia" w:cstheme="minorEastAsia"/>
          <w:color w:val="auto"/>
          <w:highlight w:val="none"/>
        </w:rPr>
      </w:pPr>
      <w:bookmarkStart w:id="1122" w:name="_GoBack"/>
      <w:bookmarkEnd w:id="1122"/>
      <w:bookmarkStart w:id="14" w:name="_Toc13488"/>
      <w:bookmarkStart w:id="15" w:name="_Toc144974496"/>
      <w:bookmarkStart w:id="16" w:name="_Toc466298090"/>
      <w:bookmarkStart w:id="17" w:name="_Toc152045528"/>
      <w:bookmarkStart w:id="18" w:name="_Toc27072"/>
      <w:bookmarkStart w:id="19" w:name="_Toc152042304"/>
      <w:bookmarkStart w:id="20" w:name="_Toc471"/>
      <w:bookmarkStart w:id="21" w:name="_Toc455080107"/>
      <w:bookmarkStart w:id="22" w:name="_Toc30755"/>
      <w:r>
        <w:rPr>
          <w:rFonts w:hint="eastAsia" w:asciiTheme="minorEastAsia" w:hAnsiTheme="minorEastAsia" w:eastAsiaTheme="minorEastAsia" w:cstheme="minorEastAsia"/>
          <w:color w:val="auto"/>
          <w:highlight w:val="none"/>
        </w:rPr>
        <w:t>供应商须知前附表</w:t>
      </w:r>
      <w:bookmarkEnd w:id="14"/>
      <w:bookmarkEnd w:id="15"/>
      <w:bookmarkEnd w:id="16"/>
      <w:bookmarkEnd w:id="17"/>
      <w:bookmarkEnd w:id="18"/>
      <w:bookmarkEnd w:id="19"/>
      <w:bookmarkEnd w:id="20"/>
      <w:bookmarkEnd w:id="21"/>
      <w:bookmarkEnd w:id="22"/>
    </w:p>
    <w:tbl>
      <w:tblPr>
        <w:tblStyle w:val="31"/>
        <w:tblW w:w="9897" w:type="dxa"/>
        <w:jc w:val="center"/>
        <w:tblLayout w:type="fixed"/>
        <w:tblCellMar>
          <w:top w:w="0" w:type="dxa"/>
          <w:left w:w="108" w:type="dxa"/>
          <w:bottom w:w="0" w:type="dxa"/>
          <w:right w:w="108" w:type="dxa"/>
        </w:tblCellMar>
      </w:tblPr>
      <w:tblGrid>
        <w:gridCol w:w="1117"/>
        <w:gridCol w:w="2158"/>
        <w:gridCol w:w="6622"/>
      </w:tblGrid>
      <w:tr w14:paraId="130656CF">
        <w:tblPrEx>
          <w:tblCellMar>
            <w:top w:w="0" w:type="dxa"/>
            <w:left w:w="108" w:type="dxa"/>
            <w:bottom w:w="0" w:type="dxa"/>
            <w:right w:w="108" w:type="dxa"/>
          </w:tblCellMar>
        </w:tblPrEx>
        <w:trPr>
          <w:trHeight w:val="397"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4B15AFE1">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4C1EDD7E">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条款名称</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6D72DB2B">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编  列  内  容</w:t>
            </w:r>
          </w:p>
        </w:tc>
      </w:tr>
      <w:tr w14:paraId="7CB882AA">
        <w:tblPrEx>
          <w:tblCellMar>
            <w:top w:w="0" w:type="dxa"/>
            <w:left w:w="108" w:type="dxa"/>
            <w:bottom w:w="0" w:type="dxa"/>
            <w:right w:w="108" w:type="dxa"/>
          </w:tblCellMar>
        </w:tblPrEx>
        <w:trPr>
          <w:trHeight w:val="1322"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0A15BD30">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6E2D631C">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62033254">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    称：信阳农林学院</w:t>
            </w:r>
          </w:p>
          <w:p w14:paraId="051234BF">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    址：信阳市平桥区北环路1号</w:t>
            </w:r>
          </w:p>
          <w:p w14:paraId="0F33AB28">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 系 人：杜老师</w:t>
            </w:r>
          </w:p>
          <w:p w14:paraId="07F01590">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联系方式：0376-6599218 </w:t>
            </w:r>
          </w:p>
        </w:tc>
      </w:tr>
      <w:tr w14:paraId="7019AE2F">
        <w:tblPrEx>
          <w:tblCellMar>
            <w:top w:w="0" w:type="dxa"/>
            <w:left w:w="108" w:type="dxa"/>
            <w:bottom w:w="0" w:type="dxa"/>
            <w:right w:w="108" w:type="dxa"/>
          </w:tblCellMar>
        </w:tblPrEx>
        <w:trPr>
          <w:trHeight w:val="1768"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2B2856E2">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33094210">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140F2202">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    称：中亿正恒工程管理有限公司</w:t>
            </w:r>
          </w:p>
          <w:p w14:paraId="59500A56">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    址：河南省郑州高新技术产业开发区西三环河南省大学科技园（东区）18号楼B座5层501</w:t>
            </w:r>
          </w:p>
          <w:p w14:paraId="349B63D2">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 系 人：朱金玲、李雪</w:t>
            </w:r>
          </w:p>
          <w:p w14:paraId="4D154FC9">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联系方式：15537635797</w:t>
            </w:r>
          </w:p>
        </w:tc>
      </w:tr>
      <w:tr w14:paraId="46DFDC2B">
        <w:tblPrEx>
          <w:tblCellMar>
            <w:top w:w="0" w:type="dxa"/>
            <w:left w:w="108" w:type="dxa"/>
            <w:bottom w:w="0" w:type="dxa"/>
            <w:right w:w="108" w:type="dxa"/>
          </w:tblCellMar>
        </w:tblPrEx>
        <w:trPr>
          <w:trHeight w:val="595"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14694FEB">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7BB3F02C">
            <w:pPr>
              <w:keepNext w:val="0"/>
              <w:keepLines w:val="0"/>
              <w:pageBreakBefore w:val="0"/>
              <w:kinsoku/>
              <w:wordWrap/>
              <w:overflowPunct/>
              <w:topLinePunct w:val="0"/>
              <w:autoSpaceDE/>
              <w:autoSpaceDN/>
              <w:bidi w:val="0"/>
              <w:adjustRightInd w:val="0"/>
              <w:spacing w:line="24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3BE6E202">
            <w:pPr>
              <w:keepNext w:val="0"/>
              <w:keepLines w:val="0"/>
              <w:pageBreakBefore w:val="0"/>
              <w:kinsoku/>
              <w:wordWrap/>
              <w:overflowPunct/>
              <w:topLinePunct w:val="0"/>
              <w:autoSpaceDE/>
              <w:autoSpaceDN/>
              <w:bidi w:val="0"/>
              <w:spacing w:line="240" w:lineRule="auto"/>
              <w:ind w:left="0" w:left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lang w:eastAsia="zh-CN"/>
              </w:rPr>
              <w:t>信阳农林学院校园生活垃圾收集外运项目</w:t>
            </w:r>
            <w:r>
              <w:rPr>
                <w:rFonts w:hint="eastAsia" w:ascii="宋体" w:hAnsi="宋体" w:eastAsia="宋体" w:cs="宋体"/>
                <w:color w:val="auto"/>
                <w:sz w:val="21"/>
                <w:szCs w:val="21"/>
              </w:rPr>
              <w:t xml:space="preserve"> </w:t>
            </w:r>
          </w:p>
        </w:tc>
      </w:tr>
      <w:tr w14:paraId="2FE81103">
        <w:tblPrEx>
          <w:tblCellMar>
            <w:top w:w="0" w:type="dxa"/>
            <w:left w:w="108" w:type="dxa"/>
            <w:bottom w:w="0" w:type="dxa"/>
            <w:right w:w="108" w:type="dxa"/>
          </w:tblCellMar>
        </w:tblPrEx>
        <w:trPr>
          <w:trHeight w:val="597"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0F8D81A9">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717731A6">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采购内容</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1285F9E2">
            <w:pPr>
              <w:keepNext w:val="0"/>
              <w:keepLines w:val="0"/>
              <w:pageBreakBefore w:val="0"/>
              <w:kinsoku/>
              <w:wordWrap/>
              <w:overflowPunct/>
              <w:topLinePunct w:val="0"/>
              <w:autoSpaceDE/>
              <w:autoSpaceDN/>
              <w:bidi w:val="0"/>
              <w:spacing w:line="360" w:lineRule="auto"/>
              <w:ind w:left="0" w:left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信阳农林学院羊山校区的普通生活垃圾和废弃垃圾（包含废弃物品、维修更换的废弃材料等）的收集和外运，各项费用一次性包干；具体内容详见采购文件第五章；</w:t>
            </w:r>
          </w:p>
        </w:tc>
      </w:tr>
      <w:tr w14:paraId="11A247E7">
        <w:tblPrEx>
          <w:tblCellMar>
            <w:top w:w="0" w:type="dxa"/>
            <w:left w:w="108" w:type="dxa"/>
            <w:bottom w:w="0" w:type="dxa"/>
            <w:right w:w="108" w:type="dxa"/>
          </w:tblCellMar>
        </w:tblPrEx>
        <w:trPr>
          <w:trHeight w:val="597"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18339A16">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7EBC957C">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服务期</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1BA8DBC7">
            <w:pPr>
              <w:keepNext w:val="0"/>
              <w:keepLines w:val="0"/>
              <w:pageBreakBefore w:val="0"/>
              <w:kinsoku/>
              <w:wordWrap/>
              <w:overflowPunct/>
              <w:topLinePunct w:val="0"/>
              <w:autoSpaceDE/>
              <w:autoSpaceDN/>
              <w:bidi w:val="0"/>
              <w:spacing w:line="360" w:lineRule="auto"/>
              <w:ind w:left="0" w:leftChars="0"/>
              <w:jc w:val="left"/>
              <w:rPr>
                <w:rFonts w:hint="eastAsia" w:ascii="宋体" w:hAnsi="宋体" w:eastAsia="宋体" w:cs="宋体"/>
                <w:color w:val="auto"/>
                <w:sz w:val="21"/>
                <w:szCs w:val="21"/>
                <w:highlight w:val="none"/>
                <w:lang w:val="en-US" w:eastAsia="zh-CN"/>
              </w:rPr>
            </w:pPr>
            <w:r>
              <w:rPr>
                <w:rFonts w:hint="eastAsia" w:ascii="宋体" w:hAnsi="宋体" w:cs="宋体"/>
                <w:color w:val="auto"/>
                <w:kern w:val="0"/>
                <w:sz w:val="21"/>
                <w:szCs w:val="21"/>
                <w:highlight w:val="none"/>
                <w:shd w:val="clear" w:color="auto" w:fill="FFFFFF"/>
                <w:lang w:val="en-US" w:eastAsia="zh-CN"/>
              </w:rPr>
              <w:t>两</w:t>
            </w:r>
            <w:r>
              <w:rPr>
                <w:rFonts w:hint="eastAsia" w:ascii="宋体" w:hAnsi="宋体" w:eastAsia="宋体" w:cs="宋体"/>
                <w:color w:val="auto"/>
                <w:kern w:val="0"/>
                <w:sz w:val="21"/>
                <w:szCs w:val="21"/>
                <w:highlight w:val="none"/>
                <w:shd w:val="clear" w:color="auto" w:fill="FFFFFF"/>
                <w:lang w:val="en-US" w:eastAsia="zh-CN"/>
              </w:rPr>
              <w:t>年（</w:t>
            </w:r>
            <w:r>
              <w:rPr>
                <w:rFonts w:hint="eastAsia" w:ascii="宋体" w:hAnsi="宋体" w:cs="宋体"/>
                <w:color w:val="auto"/>
                <w:kern w:val="0"/>
                <w:sz w:val="21"/>
                <w:szCs w:val="21"/>
                <w:highlight w:val="none"/>
                <w:shd w:val="clear" w:color="auto" w:fill="FFFFFF"/>
                <w:lang w:val="en-US" w:eastAsia="zh-CN"/>
              </w:rPr>
              <w:t>合同一年一签，</w:t>
            </w:r>
            <w:r>
              <w:rPr>
                <w:rFonts w:hint="eastAsia" w:ascii="宋体" w:hAnsi="宋体" w:eastAsia="宋体" w:cs="宋体"/>
                <w:color w:val="auto"/>
                <w:kern w:val="0"/>
                <w:sz w:val="21"/>
                <w:szCs w:val="21"/>
                <w:highlight w:val="none"/>
                <w:shd w:val="clear" w:color="auto" w:fill="FFFFFF"/>
                <w:lang w:val="en-US" w:eastAsia="zh-CN"/>
              </w:rPr>
              <w:t>业主单位通过对服务单位进行综合评定后可续签</w:t>
            </w:r>
            <w:r>
              <w:rPr>
                <w:rFonts w:hint="eastAsia" w:ascii="宋体" w:hAnsi="宋体" w:cs="宋体"/>
                <w:color w:val="auto"/>
                <w:kern w:val="0"/>
                <w:sz w:val="21"/>
                <w:szCs w:val="21"/>
                <w:highlight w:val="none"/>
                <w:shd w:val="clear" w:color="auto" w:fill="FFFFFF"/>
                <w:lang w:val="en-US" w:eastAsia="zh-CN"/>
              </w:rPr>
              <w:t>下</w:t>
            </w:r>
            <w:r>
              <w:rPr>
                <w:rFonts w:hint="eastAsia" w:ascii="宋体" w:hAnsi="宋体" w:eastAsia="宋体" w:cs="宋体"/>
                <w:color w:val="auto"/>
                <w:kern w:val="0"/>
                <w:sz w:val="21"/>
                <w:szCs w:val="21"/>
                <w:highlight w:val="none"/>
                <w:shd w:val="clear" w:color="auto" w:fill="FFFFFF"/>
                <w:lang w:val="en-US" w:eastAsia="zh-CN"/>
              </w:rPr>
              <w:t>一年的合同，具体起止时间以双方签订合同约定为准）</w:t>
            </w:r>
          </w:p>
        </w:tc>
      </w:tr>
      <w:tr w14:paraId="0843550B">
        <w:tblPrEx>
          <w:tblCellMar>
            <w:top w:w="0" w:type="dxa"/>
            <w:left w:w="108" w:type="dxa"/>
            <w:bottom w:w="0" w:type="dxa"/>
            <w:right w:w="108" w:type="dxa"/>
          </w:tblCellMar>
        </w:tblPrEx>
        <w:trPr>
          <w:trHeight w:val="90"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333C1F3E">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6F2162A9">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服务标准</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7B1835E7">
            <w:pPr>
              <w:keepNext w:val="0"/>
              <w:keepLines w:val="0"/>
              <w:pageBreakBefore w:val="0"/>
              <w:kinsoku/>
              <w:wordWrap/>
              <w:overflowPunct/>
              <w:topLinePunct w:val="0"/>
              <w:autoSpaceDE/>
              <w:autoSpaceDN/>
              <w:bidi w:val="0"/>
              <w:spacing w:line="360" w:lineRule="auto"/>
              <w:ind w:left="0" w:left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按照河南省、信阳市垃圾分类工作要求，自备垃圾外运车辆，将校园内各收集点的垃圾清运至政府部门指定的垃圾处理场，做到日产日清、不积压。</w:t>
            </w:r>
          </w:p>
        </w:tc>
      </w:tr>
      <w:tr w14:paraId="49DC5F92">
        <w:tblPrEx>
          <w:tblCellMar>
            <w:top w:w="0" w:type="dxa"/>
            <w:left w:w="108" w:type="dxa"/>
            <w:bottom w:w="0" w:type="dxa"/>
            <w:right w:w="108" w:type="dxa"/>
          </w:tblCellMar>
        </w:tblPrEx>
        <w:trPr>
          <w:trHeight w:val="597"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54673ECA">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1.4.4</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1125EBFA">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付款方式</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4EB489DE">
            <w:pPr>
              <w:keepNext w:val="0"/>
              <w:keepLines w:val="0"/>
              <w:pageBreakBefore w:val="0"/>
              <w:kinsoku/>
              <w:wordWrap/>
              <w:overflowPunct/>
              <w:topLinePunct w:val="0"/>
              <w:autoSpaceDE/>
              <w:autoSpaceDN/>
              <w:bidi w:val="0"/>
              <w:spacing w:line="360" w:lineRule="auto"/>
              <w:ind w:left="0" w:left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以签订合同为准</w:t>
            </w:r>
          </w:p>
        </w:tc>
      </w:tr>
      <w:tr w14:paraId="6804574B">
        <w:tblPrEx>
          <w:tblCellMar>
            <w:top w:w="0" w:type="dxa"/>
            <w:left w:w="108" w:type="dxa"/>
            <w:bottom w:w="0" w:type="dxa"/>
            <w:right w:w="108" w:type="dxa"/>
          </w:tblCellMar>
        </w:tblPrEx>
        <w:trPr>
          <w:trHeight w:val="597"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47955A1A">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1.4.5</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10B8AE6A">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资金来源</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29D46451">
            <w:pPr>
              <w:keepNext w:val="0"/>
              <w:keepLines w:val="0"/>
              <w:pageBreakBefore w:val="0"/>
              <w:kinsoku/>
              <w:wordWrap/>
              <w:overflowPunct/>
              <w:topLinePunct w:val="0"/>
              <w:autoSpaceDE/>
              <w:autoSpaceDN/>
              <w:bidi w:val="0"/>
              <w:spacing w:line="360" w:lineRule="auto"/>
              <w:ind w:left="0" w:left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财政资金</w:t>
            </w:r>
          </w:p>
        </w:tc>
      </w:tr>
      <w:tr w14:paraId="03465A6F">
        <w:tblPrEx>
          <w:tblCellMar>
            <w:top w:w="0" w:type="dxa"/>
            <w:left w:w="108" w:type="dxa"/>
            <w:bottom w:w="0" w:type="dxa"/>
            <w:right w:w="108" w:type="dxa"/>
          </w:tblCellMar>
        </w:tblPrEx>
        <w:trPr>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03CBB969">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1.5.1</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63ADC2DE">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供应商资质条件及能力要求</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769C9087">
            <w:pPr>
              <w:keepNext w:val="0"/>
              <w:keepLines w:val="0"/>
              <w:pageBreakBefore w:val="0"/>
              <w:kinsoku/>
              <w:wordWrap/>
              <w:overflowPunct/>
              <w:topLinePunct w:val="0"/>
              <w:bidi w:val="0"/>
              <w:spacing w:line="36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1、投标人必须符合《中华人民共和国政府采购法》第二十二条之规定：</w:t>
            </w:r>
          </w:p>
          <w:p w14:paraId="69220272">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有效的营业执照或其他组织证明文件</w:t>
            </w:r>
            <w:r>
              <w:rPr>
                <w:rFonts w:hint="eastAsia" w:ascii="宋体" w:hAnsi="宋体" w:eastAsia="宋体" w:cs="宋体"/>
                <w:color w:val="auto"/>
                <w:sz w:val="21"/>
                <w:szCs w:val="21"/>
                <w:highlight w:val="none"/>
              </w:rPr>
              <w:t>；</w:t>
            </w:r>
          </w:p>
          <w:p w14:paraId="07C1D3E7">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具有良好的商业信誉和健全的财务会计制度（</w:t>
            </w:r>
            <w:r>
              <w:rPr>
                <w:rFonts w:hint="eastAsia" w:ascii="宋体" w:hAnsi="宋体" w:eastAsia="宋体" w:cs="宋体"/>
                <w:color w:val="auto"/>
                <w:sz w:val="21"/>
                <w:szCs w:val="21"/>
                <w:highlight w:val="none"/>
                <w:lang w:val="en-US" w:eastAsia="zh-CN"/>
              </w:rPr>
              <w:t>提供2025年度财务审计报告或其基本开户银行出具的资信证明。财务报告是经会计师事务所或审计机构审计的财务会计报表，包括资产负债表、现金流量表、利润表和附注</w:t>
            </w:r>
            <w:r>
              <w:rPr>
                <w:rFonts w:hint="eastAsia" w:ascii="宋体" w:hAnsi="宋体" w:eastAsia="宋体" w:cs="宋体"/>
                <w:color w:val="auto"/>
                <w:sz w:val="21"/>
                <w:szCs w:val="21"/>
                <w:highlight w:val="none"/>
              </w:rPr>
              <w:t>）；</w:t>
            </w:r>
          </w:p>
          <w:p w14:paraId="646E895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具有履行合同所必需的设备和专业技术能力（提供书面承诺书）；</w:t>
            </w:r>
          </w:p>
          <w:p w14:paraId="6FE54E0B">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有依法缴纳税收和社会保障资金的良好记录（</w:t>
            </w:r>
            <w:r>
              <w:rPr>
                <w:rFonts w:hint="eastAsia" w:ascii="宋体" w:hAnsi="宋体" w:eastAsia="宋体" w:cs="宋体"/>
                <w:color w:val="auto"/>
                <w:sz w:val="21"/>
                <w:szCs w:val="21"/>
                <w:highlight w:val="none"/>
                <w:lang w:val="en-US" w:eastAsia="zh-CN"/>
              </w:rPr>
              <w:t>提供开标前近三个月缴纳税收和社会保障资金的证明材料</w:t>
            </w:r>
            <w:r>
              <w:rPr>
                <w:rFonts w:hint="eastAsia" w:ascii="宋体" w:hAnsi="宋体" w:eastAsia="宋体" w:cs="宋体"/>
                <w:b w:val="0"/>
                <w:bCs/>
                <w:color w:val="auto"/>
                <w:sz w:val="21"/>
                <w:szCs w:val="21"/>
                <w:highlight w:val="none"/>
                <w:lang w:eastAsia="zh-CN"/>
              </w:rPr>
              <w:t>（不含开标当月）</w:t>
            </w:r>
            <w:r>
              <w:rPr>
                <w:rFonts w:hint="eastAsia" w:ascii="宋体" w:hAnsi="宋体" w:eastAsia="宋体" w:cs="宋体"/>
                <w:color w:val="auto"/>
                <w:sz w:val="21"/>
                <w:szCs w:val="21"/>
                <w:highlight w:val="none"/>
                <w:lang w:val="en-US" w:eastAsia="zh-CN"/>
              </w:rPr>
              <w:t>，新成立公司不足3个月的，按已缴纳月份提供。</w:t>
            </w:r>
            <w:r>
              <w:rPr>
                <w:rFonts w:hint="eastAsia" w:ascii="宋体" w:hAnsi="宋体" w:eastAsia="宋体" w:cs="宋体"/>
                <w:color w:val="auto"/>
                <w:sz w:val="21"/>
                <w:szCs w:val="21"/>
                <w:highlight w:val="none"/>
              </w:rPr>
              <w:t>依法免税或不需要缴纳社会保障资金的投标人，应提供相应证明文件）；</w:t>
            </w:r>
          </w:p>
          <w:p w14:paraId="4A0B0D77">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参加政府采购活动前三年内，在经营活动中没有重大违法记录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提供声明函）。</w:t>
            </w:r>
          </w:p>
          <w:p w14:paraId="68D62AF2">
            <w:pPr>
              <w:keepNext w:val="0"/>
              <w:keepLines w:val="0"/>
              <w:pageBreakBefore w:val="0"/>
              <w:widowControl/>
              <w:shd w:val="clear" w:color="auto"/>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highlight w:val="none"/>
                <w:lang w:val="en-US" w:eastAsia="zh-CN"/>
              </w:rPr>
              <w:t>2、落实政府采购政策满足的资格要求：</w:t>
            </w:r>
            <w:r>
              <w:rPr>
                <w:rFonts w:hint="eastAsia" w:ascii="宋体" w:hAnsi="宋体" w:eastAsia="宋体" w:cs="宋体"/>
                <w:color w:val="auto"/>
                <w:kern w:val="0"/>
                <w:sz w:val="21"/>
                <w:szCs w:val="21"/>
                <w:highlight w:val="none"/>
                <w:shd w:val="clear" w:color="auto" w:fill="FFFFFF"/>
                <w:lang w:val="en-US" w:eastAsia="zh-CN"/>
              </w:rPr>
              <w:t>本项目专门面向中小企业采购。参加本项目的中小企业须提供《中小企业声明函》（格式详见招标文件内《中小企业声明函》样本），不符合要求的声明函或未提供的将视为不符合资格要求。</w:t>
            </w:r>
            <w:r>
              <w:rPr>
                <w:rFonts w:hint="eastAsia" w:ascii="宋体" w:hAnsi="宋体" w:eastAsia="宋体" w:cs="宋体"/>
                <w:color w:val="auto"/>
                <w:sz w:val="21"/>
                <w:szCs w:val="21"/>
              </w:rPr>
              <w:t>本项目落实节约能源、保护环境、扶持不发达地区和少数民族地区、促进中小微企业、监狱企业及残疾人福利性单位发展等政府采购政策。</w:t>
            </w:r>
          </w:p>
          <w:p w14:paraId="08BF70E2">
            <w:pPr>
              <w:pStyle w:val="27"/>
              <w:keepNext w:val="0"/>
              <w:keepLines w:val="0"/>
              <w:pageBreakBefore w:val="0"/>
              <w:widowControl w:val="0"/>
              <w:kinsoku/>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3、本项目的特定资格要求：无</w:t>
            </w:r>
          </w:p>
          <w:p w14:paraId="2358259A">
            <w:pPr>
              <w:pStyle w:val="27"/>
              <w:keepNext w:val="0"/>
              <w:keepLines w:val="0"/>
              <w:pageBreakBefore w:val="0"/>
              <w:widowControl w:val="0"/>
              <w:kinsoku/>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4、信用要求：</w:t>
            </w:r>
            <w:r>
              <w:rPr>
                <w:rFonts w:hint="eastAsia" w:ascii="宋体" w:hAnsi="宋体" w:eastAsia="宋体" w:cs="宋体"/>
                <w:color w:val="auto"/>
                <w:sz w:val="21"/>
                <w:szCs w:val="21"/>
                <w:highlight w:val="none"/>
              </w:rPr>
              <w:t>根据《关于在政府采购活动中查询及使用信用记录有关问题的通知》财库</w:t>
            </w:r>
            <w:r>
              <w:rPr>
                <w:rFonts w:hint="eastAsia" w:ascii="宋体" w:hAnsi="宋体" w:eastAsia="宋体" w:cs="宋体"/>
                <w:color w:val="auto"/>
                <w:sz w:val="21"/>
                <w:szCs w:val="21"/>
                <w:highlight w:val="none"/>
                <w:lang w:eastAsia="zh-CN"/>
              </w:rPr>
              <w:t>〔2016〕125号</w:t>
            </w:r>
            <w:r>
              <w:rPr>
                <w:rFonts w:hint="eastAsia" w:ascii="宋体" w:hAnsi="宋体" w:eastAsia="宋体" w:cs="宋体"/>
                <w:color w:val="auto"/>
                <w:sz w:val="21"/>
                <w:szCs w:val="21"/>
                <w:highlight w:val="none"/>
              </w:rPr>
              <w:t>文件和豫财购</w:t>
            </w:r>
            <w:r>
              <w:rPr>
                <w:rFonts w:hint="eastAsia" w:ascii="宋体" w:hAnsi="宋体" w:eastAsia="宋体" w:cs="宋体"/>
                <w:color w:val="auto"/>
                <w:sz w:val="21"/>
                <w:szCs w:val="21"/>
                <w:highlight w:val="none"/>
                <w:lang w:eastAsia="zh-CN"/>
              </w:rPr>
              <w:t>〔2016〕15号</w:t>
            </w:r>
            <w:r>
              <w:rPr>
                <w:rFonts w:hint="eastAsia" w:ascii="宋体" w:hAnsi="宋体" w:eastAsia="宋体" w:cs="宋体"/>
                <w:color w:val="auto"/>
                <w:sz w:val="21"/>
                <w:szCs w:val="21"/>
                <w:highlight w:val="none"/>
              </w:rPr>
              <w:t>文件的规定，供应商应提供“信用中国”网站（www.creditchina.gov.cn）查询“失信被执行人”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跳转至“</w:t>
            </w:r>
            <w:r>
              <w:rPr>
                <w:rFonts w:hint="eastAsia" w:ascii="宋体" w:hAnsi="宋体" w:eastAsia="宋体" w:cs="宋体"/>
                <w:color w:val="auto"/>
                <w:sz w:val="21"/>
                <w:szCs w:val="21"/>
                <w:highlight w:val="none"/>
              </w:rPr>
              <w:t>中国执行信息公开网”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、“重大税收违法失信主体”和“政府采购严重违法失信行为记录名单”</w:t>
            </w:r>
            <w:r>
              <w:rPr>
                <w:rFonts w:hint="eastAsia" w:ascii="宋体" w:hAnsi="宋体" w:eastAsia="宋体" w:cs="宋体"/>
                <w:color w:val="auto"/>
                <w:sz w:val="21"/>
                <w:szCs w:val="21"/>
                <w:highlight w:val="none"/>
                <w:lang w:eastAsia="zh-CN"/>
              </w:rPr>
              <w:t>；在</w:t>
            </w:r>
            <w:r>
              <w:rPr>
                <w:rFonts w:hint="eastAsia" w:ascii="宋体" w:hAnsi="宋体" w:eastAsia="宋体" w:cs="宋体"/>
                <w:color w:val="auto"/>
                <w:sz w:val="21"/>
                <w:szCs w:val="21"/>
                <w:highlight w:val="none"/>
              </w:rPr>
              <w:t>中国政府采购网（www.ccgp.gov.cn）查询“政府采购严重违法失信行为记录名单”渠道查询自身信用记录，提供查询网页截图，查询截止时点为：从公告发布之日起至投标截止之日止；</w:t>
            </w:r>
            <w:r>
              <w:rPr>
                <w:rFonts w:hint="eastAsia" w:ascii="宋体" w:hAnsi="宋体" w:eastAsia="宋体" w:cs="宋体"/>
                <w:color w:val="auto"/>
                <w:sz w:val="21"/>
                <w:szCs w:val="21"/>
                <w:highlight w:val="none"/>
              </w:rPr>
              <w:br w:type="textWrapping"/>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、其他要求：</w:t>
            </w:r>
            <w:r>
              <w:rPr>
                <w:rFonts w:hint="eastAsia" w:ascii="宋体" w:hAnsi="宋体" w:eastAsia="宋体" w:cs="宋体"/>
                <w:color w:val="auto"/>
                <w:sz w:val="21"/>
                <w:szCs w:val="21"/>
                <w:highlight w:val="none"/>
              </w:rPr>
              <w:t>单位负责人为同一人或者存在直接控股、管理关系的不同单位，不得同时参加同一合同项下的政府采购活动（提供加盖</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公章的“国家企业信用信息公示系统”中公示的公司基础信息包含股东及出资信息）。</w:t>
            </w:r>
          </w:p>
          <w:p w14:paraId="3CCAA6D3">
            <w:pPr>
              <w:keepNext w:val="0"/>
              <w:keepLines w:val="0"/>
              <w:pageBreakBefore w:val="0"/>
              <w:widowControl/>
              <w:shd w:val="clear" w:color="auto"/>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shd w:val="clear" w:color="auto" w:fill="FFFFFF"/>
                <w:lang w:val="en-US" w:eastAsia="zh-CN"/>
              </w:rPr>
              <w:t>6、本项目不接受联合体投标，同时不得分包，不得转包(提供书面承诺书，格式自拟)</w:t>
            </w:r>
          </w:p>
          <w:p w14:paraId="46D0732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注：以上所示资格审查资料必须按照要求提供，未提供或提供资料不符合要求的视为不满足资格要求。</w:t>
            </w:r>
          </w:p>
        </w:tc>
      </w:tr>
      <w:tr w14:paraId="740E844C">
        <w:tblPrEx>
          <w:tblCellMar>
            <w:top w:w="0" w:type="dxa"/>
            <w:left w:w="108" w:type="dxa"/>
            <w:bottom w:w="0" w:type="dxa"/>
            <w:right w:w="108" w:type="dxa"/>
          </w:tblCellMar>
        </w:tblPrEx>
        <w:trPr>
          <w:trHeight w:val="475"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256D268C">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67A18240">
            <w:pPr>
              <w:keepNext w:val="0"/>
              <w:keepLines w:val="0"/>
              <w:pageBreakBefore w:val="0"/>
              <w:kinsoku/>
              <w:wordWrap/>
              <w:overflowPunct/>
              <w:topLinePunct w:val="0"/>
              <w:autoSpaceDE/>
              <w:autoSpaceDN/>
              <w:bidi w:val="0"/>
              <w:spacing w:line="240" w:lineRule="auto"/>
              <w:ind w:left="0"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是否接受联合体</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03BAAD06">
            <w:pPr>
              <w:pStyle w:val="16"/>
              <w:keepNext w:val="0"/>
              <w:keepLines w:val="0"/>
              <w:pageBreakBefore w:val="0"/>
              <w:kinsoku/>
              <w:wordWrap/>
              <w:overflowPunct/>
              <w:topLinePunct w:val="0"/>
              <w:autoSpaceDE/>
              <w:autoSpaceDN/>
              <w:bidi w:val="0"/>
              <w:adjustRightInd w:val="0"/>
              <w:spacing w:line="240" w:lineRule="auto"/>
              <w:ind w:left="0" w:leftChars="0"/>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不接受</w:t>
            </w:r>
          </w:p>
        </w:tc>
      </w:tr>
      <w:tr w14:paraId="4B7C8305">
        <w:tblPrEx>
          <w:tblCellMar>
            <w:top w:w="0" w:type="dxa"/>
            <w:left w:w="108" w:type="dxa"/>
            <w:bottom w:w="0" w:type="dxa"/>
            <w:right w:w="108" w:type="dxa"/>
          </w:tblCellMar>
        </w:tblPrEx>
        <w:trPr>
          <w:trHeight w:val="475"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2033A5E4">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1.10.1</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658981A4">
            <w:pPr>
              <w:keepNext w:val="0"/>
              <w:keepLines w:val="0"/>
              <w:pageBreakBefore w:val="0"/>
              <w:kinsoku/>
              <w:wordWrap/>
              <w:overflowPunct/>
              <w:topLinePunct w:val="0"/>
              <w:autoSpaceDE/>
              <w:autoSpaceDN/>
              <w:bidi w:val="0"/>
              <w:adjustRightInd w:val="0"/>
              <w:spacing w:line="24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现场踏勘</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58AC7C0B">
            <w:pPr>
              <w:pStyle w:val="16"/>
              <w:keepNext w:val="0"/>
              <w:keepLines w:val="0"/>
              <w:pageBreakBefore w:val="0"/>
              <w:kinsoku/>
              <w:wordWrap/>
              <w:overflowPunct/>
              <w:topLinePunct w:val="0"/>
              <w:autoSpaceDE/>
              <w:autoSpaceDN/>
              <w:bidi w:val="0"/>
              <w:adjustRightInd w:val="0"/>
              <w:spacing w:line="240" w:lineRule="auto"/>
              <w:ind w:left="0" w:leftChars="0"/>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不</w:t>
            </w:r>
            <w:r>
              <w:rPr>
                <w:rFonts w:hint="eastAsia" w:ascii="宋体" w:hAnsi="宋体" w:eastAsia="宋体" w:cs="宋体"/>
                <w:color w:val="auto"/>
                <w:sz w:val="21"/>
                <w:szCs w:val="21"/>
                <w:highlight w:val="none"/>
                <w:lang w:val="en-US" w:eastAsia="zh-CN"/>
              </w:rPr>
              <w:t>组织，潜在供应商自行踏勘。</w:t>
            </w:r>
          </w:p>
        </w:tc>
      </w:tr>
      <w:tr w14:paraId="40486A20">
        <w:tblPrEx>
          <w:tblCellMar>
            <w:top w:w="0" w:type="dxa"/>
            <w:left w:w="108" w:type="dxa"/>
            <w:bottom w:w="0" w:type="dxa"/>
            <w:right w:w="108" w:type="dxa"/>
          </w:tblCellMar>
        </w:tblPrEx>
        <w:trPr>
          <w:trHeight w:val="475"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52308030">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63055D96">
            <w:pPr>
              <w:keepNext w:val="0"/>
              <w:keepLines w:val="0"/>
              <w:pageBreakBefore w:val="0"/>
              <w:kinsoku/>
              <w:wordWrap/>
              <w:overflowPunct/>
              <w:topLinePunct w:val="0"/>
              <w:autoSpaceDE/>
              <w:autoSpaceDN/>
              <w:bidi w:val="0"/>
              <w:adjustRightInd w:val="0"/>
              <w:spacing w:line="24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分包</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6DD68AC5">
            <w:pPr>
              <w:pStyle w:val="16"/>
              <w:keepNext w:val="0"/>
              <w:keepLines w:val="0"/>
              <w:pageBreakBefore w:val="0"/>
              <w:kinsoku/>
              <w:wordWrap/>
              <w:overflowPunct/>
              <w:topLinePunct w:val="0"/>
              <w:autoSpaceDE/>
              <w:autoSpaceDN/>
              <w:bidi w:val="0"/>
              <w:adjustRightInd w:val="0"/>
              <w:spacing w:line="240" w:lineRule="auto"/>
              <w:ind w:left="0" w:leftChars="0"/>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不允许</w:t>
            </w:r>
          </w:p>
        </w:tc>
      </w:tr>
      <w:tr w14:paraId="4677A928">
        <w:tblPrEx>
          <w:tblCellMar>
            <w:top w:w="0" w:type="dxa"/>
            <w:left w:w="108" w:type="dxa"/>
            <w:bottom w:w="0" w:type="dxa"/>
            <w:right w:w="108" w:type="dxa"/>
          </w:tblCellMar>
        </w:tblPrEx>
        <w:trPr>
          <w:trHeight w:val="900"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6681F766">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1D78301C">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构成磋商文件</w:t>
            </w:r>
          </w:p>
          <w:p w14:paraId="39F9A028">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的其他材料</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7CAE9A4D">
            <w:pPr>
              <w:keepNext w:val="0"/>
              <w:keepLines w:val="0"/>
              <w:pageBreakBefore w:val="0"/>
              <w:kinsoku/>
              <w:wordWrap/>
              <w:overflowPunct/>
              <w:topLinePunct w:val="0"/>
              <w:autoSpaceDE/>
              <w:autoSpaceDN/>
              <w:bidi w:val="0"/>
              <w:adjustRightInd w:val="0"/>
              <w:spacing w:line="360" w:lineRule="auto"/>
              <w:ind w:left="0" w:leftChars="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除磋商文件外，采购人在磋商期间发出的澄清、修改、补充、补遗和</w:t>
            </w:r>
            <w:r>
              <w:rPr>
                <w:rFonts w:hint="eastAsia" w:ascii="宋体" w:hAnsi="宋体" w:eastAsia="宋体" w:cs="宋体"/>
                <w:color w:val="auto"/>
                <w:sz w:val="21"/>
                <w:szCs w:val="21"/>
                <w:highlight w:val="none"/>
                <w:lang w:eastAsia="zh-CN"/>
              </w:rPr>
              <w:t>其他有效</w:t>
            </w:r>
            <w:r>
              <w:rPr>
                <w:rFonts w:hint="eastAsia" w:ascii="宋体" w:hAnsi="宋体" w:eastAsia="宋体" w:cs="宋体"/>
                <w:color w:val="auto"/>
                <w:sz w:val="21"/>
                <w:szCs w:val="21"/>
                <w:highlight w:val="none"/>
              </w:rPr>
              <w:t>正式函件等内容均是磋商文件的组成部分</w:t>
            </w:r>
          </w:p>
        </w:tc>
      </w:tr>
      <w:tr w14:paraId="5B8595F5">
        <w:tblPrEx>
          <w:tblCellMar>
            <w:top w:w="0" w:type="dxa"/>
            <w:left w:w="108" w:type="dxa"/>
            <w:bottom w:w="0" w:type="dxa"/>
            <w:right w:w="108" w:type="dxa"/>
          </w:tblCellMar>
        </w:tblPrEx>
        <w:trPr>
          <w:trHeight w:val="90"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47EE7BF8">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045A1468">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供应商要求澄清磋商文件的截止时间</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1DEA5E31">
            <w:pPr>
              <w:keepNext w:val="0"/>
              <w:keepLines w:val="0"/>
              <w:pageBreakBefore w:val="0"/>
              <w:kinsoku/>
              <w:wordWrap/>
              <w:overflowPunct/>
              <w:topLinePunct w:val="0"/>
              <w:autoSpaceDE/>
              <w:autoSpaceDN/>
              <w:bidi w:val="0"/>
              <w:adjustRightInd w:val="0"/>
              <w:spacing w:line="360" w:lineRule="auto"/>
              <w:ind w:left="0" w:leftChars="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递交响应文件截止之日</w:t>
            </w:r>
            <w:r>
              <w:rPr>
                <w:rFonts w:hint="eastAsia" w:ascii="宋体" w:hAnsi="宋体" w:eastAsia="宋体" w:cs="宋体"/>
                <w:color w:val="auto"/>
                <w:sz w:val="21"/>
                <w:szCs w:val="21"/>
                <w:highlight w:val="none"/>
                <w:u w:val="single"/>
              </w:rPr>
              <w:t>7</w:t>
            </w:r>
            <w:r>
              <w:rPr>
                <w:rFonts w:hint="eastAsia" w:ascii="宋体" w:hAnsi="宋体" w:eastAsia="宋体" w:cs="宋体"/>
                <w:color w:val="auto"/>
                <w:sz w:val="21"/>
                <w:szCs w:val="21"/>
                <w:highlight w:val="none"/>
              </w:rPr>
              <w:t>天前</w:t>
            </w:r>
          </w:p>
        </w:tc>
      </w:tr>
      <w:tr w14:paraId="0C7480EB">
        <w:tblPrEx>
          <w:tblCellMar>
            <w:top w:w="0" w:type="dxa"/>
            <w:left w:w="108" w:type="dxa"/>
            <w:bottom w:w="0" w:type="dxa"/>
            <w:right w:w="108" w:type="dxa"/>
          </w:tblCellMar>
        </w:tblPrEx>
        <w:trPr>
          <w:trHeight w:val="90"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6BAE159A">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6C30826B">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采购人澄清磋商文件的截止时间</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1A418E8D">
            <w:pPr>
              <w:keepNext w:val="0"/>
              <w:keepLines w:val="0"/>
              <w:pageBreakBefore w:val="0"/>
              <w:kinsoku/>
              <w:wordWrap/>
              <w:overflowPunct/>
              <w:topLinePunct w:val="0"/>
              <w:autoSpaceDE/>
              <w:autoSpaceDN/>
              <w:bidi w:val="0"/>
              <w:adjustRightInd w:val="0"/>
              <w:spacing w:line="360" w:lineRule="auto"/>
              <w:ind w:left="0" w:leftChars="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递交响应文件截止之日</w:t>
            </w:r>
            <w:r>
              <w:rPr>
                <w:rFonts w:hint="eastAsia" w:ascii="宋体" w:hAnsi="宋体" w:eastAsia="宋体" w:cs="宋体"/>
                <w:color w:val="auto"/>
                <w:sz w:val="21"/>
                <w:szCs w:val="21"/>
                <w:highlight w:val="none"/>
                <w:u w:val="single"/>
              </w:rPr>
              <w:t>5</w:t>
            </w:r>
            <w:r>
              <w:rPr>
                <w:rFonts w:hint="eastAsia" w:ascii="宋体" w:hAnsi="宋体" w:eastAsia="宋体" w:cs="宋体"/>
                <w:color w:val="auto"/>
                <w:sz w:val="21"/>
                <w:szCs w:val="21"/>
                <w:highlight w:val="none"/>
              </w:rPr>
              <w:t>天前</w:t>
            </w:r>
          </w:p>
        </w:tc>
      </w:tr>
      <w:tr w14:paraId="79936A18">
        <w:tblPrEx>
          <w:tblCellMar>
            <w:top w:w="0" w:type="dxa"/>
            <w:left w:w="108" w:type="dxa"/>
            <w:bottom w:w="0" w:type="dxa"/>
            <w:right w:w="108" w:type="dxa"/>
          </w:tblCellMar>
        </w:tblPrEx>
        <w:trPr>
          <w:trHeight w:val="873"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1EBF88F0">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0711F5A0">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供应商确认收到磋商文件澄清的时间</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70ED3897">
            <w:pPr>
              <w:keepNext w:val="0"/>
              <w:keepLines w:val="0"/>
              <w:pageBreakBefore w:val="0"/>
              <w:kinsoku/>
              <w:wordWrap/>
              <w:overflowPunct/>
              <w:topLinePunct w:val="0"/>
              <w:autoSpaceDE/>
              <w:autoSpaceDN/>
              <w:bidi w:val="0"/>
              <w:adjustRightInd w:val="0"/>
              <w:spacing w:line="360" w:lineRule="auto"/>
              <w:ind w:left="0" w:leftChars="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在收到相应澄清文件后</w:t>
            </w:r>
            <w:r>
              <w:rPr>
                <w:rFonts w:hint="eastAsia" w:ascii="宋体" w:hAnsi="宋体" w:eastAsia="宋体" w:cs="宋体"/>
                <w:color w:val="auto"/>
                <w:sz w:val="21"/>
                <w:szCs w:val="21"/>
                <w:highlight w:val="none"/>
                <w:u w:val="single"/>
              </w:rPr>
              <w:t>24</w:t>
            </w:r>
            <w:r>
              <w:rPr>
                <w:rFonts w:hint="eastAsia" w:ascii="宋体" w:hAnsi="宋体" w:eastAsia="宋体" w:cs="宋体"/>
                <w:color w:val="auto"/>
                <w:sz w:val="21"/>
                <w:szCs w:val="21"/>
                <w:highlight w:val="none"/>
              </w:rPr>
              <w:t>小时内</w:t>
            </w:r>
          </w:p>
        </w:tc>
      </w:tr>
      <w:tr w14:paraId="1392D8A2">
        <w:tblPrEx>
          <w:tblCellMar>
            <w:top w:w="0" w:type="dxa"/>
            <w:left w:w="108" w:type="dxa"/>
            <w:bottom w:w="0" w:type="dxa"/>
            <w:right w:w="108" w:type="dxa"/>
          </w:tblCellMar>
        </w:tblPrEx>
        <w:trPr>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216FC2AF">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2.3.2</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28A67EBD">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供应商确认收到磋商文件修改的时间</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6CA7A003">
            <w:pPr>
              <w:keepNext w:val="0"/>
              <w:keepLines w:val="0"/>
              <w:pageBreakBefore w:val="0"/>
              <w:kinsoku/>
              <w:wordWrap/>
              <w:overflowPunct/>
              <w:topLinePunct w:val="0"/>
              <w:autoSpaceDE/>
              <w:autoSpaceDN/>
              <w:bidi w:val="0"/>
              <w:adjustRightInd w:val="0"/>
              <w:spacing w:line="360" w:lineRule="auto"/>
              <w:ind w:left="0" w:leftChars="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在收到相应修改文件后</w:t>
            </w:r>
            <w:r>
              <w:rPr>
                <w:rFonts w:hint="eastAsia" w:ascii="宋体" w:hAnsi="宋体" w:eastAsia="宋体" w:cs="宋体"/>
                <w:color w:val="auto"/>
                <w:sz w:val="21"/>
                <w:szCs w:val="21"/>
                <w:highlight w:val="none"/>
                <w:u w:val="single"/>
              </w:rPr>
              <w:t>24</w:t>
            </w:r>
            <w:r>
              <w:rPr>
                <w:rFonts w:hint="eastAsia" w:ascii="宋体" w:hAnsi="宋体" w:eastAsia="宋体" w:cs="宋体"/>
                <w:color w:val="auto"/>
                <w:sz w:val="21"/>
                <w:szCs w:val="21"/>
                <w:highlight w:val="none"/>
              </w:rPr>
              <w:t>小时内</w:t>
            </w:r>
          </w:p>
        </w:tc>
      </w:tr>
      <w:tr w14:paraId="7169C302">
        <w:tblPrEx>
          <w:tblCellMar>
            <w:top w:w="0" w:type="dxa"/>
            <w:left w:w="108" w:type="dxa"/>
            <w:bottom w:w="0" w:type="dxa"/>
            <w:right w:w="108" w:type="dxa"/>
          </w:tblCellMar>
        </w:tblPrEx>
        <w:trPr>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53502CC4">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55FEB36F">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构成响应文件</w:t>
            </w:r>
          </w:p>
          <w:p w14:paraId="60BAB55C">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的其他材料</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75CB0F2D">
            <w:pPr>
              <w:keepNext w:val="0"/>
              <w:keepLines w:val="0"/>
              <w:pageBreakBefore w:val="0"/>
              <w:kinsoku/>
              <w:wordWrap/>
              <w:overflowPunct/>
              <w:topLinePunct w:val="0"/>
              <w:autoSpaceDE/>
              <w:autoSpaceDN/>
              <w:bidi w:val="0"/>
              <w:adjustRightInd w:val="0"/>
              <w:spacing w:line="360" w:lineRule="auto"/>
              <w:ind w:left="0" w:leftChars="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供应商认为需要提交的其他证明材料</w:t>
            </w:r>
          </w:p>
        </w:tc>
      </w:tr>
      <w:tr w14:paraId="2F43FDAE">
        <w:tblPrEx>
          <w:tblCellMar>
            <w:top w:w="0" w:type="dxa"/>
            <w:left w:w="108" w:type="dxa"/>
            <w:bottom w:w="0" w:type="dxa"/>
            <w:right w:w="108" w:type="dxa"/>
          </w:tblCellMar>
        </w:tblPrEx>
        <w:trPr>
          <w:trHeight w:val="540"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3E930DD1">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34E9EBBF">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磋商有效期</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34F01017">
            <w:pPr>
              <w:keepNext w:val="0"/>
              <w:keepLines w:val="0"/>
              <w:pageBreakBefore w:val="0"/>
              <w:kinsoku/>
              <w:wordWrap/>
              <w:overflowPunct/>
              <w:topLinePunct w:val="0"/>
              <w:autoSpaceDE/>
              <w:autoSpaceDN/>
              <w:bidi w:val="0"/>
              <w:adjustRightInd w:val="0"/>
              <w:spacing w:line="360" w:lineRule="auto"/>
              <w:ind w:left="0" w:leftChars="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w:t>
            </w:r>
            <w:r>
              <w:rPr>
                <w:rFonts w:hint="eastAsia" w:ascii="宋体" w:hAnsi="宋体" w:eastAsia="宋体" w:cs="宋体"/>
                <w:color w:val="auto"/>
                <w:sz w:val="21"/>
                <w:szCs w:val="21"/>
                <w:highlight w:val="none"/>
                <w:lang w:eastAsia="zh-CN"/>
              </w:rPr>
              <w:t>提交</w:t>
            </w:r>
            <w:r>
              <w:rPr>
                <w:rFonts w:hint="eastAsia" w:ascii="宋体" w:hAnsi="宋体" w:eastAsia="宋体" w:cs="宋体"/>
                <w:color w:val="auto"/>
                <w:sz w:val="21"/>
                <w:szCs w:val="21"/>
                <w:highlight w:val="none"/>
              </w:rPr>
              <w:t>截止之日起60日历天</w:t>
            </w:r>
          </w:p>
        </w:tc>
      </w:tr>
      <w:tr w14:paraId="7CA0667C">
        <w:tblPrEx>
          <w:tblCellMar>
            <w:top w:w="0" w:type="dxa"/>
            <w:left w:w="108" w:type="dxa"/>
            <w:bottom w:w="0" w:type="dxa"/>
            <w:right w:w="108" w:type="dxa"/>
          </w:tblCellMar>
        </w:tblPrEx>
        <w:trPr>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4BF7F944">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56E325D9">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是否允许递交</w:t>
            </w:r>
          </w:p>
          <w:p w14:paraId="7165FB7E">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备选磋商方案</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424498DE">
            <w:pPr>
              <w:pStyle w:val="16"/>
              <w:keepNext w:val="0"/>
              <w:keepLines w:val="0"/>
              <w:pageBreakBefore w:val="0"/>
              <w:kinsoku/>
              <w:wordWrap/>
              <w:overflowPunct/>
              <w:topLinePunct w:val="0"/>
              <w:autoSpaceDE/>
              <w:autoSpaceDN/>
              <w:bidi w:val="0"/>
              <w:adjustRightInd w:val="0"/>
              <w:spacing w:line="360" w:lineRule="auto"/>
              <w:ind w:left="0" w:leftChars="0"/>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不允许</w:t>
            </w:r>
          </w:p>
        </w:tc>
      </w:tr>
      <w:tr w14:paraId="53E88C10">
        <w:tblPrEx>
          <w:tblCellMar>
            <w:top w:w="0" w:type="dxa"/>
            <w:left w:w="108" w:type="dxa"/>
            <w:bottom w:w="0" w:type="dxa"/>
            <w:right w:w="108" w:type="dxa"/>
          </w:tblCellMar>
        </w:tblPrEx>
        <w:trPr>
          <w:trHeight w:val="606"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01C726C2">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3.7.3</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73E980E3">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电子响应文件</w:t>
            </w:r>
          </w:p>
          <w:p w14:paraId="21C07BB6">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签字盖章要求</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788E3930">
            <w:pPr>
              <w:autoSpaceDE w:val="0"/>
              <w:autoSpaceDN w:val="0"/>
              <w:adjustRightInd w:val="0"/>
              <w:spacing w:line="360" w:lineRule="auto"/>
              <w:ind w:firstLine="0" w:firstLineChars="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响应文</w:t>
            </w:r>
            <w:r>
              <w:rPr>
                <w:rFonts w:hint="eastAsia" w:ascii="宋体" w:hAnsi="宋体" w:eastAsia="宋体" w:cs="宋体"/>
                <w:color w:val="auto"/>
                <w:kern w:val="0"/>
                <w:sz w:val="21"/>
                <w:szCs w:val="21"/>
                <w:highlight w:val="none"/>
              </w:rPr>
              <w:t>件格式中所有要求投标人加盖公章的地方都须加盖</w:t>
            </w:r>
            <w:r>
              <w:rPr>
                <w:rFonts w:hint="eastAsia" w:ascii="宋体" w:hAnsi="宋体" w:eastAsia="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rPr>
              <w:t>的 CA 印章。</w:t>
            </w:r>
          </w:p>
          <w:p w14:paraId="28807A71">
            <w:pPr>
              <w:keepNext w:val="0"/>
              <w:keepLines w:val="0"/>
              <w:pageBreakBefore w:val="0"/>
              <w:kinsoku/>
              <w:wordWrap/>
              <w:overflowPunct/>
              <w:topLinePunct w:val="0"/>
              <w:autoSpaceDE/>
              <w:autoSpaceDN/>
              <w:bidi w:val="0"/>
              <w:adjustRightInd w:val="0"/>
              <w:snapToGrid w:val="0"/>
              <w:spacing w:line="360" w:lineRule="auto"/>
              <w:ind w:left="0" w:leftChars="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kern w:val="0"/>
                <w:sz w:val="21"/>
                <w:szCs w:val="21"/>
                <w:highlight w:val="none"/>
                <w:lang w:val="en-US" w:eastAsia="zh-CN"/>
              </w:rPr>
              <w:t>响应文</w:t>
            </w:r>
            <w:r>
              <w:rPr>
                <w:rFonts w:hint="eastAsia" w:ascii="宋体" w:hAnsi="宋体" w:eastAsia="宋体" w:cs="宋体"/>
                <w:color w:val="auto"/>
                <w:kern w:val="0"/>
                <w:sz w:val="21"/>
                <w:szCs w:val="21"/>
                <w:highlight w:val="none"/>
              </w:rPr>
              <w:t>件格式中所有要求法定代表人或其委托代理人签字或盖章的地方（不含授权委托书委托人签字）都须加盖法定代表人CA 印章。</w:t>
            </w:r>
          </w:p>
        </w:tc>
      </w:tr>
      <w:tr w14:paraId="207040EB">
        <w:tblPrEx>
          <w:tblCellMar>
            <w:top w:w="0" w:type="dxa"/>
            <w:left w:w="108" w:type="dxa"/>
            <w:bottom w:w="0" w:type="dxa"/>
            <w:right w:w="108" w:type="dxa"/>
          </w:tblCellMar>
        </w:tblPrEx>
        <w:trPr>
          <w:trHeight w:val="544"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6FD97493">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3.7.4</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0751B9E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响应文件份数</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36E7035E">
            <w:pPr>
              <w:keepNext w:val="0"/>
              <w:keepLines w:val="0"/>
              <w:pageBreakBefore w:val="0"/>
              <w:kinsoku/>
              <w:wordWrap/>
              <w:overflowPunct/>
              <w:topLinePunct w:val="0"/>
              <w:autoSpaceDE/>
              <w:autoSpaceDN/>
              <w:bidi w:val="0"/>
              <w:adjustRightInd w:val="0"/>
              <w:snapToGrid w:val="0"/>
              <w:spacing w:line="360" w:lineRule="auto"/>
              <w:ind w:left="0" w:leftChars="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加密的电子响应文件壹份（*.XYTF格式，在会员系统指定位置上传）</w:t>
            </w:r>
          </w:p>
        </w:tc>
      </w:tr>
      <w:tr w14:paraId="19723D22">
        <w:tblPrEx>
          <w:tblCellMar>
            <w:top w:w="0" w:type="dxa"/>
            <w:left w:w="108" w:type="dxa"/>
            <w:bottom w:w="0" w:type="dxa"/>
            <w:right w:w="108" w:type="dxa"/>
          </w:tblCellMar>
        </w:tblPrEx>
        <w:trPr>
          <w:trHeight w:val="789"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14070B53">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120FDDEF">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响应文件的递交</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12F2ADD4">
            <w:pPr>
              <w:keepNext w:val="0"/>
              <w:keepLines w:val="0"/>
              <w:pageBreakBefore w:val="0"/>
              <w:kinsoku/>
              <w:wordWrap/>
              <w:overflowPunct/>
              <w:topLinePunct w:val="0"/>
              <w:autoSpaceDE/>
              <w:autoSpaceDN/>
              <w:bidi w:val="0"/>
              <w:adjustRightInd w:val="0"/>
              <w:snapToGrid w:val="0"/>
              <w:spacing w:line="360" w:lineRule="auto"/>
              <w:ind w:left="0" w:left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1、电子响应文件的递交</w:t>
            </w:r>
          </w:p>
          <w:p w14:paraId="0E9C4F8C">
            <w:pPr>
              <w:keepNext w:val="0"/>
              <w:keepLines w:val="0"/>
              <w:pageBreakBefore w:val="0"/>
              <w:widowControl w:val="0"/>
              <w:kinsoku/>
              <w:wordWrap w:val="0"/>
              <w:overflowPunct/>
              <w:topLinePunct w:val="0"/>
              <w:autoSpaceDE/>
              <w:autoSpaceDN/>
              <w:bidi w:val="0"/>
              <w:adjustRightInd w:val="0"/>
              <w:snapToGrid w:val="0"/>
              <w:spacing w:line="360" w:lineRule="auto"/>
              <w:ind w:left="0" w:lef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各供应商应在响应文件提交时间前上传加密的电子响应文件（*.XYTF）到会员系统的指定位置。上传时必须得到交易系统“上传成功”的确认回复后方为上传成功。请供应商在上传前务必认真检查上传响应文件是否完整、正确。</w:t>
            </w:r>
          </w:p>
          <w:p w14:paraId="7322EBE1">
            <w:pPr>
              <w:keepNext w:val="0"/>
              <w:keepLines w:val="0"/>
              <w:pageBreakBefore w:val="0"/>
              <w:widowControl w:val="0"/>
              <w:kinsoku/>
              <w:wordWrap w:val="0"/>
              <w:overflowPunct/>
              <w:topLinePunct w:val="0"/>
              <w:autoSpaceDE/>
              <w:autoSpaceDN/>
              <w:bidi w:val="0"/>
              <w:adjustRightInd w:val="0"/>
              <w:snapToGrid w:val="0"/>
              <w:spacing w:line="360" w:lineRule="auto"/>
              <w:ind w:left="0" w:lef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2、本项目采用“不见面开标”交易方式，不见面开标大厅网址为</w:t>
            </w:r>
            <w:r>
              <w:rPr>
                <w:rFonts w:hint="eastAsia" w:ascii="宋体" w:hAnsi="宋体" w:eastAsia="宋体" w:cs="宋体"/>
                <w:color w:val="auto"/>
                <w:sz w:val="21"/>
                <w:szCs w:val="21"/>
                <w:highlight w:val="none"/>
                <w:lang w:val="en-US" w:eastAsia="zh-CN"/>
              </w:rPr>
              <w:fldChar w:fldCharType="begin"/>
            </w:r>
            <w:r>
              <w:rPr>
                <w:rFonts w:hint="eastAsia" w:ascii="宋体" w:hAnsi="宋体" w:eastAsia="宋体" w:cs="宋体"/>
                <w:color w:val="auto"/>
                <w:sz w:val="21"/>
                <w:szCs w:val="21"/>
                <w:highlight w:val="none"/>
                <w:lang w:val="en-US" w:eastAsia="zh-CN"/>
              </w:rPr>
              <w:instrText xml:space="preserve"> HYPERLINK "http://117.158.91.68:8095/xxhy，投标人无需寄送和递交非加密的电子投标文件，无需到现场参加开标会议，无需到达现场提交原件资料。" </w:instrText>
            </w:r>
            <w:r>
              <w:rPr>
                <w:rFonts w:hint="eastAsia" w:ascii="宋体" w:hAnsi="宋体" w:eastAsia="宋体" w:cs="宋体"/>
                <w:color w:val="auto"/>
                <w:sz w:val="21"/>
                <w:szCs w:val="21"/>
                <w:highlight w:val="none"/>
                <w:lang w:val="en-US" w:eastAsia="zh-CN"/>
              </w:rPr>
              <w:fldChar w:fldCharType="separate"/>
            </w:r>
            <w:r>
              <w:rPr>
                <w:rFonts w:hint="eastAsia" w:ascii="宋体" w:hAnsi="宋体" w:eastAsia="宋体" w:cs="宋体"/>
                <w:color w:val="auto"/>
                <w:kern w:val="0"/>
                <w:sz w:val="21"/>
                <w:szCs w:val="21"/>
                <w:highlight w:val="none"/>
              </w:rPr>
              <w:t>https://ggzyjy.xinyang.gov.cn/BidOpening</w:t>
            </w:r>
            <w:r>
              <w:rPr>
                <w:rFonts w:hint="eastAsia" w:ascii="宋体" w:hAnsi="宋体" w:eastAsia="宋体" w:cs="宋体"/>
                <w:color w:val="auto"/>
                <w:sz w:val="21"/>
                <w:szCs w:val="21"/>
                <w:highlight w:val="none"/>
                <w:lang w:val="en-US" w:eastAsia="zh-CN"/>
              </w:rPr>
              <w:t>，供应商无需寄送和递交非加密的电子响应文件，无需到现场参加开标会议，无需到达现场提交原件资料。</w:t>
            </w:r>
            <w:r>
              <w:rPr>
                <w:rFonts w:hint="eastAsia" w:ascii="宋体" w:hAnsi="宋体" w:eastAsia="宋体" w:cs="宋体"/>
                <w:color w:val="auto"/>
                <w:sz w:val="21"/>
                <w:szCs w:val="21"/>
                <w:highlight w:val="none"/>
                <w:lang w:val="en-US" w:eastAsia="zh-CN"/>
              </w:rPr>
              <w:fldChar w:fldCharType="end"/>
            </w:r>
          </w:p>
        </w:tc>
      </w:tr>
      <w:tr w14:paraId="6EB6E863">
        <w:tblPrEx>
          <w:tblCellMar>
            <w:top w:w="0" w:type="dxa"/>
            <w:left w:w="108" w:type="dxa"/>
            <w:bottom w:w="0" w:type="dxa"/>
            <w:right w:w="108" w:type="dxa"/>
          </w:tblCellMar>
        </w:tblPrEx>
        <w:trPr>
          <w:trHeight w:val="911"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1DBEB8B0">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7B07FDED">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响应文件提交</w:t>
            </w:r>
          </w:p>
          <w:p w14:paraId="4891D773">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截止时间</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415BE1D3">
            <w:pPr>
              <w:keepNext w:val="0"/>
              <w:keepLines w:val="0"/>
              <w:pageBreakBefore w:val="0"/>
              <w:kinsoku/>
              <w:wordWrap/>
              <w:overflowPunct/>
              <w:topLinePunct w:val="0"/>
              <w:autoSpaceDE/>
              <w:autoSpaceDN/>
              <w:bidi w:val="0"/>
              <w:adjustRightInd w:val="0"/>
              <w:spacing w:line="360" w:lineRule="auto"/>
              <w:ind w:left="0" w:leftChars="0"/>
              <w:jc w:val="left"/>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u w:val="none"/>
              </w:rPr>
              <w:t>202</w:t>
            </w:r>
            <w:r>
              <w:rPr>
                <w:rFonts w:hint="eastAsia" w:ascii="宋体" w:hAnsi="宋体" w:eastAsia="宋体" w:cs="宋体"/>
                <w:color w:val="auto"/>
                <w:sz w:val="21"/>
                <w:szCs w:val="21"/>
                <w:u w:val="none"/>
                <w:lang w:val="en-US" w:eastAsia="zh-CN"/>
              </w:rPr>
              <w:t>6</w:t>
            </w:r>
            <w:r>
              <w:rPr>
                <w:rFonts w:hint="eastAsia" w:ascii="宋体" w:hAnsi="宋体" w:eastAsia="宋体" w:cs="宋体"/>
                <w:bCs/>
                <w:color w:val="auto"/>
                <w:sz w:val="21"/>
                <w:szCs w:val="21"/>
                <w:u w:val="none"/>
              </w:rPr>
              <w:t>年</w:t>
            </w:r>
            <w:r>
              <w:rPr>
                <w:rFonts w:hint="eastAsia" w:ascii="宋体" w:hAnsi="宋体" w:cs="宋体"/>
                <w:bCs/>
                <w:color w:val="auto"/>
                <w:sz w:val="21"/>
                <w:szCs w:val="21"/>
                <w:u w:val="none"/>
                <w:lang w:val="en-US" w:eastAsia="zh-CN"/>
              </w:rPr>
              <w:t>0</w:t>
            </w:r>
            <w:r>
              <w:rPr>
                <w:rFonts w:hint="eastAsia" w:ascii="宋体" w:hAnsi="宋体" w:eastAsia="宋体" w:cs="宋体"/>
                <w:bCs/>
                <w:color w:val="auto"/>
                <w:sz w:val="21"/>
                <w:szCs w:val="21"/>
                <w:u w:val="none"/>
                <w:lang w:val="en-US" w:eastAsia="zh-CN"/>
              </w:rPr>
              <w:t>7</w:t>
            </w:r>
            <w:r>
              <w:rPr>
                <w:rFonts w:hint="eastAsia" w:ascii="宋体" w:hAnsi="宋体" w:eastAsia="宋体" w:cs="宋体"/>
                <w:bCs/>
                <w:color w:val="auto"/>
                <w:sz w:val="21"/>
                <w:szCs w:val="21"/>
                <w:u w:val="none"/>
              </w:rPr>
              <w:t>月</w:t>
            </w:r>
            <w:r>
              <w:rPr>
                <w:rFonts w:hint="eastAsia" w:ascii="宋体" w:hAnsi="宋体" w:cs="宋体"/>
                <w:bCs/>
                <w:color w:val="auto"/>
                <w:sz w:val="21"/>
                <w:szCs w:val="21"/>
                <w:u w:val="none"/>
                <w:lang w:val="en-US" w:eastAsia="zh-CN"/>
              </w:rPr>
              <w:t>27</w:t>
            </w:r>
            <w:r>
              <w:rPr>
                <w:rFonts w:hint="eastAsia" w:ascii="宋体" w:hAnsi="宋体" w:eastAsia="宋体" w:cs="宋体"/>
                <w:bCs/>
                <w:color w:val="auto"/>
                <w:sz w:val="21"/>
                <w:szCs w:val="21"/>
                <w:u w:val="none"/>
              </w:rPr>
              <w:t>日09时</w:t>
            </w:r>
            <w:r>
              <w:rPr>
                <w:rFonts w:hint="eastAsia" w:ascii="宋体" w:hAnsi="宋体" w:eastAsia="宋体" w:cs="宋体"/>
                <w:bCs/>
                <w:color w:val="auto"/>
                <w:sz w:val="21"/>
                <w:szCs w:val="21"/>
                <w:u w:val="none"/>
                <w:lang w:val="en-US" w:eastAsia="zh-CN"/>
              </w:rPr>
              <w:t>0</w:t>
            </w:r>
            <w:r>
              <w:rPr>
                <w:rFonts w:hint="eastAsia" w:ascii="宋体" w:hAnsi="宋体" w:eastAsia="宋体" w:cs="宋体"/>
                <w:bCs/>
                <w:color w:val="auto"/>
                <w:sz w:val="21"/>
                <w:szCs w:val="21"/>
                <w:u w:val="none"/>
              </w:rPr>
              <w:t>0分</w:t>
            </w:r>
            <w:r>
              <w:rPr>
                <w:rFonts w:hint="eastAsia" w:ascii="宋体" w:hAnsi="宋体" w:eastAsia="宋体" w:cs="宋体"/>
                <w:color w:val="auto"/>
                <w:kern w:val="0"/>
                <w:sz w:val="21"/>
                <w:szCs w:val="21"/>
                <w:highlight w:val="none"/>
              </w:rPr>
              <w:t>（北京时间）</w:t>
            </w:r>
          </w:p>
        </w:tc>
      </w:tr>
      <w:tr w14:paraId="2BAC2C80">
        <w:tblPrEx>
          <w:tblCellMar>
            <w:top w:w="0" w:type="dxa"/>
            <w:left w:w="108" w:type="dxa"/>
            <w:bottom w:w="0" w:type="dxa"/>
            <w:right w:w="108" w:type="dxa"/>
          </w:tblCellMar>
        </w:tblPrEx>
        <w:trPr>
          <w:trHeight w:val="955"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1F917136">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5.1.1</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2866C270">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磋商时间和地点</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30F72AD7">
            <w:pPr>
              <w:keepNext w:val="0"/>
              <w:keepLines w:val="0"/>
              <w:pageBreakBefore w:val="0"/>
              <w:kinsoku/>
              <w:wordWrap/>
              <w:overflowPunct/>
              <w:topLinePunct w:val="0"/>
              <w:autoSpaceDE/>
              <w:autoSpaceDN/>
              <w:bidi w:val="0"/>
              <w:adjustRightInd w:val="0"/>
              <w:spacing w:line="360" w:lineRule="auto"/>
              <w:ind w:left="0" w:left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磋商</w:t>
            </w:r>
            <w:r>
              <w:rPr>
                <w:rFonts w:hint="eastAsia" w:ascii="宋体" w:hAnsi="宋体" w:eastAsia="宋体" w:cs="宋体"/>
                <w:color w:val="auto"/>
                <w:kern w:val="0"/>
                <w:sz w:val="21"/>
                <w:szCs w:val="21"/>
                <w:highlight w:val="none"/>
              </w:rPr>
              <w:t>时间：同</w:t>
            </w:r>
            <w:r>
              <w:rPr>
                <w:rFonts w:hint="eastAsia" w:ascii="宋体" w:hAnsi="宋体" w:eastAsia="宋体" w:cs="宋体"/>
                <w:color w:val="auto"/>
                <w:sz w:val="21"/>
                <w:szCs w:val="21"/>
                <w:highlight w:val="none"/>
              </w:rPr>
              <w:t>响应文件提交</w:t>
            </w:r>
            <w:r>
              <w:rPr>
                <w:rFonts w:hint="eastAsia" w:ascii="宋体" w:hAnsi="宋体" w:eastAsia="宋体" w:cs="宋体"/>
                <w:color w:val="auto"/>
                <w:kern w:val="0"/>
                <w:sz w:val="21"/>
                <w:szCs w:val="21"/>
                <w:highlight w:val="none"/>
              </w:rPr>
              <w:t>截止时间</w:t>
            </w:r>
          </w:p>
          <w:p w14:paraId="09781518">
            <w:pPr>
              <w:keepNext w:val="0"/>
              <w:keepLines w:val="0"/>
              <w:pageBreakBefore w:val="0"/>
              <w:kinsoku/>
              <w:wordWrap/>
              <w:overflowPunct/>
              <w:topLinePunct w:val="0"/>
              <w:autoSpaceDE/>
              <w:autoSpaceDN/>
              <w:bidi w:val="0"/>
              <w:spacing w:line="360" w:lineRule="auto"/>
              <w:ind w:left="0" w:lef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w:t>
            </w:r>
            <w:r>
              <w:rPr>
                <w:rFonts w:hint="eastAsia" w:ascii="宋体" w:hAnsi="宋体" w:eastAsia="宋体" w:cs="宋体"/>
                <w:color w:val="auto"/>
                <w:kern w:val="0"/>
                <w:sz w:val="21"/>
                <w:szCs w:val="21"/>
                <w:highlight w:val="none"/>
              </w:rPr>
              <w:t>地点：</w:t>
            </w:r>
            <w:r>
              <w:rPr>
                <w:rFonts w:hint="eastAsia" w:ascii="宋体" w:hAnsi="宋体" w:eastAsia="宋体" w:cs="宋体"/>
                <w:color w:val="auto"/>
                <w:kern w:val="0"/>
                <w:sz w:val="21"/>
                <w:szCs w:val="21"/>
                <w:highlight w:val="none"/>
                <w:lang w:val="en-US" w:eastAsia="zh-CN"/>
              </w:rPr>
              <w:t>信阳市公共资源交易中心AI机器人开标虚拟二厅</w:t>
            </w:r>
          </w:p>
        </w:tc>
      </w:tr>
      <w:tr w14:paraId="52EEB578">
        <w:tblPrEx>
          <w:tblCellMar>
            <w:top w:w="0" w:type="dxa"/>
            <w:left w:w="108" w:type="dxa"/>
            <w:bottom w:w="0" w:type="dxa"/>
            <w:right w:w="108" w:type="dxa"/>
          </w:tblCellMar>
        </w:tblPrEx>
        <w:trPr>
          <w:trHeight w:val="772"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6D4C996C">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67320D3F">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磋商小组的组建</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6B590BDE">
            <w:pPr>
              <w:keepNext w:val="0"/>
              <w:keepLines w:val="0"/>
              <w:pageBreakBefore w:val="0"/>
              <w:kinsoku/>
              <w:wordWrap/>
              <w:overflowPunct/>
              <w:topLinePunct w:val="0"/>
              <w:autoSpaceDE/>
              <w:autoSpaceDN/>
              <w:bidi w:val="0"/>
              <w:adjustRightInd w:val="0"/>
              <w:spacing w:line="360" w:lineRule="auto"/>
              <w:ind w:left="0" w:lef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磋商小组构成：3人，其中业主评委1人，技术、经济类专家2人；</w:t>
            </w:r>
          </w:p>
          <w:p w14:paraId="43DEAF04">
            <w:pPr>
              <w:keepNext w:val="0"/>
              <w:keepLines w:val="0"/>
              <w:pageBreakBefore w:val="0"/>
              <w:kinsoku/>
              <w:wordWrap/>
              <w:overflowPunct/>
              <w:topLinePunct w:val="0"/>
              <w:autoSpaceDE/>
              <w:autoSpaceDN/>
              <w:bidi w:val="0"/>
              <w:adjustRightInd w:val="0"/>
              <w:spacing w:line="360" w:lineRule="auto"/>
              <w:ind w:left="0" w:leftChars="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专家确定方式：磋商前从政府采购专家库中随机抽取。</w:t>
            </w:r>
          </w:p>
        </w:tc>
      </w:tr>
      <w:tr w14:paraId="20DA1AEA">
        <w:tblPrEx>
          <w:tblCellMar>
            <w:top w:w="0" w:type="dxa"/>
            <w:left w:w="108" w:type="dxa"/>
            <w:bottom w:w="0" w:type="dxa"/>
            <w:right w:w="108" w:type="dxa"/>
          </w:tblCellMar>
        </w:tblPrEx>
        <w:trPr>
          <w:trHeight w:val="735"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6C9E9E9A">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0C26C8F8">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是否授权磋商小组</w:t>
            </w:r>
          </w:p>
          <w:p w14:paraId="49F9E0D4">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确定成交人</w:t>
            </w:r>
          </w:p>
        </w:tc>
        <w:tc>
          <w:tcPr>
            <w:tcW w:w="6622" w:type="dxa"/>
            <w:tcBorders>
              <w:top w:val="single" w:color="auto" w:sz="4" w:space="0"/>
              <w:left w:val="single" w:color="auto" w:sz="4" w:space="0"/>
              <w:bottom w:val="single" w:color="auto" w:sz="4" w:space="0"/>
              <w:right w:val="single" w:color="auto" w:sz="4" w:space="0"/>
            </w:tcBorders>
            <w:noWrap w:val="0"/>
            <w:vAlign w:val="center"/>
          </w:tcPr>
          <w:p w14:paraId="6D2DCFA7">
            <w:pPr>
              <w:keepNext w:val="0"/>
              <w:keepLines w:val="0"/>
              <w:pageBreakBefore w:val="0"/>
              <w:kinsoku/>
              <w:wordWrap/>
              <w:overflowPunct/>
              <w:topLinePunct w:val="0"/>
              <w:autoSpaceDE/>
              <w:autoSpaceDN/>
              <w:bidi w:val="0"/>
              <w:adjustRightInd w:val="0"/>
              <w:spacing w:line="360" w:lineRule="auto"/>
              <w:ind w:left="0" w:leftChars="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否；推荐的成交候选人数：</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3名</w:t>
            </w:r>
          </w:p>
        </w:tc>
      </w:tr>
      <w:tr w14:paraId="63906B7E">
        <w:tblPrEx>
          <w:tblCellMar>
            <w:top w:w="0" w:type="dxa"/>
            <w:left w:w="108" w:type="dxa"/>
            <w:bottom w:w="0" w:type="dxa"/>
            <w:right w:w="108" w:type="dxa"/>
          </w:tblCellMar>
        </w:tblPrEx>
        <w:trPr>
          <w:trHeight w:val="538" w:hRule="atLeast"/>
          <w:jc w:val="center"/>
        </w:trPr>
        <w:tc>
          <w:tcPr>
            <w:tcW w:w="9897" w:type="dxa"/>
            <w:gridSpan w:val="3"/>
            <w:tcBorders>
              <w:top w:val="single" w:color="auto" w:sz="4" w:space="0"/>
              <w:left w:val="single" w:color="auto" w:sz="4" w:space="0"/>
              <w:bottom w:val="single" w:color="auto" w:sz="4" w:space="0"/>
              <w:right w:val="single" w:color="auto" w:sz="4" w:space="0"/>
            </w:tcBorders>
            <w:noWrap w:val="0"/>
            <w:vAlign w:val="center"/>
          </w:tcPr>
          <w:p w14:paraId="2FE7D82B">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需要补充的其他内容</w:t>
            </w:r>
          </w:p>
        </w:tc>
      </w:tr>
      <w:tr w14:paraId="4E1A12F6">
        <w:tblPrEx>
          <w:tblCellMar>
            <w:top w:w="0" w:type="dxa"/>
            <w:left w:w="108" w:type="dxa"/>
            <w:bottom w:w="0" w:type="dxa"/>
            <w:right w:w="108" w:type="dxa"/>
          </w:tblCellMar>
        </w:tblPrEx>
        <w:trPr>
          <w:trHeight w:val="560"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228EB706">
            <w:pPr>
              <w:keepNext w:val="0"/>
              <w:keepLines w:val="0"/>
              <w:pageBreakBefore w:val="0"/>
              <w:kinsoku/>
              <w:wordWrap/>
              <w:overflowPunct/>
              <w:topLinePunct w:val="0"/>
              <w:autoSpaceDE/>
              <w:autoSpaceDN/>
              <w:bidi w:val="0"/>
              <w:adjustRightInd w:val="0"/>
              <w:spacing w:line="360" w:lineRule="auto"/>
              <w:ind w:left="0" w:leftChars="0"/>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解释权</w:t>
            </w:r>
          </w:p>
        </w:tc>
        <w:tc>
          <w:tcPr>
            <w:tcW w:w="8780" w:type="dxa"/>
            <w:gridSpan w:val="2"/>
            <w:tcBorders>
              <w:top w:val="single" w:color="auto" w:sz="4" w:space="0"/>
              <w:left w:val="single" w:color="auto" w:sz="4" w:space="0"/>
              <w:bottom w:val="single" w:color="auto" w:sz="4" w:space="0"/>
              <w:right w:val="single" w:color="auto" w:sz="4" w:space="0"/>
            </w:tcBorders>
            <w:noWrap w:val="0"/>
            <w:vAlign w:val="center"/>
          </w:tcPr>
          <w:p w14:paraId="0579570F">
            <w:pPr>
              <w:keepNext w:val="0"/>
              <w:keepLines w:val="0"/>
              <w:pageBreakBefore w:val="0"/>
              <w:kinsoku/>
              <w:wordWrap/>
              <w:overflowPunct/>
              <w:topLinePunct w:val="0"/>
              <w:autoSpaceDE/>
              <w:autoSpaceDN/>
              <w:bidi w:val="0"/>
              <w:adjustRightInd w:val="0"/>
              <w:spacing w:line="360" w:lineRule="auto"/>
              <w:ind w:left="0" w:leftChars="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构成本磋商文件的各个组成文件应互为解释，互为说明；如有不明确或不一致，按磋商公告、供应商须知、评审办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238B3579">
        <w:tblPrEx>
          <w:tblCellMar>
            <w:top w:w="0" w:type="dxa"/>
            <w:left w:w="108" w:type="dxa"/>
            <w:bottom w:w="0" w:type="dxa"/>
            <w:right w:w="108" w:type="dxa"/>
          </w:tblCellMar>
        </w:tblPrEx>
        <w:trPr>
          <w:trHeight w:val="373"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1A0DE080">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代理服务费</w:t>
            </w:r>
          </w:p>
        </w:tc>
        <w:tc>
          <w:tcPr>
            <w:tcW w:w="8780" w:type="dxa"/>
            <w:gridSpan w:val="2"/>
            <w:tcBorders>
              <w:top w:val="single" w:color="auto" w:sz="4" w:space="0"/>
              <w:left w:val="single" w:color="auto" w:sz="4" w:space="0"/>
              <w:bottom w:val="single" w:color="auto" w:sz="4" w:space="0"/>
              <w:right w:val="single" w:color="auto" w:sz="4" w:space="0"/>
            </w:tcBorders>
            <w:noWrap w:val="0"/>
            <w:vAlign w:val="center"/>
          </w:tcPr>
          <w:p w14:paraId="73FB6580">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1、代理费收费约定：</w:t>
            </w:r>
          </w:p>
          <w:p w14:paraId="7A245FF9">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本项目</w:t>
            </w:r>
            <w:r>
              <w:rPr>
                <w:rFonts w:hint="eastAsia" w:ascii="宋体" w:hAnsi="宋体" w:eastAsia="宋体" w:cs="宋体"/>
                <w:sz w:val="21"/>
                <w:szCs w:val="21"/>
                <w:lang w:val="en-US" w:eastAsia="zh-CN"/>
              </w:rPr>
              <w:t>项目</w:t>
            </w:r>
            <w:r>
              <w:rPr>
                <w:rFonts w:hint="eastAsia" w:ascii="宋体" w:hAnsi="宋体" w:eastAsia="宋体" w:cs="宋体"/>
                <w:sz w:val="21"/>
                <w:szCs w:val="21"/>
              </w:rPr>
              <w:t>代理费</w:t>
            </w:r>
            <w:r>
              <w:rPr>
                <w:rFonts w:hint="eastAsia" w:ascii="宋体" w:hAnsi="宋体" w:eastAsia="宋体" w:cs="宋体"/>
                <w:sz w:val="21"/>
                <w:szCs w:val="21"/>
                <w:lang w:val="en-US" w:eastAsia="zh-CN"/>
              </w:rPr>
              <w:t>和评审费</w:t>
            </w:r>
            <w:r>
              <w:rPr>
                <w:rFonts w:hint="eastAsia" w:ascii="宋体" w:hAnsi="宋体" w:eastAsia="宋体" w:cs="宋体"/>
                <w:sz w:val="21"/>
                <w:szCs w:val="21"/>
              </w:rPr>
              <w:t>由成交供应商支付，供应商报价应当包含该项目代理服务费</w:t>
            </w:r>
            <w:r>
              <w:rPr>
                <w:rFonts w:hint="eastAsia" w:ascii="宋体" w:hAnsi="宋体" w:eastAsia="宋体" w:cs="宋体"/>
                <w:sz w:val="21"/>
                <w:szCs w:val="21"/>
                <w:lang w:val="en-US" w:eastAsia="zh-CN"/>
              </w:rPr>
              <w:t>和评审费</w:t>
            </w:r>
            <w:r>
              <w:rPr>
                <w:rFonts w:hint="eastAsia" w:ascii="宋体" w:hAnsi="宋体" w:eastAsia="宋体" w:cs="宋体"/>
                <w:sz w:val="21"/>
                <w:szCs w:val="21"/>
              </w:rPr>
              <w:t>。</w:t>
            </w:r>
          </w:p>
          <w:p w14:paraId="2E3BFBCA">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2、本项目代理服务费按照“豫招协[2023]002号”规定的收费标准收取</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不含税</w:t>
            </w:r>
            <w:r>
              <w:rPr>
                <w:rFonts w:hint="eastAsia" w:ascii="宋体" w:hAnsi="宋体" w:eastAsia="宋体" w:cs="宋体"/>
                <w:sz w:val="21"/>
                <w:szCs w:val="21"/>
                <w:lang w:eastAsia="zh-CN"/>
              </w:rPr>
              <w:t>）</w:t>
            </w:r>
            <w:r>
              <w:rPr>
                <w:rFonts w:hint="eastAsia" w:ascii="宋体" w:hAnsi="宋体" w:eastAsia="宋体" w:cs="宋体"/>
                <w:sz w:val="21"/>
                <w:szCs w:val="21"/>
              </w:rPr>
              <w:t xml:space="preserve">，成交供应商领取成交通知书时向采购代理机构一次性付清。本项目代理服务费的收取按差额定率累进法计算，单标段上限不得超过10万元。 </w:t>
            </w:r>
          </w:p>
          <w:p w14:paraId="2951C0B5">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3、收费标准：</w:t>
            </w:r>
          </w:p>
          <w:p w14:paraId="55FDB072">
            <w:pPr>
              <w:adjustRightInd w:val="0"/>
              <w:snapToGrid w:val="0"/>
              <w:spacing w:line="360" w:lineRule="auto"/>
              <w:ind w:firstLine="420" w:firstLineChars="200"/>
              <w:rPr>
                <w:rFonts w:hint="eastAsia" w:ascii="宋体" w:hAnsi="宋体" w:eastAsia="宋体" w:cs="宋体"/>
                <w:color w:val="auto"/>
                <w:sz w:val="21"/>
                <w:szCs w:val="21"/>
                <w:highlight w:val="none"/>
                <w:lang w:bidi="zh-CN"/>
              </w:rPr>
            </w:pPr>
            <w:r>
              <w:rPr>
                <w:rFonts w:hint="eastAsia" w:ascii="宋体" w:hAnsi="宋体" w:eastAsia="宋体" w:cs="宋体"/>
                <w:sz w:val="21"/>
                <w:szCs w:val="21"/>
              </w:rPr>
              <w:t>预算金额的100万（含）以下部分费率为</w:t>
            </w:r>
            <w:r>
              <w:rPr>
                <w:rFonts w:hint="eastAsia" w:ascii="宋体" w:hAnsi="宋体" w:eastAsia="宋体" w:cs="宋体"/>
                <w:sz w:val="21"/>
                <w:szCs w:val="21"/>
                <w:u w:val="single"/>
              </w:rPr>
              <w:t>1.</w:t>
            </w:r>
            <w:r>
              <w:rPr>
                <w:rFonts w:hint="eastAsia" w:ascii="宋体" w:hAnsi="宋体" w:eastAsia="宋体" w:cs="宋体"/>
                <w:sz w:val="21"/>
                <w:szCs w:val="21"/>
                <w:u w:val="single"/>
                <w:lang w:val="en-US" w:eastAsia="zh-CN"/>
              </w:rPr>
              <w:t>7</w:t>
            </w:r>
            <w:r>
              <w:rPr>
                <w:rFonts w:hint="eastAsia" w:ascii="宋体" w:hAnsi="宋体" w:eastAsia="宋体" w:cs="宋体"/>
                <w:sz w:val="21"/>
                <w:szCs w:val="21"/>
                <w:u w:val="single"/>
              </w:rPr>
              <w:t>%</w:t>
            </w:r>
            <w:r>
              <w:rPr>
                <w:rFonts w:hint="eastAsia" w:ascii="宋体" w:hAnsi="宋体" w:eastAsia="宋体" w:cs="宋体"/>
                <w:sz w:val="21"/>
                <w:szCs w:val="21"/>
                <w:u w:val="none"/>
                <w:lang w:eastAsia="zh-CN"/>
              </w:rPr>
              <w:t>；</w:t>
            </w:r>
          </w:p>
        </w:tc>
      </w:tr>
      <w:tr w14:paraId="4FA81522">
        <w:tblPrEx>
          <w:tblCellMar>
            <w:top w:w="0" w:type="dxa"/>
            <w:left w:w="108" w:type="dxa"/>
            <w:bottom w:w="0" w:type="dxa"/>
            <w:right w:w="108" w:type="dxa"/>
          </w:tblCellMar>
        </w:tblPrEx>
        <w:trPr>
          <w:trHeight w:val="704"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17B55A24">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w:t>
            </w:r>
          </w:p>
          <w:p w14:paraId="571284E5">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控制价</w:t>
            </w:r>
          </w:p>
        </w:tc>
        <w:tc>
          <w:tcPr>
            <w:tcW w:w="8780" w:type="dxa"/>
            <w:gridSpan w:val="2"/>
            <w:tcBorders>
              <w:top w:val="single" w:color="auto" w:sz="4" w:space="0"/>
              <w:left w:val="single" w:color="auto" w:sz="4" w:space="0"/>
              <w:bottom w:val="single" w:color="auto" w:sz="4" w:space="0"/>
              <w:right w:val="single" w:color="auto" w:sz="4" w:space="0"/>
            </w:tcBorders>
            <w:noWrap w:val="0"/>
            <w:vAlign w:val="center"/>
          </w:tcPr>
          <w:p w14:paraId="4DD8CB5F">
            <w:pPr>
              <w:keepNext w:val="0"/>
              <w:keepLines w:val="0"/>
              <w:pageBreakBefore w:val="0"/>
              <w:widowControl w:val="0"/>
              <w:kinsoku/>
              <w:wordWrap/>
              <w:overflowPunct/>
              <w:topLinePunct w:val="0"/>
              <w:autoSpaceDE/>
              <w:autoSpaceDN/>
              <w:bidi w:val="0"/>
              <w:adjustRightInd/>
              <w:snapToGrid/>
              <w:spacing w:line="360" w:lineRule="auto"/>
              <w:ind w:right="0"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本项目采购预算为人民币</w:t>
            </w:r>
            <w:r>
              <w:rPr>
                <w:rFonts w:hint="eastAsia" w:ascii="宋体" w:hAnsi="宋体" w:eastAsia="宋体" w:cs="宋体"/>
                <w:b w:val="0"/>
                <w:bCs w:val="0"/>
                <w:color w:val="auto"/>
                <w:kern w:val="0"/>
                <w:sz w:val="21"/>
                <w:szCs w:val="21"/>
                <w:highlight w:val="none"/>
                <w:lang w:eastAsia="zh-CN"/>
              </w:rPr>
              <w:t>最高限价</w:t>
            </w:r>
            <w:r>
              <w:rPr>
                <w:rFonts w:hint="eastAsia" w:ascii="宋体" w:hAnsi="宋体" w:eastAsia="宋体" w:cs="宋体"/>
                <w:b w:val="0"/>
                <w:bCs w:val="0"/>
                <w:color w:val="auto"/>
                <w:kern w:val="0"/>
                <w:sz w:val="21"/>
                <w:szCs w:val="21"/>
                <w:highlight w:val="none"/>
              </w:rPr>
              <w:t>：</w:t>
            </w:r>
            <w:r>
              <w:rPr>
                <w:rFonts w:hint="eastAsia" w:ascii="宋体" w:hAnsi="宋体" w:eastAsia="宋体" w:cs="宋体"/>
                <w:color w:val="auto"/>
                <w:sz w:val="21"/>
                <w:szCs w:val="21"/>
                <w:lang w:eastAsia="zh-CN"/>
              </w:rPr>
              <w:t>522982.50</w:t>
            </w:r>
            <w:r>
              <w:rPr>
                <w:rFonts w:hint="eastAsia" w:ascii="宋体" w:hAnsi="宋体" w:eastAsia="宋体" w:cs="宋体"/>
                <w:b w:val="0"/>
                <w:bCs w:val="0"/>
                <w:color w:val="auto"/>
                <w:kern w:val="0"/>
                <w:sz w:val="21"/>
                <w:szCs w:val="21"/>
                <w:highlight w:val="none"/>
                <w:lang w:val="en-US" w:eastAsia="zh-CN"/>
              </w:rPr>
              <w:t>元</w:t>
            </w:r>
            <w:r>
              <w:rPr>
                <w:rFonts w:hint="eastAsia" w:ascii="宋体" w:hAnsi="宋体" w:cs="宋体"/>
                <w:b w:val="0"/>
                <w:bCs w:val="0"/>
                <w:color w:val="auto"/>
                <w:kern w:val="0"/>
                <w:sz w:val="21"/>
                <w:szCs w:val="21"/>
                <w:highlight w:val="none"/>
                <w:lang w:val="en-US" w:eastAsia="zh-CN"/>
              </w:rPr>
              <w:t>/年</w:t>
            </w:r>
            <w:r>
              <w:rPr>
                <w:rFonts w:hint="eastAsia" w:ascii="宋体" w:hAnsi="宋体" w:eastAsia="宋体" w:cs="宋体"/>
                <w:color w:val="auto"/>
                <w:sz w:val="21"/>
                <w:szCs w:val="21"/>
                <w:highlight w:val="none"/>
              </w:rPr>
              <w:t>，报价超过此价格的按无效响应处理。</w:t>
            </w:r>
          </w:p>
        </w:tc>
      </w:tr>
      <w:tr w14:paraId="2ACEDC46">
        <w:tblPrEx>
          <w:tblCellMar>
            <w:top w:w="0" w:type="dxa"/>
            <w:left w:w="108" w:type="dxa"/>
            <w:bottom w:w="0" w:type="dxa"/>
            <w:right w:w="108" w:type="dxa"/>
          </w:tblCellMar>
        </w:tblPrEx>
        <w:trPr>
          <w:trHeight w:val="800"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38B1C00A">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z w:val="21"/>
                <w:szCs w:val="21"/>
                <w:highlight w:val="none"/>
              </w:rPr>
            </w:pPr>
            <w:bookmarkStart w:id="23" w:name="_Toc152045529"/>
            <w:bookmarkStart w:id="24" w:name="_Toc10694"/>
            <w:bookmarkStart w:id="25" w:name="_Toc466298091"/>
            <w:bookmarkStart w:id="26" w:name="_Toc10838"/>
            <w:bookmarkStart w:id="27" w:name="_Toc144974497"/>
            <w:bookmarkStart w:id="28" w:name="_Toc455080108"/>
            <w:bookmarkStart w:id="29" w:name="_Toc152042305"/>
            <w:r>
              <w:rPr>
                <w:rFonts w:hint="eastAsia" w:ascii="宋体" w:hAnsi="宋体" w:eastAsia="宋体" w:cs="宋体"/>
                <w:color w:val="auto"/>
                <w:sz w:val="21"/>
                <w:szCs w:val="21"/>
                <w:highlight w:val="none"/>
              </w:rPr>
              <w:t>标书雷同性分析</w:t>
            </w:r>
          </w:p>
        </w:tc>
        <w:tc>
          <w:tcPr>
            <w:tcW w:w="8780" w:type="dxa"/>
            <w:gridSpan w:val="2"/>
            <w:tcBorders>
              <w:top w:val="single" w:color="auto" w:sz="4" w:space="0"/>
              <w:left w:val="single" w:color="auto" w:sz="4" w:space="0"/>
              <w:bottom w:val="single" w:color="auto" w:sz="4" w:space="0"/>
              <w:right w:val="single" w:color="auto" w:sz="4" w:space="0"/>
            </w:tcBorders>
            <w:noWrap w:val="0"/>
            <w:vAlign w:val="center"/>
          </w:tcPr>
          <w:p w14:paraId="043087D7">
            <w:pPr>
              <w:keepNext w:val="0"/>
              <w:keepLines w:val="0"/>
              <w:pageBreakBefore w:val="0"/>
              <w:kinsoku/>
              <w:wordWrap/>
              <w:overflowPunct/>
              <w:topLinePunct w:val="0"/>
              <w:autoSpaceDE/>
              <w:autoSpaceDN/>
              <w:bidi w:val="0"/>
              <w:spacing w:line="360" w:lineRule="auto"/>
              <w:ind w:left="0" w:lef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文件制作机器码、文件创建标识码有相同的按废标处理。</w:t>
            </w:r>
          </w:p>
        </w:tc>
      </w:tr>
      <w:tr w14:paraId="6E7ED8C5">
        <w:tblPrEx>
          <w:tblCellMar>
            <w:top w:w="0" w:type="dxa"/>
            <w:left w:w="108" w:type="dxa"/>
            <w:bottom w:w="0" w:type="dxa"/>
            <w:right w:w="108" w:type="dxa"/>
          </w:tblCellMar>
        </w:tblPrEx>
        <w:trPr>
          <w:trHeight w:val="800"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60A28300">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lang w:val="en-US" w:eastAsia="zh-CN"/>
              </w:rPr>
              <w:t>本项目所属行业</w:t>
            </w:r>
          </w:p>
        </w:tc>
        <w:tc>
          <w:tcPr>
            <w:tcW w:w="8780" w:type="dxa"/>
            <w:gridSpan w:val="2"/>
            <w:tcBorders>
              <w:top w:val="single" w:color="auto" w:sz="4" w:space="0"/>
              <w:left w:val="single" w:color="auto" w:sz="4" w:space="0"/>
              <w:bottom w:val="single" w:color="auto" w:sz="4" w:space="0"/>
              <w:right w:val="single" w:color="auto" w:sz="4" w:space="0"/>
            </w:tcBorders>
            <w:noWrap w:val="0"/>
            <w:vAlign w:val="center"/>
          </w:tcPr>
          <w:p w14:paraId="34F5417A">
            <w:pPr>
              <w:keepNext w:val="0"/>
              <w:keepLines w:val="0"/>
              <w:pageBreakBefore w:val="0"/>
              <w:kinsoku/>
              <w:wordWrap/>
              <w:overflowPunct/>
              <w:topLinePunct w:val="0"/>
              <w:autoSpaceDE/>
              <w:autoSpaceDN/>
              <w:bidi w:val="0"/>
              <w:spacing w:line="360" w:lineRule="auto"/>
              <w:ind w:left="0" w:leftChars="0"/>
              <w:jc w:val="both"/>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其他未列明行业</w:t>
            </w:r>
            <w:r>
              <w:rPr>
                <w:rFonts w:hint="eastAsia" w:ascii="宋体" w:hAnsi="宋体" w:eastAsia="宋体" w:cs="宋体"/>
                <w:color w:val="auto"/>
                <w:sz w:val="21"/>
                <w:szCs w:val="21"/>
                <w:highlight w:val="none"/>
                <w:lang w:val="en-US" w:eastAsia="zh-CN"/>
              </w:rPr>
              <w:t>（依据中小企业划型标准规定（工信部联企业[2011]300号））。</w:t>
            </w:r>
          </w:p>
        </w:tc>
      </w:tr>
      <w:tr w14:paraId="2133BDDE">
        <w:tblPrEx>
          <w:tblCellMar>
            <w:top w:w="0" w:type="dxa"/>
            <w:left w:w="108" w:type="dxa"/>
            <w:bottom w:w="0" w:type="dxa"/>
            <w:right w:w="108" w:type="dxa"/>
          </w:tblCellMar>
        </w:tblPrEx>
        <w:trPr>
          <w:trHeight w:val="800" w:hRule="atLeast"/>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3202D0F9">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特别</w:t>
            </w:r>
          </w:p>
          <w:p w14:paraId="07B68134">
            <w:pPr>
              <w:keepNext w:val="0"/>
              <w:keepLines w:val="0"/>
              <w:pageBreakBefore w:val="0"/>
              <w:kinsoku/>
              <w:wordWrap/>
              <w:overflowPunct/>
              <w:topLinePunct w:val="0"/>
              <w:autoSpaceDE/>
              <w:autoSpaceDN/>
              <w:bidi w:val="0"/>
              <w:spacing w:line="360" w:lineRule="auto"/>
              <w:ind w:left="0" w:leftChars="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提示：</w:t>
            </w:r>
          </w:p>
        </w:tc>
        <w:tc>
          <w:tcPr>
            <w:tcW w:w="8780" w:type="dxa"/>
            <w:gridSpan w:val="2"/>
            <w:tcBorders>
              <w:top w:val="single" w:color="auto" w:sz="4" w:space="0"/>
              <w:left w:val="single" w:color="auto" w:sz="4" w:space="0"/>
              <w:bottom w:val="single" w:color="auto" w:sz="4" w:space="0"/>
              <w:right w:val="single" w:color="auto" w:sz="4" w:space="0"/>
            </w:tcBorders>
            <w:noWrap w:val="0"/>
            <w:vAlign w:val="center"/>
          </w:tcPr>
          <w:p w14:paraId="6B0F44AD">
            <w:pPr>
              <w:keepNext w:val="0"/>
              <w:keepLines w:val="0"/>
              <w:pageBreakBefore w:val="0"/>
              <w:kinsoku/>
              <w:wordWrap/>
              <w:overflowPunct/>
              <w:topLinePunct w:val="0"/>
              <w:autoSpaceDE/>
              <w:autoSpaceDN/>
              <w:bidi w:val="0"/>
              <w:spacing w:line="360" w:lineRule="auto"/>
              <w:ind w:left="0" w:leftChars="0"/>
              <w:jc w:val="both"/>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中标（成交）单位中标（成交）后需提供同电子投标（响应）文件完全一致的纸质版投标（响应）文件3套。</w:t>
            </w:r>
          </w:p>
        </w:tc>
      </w:tr>
    </w:tbl>
    <w:p w14:paraId="43F13FF5">
      <w:pP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br w:type="page"/>
      </w:r>
    </w:p>
    <w:p w14:paraId="34C6FBC5">
      <w:pPr>
        <w:pStyle w:val="48"/>
        <w:keepNext/>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Chars="0"/>
        <w:jc w:val="both"/>
        <w:textAlignment w:val="auto"/>
        <w:rPr>
          <w:rFonts w:hint="eastAsia" w:asciiTheme="minorEastAsia" w:hAnsiTheme="minorEastAsia" w:eastAsiaTheme="minorEastAsia" w:cstheme="minorEastAsia"/>
          <w:color w:val="auto"/>
          <w:sz w:val="21"/>
          <w:szCs w:val="21"/>
          <w:highlight w:val="none"/>
        </w:rPr>
      </w:pPr>
      <w:bookmarkStart w:id="30" w:name="_Toc21086"/>
      <w:r>
        <w:rPr>
          <w:rFonts w:hint="eastAsia" w:asciiTheme="minorEastAsia" w:hAnsiTheme="minorEastAsia" w:eastAsiaTheme="minorEastAsia" w:cstheme="minorEastAsia"/>
          <w:b/>
          <w:bCs/>
          <w:color w:val="auto"/>
          <w:sz w:val="21"/>
          <w:szCs w:val="21"/>
          <w:highlight w:val="none"/>
        </w:rPr>
        <w:t>1.总则</w:t>
      </w:r>
      <w:bookmarkEnd w:id="23"/>
      <w:bookmarkEnd w:id="24"/>
      <w:bookmarkEnd w:id="25"/>
      <w:bookmarkEnd w:id="26"/>
      <w:bookmarkEnd w:id="27"/>
      <w:bookmarkEnd w:id="28"/>
      <w:bookmarkEnd w:id="29"/>
      <w:bookmarkEnd w:id="30"/>
    </w:p>
    <w:p w14:paraId="6BBA3047">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bookmarkStart w:id="31" w:name="_Toc15709"/>
      <w:bookmarkStart w:id="32" w:name="_Toc455867769"/>
      <w:bookmarkStart w:id="33" w:name="_Toc318450675"/>
      <w:bookmarkStart w:id="34" w:name="_Toc9723"/>
      <w:bookmarkStart w:id="35" w:name="_Toc6747"/>
      <w:bookmarkStart w:id="36" w:name="_Toc20827"/>
      <w:bookmarkStart w:id="37" w:name="_Toc274409866"/>
      <w:bookmarkStart w:id="38" w:name="_Toc281380952"/>
      <w:bookmarkStart w:id="39" w:name="_Toc29023"/>
      <w:bookmarkStart w:id="40" w:name="_Toc466298092"/>
      <w:bookmarkStart w:id="41" w:name="_Toc455080109"/>
      <w:bookmarkStart w:id="42" w:name="_Toc490667828"/>
      <w:bookmarkStart w:id="43" w:name="_Toc1880"/>
      <w:bookmarkStart w:id="44" w:name="_Toc658"/>
      <w:bookmarkStart w:id="45" w:name="_Toc31760"/>
      <w:bookmarkStart w:id="46" w:name="_Toc21266"/>
      <w:bookmarkStart w:id="47" w:name="_Toc1172"/>
      <w:bookmarkStart w:id="48" w:name="_Toc31404"/>
      <w:bookmarkStart w:id="49" w:name="_Toc21458"/>
      <w:bookmarkStart w:id="50" w:name="_Toc10273"/>
      <w:bookmarkStart w:id="51" w:name="_Toc152042307"/>
      <w:bookmarkStart w:id="52" w:name="_Toc144974499"/>
      <w:bookmarkStart w:id="53" w:name="_Toc152045531"/>
      <w:bookmarkStart w:id="54" w:name="_Toc144974565"/>
      <w:bookmarkStart w:id="55" w:name="_Toc152042375"/>
      <w:bookmarkStart w:id="56" w:name="_Toc152045598"/>
      <w:bookmarkStart w:id="57" w:name="_Toc455080154"/>
      <w:bookmarkStart w:id="58" w:name="_Toc455867814"/>
      <w:bookmarkStart w:id="59" w:name="_Toc466298137"/>
      <w:r>
        <w:rPr>
          <w:rFonts w:hint="eastAsia" w:asciiTheme="minorEastAsia" w:hAnsiTheme="minorEastAsia" w:eastAsiaTheme="minorEastAsia" w:cstheme="minorEastAsia"/>
          <w:b/>
          <w:bCs/>
          <w:color w:val="auto"/>
          <w:sz w:val="21"/>
          <w:szCs w:val="21"/>
          <w:highlight w:val="none"/>
        </w:rPr>
        <w:t>1.1适用范围</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3AAFCB8C">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1.1.1根据《中华人民共和国政府采购法》等有关法律、法规和规章的规定，编制本项目磋商文件。</w:t>
      </w:r>
      <w:bookmarkStart w:id="60" w:name="_Toc24852"/>
      <w:bookmarkStart w:id="61" w:name="_Toc2929"/>
      <w:bookmarkStart w:id="62" w:name="_Toc11715"/>
      <w:bookmarkStart w:id="63" w:name="_Toc20084"/>
      <w:bookmarkStart w:id="64" w:name="_Toc2874"/>
      <w:bookmarkStart w:id="65" w:name="_Toc710"/>
      <w:bookmarkStart w:id="66" w:name="_Toc10556"/>
      <w:bookmarkStart w:id="67" w:name="_Toc318450676"/>
      <w:bookmarkStart w:id="68" w:name="_Toc455080110"/>
      <w:bookmarkStart w:id="69" w:name="_Toc274409867"/>
      <w:bookmarkStart w:id="70" w:name="_Toc3336"/>
      <w:bookmarkStart w:id="71" w:name="_Toc281405468"/>
      <w:bookmarkStart w:id="72" w:name="_Toc466298093"/>
      <w:bookmarkStart w:id="73" w:name="_Toc490667829"/>
      <w:bookmarkStart w:id="74" w:name="_Toc32619"/>
      <w:bookmarkStart w:id="75" w:name="_Toc25773"/>
      <w:bookmarkStart w:id="76" w:name="_Toc7237"/>
      <w:bookmarkStart w:id="77" w:name="_Toc455867770"/>
      <w:bookmarkStart w:id="78" w:name="_Toc30891"/>
      <w:bookmarkStart w:id="79" w:name="_Toc10269"/>
    </w:p>
    <w:p w14:paraId="13E035E8">
      <w:pPr>
        <w:keepNext/>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1.2招标项目说明</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74BA83D6">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1.2.1本项目采购人：见供应商须知前附表。</w:t>
      </w:r>
    </w:p>
    <w:p w14:paraId="3A18E90A">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1.2.2本项目采购代理机构：见供应商须知前附表。</w:t>
      </w:r>
    </w:p>
    <w:p w14:paraId="6642309C">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1.2.3本项目名称：见供应商须知前附表。</w:t>
      </w:r>
    </w:p>
    <w:p w14:paraId="0D9CCF8A">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bookmarkStart w:id="80" w:name="_Toc17016"/>
      <w:bookmarkStart w:id="81" w:name="_Toc455867771"/>
      <w:bookmarkStart w:id="82" w:name="_Toc318450677"/>
      <w:bookmarkStart w:id="83" w:name="_Toc18960"/>
      <w:bookmarkStart w:id="84" w:name="_Toc274409868"/>
      <w:bookmarkStart w:id="85" w:name="_Toc4122"/>
      <w:bookmarkStart w:id="86" w:name="_Toc4952"/>
      <w:bookmarkStart w:id="87" w:name="_Toc3477"/>
      <w:bookmarkStart w:id="88" w:name="_Toc490667830"/>
      <w:bookmarkStart w:id="89" w:name="_Toc20981"/>
      <w:bookmarkStart w:id="90" w:name="_Toc281405469"/>
      <w:bookmarkStart w:id="91" w:name="_Toc16931"/>
      <w:bookmarkStart w:id="92" w:name="_Toc4563"/>
      <w:bookmarkStart w:id="93" w:name="_Toc743"/>
      <w:bookmarkStart w:id="94" w:name="_Toc17146"/>
      <w:bookmarkStart w:id="95" w:name="_Toc455080111"/>
      <w:bookmarkStart w:id="96" w:name="_Toc1373"/>
      <w:bookmarkStart w:id="97" w:name="_Toc22979"/>
      <w:bookmarkStart w:id="98" w:name="_Toc466298094"/>
      <w:bookmarkStart w:id="99" w:name="_Toc15274"/>
      <w:r>
        <w:rPr>
          <w:rFonts w:hint="eastAsia" w:asciiTheme="minorEastAsia" w:hAnsiTheme="minorEastAsia" w:eastAsiaTheme="minorEastAsia" w:cstheme="minorEastAsia"/>
          <w:b/>
          <w:bCs/>
          <w:color w:val="auto"/>
          <w:sz w:val="21"/>
          <w:szCs w:val="21"/>
          <w:highlight w:val="none"/>
        </w:rPr>
        <w:t>1.3定义及解释</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6948FE29">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1.3.1采购人：依法进行政府采购的国家机关、事业单位、团体组织。</w:t>
      </w:r>
    </w:p>
    <w:p w14:paraId="19B87FBB">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1.3.2采购代理机构：取得政府采购招标代理资质，受采购人委托组织招标活动的社会中介组织。</w:t>
      </w:r>
    </w:p>
    <w:p w14:paraId="782B6794">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1.3.3服务：系指根据本磋商文件规定供应商须承担的服务以及其他类似的义务等。</w:t>
      </w:r>
    </w:p>
    <w:p w14:paraId="6D32598A">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1.3.4供应商：供应商是响应磋商文件、参加磋商竞争的中华人民共和国境内的法人、</w:t>
      </w:r>
      <w:r>
        <w:rPr>
          <w:rFonts w:hint="eastAsia" w:asciiTheme="minorEastAsia" w:hAnsiTheme="minorEastAsia" w:eastAsiaTheme="minorEastAsia" w:cstheme="minorEastAsia"/>
          <w:color w:val="auto"/>
          <w:sz w:val="21"/>
          <w:szCs w:val="21"/>
          <w:highlight w:val="none"/>
          <w:lang w:eastAsia="zh-CN"/>
        </w:rPr>
        <w:t>其他组织</w:t>
      </w:r>
      <w:r>
        <w:rPr>
          <w:rFonts w:hint="eastAsia" w:asciiTheme="minorEastAsia" w:hAnsiTheme="minorEastAsia" w:eastAsiaTheme="minorEastAsia" w:cstheme="minorEastAsia"/>
          <w:color w:val="auto"/>
          <w:sz w:val="21"/>
          <w:szCs w:val="21"/>
          <w:highlight w:val="none"/>
        </w:rPr>
        <w:t>。</w:t>
      </w:r>
    </w:p>
    <w:p w14:paraId="38844F5A">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1.3.5响应文件：指供应商根据磋商文件提交的所有文件。</w:t>
      </w:r>
    </w:p>
    <w:p w14:paraId="02E353EB">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1.3.6磋商小组：依据</w:t>
      </w:r>
      <w:r>
        <w:rPr>
          <w:rFonts w:hint="eastAsia" w:asciiTheme="minorEastAsia" w:hAnsiTheme="minorEastAsia" w:eastAsiaTheme="minorEastAsia" w:cstheme="minorEastAsia"/>
          <w:color w:val="auto"/>
          <w:sz w:val="21"/>
          <w:szCs w:val="21"/>
          <w:highlight w:val="none"/>
          <w:lang w:bidi="en-US"/>
        </w:rPr>
        <w:t>《中华人民共和国政府采购法》及有关法律、法规的规定依法组建的专门负责本次评标工作的临时机构</w:t>
      </w:r>
      <w:r>
        <w:rPr>
          <w:rFonts w:hint="eastAsia" w:asciiTheme="minorEastAsia" w:hAnsiTheme="minorEastAsia" w:eastAsiaTheme="minorEastAsia" w:cstheme="minorEastAsia"/>
          <w:color w:val="auto"/>
          <w:sz w:val="21"/>
          <w:szCs w:val="21"/>
          <w:highlight w:val="none"/>
        </w:rPr>
        <w:t>。</w:t>
      </w:r>
    </w:p>
    <w:p w14:paraId="1611E252">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1.3.7偏离：响应文件的响应相对于磋商文件要求的偏差，该偏差优于磋商文件要求的为正偏离；劣于的，为负偏离。</w:t>
      </w:r>
    </w:p>
    <w:p w14:paraId="33D43D50">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1.3.8“日期”或“天”：指日历天。</w:t>
      </w:r>
    </w:p>
    <w:p w14:paraId="78433F57">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1.3.9合同：指依据本次服务采购招标结果签订的协议或合约文件。</w:t>
      </w:r>
    </w:p>
    <w:p w14:paraId="24D4CB20">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1.3.10磋商文件中的标题或题名仅起引导作用，而不应视为对磋商文件内容的理解和解释。</w:t>
      </w:r>
    </w:p>
    <w:bookmarkEnd w:id="51"/>
    <w:bookmarkEnd w:id="52"/>
    <w:bookmarkEnd w:id="53"/>
    <w:p w14:paraId="7ACFAFEF">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lang w:val="en-US"/>
        </w:rPr>
      </w:pPr>
      <w:bookmarkStart w:id="100" w:name="_Toc16470"/>
      <w:bookmarkStart w:id="101" w:name="_Toc318450678"/>
      <w:bookmarkStart w:id="102" w:name="_Toc455867772"/>
      <w:bookmarkStart w:id="103" w:name="_Toc152042308"/>
      <w:bookmarkStart w:id="104" w:name="_Toc455080112"/>
      <w:bookmarkStart w:id="105" w:name="_Toc17808"/>
      <w:bookmarkStart w:id="106" w:name="_Toc32236"/>
      <w:bookmarkStart w:id="107" w:name="_Toc12752"/>
      <w:bookmarkStart w:id="108" w:name="_Toc490667831"/>
      <w:bookmarkStart w:id="109" w:name="_Toc144974500"/>
      <w:bookmarkStart w:id="110" w:name="_Toc152045532"/>
      <w:bookmarkStart w:id="111" w:name="_Toc19363"/>
      <w:bookmarkStart w:id="112" w:name="_Toc14043"/>
      <w:bookmarkStart w:id="113" w:name="_Toc27407"/>
      <w:bookmarkStart w:id="114" w:name="_Toc466298095"/>
      <w:bookmarkStart w:id="115" w:name="_Toc10894"/>
      <w:bookmarkStart w:id="116" w:name="_Toc21766"/>
      <w:bookmarkStart w:id="117" w:name="_Toc17908"/>
      <w:bookmarkStart w:id="118" w:name="_Toc32682"/>
      <w:bookmarkStart w:id="119" w:name="_Toc28591"/>
      <w:bookmarkStart w:id="120" w:name="_Toc18562"/>
      <w:r>
        <w:rPr>
          <w:rFonts w:hint="eastAsia" w:asciiTheme="minorEastAsia" w:hAnsiTheme="minorEastAsia" w:eastAsiaTheme="minorEastAsia" w:cstheme="minorEastAsia"/>
          <w:b/>
          <w:bCs/>
          <w:color w:val="auto"/>
          <w:sz w:val="21"/>
          <w:szCs w:val="21"/>
          <w:highlight w:val="none"/>
        </w:rPr>
        <w:t>1.4</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Fonts w:hint="eastAsia" w:asciiTheme="minorEastAsia" w:hAnsiTheme="minorEastAsia" w:eastAsiaTheme="minorEastAsia" w:cstheme="minorEastAsia"/>
          <w:b/>
          <w:bCs/>
          <w:color w:val="auto"/>
          <w:sz w:val="21"/>
          <w:szCs w:val="21"/>
          <w:highlight w:val="none"/>
          <w:lang w:eastAsia="zh-CN"/>
        </w:rPr>
        <w:t>采购内容、计划工期、</w:t>
      </w:r>
      <w:r>
        <w:rPr>
          <w:rFonts w:hint="eastAsia" w:asciiTheme="minorEastAsia" w:hAnsiTheme="minorEastAsia" w:eastAsiaTheme="minorEastAsia" w:cstheme="minorEastAsia"/>
          <w:b/>
          <w:bCs/>
          <w:color w:val="auto"/>
          <w:sz w:val="21"/>
          <w:szCs w:val="21"/>
          <w:highlight w:val="none"/>
        </w:rPr>
        <w:t>质量要求</w:t>
      </w:r>
      <w:r>
        <w:rPr>
          <w:rFonts w:hint="eastAsia" w:asciiTheme="minorEastAsia" w:hAnsiTheme="minorEastAsia" w:eastAsiaTheme="minorEastAsia" w:cstheme="minorEastAsia"/>
          <w:b/>
          <w:bCs/>
          <w:color w:val="auto"/>
          <w:sz w:val="21"/>
          <w:szCs w:val="21"/>
          <w:highlight w:val="none"/>
          <w:lang w:eastAsia="zh-CN"/>
        </w:rPr>
        <w:t>、付款方式</w:t>
      </w:r>
      <w:bookmarkEnd w:id="118"/>
      <w:bookmarkEnd w:id="119"/>
      <w:bookmarkEnd w:id="120"/>
      <w:r>
        <w:rPr>
          <w:rFonts w:hint="eastAsia" w:asciiTheme="minorEastAsia" w:hAnsiTheme="minorEastAsia" w:eastAsiaTheme="minorEastAsia" w:cstheme="minorEastAsia"/>
          <w:b/>
          <w:bCs/>
          <w:color w:val="auto"/>
          <w:sz w:val="21"/>
          <w:szCs w:val="21"/>
          <w:highlight w:val="none"/>
          <w:lang w:val="en-US" w:eastAsia="zh-CN"/>
        </w:rPr>
        <w:t>及资金来源</w:t>
      </w:r>
    </w:p>
    <w:p w14:paraId="02C66C10">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1.4.1本次</w:t>
      </w:r>
      <w:r>
        <w:rPr>
          <w:rFonts w:hint="eastAsia" w:asciiTheme="minorEastAsia" w:hAnsiTheme="minorEastAsia" w:eastAsiaTheme="minorEastAsia" w:cstheme="minorEastAsia"/>
          <w:color w:val="auto"/>
          <w:sz w:val="21"/>
          <w:szCs w:val="21"/>
          <w:highlight w:val="none"/>
          <w:lang w:eastAsia="zh-CN"/>
        </w:rPr>
        <w:t>采购内容</w:t>
      </w:r>
      <w:r>
        <w:rPr>
          <w:rFonts w:hint="eastAsia" w:asciiTheme="minorEastAsia" w:hAnsiTheme="minorEastAsia" w:eastAsiaTheme="minorEastAsia" w:cstheme="minorEastAsia"/>
          <w:color w:val="auto"/>
          <w:sz w:val="21"/>
          <w:szCs w:val="21"/>
          <w:highlight w:val="none"/>
        </w:rPr>
        <w:t>：见供应商须知前附表。</w:t>
      </w:r>
    </w:p>
    <w:p w14:paraId="43CAE6EE">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1.4.2本项目的</w:t>
      </w:r>
      <w:r>
        <w:rPr>
          <w:rFonts w:hint="eastAsia" w:asciiTheme="minorEastAsia" w:hAnsiTheme="minorEastAsia" w:eastAsiaTheme="minorEastAsia" w:cstheme="minorEastAsia"/>
          <w:color w:val="auto"/>
          <w:sz w:val="21"/>
          <w:szCs w:val="21"/>
          <w:highlight w:val="none"/>
          <w:lang w:val="en-US" w:eastAsia="zh-CN"/>
        </w:rPr>
        <w:t>服务期</w:t>
      </w:r>
      <w:r>
        <w:rPr>
          <w:rFonts w:hint="eastAsia" w:asciiTheme="minorEastAsia" w:hAnsiTheme="minorEastAsia" w:eastAsiaTheme="minorEastAsia" w:cstheme="minorEastAsia"/>
          <w:color w:val="auto"/>
          <w:sz w:val="21"/>
          <w:szCs w:val="21"/>
          <w:highlight w:val="none"/>
        </w:rPr>
        <w:t>：见供应商须知前附表。</w:t>
      </w:r>
    </w:p>
    <w:p w14:paraId="7228D8DC">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1.4.3本项目的</w:t>
      </w:r>
      <w:r>
        <w:rPr>
          <w:rFonts w:hint="eastAsia" w:asciiTheme="minorEastAsia" w:hAnsiTheme="minorEastAsia" w:eastAsiaTheme="minorEastAsia" w:cstheme="minorEastAsia"/>
          <w:color w:val="auto"/>
          <w:kern w:val="0"/>
          <w:sz w:val="21"/>
          <w:szCs w:val="21"/>
          <w:highlight w:val="none"/>
          <w:shd w:val="clear" w:color="auto" w:fill="FFFFFF"/>
          <w:lang w:val="en-US" w:eastAsia="zh-CN"/>
        </w:rPr>
        <w:t>服务标准</w:t>
      </w:r>
      <w:r>
        <w:rPr>
          <w:rFonts w:hint="eastAsia" w:asciiTheme="minorEastAsia" w:hAnsiTheme="minorEastAsia" w:eastAsiaTheme="minorEastAsia" w:cstheme="minorEastAsia"/>
          <w:color w:val="auto"/>
          <w:sz w:val="21"/>
          <w:szCs w:val="21"/>
          <w:highlight w:val="none"/>
        </w:rPr>
        <w:t>：见供应商须知前附表。</w:t>
      </w:r>
    </w:p>
    <w:p w14:paraId="6AC88AB5">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1.4.</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本项目的</w:t>
      </w:r>
      <w:r>
        <w:rPr>
          <w:rFonts w:hint="eastAsia" w:asciiTheme="minorEastAsia" w:hAnsiTheme="minorEastAsia" w:eastAsiaTheme="minorEastAsia" w:cstheme="minorEastAsia"/>
          <w:color w:val="auto"/>
          <w:sz w:val="21"/>
          <w:szCs w:val="21"/>
          <w:highlight w:val="none"/>
          <w:lang w:eastAsia="zh-CN"/>
        </w:rPr>
        <w:t>付款方式</w:t>
      </w:r>
      <w:r>
        <w:rPr>
          <w:rFonts w:hint="eastAsia" w:asciiTheme="minorEastAsia" w:hAnsiTheme="minorEastAsia" w:eastAsiaTheme="minorEastAsia" w:cstheme="minorEastAsia"/>
          <w:color w:val="auto"/>
          <w:sz w:val="21"/>
          <w:szCs w:val="21"/>
          <w:highlight w:val="none"/>
        </w:rPr>
        <w:t>：见供应商须知前附表。</w:t>
      </w:r>
    </w:p>
    <w:p w14:paraId="042E3574">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1.4.</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本项目的</w:t>
      </w:r>
      <w:r>
        <w:rPr>
          <w:rFonts w:hint="eastAsia" w:asciiTheme="minorEastAsia" w:hAnsiTheme="minorEastAsia" w:eastAsiaTheme="minorEastAsia" w:cstheme="minorEastAsia"/>
          <w:color w:val="auto"/>
          <w:sz w:val="21"/>
          <w:szCs w:val="21"/>
          <w:highlight w:val="none"/>
          <w:lang w:val="en-US" w:eastAsia="zh-CN"/>
        </w:rPr>
        <w:t>资金来源</w:t>
      </w:r>
      <w:r>
        <w:rPr>
          <w:rFonts w:hint="eastAsia" w:asciiTheme="minorEastAsia" w:hAnsiTheme="minorEastAsia" w:eastAsiaTheme="minorEastAsia" w:cstheme="minorEastAsia"/>
          <w:color w:val="auto"/>
          <w:sz w:val="21"/>
          <w:szCs w:val="21"/>
          <w:highlight w:val="none"/>
        </w:rPr>
        <w:t>：见供应商须知前附表。</w:t>
      </w:r>
      <w:bookmarkStart w:id="121" w:name="_Toc144974502"/>
      <w:bookmarkStart w:id="122" w:name="_Toc152042310"/>
      <w:bookmarkStart w:id="123" w:name="_Toc318450679"/>
      <w:bookmarkStart w:id="124" w:name="_Toc152045534"/>
      <w:bookmarkStart w:id="125" w:name="_Toc455867773"/>
      <w:bookmarkStart w:id="126" w:name="_Toc490667832"/>
      <w:bookmarkStart w:id="127" w:name="_Toc11063"/>
      <w:bookmarkStart w:id="128" w:name="_Toc466298096"/>
      <w:bookmarkStart w:id="129" w:name="_Toc1602"/>
      <w:bookmarkStart w:id="130" w:name="_Toc4301"/>
      <w:bookmarkStart w:id="131" w:name="_Toc21697"/>
      <w:bookmarkStart w:id="132" w:name="_Toc32156"/>
      <w:bookmarkStart w:id="133" w:name="_Toc455080113"/>
      <w:bookmarkStart w:id="134" w:name="_Toc4711"/>
      <w:bookmarkStart w:id="135" w:name="_Toc18004"/>
      <w:bookmarkStart w:id="136" w:name="_Toc22643"/>
      <w:bookmarkStart w:id="137" w:name="_Toc24496"/>
      <w:bookmarkStart w:id="138" w:name="_Toc193"/>
      <w:bookmarkStart w:id="139" w:name="_Toc7209"/>
      <w:bookmarkStart w:id="140" w:name="_Toc18689"/>
      <w:bookmarkStart w:id="141" w:name="_Toc5019"/>
    </w:p>
    <w:p w14:paraId="00352B65">
      <w:pPr>
        <w:keepNext/>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1.5</w:t>
      </w:r>
      <w:bookmarkEnd w:id="121"/>
      <w:bookmarkEnd w:id="122"/>
      <w:bookmarkEnd w:id="123"/>
      <w:bookmarkEnd w:id="124"/>
      <w:r>
        <w:rPr>
          <w:rFonts w:hint="eastAsia" w:asciiTheme="minorEastAsia" w:hAnsiTheme="minorEastAsia" w:eastAsiaTheme="minorEastAsia" w:cstheme="minorEastAsia"/>
          <w:b/>
          <w:bCs/>
          <w:color w:val="auto"/>
          <w:sz w:val="21"/>
          <w:szCs w:val="21"/>
          <w:highlight w:val="none"/>
        </w:rPr>
        <w:t>供应商资质条件和能力</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0CA4294F">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1.5.1供应商资质及能力要求：见供应商须知前附表。</w:t>
      </w:r>
    </w:p>
    <w:p w14:paraId="5DAD037C">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1.5.2是否接受联合体：见供应商须知前附表。</w:t>
      </w:r>
    </w:p>
    <w:p w14:paraId="43054837">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bookmarkStart w:id="142" w:name="_Toc26188"/>
      <w:bookmarkStart w:id="143" w:name="_Toc31854"/>
      <w:bookmarkStart w:id="144" w:name="_Toc651"/>
      <w:bookmarkStart w:id="145" w:name="_Toc16889"/>
      <w:bookmarkStart w:id="146" w:name="_Toc981"/>
      <w:bookmarkStart w:id="147" w:name="_Toc22641"/>
      <w:bookmarkStart w:id="148" w:name="_Toc9505"/>
      <w:bookmarkStart w:id="149" w:name="_Toc318450680"/>
      <w:bookmarkStart w:id="150" w:name="_Toc13119"/>
      <w:bookmarkStart w:id="151" w:name="_Toc490667833"/>
      <w:bookmarkStart w:id="152" w:name="_Toc455080114"/>
      <w:bookmarkStart w:id="153" w:name="_Toc152042311"/>
      <w:bookmarkStart w:id="154" w:name="_Toc144974503"/>
      <w:bookmarkStart w:id="155" w:name="_Toc466298097"/>
      <w:bookmarkStart w:id="156" w:name="_Toc5162"/>
      <w:bookmarkStart w:id="157" w:name="_Toc28135"/>
      <w:bookmarkStart w:id="158" w:name="_Toc32446"/>
      <w:bookmarkStart w:id="159" w:name="_Toc11905"/>
      <w:bookmarkStart w:id="160" w:name="_Toc455867774"/>
      <w:bookmarkStart w:id="161" w:name="_Toc12403"/>
      <w:bookmarkStart w:id="162" w:name="_Toc152045535"/>
      <w:r>
        <w:rPr>
          <w:rFonts w:hint="eastAsia" w:asciiTheme="minorEastAsia" w:hAnsiTheme="minorEastAsia" w:eastAsiaTheme="minorEastAsia" w:cstheme="minorEastAsia"/>
          <w:b/>
          <w:bCs/>
          <w:color w:val="auto"/>
          <w:sz w:val="21"/>
          <w:szCs w:val="21"/>
          <w:highlight w:val="none"/>
        </w:rPr>
        <w:t>1.6费用承担</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54FE058C">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供应商准备和参加磋商活动发生的费用自理，不论磋商的结果如何，采购人和采购代理机构在任何情况下均无义务和责任承担这些费用。</w:t>
      </w:r>
    </w:p>
    <w:p w14:paraId="2710A96B">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bookmarkStart w:id="163" w:name="_Toc144974504"/>
      <w:bookmarkStart w:id="164" w:name="_Toc3326"/>
      <w:bookmarkStart w:id="165" w:name="_Toc490667834"/>
      <w:bookmarkStart w:id="166" w:name="_Toc2622"/>
      <w:bookmarkStart w:id="167" w:name="_Toc26218"/>
      <w:bookmarkStart w:id="168" w:name="_Toc466298098"/>
      <w:bookmarkStart w:id="169" w:name="_Toc8055"/>
      <w:bookmarkStart w:id="170" w:name="_Toc6014"/>
      <w:bookmarkStart w:id="171" w:name="_Toc152045536"/>
      <w:bookmarkStart w:id="172" w:name="_Toc22136"/>
      <w:bookmarkStart w:id="173" w:name="_Toc20145"/>
      <w:bookmarkStart w:id="174" w:name="_Toc24601"/>
      <w:bookmarkStart w:id="175" w:name="_Toc318450681"/>
      <w:bookmarkStart w:id="176" w:name="_Toc32053"/>
      <w:bookmarkStart w:id="177" w:name="_Toc22800"/>
      <w:bookmarkStart w:id="178" w:name="_Toc455080115"/>
      <w:bookmarkStart w:id="179" w:name="_Toc152042312"/>
      <w:bookmarkStart w:id="180" w:name="_Toc455867775"/>
      <w:bookmarkStart w:id="181" w:name="_Toc5402"/>
      <w:bookmarkStart w:id="182" w:name="_Toc1879"/>
      <w:bookmarkStart w:id="183" w:name="_Toc15701"/>
      <w:r>
        <w:rPr>
          <w:rFonts w:hint="eastAsia" w:asciiTheme="minorEastAsia" w:hAnsiTheme="minorEastAsia" w:eastAsiaTheme="minorEastAsia" w:cstheme="minorEastAsia"/>
          <w:b/>
          <w:bCs/>
          <w:color w:val="auto"/>
          <w:sz w:val="21"/>
          <w:szCs w:val="21"/>
          <w:highlight w:val="none"/>
        </w:rPr>
        <w:t>1.7保密</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2F438D6D">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参与磋商活动的各方应对磋商文件和响应文件中的商业和技术等秘密保密，违者应对由此造成的后果承担法律责任。</w:t>
      </w:r>
    </w:p>
    <w:p w14:paraId="5FC94EAD">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bookmarkStart w:id="184" w:name="_Toc144974505"/>
      <w:bookmarkStart w:id="185" w:name="_Toc7031"/>
      <w:bookmarkStart w:id="186" w:name="_Toc17880"/>
      <w:bookmarkStart w:id="187" w:name="_Toc30747"/>
      <w:bookmarkStart w:id="188" w:name="_Toc15673"/>
      <w:bookmarkStart w:id="189" w:name="_Toc318450682"/>
      <w:bookmarkStart w:id="190" w:name="_Toc6615"/>
      <w:bookmarkStart w:id="191" w:name="_Toc152045537"/>
      <w:bookmarkStart w:id="192" w:name="_Toc591"/>
      <w:bookmarkStart w:id="193" w:name="_Toc466298099"/>
      <w:bookmarkStart w:id="194" w:name="_Toc455867776"/>
      <w:bookmarkStart w:id="195" w:name="_Toc21089"/>
      <w:bookmarkStart w:id="196" w:name="_Toc21055"/>
      <w:bookmarkStart w:id="197" w:name="_Toc455080116"/>
      <w:bookmarkStart w:id="198" w:name="_Toc490667835"/>
      <w:bookmarkStart w:id="199" w:name="_Toc3628"/>
      <w:bookmarkStart w:id="200" w:name="_Toc25517"/>
      <w:bookmarkStart w:id="201" w:name="_Toc14775"/>
      <w:bookmarkStart w:id="202" w:name="_Toc152042313"/>
      <w:bookmarkStart w:id="203" w:name="_Toc30583"/>
      <w:bookmarkStart w:id="204" w:name="_Toc13976"/>
      <w:r>
        <w:rPr>
          <w:rFonts w:hint="eastAsia" w:asciiTheme="minorEastAsia" w:hAnsiTheme="minorEastAsia" w:eastAsiaTheme="minorEastAsia" w:cstheme="minorEastAsia"/>
          <w:b/>
          <w:bCs/>
          <w:color w:val="auto"/>
          <w:sz w:val="21"/>
          <w:szCs w:val="21"/>
          <w:highlight w:val="none"/>
        </w:rPr>
        <w:t>1.8语言</w:t>
      </w:r>
      <w:bookmarkEnd w:id="184"/>
      <w:r>
        <w:rPr>
          <w:rFonts w:hint="eastAsia" w:asciiTheme="minorEastAsia" w:hAnsiTheme="minorEastAsia" w:eastAsiaTheme="minorEastAsia" w:cstheme="minorEastAsia"/>
          <w:b/>
          <w:bCs/>
          <w:color w:val="auto"/>
          <w:sz w:val="21"/>
          <w:szCs w:val="21"/>
          <w:highlight w:val="none"/>
        </w:rPr>
        <w:t>文字</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7327781C">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除专用术语外，与磋商有关的语言均使用中文。必要时专用术语应附有中文注释，</w:t>
      </w:r>
      <w:r>
        <w:rPr>
          <w:rFonts w:hint="eastAsia" w:asciiTheme="minorEastAsia" w:hAnsiTheme="minorEastAsia" w:eastAsiaTheme="minorEastAsia" w:cstheme="minorEastAsia"/>
          <w:color w:val="auto"/>
          <w:sz w:val="21"/>
          <w:szCs w:val="21"/>
          <w:highlight w:val="none"/>
          <w:lang w:bidi="en-US"/>
        </w:rPr>
        <w:t>对不同文字文本响应文件的解释发生异议的，以中文文本为准。</w:t>
      </w:r>
    </w:p>
    <w:p w14:paraId="2E424196">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bookmarkStart w:id="205" w:name="_Toc4237"/>
      <w:bookmarkStart w:id="206" w:name="_Toc24337"/>
      <w:bookmarkStart w:id="207" w:name="_Toc16122"/>
      <w:bookmarkStart w:id="208" w:name="_Toc18357"/>
      <w:bookmarkStart w:id="209" w:name="_Toc144974506"/>
      <w:bookmarkStart w:id="210" w:name="_Toc455080117"/>
      <w:bookmarkStart w:id="211" w:name="_Toc2702"/>
      <w:bookmarkStart w:id="212" w:name="_Toc152045538"/>
      <w:bookmarkStart w:id="213" w:name="_Toc14934"/>
      <w:bookmarkStart w:id="214" w:name="_Toc9446"/>
      <w:bookmarkStart w:id="215" w:name="_Toc29149"/>
      <w:bookmarkStart w:id="216" w:name="_Toc22415"/>
      <w:bookmarkStart w:id="217" w:name="_Toc490667836"/>
      <w:bookmarkStart w:id="218" w:name="_Toc466298100"/>
      <w:bookmarkStart w:id="219" w:name="_Toc32507"/>
      <w:bookmarkStart w:id="220" w:name="_Toc22378"/>
      <w:bookmarkStart w:id="221" w:name="_Toc152042314"/>
      <w:bookmarkStart w:id="222" w:name="_Toc318450683"/>
      <w:bookmarkStart w:id="223" w:name="_Toc27360"/>
      <w:bookmarkStart w:id="224" w:name="_Toc4501"/>
      <w:bookmarkStart w:id="225" w:name="_Toc455867777"/>
      <w:r>
        <w:rPr>
          <w:rFonts w:hint="eastAsia" w:asciiTheme="minorEastAsia" w:hAnsiTheme="minorEastAsia" w:eastAsiaTheme="minorEastAsia" w:cstheme="minorEastAsia"/>
          <w:b/>
          <w:bCs/>
          <w:color w:val="auto"/>
          <w:sz w:val="21"/>
          <w:szCs w:val="21"/>
          <w:highlight w:val="none"/>
        </w:rPr>
        <w:t>1.9计量单位</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14:paraId="25DDD5BE">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所有计量均采用中华人民共和国法定计量单位。</w:t>
      </w:r>
    </w:p>
    <w:p w14:paraId="57BE0A00">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lang w:eastAsia="zh-CN"/>
        </w:rPr>
      </w:pPr>
      <w:bookmarkStart w:id="226" w:name="_Toc152045540"/>
      <w:bookmarkStart w:id="227" w:name="_Toc13675"/>
      <w:bookmarkStart w:id="228" w:name="_Toc318450684"/>
      <w:bookmarkStart w:id="229" w:name="_Toc284"/>
      <w:bookmarkStart w:id="230" w:name="_Toc455867778"/>
      <w:bookmarkStart w:id="231" w:name="_Toc338"/>
      <w:bookmarkStart w:id="232" w:name="_Toc19685"/>
      <w:bookmarkStart w:id="233" w:name="_Toc466298101"/>
      <w:bookmarkStart w:id="234" w:name="_Toc27570"/>
      <w:bookmarkStart w:id="235" w:name="_Toc18589"/>
      <w:bookmarkStart w:id="236" w:name="_Toc31195"/>
      <w:bookmarkStart w:id="237" w:name="_Toc2508"/>
      <w:bookmarkStart w:id="238" w:name="_Toc490667837"/>
      <w:bookmarkStart w:id="239" w:name="_Toc144974508"/>
      <w:bookmarkStart w:id="240" w:name="_Toc12027"/>
      <w:bookmarkStart w:id="241" w:name="_Toc29845"/>
      <w:bookmarkStart w:id="242" w:name="_Toc152042316"/>
      <w:bookmarkStart w:id="243" w:name="_Toc455080118"/>
      <w:bookmarkStart w:id="244" w:name="_Toc28466"/>
      <w:bookmarkStart w:id="245" w:name="_Toc27281"/>
      <w:bookmarkStart w:id="246" w:name="_Toc13045"/>
      <w:bookmarkStart w:id="247" w:name="_Toc9182"/>
      <w:bookmarkStart w:id="248" w:name="_Toc490667838"/>
      <w:bookmarkStart w:id="249" w:name="_Toc318450685"/>
      <w:bookmarkStart w:id="250" w:name="_Toc24262"/>
      <w:bookmarkStart w:id="251" w:name="_Toc152042317"/>
      <w:bookmarkStart w:id="252" w:name="_Toc23635"/>
      <w:bookmarkStart w:id="253" w:name="_Toc455080119"/>
      <w:bookmarkStart w:id="254" w:name="_Toc12562"/>
      <w:bookmarkStart w:id="255" w:name="_Toc23678"/>
      <w:bookmarkStart w:id="256" w:name="_Toc3853"/>
      <w:bookmarkStart w:id="257" w:name="_Toc455867779"/>
      <w:bookmarkStart w:id="258" w:name="_Toc11744"/>
      <w:bookmarkStart w:id="259" w:name="_Toc466298102"/>
      <w:bookmarkStart w:id="260" w:name="_Toc144974509"/>
      <w:bookmarkStart w:id="261" w:name="_Toc152045541"/>
      <w:bookmarkStart w:id="262" w:name="_Toc31725"/>
      <w:bookmarkStart w:id="263" w:name="_Toc25208"/>
      <w:bookmarkStart w:id="264" w:name="_Toc32757"/>
      <w:r>
        <w:rPr>
          <w:rFonts w:hint="eastAsia" w:asciiTheme="minorEastAsia" w:hAnsiTheme="minorEastAsia" w:eastAsiaTheme="minorEastAsia" w:cstheme="minorEastAsia"/>
          <w:b/>
          <w:bCs/>
          <w:color w:val="auto"/>
          <w:sz w:val="21"/>
          <w:szCs w:val="21"/>
          <w:highlight w:val="none"/>
        </w:rPr>
        <w:t>1.10</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Pr>
          <w:rFonts w:hint="eastAsia" w:asciiTheme="minorEastAsia" w:hAnsiTheme="minorEastAsia" w:eastAsiaTheme="minorEastAsia" w:cstheme="minorEastAsia"/>
          <w:b/>
          <w:bCs/>
          <w:color w:val="auto"/>
          <w:sz w:val="21"/>
          <w:szCs w:val="21"/>
          <w:highlight w:val="none"/>
          <w:lang w:eastAsia="zh-CN"/>
        </w:rPr>
        <w:t>现场踏勘</w:t>
      </w:r>
      <w:bookmarkEnd w:id="244"/>
      <w:bookmarkEnd w:id="245"/>
      <w:bookmarkEnd w:id="246"/>
    </w:p>
    <w:p w14:paraId="6F426867">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不组织，潜在供应商自行踏勘，与之相关的所有费用自行承担。</w:t>
      </w:r>
    </w:p>
    <w:p w14:paraId="5F6F877B">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bookmarkStart w:id="265" w:name="_Toc6545"/>
      <w:bookmarkStart w:id="266" w:name="_Toc13554"/>
      <w:bookmarkStart w:id="267" w:name="_Toc15590"/>
      <w:r>
        <w:rPr>
          <w:rFonts w:hint="eastAsia" w:asciiTheme="minorEastAsia" w:hAnsiTheme="minorEastAsia" w:eastAsiaTheme="minorEastAsia" w:cstheme="minorEastAsia"/>
          <w:b/>
          <w:bCs/>
          <w:color w:val="auto"/>
          <w:sz w:val="21"/>
          <w:szCs w:val="21"/>
          <w:highlight w:val="none"/>
        </w:rPr>
        <w:t>1.11分包</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5C57845E">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是否允许分包：见供应商须知前附表。</w:t>
      </w:r>
      <w:bookmarkStart w:id="268" w:name="_Toc152042318"/>
      <w:bookmarkStart w:id="269" w:name="_Toc144974510"/>
      <w:bookmarkStart w:id="270" w:name="_Toc152045542"/>
      <w:bookmarkStart w:id="271" w:name="_Toc455080120"/>
    </w:p>
    <w:bookmarkEnd w:id="268"/>
    <w:bookmarkEnd w:id="269"/>
    <w:bookmarkEnd w:id="270"/>
    <w:p w14:paraId="7676DDE4">
      <w:pPr>
        <w:pStyle w:val="48"/>
        <w:keepNext/>
        <w:keepLines w:val="0"/>
        <w:pageBreakBefore w:val="0"/>
        <w:widowControl w:val="0"/>
        <w:numPr>
          <w:ilvl w:val="0"/>
          <w:numId w:val="3"/>
        </w:numPr>
        <w:kinsoku/>
        <w:wordWrap/>
        <w:overflowPunct/>
        <w:topLinePunct w:val="0"/>
        <w:autoSpaceDE/>
        <w:autoSpaceDN/>
        <w:bidi w:val="0"/>
        <w:adjustRightInd/>
        <w:snapToGrid/>
        <w:spacing w:beforeLines="0" w:afterLines="0" w:line="360" w:lineRule="auto"/>
        <w:jc w:val="both"/>
        <w:textAlignment w:val="auto"/>
        <w:rPr>
          <w:rFonts w:hint="eastAsia" w:asciiTheme="minorEastAsia" w:hAnsiTheme="minorEastAsia" w:eastAsiaTheme="minorEastAsia" w:cstheme="minorEastAsia"/>
          <w:b/>
          <w:bCs/>
          <w:color w:val="auto"/>
          <w:sz w:val="21"/>
          <w:szCs w:val="21"/>
          <w:highlight w:val="none"/>
        </w:rPr>
      </w:pPr>
      <w:bookmarkStart w:id="272" w:name="_Toc15360"/>
      <w:bookmarkStart w:id="273" w:name="_Toc12453"/>
      <w:bookmarkStart w:id="274" w:name="_Toc17824"/>
      <w:r>
        <w:rPr>
          <w:rFonts w:hint="eastAsia" w:asciiTheme="minorEastAsia" w:hAnsiTheme="minorEastAsia" w:eastAsiaTheme="minorEastAsia" w:cstheme="minorEastAsia"/>
          <w:b/>
          <w:bCs/>
          <w:color w:val="auto"/>
          <w:sz w:val="21"/>
          <w:szCs w:val="21"/>
          <w:highlight w:val="none"/>
        </w:rPr>
        <w:t>磋商文件</w:t>
      </w:r>
      <w:bookmarkEnd w:id="271"/>
      <w:bookmarkEnd w:id="272"/>
      <w:bookmarkEnd w:id="273"/>
      <w:bookmarkEnd w:id="274"/>
    </w:p>
    <w:p w14:paraId="372EC8DA">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bookmarkStart w:id="275" w:name="_Toc3982"/>
      <w:bookmarkStart w:id="276" w:name="_Toc152045543"/>
      <w:bookmarkStart w:id="277" w:name="_Toc1008"/>
      <w:bookmarkStart w:id="278" w:name="_Toc490667840"/>
      <w:bookmarkStart w:id="279" w:name="_Toc12004"/>
      <w:bookmarkStart w:id="280" w:name="_Toc466298104"/>
      <w:bookmarkStart w:id="281" w:name="_Toc152042319"/>
      <w:bookmarkStart w:id="282" w:name="_Toc12640"/>
      <w:bookmarkStart w:id="283" w:name="_Toc144974511"/>
      <w:bookmarkStart w:id="284" w:name="_Toc11567"/>
      <w:bookmarkStart w:id="285" w:name="_Toc9780"/>
      <w:bookmarkStart w:id="286" w:name="_Toc32711"/>
      <w:bookmarkStart w:id="287" w:name="_Toc455080121"/>
      <w:bookmarkStart w:id="288" w:name="_Toc19750"/>
      <w:bookmarkStart w:id="289" w:name="_Toc14360"/>
      <w:bookmarkStart w:id="290" w:name="_Toc318450687"/>
      <w:bookmarkStart w:id="291" w:name="_Toc11599"/>
      <w:bookmarkStart w:id="292" w:name="_Toc18145"/>
      <w:bookmarkStart w:id="293" w:name="_Toc7999"/>
      <w:bookmarkStart w:id="294" w:name="_Toc455867781"/>
      <w:bookmarkStart w:id="295" w:name="_Toc23649"/>
      <w:r>
        <w:rPr>
          <w:rFonts w:hint="eastAsia" w:asciiTheme="minorEastAsia" w:hAnsiTheme="minorEastAsia" w:eastAsiaTheme="minorEastAsia" w:cstheme="minorEastAsia"/>
          <w:b/>
          <w:bCs/>
          <w:color w:val="auto"/>
          <w:sz w:val="21"/>
          <w:szCs w:val="21"/>
          <w:highlight w:val="none"/>
        </w:rPr>
        <w:t>2.</w:t>
      </w:r>
      <w:r>
        <w:rPr>
          <w:rFonts w:hint="eastAsia" w:asciiTheme="minorEastAsia" w:hAnsiTheme="minorEastAsia" w:eastAsiaTheme="minorEastAsia" w:cstheme="minorEastAsia"/>
          <w:b/>
          <w:bCs/>
          <w:color w:val="auto"/>
          <w:sz w:val="21"/>
          <w:szCs w:val="21"/>
          <w:highlight w:val="none"/>
          <w:lang w:val="en-US" w:eastAsia="zh-CN"/>
        </w:rPr>
        <w:t>1</w:t>
      </w:r>
      <w:r>
        <w:rPr>
          <w:rFonts w:hint="eastAsia" w:asciiTheme="minorEastAsia" w:hAnsiTheme="minorEastAsia" w:eastAsiaTheme="minorEastAsia" w:cstheme="minorEastAsia"/>
          <w:b/>
          <w:bCs/>
          <w:color w:val="auto"/>
          <w:sz w:val="21"/>
          <w:szCs w:val="21"/>
          <w:highlight w:val="none"/>
        </w:rPr>
        <w:t>磋商文件的组成</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7F802A81">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本磋商文件包括：</w:t>
      </w:r>
    </w:p>
    <w:p w14:paraId="09C5C050">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eastAsia="zh-CN"/>
        </w:rPr>
        <w:t>竞争性</w:t>
      </w:r>
      <w:r>
        <w:rPr>
          <w:rFonts w:hint="eastAsia" w:asciiTheme="minorEastAsia" w:hAnsiTheme="minorEastAsia" w:eastAsiaTheme="minorEastAsia" w:cstheme="minorEastAsia"/>
          <w:color w:val="auto"/>
          <w:sz w:val="21"/>
          <w:szCs w:val="21"/>
          <w:highlight w:val="none"/>
        </w:rPr>
        <w:t>磋商公告；</w:t>
      </w:r>
    </w:p>
    <w:p w14:paraId="6E5BB6C0">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（2）供应商须知；</w:t>
      </w:r>
    </w:p>
    <w:p w14:paraId="03780B85">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（3）评审办法；</w:t>
      </w:r>
    </w:p>
    <w:p w14:paraId="1007CCCC">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（4）合同文本；</w:t>
      </w:r>
    </w:p>
    <w:p w14:paraId="69AB8B34">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color w:val="auto"/>
          <w:kern w:val="0"/>
          <w:sz w:val="21"/>
          <w:szCs w:val="21"/>
          <w:highlight w:val="none"/>
          <w:shd w:val="clear" w:color="auto" w:fill="FFFFFF"/>
          <w:lang w:val="en-US" w:eastAsia="zh-CN"/>
        </w:rPr>
        <w:t>采购需求</w:t>
      </w:r>
      <w:r>
        <w:rPr>
          <w:rFonts w:hint="eastAsia" w:asciiTheme="minorEastAsia" w:hAnsiTheme="minorEastAsia" w:eastAsiaTheme="minorEastAsia" w:cstheme="minorEastAsia"/>
          <w:color w:val="auto"/>
          <w:sz w:val="21"/>
          <w:szCs w:val="21"/>
          <w:highlight w:val="none"/>
        </w:rPr>
        <w:t>；</w:t>
      </w:r>
    </w:p>
    <w:p w14:paraId="49B9C23D">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（6）竞争性磋商响应文件格式；</w:t>
      </w:r>
    </w:p>
    <w:p w14:paraId="3505ED53">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根据本章第2.2款和第2.3款对磋商文件所作的澄清、修改，构成磋商文件的组成部分。</w:t>
      </w:r>
    </w:p>
    <w:p w14:paraId="317AA3CC">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bookmarkStart w:id="296" w:name="_Toc10003"/>
      <w:bookmarkStart w:id="297" w:name="_Toc11239"/>
      <w:bookmarkStart w:id="298" w:name="_Toc15658"/>
      <w:bookmarkStart w:id="299" w:name="_Toc5517"/>
      <w:bookmarkStart w:id="300" w:name="_Toc152042322"/>
      <w:bookmarkStart w:id="301" w:name="_Toc144974514"/>
      <w:bookmarkStart w:id="302" w:name="_Toc152045546"/>
      <w:bookmarkStart w:id="303" w:name="_Toc455080124"/>
      <w:r>
        <w:rPr>
          <w:rFonts w:hint="eastAsia" w:asciiTheme="minorEastAsia" w:hAnsiTheme="minorEastAsia" w:eastAsiaTheme="minorEastAsia" w:cstheme="minorEastAsia"/>
          <w:b/>
          <w:bCs/>
          <w:color w:val="auto"/>
          <w:sz w:val="21"/>
          <w:szCs w:val="21"/>
          <w:highlight w:val="none"/>
        </w:rPr>
        <w:t>2.2</w:t>
      </w:r>
      <w:r>
        <w:rPr>
          <w:rFonts w:hint="eastAsia" w:asciiTheme="minorEastAsia" w:hAnsiTheme="minorEastAsia" w:eastAsiaTheme="minorEastAsia" w:cstheme="minorEastAsia"/>
          <w:b/>
          <w:bCs/>
          <w:color w:val="auto"/>
          <w:sz w:val="21"/>
          <w:szCs w:val="21"/>
          <w:highlight w:val="none"/>
          <w:lang w:eastAsia="zh-CN"/>
        </w:rPr>
        <w:t>磋商</w:t>
      </w:r>
      <w:r>
        <w:rPr>
          <w:rFonts w:hint="eastAsia" w:asciiTheme="minorEastAsia" w:hAnsiTheme="minorEastAsia" w:eastAsiaTheme="minorEastAsia" w:cstheme="minorEastAsia"/>
          <w:b/>
          <w:bCs/>
          <w:color w:val="auto"/>
          <w:sz w:val="21"/>
          <w:szCs w:val="21"/>
          <w:highlight w:val="none"/>
        </w:rPr>
        <w:t>文件的澄清</w:t>
      </w:r>
      <w:bookmarkEnd w:id="296"/>
      <w:bookmarkEnd w:id="297"/>
      <w:bookmarkEnd w:id="298"/>
      <w:bookmarkEnd w:id="299"/>
    </w:p>
    <w:p w14:paraId="209C9924">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2.2.1供应商应仔细阅读和检查磋商文件的全部内容。如发现缺页或附件不全，应及时向采购人提出，以便补齐。如有疑问，应在供应商须知前附表规定的时间前以书面形式（包括信函、电报、传真等可以有形表现所载内容的形式，下同），要求采购人对磋商文件予以澄清。</w:t>
      </w:r>
    </w:p>
    <w:p w14:paraId="3BFC2C4C">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2.2.2磋商文件的澄清将在供应商须知前附表规定的响应文件</w:t>
      </w:r>
      <w:r>
        <w:rPr>
          <w:rFonts w:hint="eastAsia" w:asciiTheme="minorEastAsia" w:hAnsiTheme="minorEastAsia" w:eastAsiaTheme="minorEastAsia" w:cstheme="minorEastAsia"/>
          <w:color w:val="auto"/>
          <w:sz w:val="21"/>
          <w:szCs w:val="21"/>
          <w:highlight w:val="none"/>
          <w:lang w:eastAsia="zh-CN"/>
        </w:rPr>
        <w:t>提交</w:t>
      </w:r>
      <w:r>
        <w:rPr>
          <w:rFonts w:hint="eastAsia" w:asciiTheme="minorEastAsia" w:hAnsiTheme="minorEastAsia" w:eastAsiaTheme="minorEastAsia" w:cstheme="minorEastAsia"/>
          <w:color w:val="auto"/>
          <w:sz w:val="21"/>
          <w:szCs w:val="21"/>
          <w:highlight w:val="none"/>
        </w:rPr>
        <w:t>截止时间5天前在信阳市公共资源交易系统“变更公告”或“答疑文件”将澄清内容予以发布，但不指明澄清问题的来源。如果澄清的内容可能影响响应文件编制且发出的时间距响应文件</w:t>
      </w:r>
      <w:r>
        <w:rPr>
          <w:rFonts w:hint="eastAsia" w:asciiTheme="minorEastAsia" w:hAnsiTheme="minorEastAsia" w:eastAsiaTheme="minorEastAsia" w:cstheme="minorEastAsia"/>
          <w:color w:val="auto"/>
          <w:sz w:val="21"/>
          <w:szCs w:val="21"/>
          <w:highlight w:val="none"/>
          <w:lang w:eastAsia="zh-CN"/>
        </w:rPr>
        <w:t>提交</w:t>
      </w:r>
      <w:r>
        <w:rPr>
          <w:rFonts w:hint="eastAsia" w:asciiTheme="minorEastAsia" w:hAnsiTheme="minorEastAsia" w:eastAsiaTheme="minorEastAsia" w:cstheme="minorEastAsia"/>
          <w:color w:val="auto"/>
          <w:sz w:val="21"/>
          <w:szCs w:val="21"/>
          <w:highlight w:val="none"/>
        </w:rPr>
        <w:t>截止时间不足5天，相应延长</w:t>
      </w:r>
      <w:r>
        <w:rPr>
          <w:rFonts w:hint="eastAsia" w:asciiTheme="minorEastAsia" w:hAnsiTheme="minorEastAsia" w:eastAsiaTheme="minorEastAsia" w:cstheme="minorEastAsia"/>
          <w:color w:val="auto"/>
          <w:sz w:val="21"/>
          <w:szCs w:val="21"/>
          <w:highlight w:val="none"/>
          <w:lang w:eastAsia="zh-CN"/>
        </w:rPr>
        <w:t>响应文件提交截止</w:t>
      </w:r>
      <w:r>
        <w:rPr>
          <w:rFonts w:hint="eastAsia" w:asciiTheme="minorEastAsia" w:hAnsiTheme="minorEastAsia" w:eastAsiaTheme="minorEastAsia" w:cstheme="minorEastAsia"/>
          <w:color w:val="auto"/>
          <w:sz w:val="21"/>
          <w:szCs w:val="21"/>
          <w:highlight w:val="none"/>
        </w:rPr>
        <w:t>时间。</w:t>
      </w:r>
    </w:p>
    <w:p w14:paraId="257572FC">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2.2.3供应商应在响应文件</w:t>
      </w:r>
      <w:r>
        <w:rPr>
          <w:rFonts w:hint="eastAsia" w:asciiTheme="minorEastAsia" w:hAnsiTheme="minorEastAsia" w:eastAsiaTheme="minorEastAsia" w:cstheme="minorEastAsia"/>
          <w:color w:val="auto"/>
          <w:sz w:val="21"/>
          <w:szCs w:val="21"/>
          <w:highlight w:val="none"/>
          <w:lang w:eastAsia="zh-CN"/>
        </w:rPr>
        <w:t>提交</w:t>
      </w:r>
      <w:r>
        <w:rPr>
          <w:rFonts w:hint="eastAsia" w:asciiTheme="minorEastAsia" w:hAnsiTheme="minorEastAsia" w:eastAsiaTheme="minorEastAsia" w:cstheme="minorEastAsia"/>
          <w:color w:val="auto"/>
          <w:sz w:val="21"/>
          <w:szCs w:val="21"/>
          <w:highlight w:val="none"/>
        </w:rPr>
        <w:t>截止时间前及时查看澄清内容，因供应商未及时查看而造成的后果自负。</w:t>
      </w:r>
    </w:p>
    <w:p w14:paraId="5EA388B4">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bookmarkStart w:id="304" w:name="_Toc8263"/>
      <w:bookmarkStart w:id="305" w:name="_Toc24663"/>
      <w:bookmarkStart w:id="306" w:name="_Toc18443"/>
      <w:bookmarkStart w:id="307" w:name="_Toc21775"/>
      <w:r>
        <w:rPr>
          <w:rFonts w:hint="eastAsia" w:asciiTheme="minorEastAsia" w:hAnsiTheme="minorEastAsia" w:eastAsiaTheme="minorEastAsia" w:cstheme="minorEastAsia"/>
          <w:b/>
          <w:bCs/>
          <w:color w:val="auto"/>
          <w:sz w:val="21"/>
          <w:szCs w:val="21"/>
          <w:highlight w:val="none"/>
        </w:rPr>
        <w:t>2.3</w:t>
      </w:r>
      <w:r>
        <w:rPr>
          <w:rFonts w:hint="eastAsia" w:asciiTheme="minorEastAsia" w:hAnsiTheme="minorEastAsia" w:eastAsiaTheme="minorEastAsia" w:cstheme="minorEastAsia"/>
          <w:b/>
          <w:bCs/>
          <w:color w:val="auto"/>
          <w:sz w:val="21"/>
          <w:szCs w:val="21"/>
          <w:highlight w:val="none"/>
          <w:lang w:eastAsia="zh-CN"/>
        </w:rPr>
        <w:t>磋商</w:t>
      </w:r>
      <w:r>
        <w:rPr>
          <w:rFonts w:hint="eastAsia" w:asciiTheme="minorEastAsia" w:hAnsiTheme="minorEastAsia" w:eastAsiaTheme="minorEastAsia" w:cstheme="minorEastAsia"/>
          <w:b/>
          <w:bCs/>
          <w:color w:val="auto"/>
          <w:sz w:val="21"/>
          <w:szCs w:val="21"/>
          <w:highlight w:val="none"/>
        </w:rPr>
        <w:t>文件的修改</w:t>
      </w:r>
      <w:bookmarkEnd w:id="304"/>
      <w:bookmarkEnd w:id="305"/>
      <w:bookmarkEnd w:id="306"/>
      <w:bookmarkEnd w:id="307"/>
    </w:p>
    <w:p w14:paraId="670E42FB">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2.3.1</w:t>
      </w:r>
      <w:r>
        <w:rPr>
          <w:rFonts w:hint="eastAsia" w:asciiTheme="minorEastAsia" w:hAnsiTheme="minorEastAsia" w:eastAsiaTheme="minorEastAsia" w:cstheme="minorEastAsia"/>
          <w:color w:val="auto"/>
          <w:spacing w:val="-6"/>
          <w:sz w:val="21"/>
          <w:szCs w:val="21"/>
          <w:highlight w:val="none"/>
        </w:rPr>
        <w:t>在响应文件</w:t>
      </w:r>
      <w:r>
        <w:rPr>
          <w:rFonts w:hint="eastAsia" w:asciiTheme="minorEastAsia" w:hAnsiTheme="minorEastAsia" w:eastAsiaTheme="minorEastAsia" w:cstheme="minorEastAsia"/>
          <w:color w:val="auto"/>
          <w:spacing w:val="-6"/>
          <w:sz w:val="21"/>
          <w:szCs w:val="21"/>
          <w:highlight w:val="none"/>
          <w:lang w:eastAsia="zh-CN"/>
        </w:rPr>
        <w:t>提交</w:t>
      </w:r>
      <w:r>
        <w:rPr>
          <w:rFonts w:hint="eastAsia" w:asciiTheme="minorEastAsia" w:hAnsiTheme="minorEastAsia" w:eastAsiaTheme="minorEastAsia" w:cstheme="minorEastAsia"/>
          <w:color w:val="auto"/>
          <w:spacing w:val="-6"/>
          <w:sz w:val="21"/>
          <w:szCs w:val="21"/>
          <w:highlight w:val="none"/>
        </w:rPr>
        <w:t>截止时间5天前，采购人可以修改磋商文件。如有修改，应在信阳市公共资源交易系统“变更公告”或“答疑文件”将修改内容予以发布。如果修改的内容可能影响响应文件编制且发出的时间距响应文件</w:t>
      </w:r>
      <w:r>
        <w:rPr>
          <w:rFonts w:hint="eastAsia" w:asciiTheme="minorEastAsia" w:hAnsiTheme="minorEastAsia" w:eastAsiaTheme="minorEastAsia" w:cstheme="minorEastAsia"/>
          <w:color w:val="auto"/>
          <w:spacing w:val="-6"/>
          <w:sz w:val="21"/>
          <w:szCs w:val="21"/>
          <w:highlight w:val="none"/>
          <w:lang w:eastAsia="zh-CN"/>
        </w:rPr>
        <w:t>提交</w:t>
      </w:r>
      <w:r>
        <w:rPr>
          <w:rFonts w:hint="eastAsia" w:asciiTheme="minorEastAsia" w:hAnsiTheme="minorEastAsia" w:eastAsiaTheme="minorEastAsia" w:cstheme="minorEastAsia"/>
          <w:color w:val="auto"/>
          <w:spacing w:val="-6"/>
          <w:sz w:val="21"/>
          <w:szCs w:val="21"/>
          <w:highlight w:val="none"/>
        </w:rPr>
        <w:t>截止时间不足5天，相应延长响应文件</w:t>
      </w:r>
      <w:r>
        <w:rPr>
          <w:rFonts w:hint="eastAsia" w:asciiTheme="minorEastAsia" w:hAnsiTheme="minorEastAsia" w:eastAsiaTheme="minorEastAsia" w:cstheme="minorEastAsia"/>
          <w:color w:val="auto"/>
          <w:spacing w:val="-6"/>
          <w:sz w:val="21"/>
          <w:szCs w:val="21"/>
          <w:highlight w:val="none"/>
          <w:lang w:eastAsia="zh-CN"/>
        </w:rPr>
        <w:t>提交</w:t>
      </w:r>
      <w:r>
        <w:rPr>
          <w:rFonts w:hint="eastAsia" w:asciiTheme="minorEastAsia" w:hAnsiTheme="minorEastAsia" w:eastAsiaTheme="minorEastAsia" w:cstheme="minorEastAsia"/>
          <w:color w:val="auto"/>
          <w:spacing w:val="-6"/>
          <w:sz w:val="21"/>
          <w:szCs w:val="21"/>
          <w:highlight w:val="none"/>
        </w:rPr>
        <w:t>截止时间。</w:t>
      </w:r>
    </w:p>
    <w:p w14:paraId="619D05E7">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2.3.2当磋商文件的澄清、修改、补充等在同一内容的表述上不一致时，以最后在信阳市公共资源交易系统发出的文件为准。</w:t>
      </w:r>
    </w:p>
    <w:p w14:paraId="6D733C5E">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2.3.3供应商应在响应文件</w:t>
      </w:r>
      <w:r>
        <w:rPr>
          <w:rFonts w:hint="eastAsia" w:asciiTheme="minorEastAsia" w:hAnsiTheme="minorEastAsia" w:eastAsiaTheme="minorEastAsia" w:cstheme="minorEastAsia"/>
          <w:color w:val="auto"/>
          <w:sz w:val="21"/>
          <w:szCs w:val="21"/>
          <w:highlight w:val="none"/>
          <w:lang w:eastAsia="zh-CN"/>
        </w:rPr>
        <w:t>提交</w:t>
      </w:r>
      <w:r>
        <w:rPr>
          <w:rFonts w:hint="eastAsia" w:asciiTheme="minorEastAsia" w:hAnsiTheme="minorEastAsia" w:eastAsiaTheme="minorEastAsia" w:cstheme="minorEastAsia"/>
          <w:color w:val="auto"/>
          <w:sz w:val="21"/>
          <w:szCs w:val="21"/>
          <w:highlight w:val="none"/>
        </w:rPr>
        <w:t>截止时间前及时查看修改内容，因供应商未及时查看而造成的后果自负。</w:t>
      </w:r>
      <w:bookmarkStart w:id="308" w:name="_Toc4666"/>
      <w:bookmarkStart w:id="309" w:name="_Toc5206"/>
      <w:bookmarkStart w:id="310" w:name="_Toc32477"/>
    </w:p>
    <w:p w14:paraId="2B577214">
      <w:pPr>
        <w:keepNext/>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w:t>
      </w:r>
      <w:bookmarkEnd w:id="300"/>
      <w:bookmarkEnd w:id="301"/>
      <w:bookmarkEnd w:id="302"/>
      <w:r>
        <w:rPr>
          <w:rFonts w:hint="eastAsia" w:asciiTheme="minorEastAsia" w:hAnsiTheme="minorEastAsia" w:eastAsiaTheme="minorEastAsia" w:cstheme="minorEastAsia"/>
          <w:b/>
          <w:bCs/>
          <w:color w:val="auto"/>
          <w:sz w:val="21"/>
          <w:szCs w:val="21"/>
          <w:highlight w:val="none"/>
        </w:rPr>
        <w:t>响应文件</w:t>
      </w:r>
      <w:bookmarkEnd w:id="303"/>
      <w:bookmarkEnd w:id="308"/>
      <w:bookmarkEnd w:id="309"/>
      <w:bookmarkEnd w:id="310"/>
    </w:p>
    <w:p w14:paraId="39B42C1A">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bookmarkStart w:id="311" w:name="_Toc490667844"/>
      <w:bookmarkStart w:id="312" w:name="_Toc15810"/>
      <w:bookmarkStart w:id="313" w:name="_Toc27373"/>
      <w:bookmarkStart w:id="314" w:name="_Toc9716"/>
      <w:bookmarkStart w:id="315" w:name="_Toc318450691"/>
      <w:bookmarkStart w:id="316" w:name="_Toc9273"/>
      <w:bookmarkStart w:id="317" w:name="_Toc144974515"/>
      <w:bookmarkStart w:id="318" w:name="_Toc152045547"/>
      <w:bookmarkStart w:id="319" w:name="_Toc16198"/>
      <w:bookmarkStart w:id="320" w:name="_Toc24440"/>
      <w:bookmarkStart w:id="321" w:name="_Toc30475"/>
      <w:bookmarkStart w:id="322" w:name="_Toc152042323"/>
      <w:bookmarkStart w:id="323" w:name="_Toc10096"/>
      <w:r>
        <w:rPr>
          <w:rFonts w:hint="eastAsia" w:asciiTheme="minorEastAsia" w:hAnsiTheme="minorEastAsia" w:eastAsiaTheme="minorEastAsia" w:cstheme="minorEastAsia"/>
          <w:b/>
          <w:bCs/>
          <w:color w:val="auto"/>
          <w:sz w:val="21"/>
          <w:szCs w:val="21"/>
          <w:highlight w:val="none"/>
        </w:rPr>
        <w:t>3.1响应文件的组成</w:t>
      </w:r>
      <w:bookmarkEnd w:id="311"/>
      <w:bookmarkEnd w:id="312"/>
      <w:bookmarkEnd w:id="313"/>
      <w:bookmarkEnd w:id="314"/>
      <w:bookmarkEnd w:id="315"/>
      <w:bookmarkEnd w:id="316"/>
      <w:bookmarkEnd w:id="317"/>
      <w:bookmarkEnd w:id="318"/>
      <w:bookmarkEnd w:id="319"/>
      <w:bookmarkEnd w:id="320"/>
      <w:bookmarkEnd w:id="321"/>
      <w:bookmarkEnd w:id="322"/>
      <w:bookmarkEnd w:id="323"/>
    </w:p>
    <w:p w14:paraId="718827FF">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0" w:firstLineChars="200"/>
        <w:jc w:val="both"/>
        <w:textAlignment w:val="auto"/>
        <w:outlineLvl w:val="9"/>
        <w:rPr>
          <w:rFonts w:hint="eastAsia" w:asciiTheme="minorEastAsia" w:hAnsiTheme="minorEastAsia" w:eastAsiaTheme="minorEastAsia" w:cstheme="minorEastAsia"/>
          <w:color w:val="auto"/>
          <w:sz w:val="21"/>
          <w:szCs w:val="21"/>
          <w:highlight w:val="none"/>
          <w:lang w:eastAsia="zh-CN"/>
        </w:rPr>
      </w:pPr>
      <w:bookmarkStart w:id="324" w:name="_Toc22864"/>
      <w:bookmarkStart w:id="325" w:name="_Toc490667845"/>
      <w:bookmarkStart w:id="326" w:name="_Toc13280"/>
      <w:bookmarkStart w:id="327" w:name="_Toc18750"/>
      <w:bookmarkStart w:id="328" w:name="_Toc466298108"/>
      <w:bookmarkStart w:id="329" w:name="_Toc779"/>
      <w:bookmarkStart w:id="330" w:name="_Toc8768"/>
      <w:bookmarkStart w:id="331" w:name="_Toc31433"/>
      <w:bookmarkStart w:id="332" w:name="_Toc31931"/>
      <w:bookmarkStart w:id="333" w:name="_Toc455080125"/>
      <w:bookmarkStart w:id="334" w:name="_Toc455867785"/>
      <w:bookmarkStart w:id="335" w:name="_Toc17958"/>
      <w:bookmarkStart w:id="336" w:name="_Toc12237"/>
      <w:bookmarkStart w:id="337" w:name="_Toc14492"/>
      <w:r>
        <w:rPr>
          <w:rFonts w:hint="eastAsia" w:asciiTheme="minorEastAsia" w:hAnsiTheme="minorEastAsia" w:eastAsiaTheme="minorEastAsia" w:cstheme="minorEastAsia"/>
          <w:color w:val="auto"/>
          <w:sz w:val="21"/>
          <w:szCs w:val="21"/>
          <w:highlight w:val="none"/>
        </w:rPr>
        <w:t>详见</w:t>
      </w:r>
      <w:bookmarkStart w:id="338" w:name="_Toc152042324"/>
      <w:bookmarkStart w:id="339" w:name="_Toc144974516"/>
      <w:bookmarkStart w:id="340" w:name="_Toc899"/>
      <w:bookmarkStart w:id="341" w:name="_Toc26291"/>
      <w:bookmarkStart w:id="342" w:name="_Toc152045548"/>
      <w:bookmarkStart w:id="343" w:name="_Toc318450692"/>
      <w:bookmarkStart w:id="344" w:name="_Toc279156232"/>
      <w:r>
        <w:rPr>
          <w:rFonts w:hint="eastAsia" w:asciiTheme="minorEastAsia" w:hAnsiTheme="minorEastAsia" w:eastAsiaTheme="minorEastAsia" w:cstheme="minorEastAsia"/>
          <w:color w:val="auto"/>
          <w:sz w:val="21"/>
          <w:szCs w:val="21"/>
          <w:highlight w:val="none"/>
          <w:lang w:eastAsia="zh-CN"/>
        </w:rPr>
        <w:t>第六章</w:t>
      </w:r>
      <w:r>
        <w:rPr>
          <w:rFonts w:hint="eastAsia" w:asciiTheme="minorEastAsia" w:hAnsiTheme="minorEastAsia" w:eastAsiaTheme="minorEastAsia" w:cstheme="minorEastAsia"/>
          <w:color w:val="auto"/>
          <w:sz w:val="21"/>
          <w:szCs w:val="21"/>
          <w:highlight w:val="none"/>
        </w:rPr>
        <w:t>“竞争性磋商响应文件格式”</w:t>
      </w:r>
      <w:bookmarkEnd w:id="324"/>
      <w:bookmarkEnd w:id="325"/>
      <w:bookmarkEnd w:id="326"/>
      <w:bookmarkEnd w:id="327"/>
      <w:bookmarkEnd w:id="328"/>
      <w:bookmarkEnd w:id="329"/>
      <w:bookmarkEnd w:id="330"/>
      <w:bookmarkEnd w:id="331"/>
      <w:bookmarkEnd w:id="332"/>
      <w:bookmarkEnd w:id="333"/>
      <w:bookmarkEnd w:id="334"/>
      <w:r>
        <w:rPr>
          <w:rFonts w:hint="eastAsia" w:asciiTheme="minorEastAsia" w:hAnsiTheme="minorEastAsia" w:eastAsiaTheme="minorEastAsia" w:cstheme="minorEastAsia"/>
          <w:color w:val="auto"/>
          <w:sz w:val="21"/>
          <w:szCs w:val="21"/>
          <w:highlight w:val="none"/>
          <w:lang w:eastAsia="zh-CN"/>
        </w:rPr>
        <w:t>。</w:t>
      </w:r>
      <w:bookmarkEnd w:id="335"/>
      <w:bookmarkEnd w:id="336"/>
      <w:bookmarkEnd w:id="337"/>
    </w:p>
    <w:p w14:paraId="08138A7A">
      <w:pPr>
        <w:keepNext/>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3.2磋商报价</w:t>
      </w:r>
      <w:bookmarkEnd w:id="338"/>
      <w:bookmarkEnd w:id="339"/>
      <w:bookmarkEnd w:id="340"/>
      <w:bookmarkEnd w:id="341"/>
      <w:bookmarkEnd w:id="342"/>
      <w:bookmarkEnd w:id="343"/>
      <w:bookmarkEnd w:id="344"/>
      <w:bookmarkStart w:id="345" w:name="_Toc12402"/>
      <w:bookmarkStart w:id="346" w:name="_Toc318450693"/>
      <w:bookmarkStart w:id="347" w:name="_Toc6105"/>
      <w:bookmarkStart w:id="348" w:name="_Toc466298109"/>
      <w:bookmarkStart w:id="349" w:name="_Toc29133"/>
      <w:bookmarkStart w:id="350" w:name="_Toc21600"/>
      <w:bookmarkStart w:id="351" w:name="_Toc21680"/>
      <w:bookmarkStart w:id="352" w:name="_Toc152042325"/>
      <w:bookmarkStart w:id="353" w:name="_Toc455080126"/>
      <w:bookmarkStart w:id="354" w:name="_Toc2425"/>
      <w:bookmarkStart w:id="355" w:name="_Toc490667846"/>
      <w:bookmarkStart w:id="356" w:name="_Toc3624"/>
      <w:bookmarkStart w:id="357" w:name="_Toc152045549"/>
      <w:bookmarkStart w:id="358" w:name="_Toc7910"/>
      <w:bookmarkStart w:id="359" w:name="_Toc455867786"/>
      <w:bookmarkStart w:id="360" w:name="_Toc144974517"/>
      <w:bookmarkStart w:id="361" w:name="_Toc7105"/>
      <w:bookmarkStart w:id="362" w:name="_Toc25387"/>
      <w:bookmarkStart w:id="363" w:name="_Toc11968"/>
    </w:p>
    <w:p w14:paraId="57285889">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3.2.1本项目的磋商报价应按照磋商文件、补充通知、答疑纪要、现场情况、承包范围，并充分考虑</w:t>
      </w:r>
      <w:r>
        <w:rPr>
          <w:rFonts w:hint="eastAsia" w:asciiTheme="minorEastAsia" w:hAnsiTheme="minorEastAsia" w:eastAsiaTheme="minorEastAsia" w:cstheme="minorEastAsia"/>
          <w:b w:val="0"/>
          <w:bCs w:val="0"/>
          <w:color w:val="auto"/>
          <w:sz w:val="21"/>
          <w:szCs w:val="21"/>
          <w:highlight w:val="none"/>
          <w:lang w:val="en-US" w:eastAsia="zh-CN"/>
        </w:rPr>
        <w:t>服务</w:t>
      </w:r>
      <w:r>
        <w:rPr>
          <w:rFonts w:hint="eastAsia" w:asciiTheme="minorEastAsia" w:hAnsiTheme="minorEastAsia" w:eastAsiaTheme="minorEastAsia" w:cstheme="minorEastAsia"/>
          <w:b w:val="0"/>
          <w:bCs w:val="0"/>
          <w:color w:val="auto"/>
          <w:sz w:val="21"/>
          <w:szCs w:val="21"/>
          <w:highlight w:val="none"/>
        </w:rPr>
        <w:t>期间各类材料、人工市场风险和国家政策性调整等风险系数，由各响应人根据自身情况，在合理范围内，自主考虑、优惠报价，但不得低于企业成本，分二次报价：第一次报价必须按照磋商文件的报价格式填报，第二次报价在磋商中填报，第二次报价（不得高于一次报价）即为最终报价</w:t>
      </w:r>
      <w:bookmarkEnd w:id="345"/>
      <w:r>
        <w:rPr>
          <w:rFonts w:hint="eastAsia" w:asciiTheme="minorEastAsia" w:hAnsiTheme="minorEastAsia" w:eastAsiaTheme="minorEastAsia" w:cstheme="minorEastAsia"/>
          <w:b w:val="0"/>
          <w:bCs w:val="0"/>
          <w:color w:val="auto"/>
          <w:sz w:val="21"/>
          <w:szCs w:val="21"/>
          <w:highlight w:val="none"/>
        </w:rPr>
        <w:t>。</w:t>
      </w:r>
    </w:p>
    <w:p w14:paraId="2453C775">
      <w:pPr>
        <w:keepNext/>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sz w:val="21"/>
          <w:szCs w:val="21"/>
          <w:highlight w:val="none"/>
        </w:rPr>
        <w:t>3.2.2</w:t>
      </w:r>
      <w:r>
        <w:rPr>
          <w:rFonts w:hint="eastAsia" w:asciiTheme="minorEastAsia" w:hAnsiTheme="minorEastAsia" w:eastAsiaTheme="minorEastAsia" w:cstheme="minorEastAsia"/>
          <w:b w:val="0"/>
          <w:bCs w:val="0"/>
          <w:color w:val="auto"/>
          <w:kern w:val="2"/>
          <w:sz w:val="21"/>
          <w:szCs w:val="21"/>
          <w:highlight w:val="none"/>
          <w:lang w:val="en-US" w:eastAsia="zh-CN" w:bidi="ar-SA"/>
        </w:rPr>
        <w:t>供应商应充分了解该项目的总体情况以及影响磋商报价的其他要素，考虑服务期间的价格风险因素，成交价在合同实施期内不得调整，同时也不因市场价格变动而调整。</w:t>
      </w:r>
    </w:p>
    <w:p w14:paraId="34298D07">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0" w:firstLineChars="200"/>
        <w:jc w:val="left"/>
        <w:textAlignment w:val="auto"/>
        <w:outlineLvl w:val="9"/>
        <w:rPr>
          <w:rFonts w:hint="eastAsia" w:asciiTheme="minorEastAsia" w:hAnsiTheme="minorEastAsia" w:eastAsiaTheme="minorEastAsia" w:cstheme="minorEastAsia"/>
          <w:b w:val="0"/>
          <w:bCs w:val="0"/>
          <w:color w:val="auto"/>
          <w:kern w:val="2"/>
          <w:sz w:val="21"/>
          <w:szCs w:val="21"/>
          <w:highlight w:val="none"/>
          <w:lang w:val="en-US" w:eastAsia="zh-CN" w:bidi="ar-SA"/>
        </w:rPr>
      </w:pPr>
      <w:bookmarkStart w:id="364" w:name="_Toc13705"/>
      <w:bookmarkStart w:id="365" w:name="_Toc10541"/>
      <w:bookmarkStart w:id="366" w:name="_Toc3293"/>
      <w:r>
        <w:rPr>
          <w:rFonts w:hint="eastAsia" w:asciiTheme="minorEastAsia" w:hAnsiTheme="minorEastAsia" w:eastAsiaTheme="minorEastAsia" w:cstheme="minorEastAsia"/>
          <w:b w:val="0"/>
          <w:bCs w:val="0"/>
          <w:color w:val="auto"/>
          <w:sz w:val="21"/>
          <w:szCs w:val="21"/>
          <w:highlight w:val="none"/>
        </w:rPr>
        <w:t>3.2.3</w:t>
      </w:r>
      <w:r>
        <w:rPr>
          <w:rFonts w:hint="eastAsia" w:asciiTheme="minorEastAsia" w:hAnsiTheme="minorEastAsia" w:eastAsiaTheme="minorEastAsia" w:cstheme="minorEastAsia"/>
          <w:b w:val="0"/>
          <w:bCs w:val="0"/>
          <w:color w:val="auto"/>
          <w:kern w:val="2"/>
          <w:sz w:val="21"/>
          <w:szCs w:val="21"/>
          <w:highlight w:val="none"/>
          <w:lang w:val="en-US" w:eastAsia="zh-CN" w:bidi="ar-SA"/>
        </w:rPr>
        <w:t>响应报价表中的大写金额和小写金额不一致的，以大写金额为准。</w:t>
      </w:r>
      <w:bookmarkEnd w:id="364"/>
      <w:bookmarkEnd w:id="365"/>
      <w:bookmarkEnd w:id="366"/>
    </w:p>
    <w:p w14:paraId="2B8ED605">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0" w:firstLineChars="200"/>
        <w:jc w:val="left"/>
        <w:textAlignment w:val="auto"/>
        <w:outlineLvl w:val="9"/>
        <w:rPr>
          <w:rFonts w:hint="eastAsia" w:asciiTheme="minorEastAsia" w:hAnsiTheme="minorEastAsia" w:eastAsiaTheme="minorEastAsia" w:cstheme="minorEastAsia"/>
          <w:b w:val="0"/>
          <w:bCs w:val="0"/>
          <w:color w:val="auto"/>
          <w:sz w:val="21"/>
          <w:szCs w:val="21"/>
          <w:highlight w:val="none"/>
          <w:lang w:val="en-US" w:eastAsia="zh-CN"/>
        </w:rPr>
      </w:pPr>
      <w:bookmarkStart w:id="367" w:name="_Toc15826"/>
      <w:bookmarkStart w:id="368" w:name="_Toc30034"/>
      <w:bookmarkStart w:id="369" w:name="_Toc19391"/>
      <w:r>
        <w:rPr>
          <w:rFonts w:hint="eastAsia" w:asciiTheme="minorEastAsia" w:hAnsiTheme="minorEastAsia" w:eastAsiaTheme="minorEastAsia" w:cstheme="minorEastAsia"/>
          <w:b w:val="0"/>
          <w:bCs w:val="0"/>
          <w:color w:val="auto"/>
          <w:sz w:val="21"/>
          <w:szCs w:val="21"/>
          <w:highlight w:val="none"/>
        </w:rPr>
        <w:t>3.2.4</w:t>
      </w:r>
      <w:r>
        <w:rPr>
          <w:rFonts w:hint="eastAsia" w:asciiTheme="minorEastAsia" w:hAnsiTheme="minorEastAsia" w:eastAsiaTheme="minorEastAsia" w:cstheme="minorEastAsia"/>
          <w:b w:val="0"/>
          <w:bCs w:val="0"/>
          <w:color w:val="auto"/>
          <w:sz w:val="21"/>
          <w:szCs w:val="21"/>
          <w:highlight w:val="none"/>
          <w:lang w:val="en-US" w:eastAsia="zh-CN"/>
        </w:rPr>
        <w:t>供应商的报价明显低于其他通过符合性审查供应商的报价，有可能影响服务质量或者不能诚信履约的，磋商小组应当要求其在磋商现场合理的时间内提供书面说明，必要时提交相关证明材料；供应商不能证明其报价合理性的，磋商小组应当将其作为无效投标处理。</w:t>
      </w:r>
      <w:bookmarkEnd w:id="367"/>
      <w:bookmarkEnd w:id="368"/>
      <w:bookmarkEnd w:id="369"/>
    </w:p>
    <w:p w14:paraId="25CBFA01">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left"/>
        <w:textAlignment w:val="auto"/>
        <w:outlineLvl w:val="9"/>
        <w:rPr>
          <w:rFonts w:hint="eastAsia" w:asciiTheme="minorEastAsia" w:hAnsiTheme="minorEastAsia" w:eastAsiaTheme="minorEastAsia" w:cstheme="minorEastAsia"/>
          <w:b/>
          <w:bCs/>
          <w:color w:val="auto"/>
          <w:sz w:val="21"/>
          <w:szCs w:val="21"/>
          <w:highlight w:val="none"/>
        </w:rPr>
      </w:pPr>
      <w:bookmarkStart w:id="370" w:name="_Toc30228"/>
      <w:bookmarkStart w:id="371" w:name="_Toc7163"/>
      <w:bookmarkStart w:id="372" w:name="_Toc31538"/>
      <w:r>
        <w:rPr>
          <w:rFonts w:hint="eastAsia" w:asciiTheme="minorEastAsia" w:hAnsiTheme="minorEastAsia" w:eastAsiaTheme="minorEastAsia" w:cstheme="minorEastAsia"/>
          <w:b/>
          <w:bCs/>
          <w:color w:val="auto"/>
          <w:sz w:val="21"/>
          <w:szCs w:val="21"/>
          <w:highlight w:val="none"/>
        </w:rPr>
        <w:t>3.3磋商有效期</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70"/>
      <w:bookmarkEnd w:id="371"/>
      <w:bookmarkEnd w:id="372"/>
    </w:p>
    <w:p w14:paraId="55F33F95">
      <w:pPr>
        <w:keepNext/>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3.3.1在供应商须知前附表规定的磋商有效期内，供应商不得要求撤销或修改其响应文件。</w:t>
      </w:r>
    </w:p>
    <w:p w14:paraId="2EEADB48">
      <w:pPr>
        <w:keepNext/>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3.3.2出现特殊情况需要延长磋商有效期的，采购人以书面形式通知所有供应商延长磋商有效期。供应商同意延长的，但不得要求或被允许修改或撤销其响应文件；供应商拒绝延长的，其响应文件失效。</w:t>
      </w:r>
    </w:p>
    <w:p w14:paraId="20722FF9">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left"/>
        <w:textAlignment w:val="auto"/>
        <w:outlineLvl w:val="9"/>
        <w:rPr>
          <w:rFonts w:hint="eastAsia" w:asciiTheme="minorEastAsia" w:hAnsiTheme="minorEastAsia" w:eastAsiaTheme="minorEastAsia" w:cstheme="minorEastAsia"/>
          <w:b/>
          <w:bCs/>
          <w:color w:val="auto"/>
          <w:sz w:val="21"/>
          <w:szCs w:val="21"/>
          <w:highlight w:val="none"/>
          <w:lang w:eastAsia="zh-CN"/>
        </w:rPr>
      </w:pPr>
      <w:bookmarkStart w:id="373" w:name="_Toc10370"/>
      <w:bookmarkStart w:id="374" w:name="_Toc2505"/>
      <w:bookmarkStart w:id="375" w:name="_Toc4165"/>
      <w:bookmarkStart w:id="376" w:name="_Toc7618"/>
      <w:bookmarkStart w:id="377" w:name="_Toc8406"/>
      <w:bookmarkStart w:id="378" w:name="_Toc455867787"/>
      <w:bookmarkStart w:id="379" w:name="_Toc7057"/>
      <w:bookmarkStart w:id="380" w:name="_Toc30697"/>
      <w:bookmarkStart w:id="381" w:name="_Toc7973"/>
      <w:bookmarkStart w:id="382" w:name="_Toc144974518"/>
      <w:bookmarkStart w:id="383" w:name="_Toc152042326"/>
      <w:bookmarkStart w:id="384" w:name="_Toc455080127"/>
      <w:bookmarkStart w:id="385" w:name="_Toc490667847"/>
      <w:bookmarkStart w:id="386" w:name="_Toc466298110"/>
      <w:bookmarkStart w:id="387" w:name="_Toc22634"/>
      <w:bookmarkStart w:id="388" w:name="_Toc318450694"/>
      <w:bookmarkStart w:id="389" w:name="_Toc152045550"/>
      <w:bookmarkStart w:id="390" w:name="_Toc13921"/>
      <w:bookmarkStart w:id="391" w:name="_Toc18477"/>
      <w:bookmarkStart w:id="392" w:name="_Toc30973"/>
      <w:bookmarkStart w:id="393" w:name="_Toc32745"/>
      <w:r>
        <w:rPr>
          <w:rFonts w:hint="eastAsia" w:asciiTheme="minorEastAsia" w:hAnsiTheme="minorEastAsia" w:eastAsiaTheme="minorEastAsia" w:cstheme="minorEastAsia"/>
          <w:b/>
          <w:bCs/>
          <w:color w:val="auto"/>
          <w:sz w:val="21"/>
          <w:szCs w:val="21"/>
          <w:highlight w:val="none"/>
        </w:rPr>
        <w:t>3.4磋商保证金</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Start w:id="394" w:name="_Toc144974520"/>
      <w:bookmarkStart w:id="395" w:name="_Toc152045552"/>
      <w:bookmarkStart w:id="396" w:name="_Toc152042328"/>
      <w:bookmarkStart w:id="397" w:name="_Toc318450695"/>
      <w:r>
        <w:rPr>
          <w:rFonts w:hint="eastAsia" w:asciiTheme="minorEastAsia" w:hAnsiTheme="minorEastAsia" w:eastAsiaTheme="minorEastAsia" w:cstheme="minorEastAsia"/>
          <w:b/>
          <w:bCs/>
          <w:color w:val="auto"/>
          <w:sz w:val="21"/>
          <w:szCs w:val="21"/>
          <w:highlight w:val="none"/>
          <w:lang w:eastAsia="zh-CN"/>
        </w:rPr>
        <w:t>：无。</w:t>
      </w:r>
      <w:bookmarkEnd w:id="390"/>
      <w:bookmarkEnd w:id="391"/>
      <w:bookmarkEnd w:id="392"/>
      <w:bookmarkEnd w:id="393"/>
    </w:p>
    <w:p w14:paraId="1AB840FC">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left"/>
        <w:textAlignment w:val="auto"/>
        <w:outlineLvl w:val="9"/>
        <w:rPr>
          <w:rFonts w:hint="eastAsia" w:asciiTheme="minorEastAsia" w:hAnsiTheme="minorEastAsia" w:eastAsiaTheme="minorEastAsia" w:cstheme="minorEastAsia"/>
          <w:b/>
          <w:bCs/>
          <w:color w:val="auto"/>
          <w:sz w:val="21"/>
          <w:szCs w:val="21"/>
          <w:highlight w:val="none"/>
        </w:rPr>
      </w:pPr>
      <w:bookmarkStart w:id="398" w:name="_Toc22527"/>
      <w:bookmarkStart w:id="399" w:name="_Toc2794"/>
      <w:bookmarkStart w:id="400" w:name="_Toc17153"/>
      <w:bookmarkStart w:id="401" w:name="_Toc28307"/>
      <w:bookmarkStart w:id="402" w:name="_Toc27579"/>
      <w:bookmarkStart w:id="403" w:name="_Toc2292"/>
      <w:bookmarkStart w:id="404" w:name="_Toc455080128"/>
      <w:bookmarkStart w:id="405" w:name="_Toc20328"/>
      <w:bookmarkStart w:id="406" w:name="_Toc11077"/>
      <w:bookmarkStart w:id="407" w:name="_Toc15547"/>
      <w:bookmarkStart w:id="408" w:name="_Toc13680"/>
      <w:bookmarkStart w:id="409" w:name="_Toc466298111"/>
      <w:bookmarkStart w:id="410" w:name="_Toc455867788"/>
      <w:bookmarkStart w:id="411" w:name="_Toc16747"/>
      <w:bookmarkStart w:id="412" w:name="_Toc490667848"/>
      <w:bookmarkStart w:id="413" w:name="_Toc10721"/>
      <w:bookmarkStart w:id="414" w:name="_Toc22384"/>
      <w:r>
        <w:rPr>
          <w:rFonts w:hint="eastAsia" w:asciiTheme="minorEastAsia" w:hAnsiTheme="minorEastAsia" w:eastAsiaTheme="minorEastAsia" w:cstheme="minorEastAsia"/>
          <w:b/>
          <w:bCs/>
          <w:color w:val="auto"/>
          <w:sz w:val="21"/>
          <w:szCs w:val="21"/>
          <w:highlight w:val="none"/>
        </w:rPr>
        <w:t>3.5资格审查资料</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4E826561">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0" w:firstLineChars="200"/>
        <w:jc w:val="left"/>
        <w:textAlignment w:val="auto"/>
        <w:outlineLvl w:val="9"/>
        <w:rPr>
          <w:rFonts w:hint="eastAsia" w:asciiTheme="minorEastAsia" w:hAnsiTheme="minorEastAsia" w:eastAsiaTheme="minorEastAsia" w:cstheme="minorEastAsia"/>
          <w:b w:val="0"/>
          <w:bCs w:val="0"/>
          <w:color w:val="auto"/>
          <w:sz w:val="21"/>
          <w:szCs w:val="21"/>
          <w:highlight w:val="none"/>
          <w:lang w:val="en-US" w:eastAsia="zh-CN"/>
        </w:rPr>
      </w:pPr>
      <w:bookmarkStart w:id="415" w:name="_Toc17625"/>
      <w:bookmarkStart w:id="416" w:name="_Toc27738"/>
      <w:bookmarkStart w:id="417" w:name="_Toc4586"/>
      <w:bookmarkStart w:id="418" w:name="_Toc21036"/>
      <w:bookmarkStart w:id="419" w:name="_Toc26258"/>
      <w:bookmarkStart w:id="420" w:name="_Toc455080129"/>
      <w:bookmarkStart w:id="421" w:name="_Toc5132"/>
      <w:bookmarkStart w:id="422" w:name="_Toc11694"/>
      <w:bookmarkStart w:id="423" w:name="_Toc1228"/>
      <w:bookmarkStart w:id="424" w:name="_Toc144974521"/>
      <w:bookmarkStart w:id="425" w:name="_Toc9015"/>
      <w:bookmarkStart w:id="426" w:name="_Toc152045553"/>
      <w:bookmarkStart w:id="427" w:name="_Toc30442"/>
      <w:bookmarkStart w:id="428" w:name="_Toc18915"/>
      <w:bookmarkStart w:id="429" w:name="_Toc19724"/>
      <w:bookmarkStart w:id="430" w:name="_Toc152042329"/>
      <w:bookmarkStart w:id="431" w:name="_Toc490667849"/>
      <w:bookmarkStart w:id="432" w:name="_Toc3286"/>
      <w:bookmarkStart w:id="433" w:name="_Toc318450696"/>
      <w:bookmarkStart w:id="434" w:name="_Toc455867789"/>
      <w:bookmarkStart w:id="435" w:name="_Toc466298112"/>
      <w:r>
        <w:rPr>
          <w:rFonts w:hint="eastAsia" w:asciiTheme="minorEastAsia" w:hAnsiTheme="minorEastAsia" w:eastAsiaTheme="minorEastAsia" w:cstheme="minorEastAsia"/>
          <w:b w:val="0"/>
          <w:bCs w:val="0"/>
          <w:color w:val="auto"/>
          <w:sz w:val="21"/>
          <w:szCs w:val="21"/>
          <w:highlight w:val="none"/>
          <w:lang w:val="en-US" w:eastAsia="zh-CN"/>
        </w:rPr>
        <w:t>按照第二章供应商须知表“供应商须知前附表”1.5.1要求，提供其他相关材料。</w:t>
      </w:r>
      <w:bookmarkEnd w:id="415"/>
      <w:bookmarkEnd w:id="416"/>
      <w:bookmarkEnd w:id="417"/>
      <w:bookmarkEnd w:id="418"/>
    </w:p>
    <w:p w14:paraId="1AB0EAF8">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left"/>
        <w:textAlignment w:val="auto"/>
        <w:outlineLvl w:val="9"/>
        <w:rPr>
          <w:rFonts w:hint="eastAsia" w:asciiTheme="minorEastAsia" w:hAnsiTheme="minorEastAsia" w:eastAsiaTheme="minorEastAsia" w:cstheme="minorEastAsia"/>
          <w:b/>
          <w:bCs/>
          <w:color w:val="auto"/>
          <w:sz w:val="21"/>
          <w:szCs w:val="21"/>
          <w:highlight w:val="none"/>
        </w:rPr>
      </w:pPr>
      <w:bookmarkStart w:id="436" w:name="_Toc23499"/>
      <w:bookmarkStart w:id="437" w:name="_Toc27061"/>
      <w:bookmarkStart w:id="438" w:name="_Toc27694"/>
      <w:bookmarkStart w:id="439" w:name="_Toc24859"/>
      <w:r>
        <w:rPr>
          <w:rFonts w:hint="eastAsia" w:asciiTheme="minorEastAsia" w:hAnsiTheme="minorEastAsia" w:eastAsiaTheme="minorEastAsia" w:cstheme="minorEastAsia"/>
          <w:b/>
          <w:bCs/>
          <w:color w:val="auto"/>
          <w:sz w:val="21"/>
          <w:szCs w:val="21"/>
          <w:highlight w:val="none"/>
        </w:rPr>
        <w:t>3.6备选方案</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14:paraId="73643291">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0" w:firstLineChars="200"/>
        <w:jc w:val="left"/>
        <w:textAlignment w:val="auto"/>
        <w:outlineLvl w:val="9"/>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除供应商须知前附表另有规定外，供应商不得递交备选磋商方案。</w:t>
      </w:r>
    </w:p>
    <w:p w14:paraId="6081124B">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left"/>
        <w:textAlignment w:val="auto"/>
        <w:outlineLvl w:val="9"/>
        <w:rPr>
          <w:rFonts w:hint="eastAsia" w:asciiTheme="minorEastAsia" w:hAnsiTheme="minorEastAsia" w:eastAsiaTheme="minorEastAsia" w:cstheme="minorEastAsia"/>
          <w:b/>
          <w:bCs/>
          <w:color w:val="auto"/>
          <w:sz w:val="21"/>
          <w:szCs w:val="21"/>
          <w:highlight w:val="none"/>
        </w:rPr>
      </w:pPr>
      <w:bookmarkStart w:id="440" w:name="_Toc466298113"/>
      <w:bookmarkStart w:id="441" w:name="_Toc17697"/>
      <w:bookmarkStart w:id="442" w:name="_Toc5516"/>
      <w:bookmarkStart w:id="443" w:name="_Toc7626"/>
      <w:bookmarkStart w:id="444" w:name="_Toc6323"/>
      <w:bookmarkStart w:id="445" w:name="_Toc318450697"/>
      <w:bookmarkStart w:id="446" w:name="_Toc9237"/>
      <w:bookmarkStart w:id="447" w:name="_Toc6171"/>
      <w:bookmarkStart w:id="448" w:name="_Toc144974522"/>
      <w:bookmarkStart w:id="449" w:name="_Toc5825"/>
      <w:bookmarkStart w:id="450" w:name="_Toc455867790"/>
      <w:bookmarkStart w:id="451" w:name="_Toc152045554"/>
      <w:bookmarkStart w:id="452" w:name="_Toc12541"/>
      <w:bookmarkStart w:id="453" w:name="_Toc490667850"/>
      <w:bookmarkStart w:id="454" w:name="_Toc152042330"/>
      <w:bookmarkStart w:id="455" w:name="_Toc28656"/>
      <w:bookmarkStart w:id="456" w:name="_Toc18912"/>
      <w:bookmarkStart w:id="457" w:name="_Toc25620"/>
      <w:bookmarkStart w:id="458" w:name="_Toc455080130"/>
      <w:bookmarkStart w:id="459" w:name="_Toc12275"/>
      <w:bookmarkStart w:id="460" w:name="_Toc7966"/>
      <w:r>
        <w:rPr>
          <w:rFonts w:hint="eastAsia" w:asciiTheme="minorEastAsia" w:hAnsiTheme="minorEastAsia" w:eastAsiaTheme="minorEastAsia" w:cstheme="minorEastAsia"/>
          <w:b/>
          <w:bCs/>
          <w:color w:val="auto"/>
          <w:sz w:val="21"/>
          <w:szCs w:val="21"/>
          <w:highlight w:val="none"/>
        </w:rPr>
        <w:t>3.7响应文件的编制</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14:paraId="2281B3FA">
      <w:pPr>
        <w:keepNext/>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Theme="minorEastAsia" w:hAnsiTheme="minorEastAsia" w:eastAsiaTheme="minorEastAsia" w:cstheme="minorEastAsia"/>
          <w:color w:val="auto"/>
          <w:sz w:val="21"/>
          <w:szCs w:val="21"/>
          <w:highlight w:val="none"/>
        </w:rPr>
      </w:pPr>
      <w:bookmarkStart w:id="461" w:name="_Toc152042331"/>
      <w:bookmarkStart w:id="462" w:name="_Toc455080131"/>
      <w:bookmarkStart w:id="463" w:name="_Toc152045555"/>
      <w:bookmarkStart w:id="464" w:name="_Toc144974523"/>
      <w:r>
        <w:rPr>
          <w:rFonts w:hint="eastAsia" w:asciiTheme="minorEastAsia" w:hAnsiTheme="minorEastAsia" w:eastAsiaTheme="minorEastAsia" w:cstheme="minorEastAsia"/>
          <w:color w:val="auto"/>
          <w:sz w:val="21"/>
          <w:szCs w:val="21"/>
          <w:highlight w:val="none"/>
        </w:rPr>
        <w:t>3.7.1响应文件应按</w:t>
      </w:r>
      <w:r>
        <w:rPr>
          <w:rFonts w:hint="eastAsia" w:asciiTheme="minorEastAsia" w:hAnsiTheme="minorEastAsia" w:eastAsiaTheme="minorEastAsia" w:cstheme="minorEastAsia"/>
          <w:color w:val="auto"/>
          <w:sz w:val="21"/>
          <w:szCs w:val="21"/>
          <w:highlight w:val="none"/>
          <w:lang w:eastAsia="zh-CN"/>
        </w:rPr>
        <w:t>第六章</w:t>
      </w:r>
      <w:r>
        <w:rPr>
          <w:rFonts w:hint="eastAsia" w:asciiTheme="minorEastAsia" w:hAnsiTheme="minorEastAsia" w:eastAsiaTheme="minorEastAsia" w:cstheme="minorEastAsia"/>
          <w:color w:val="auto"/>
          <w:sz w:val="21"/>
          <w:szCs w:val="21"/>
          <w:highlight w:val="none"/>
        </w:rPr>
        <w:t>“竞争性磋商响应文件格式”进行编写，如有必要，可以增加附页，作为响应文件的组成部分。其中，磋商函附录在满足磋商文件实质性要求的基础上，可以提出比磋商文件要求更有利于采购人的承诺。</w:t>
      </w:r>
    </w:p>
    <w:p w14:paraId="74F5E4DF">
      <w:pPr>
        <w:keepNext/>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3.7.2</w:t>
      </w:r>
      <w:r>
        <w:rPr>
          <w:rFonts w:hint="eastAsia" w:asciiTheme="minorEastAsia" w:hAnsiTheme="minorEastAsia" w:eastAsiaTheme="minorEastAsia" w:cstheme="minorEastAsia"/>
          <w:color w:val="auto"/>
          <w:spacing w:val="-6"/>
          <w:sz w:val="21"/>
          <w:szCs w:val="21"/>
          <w:highlight w:val="none"/>
        </w:rPr>
        <w:t>响应文件应当对磋商文件有关</w:t>
      </w:r>
      <w:r>
        <w:rPr>
          <w:rFonts w:hint="eastAsia" w:asciiTheme="minorEastAsia" w:hAnsiTheme="minorEastAsia" w:eastAsiaTheme="minorEastAsia" w:cstheme="minorEastAsia"/>
          <w:color w:val="auto"/>
          <w:spacing w:val="-6"/>
          <w:sz w:val="21"/>
          <w:szCs w:val="21"/>
          <w:highlight w:val="none"/>
          <w:lang w:val="en-US" w:eastAsia="zh-CN"/>
        </w:rPr>
        <w:t>服务期</w:t>
      </w:r>
      <w:r>
        <w:rPr>
          <w:rFonts w:hint="eastAsia" w:asciiTheme="minorEastAsia" w:hAnsiTheme="minorEastAsia" w:eastAsiaTheme="minorEastAsia" w:cstheme="minorEastAsia"/>
          <w:color w:val="auto"/>
          <w:spacing w:val="-6"/>
          <w:sz w:val="21"/>
          <w:szCs w:val="21"/>
          <w:highlight w:val="none"/>
        </w:rPr>
        <w:t>、磋商有效期、</w:t>
      </w:r>
      <w:r>
        <w:rPr>
          <w:rFonts w:hint="eastAsia" w:asciiTheme="minorEastAsia" w:hAnsiTheme="minorEastAsia" w:eastAsiaTheme="minorEastAsia" w:cstheme="minorEastAsia"/>
          <w:color w:val="auto"/>
          <w:spacing w:val="-6"/>
          <w:sz w:val="21"/>
          <w:szCs w:val="21"/>
          <w:highlight w:val="none"/>
          <w:lang w:val="en-US" w:eastAsia="zh-CN"/>
        </w:rPr>
        <w:t>服务标准</w:t>
      </w:r>
      <w:r>
        <w:rPr>
          <w:rFonts w:hint="eastAsia" w:asciiTheme="minorEastAsia" w:hAnsiTheme="minorEastAsia" w:eastAsiaTheme="minorEastAsia" w:cstheme="minorEastAsia"/>
          <w:color w:val="auto"/>
          <w:spacing w:val="-6"/>
          <w:sz w:val="21"/>
          <w:szCs w:val="21"/>
          <w:highlight w:val="none"/>
        </w:rPr>
        <w:t>、采购内容作出响应。</w:t>
      </w:r>
    </w:p>
    <w:p w14:paraId="1648B315">
      <w:pPr>
        <w:keepNext/>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3.7.3响应文件应使用信阳市公共资源交易系统</w:t>
      </w:r>
      <w:r>
        <w:rPr>
          <w:rFonts w:hint="eastAsia" w:asciiTheme="minorEastAsia" w:hAnsiTheme="minorEastAsia" w:eastAsiaTheme="minorEastAsia" w:cstheme="minorEastAsia"/>
          <w:color w:val="auto"/>
          <w:sz w:val="21"/>
          <w:szCs w:val="21"/>
          <w:highlight w:val="none"/>
          <w:lang w:eastAsia="zh-CN"/>
        </w:rPr>
        <w:t>响应文件</w:t>
      </w:r>
      <w:r>
        <w:rPr>
          <w:rFonts w:hint="eastAsia" w:asciiTheme="minorEastAsia" w:hAnsiTheme="minorEastAsia" w:eastAsiaTheme="minorEastAsia" w:cstheme="minorEastAsia"/>
          <w:color w:val="auto"/>
          <w:sz w:val="21"/>
          <w:szCs w:val="21"/>
          <w:highlight w:val="none"/>
        </w:rPr>
        <w:t>制作专用工具软件编制，响应文件格式为“*.XYTF”。电子响应文件签字或盖章的具体要求见供应商须知前附表。</w:t>
      </w:r>
      <w:r>
        <w:rPr>
          <w:rFonts w:hint="eastAsia" w:asciiTheme="minorEastAsia" w:hAnsiTheme="minorEastAsia" w:eastAsiaTheme="minorEastAsia" w:cstheme="minorEastAsia"/>
          <w:color w:val="auto"/>
          <w:sz w:val="21"/>
          <w:szCs w:val="21"/>
          <w:highlight w:val="none"/>
          <w:lang w:eastAsia="zh-CN"/>
        </w:rPr>
        <w:t>磋商文件</w:t>
      </w:r>
      <w:r>
        <w:rPr>
          <w:rFonts w:hint="eastAsia" w:asciiTheme="minorEastAsia" w:hAnsiTheme="minorEastAsia" w:eastAsiaTheme="minorEastAsia" w:cstheme="minorEastAsia"/>
          <w:color w:val="auto"/>
          <w:sz w:val="21"/>
          <w:szCs w:val="21"/>
          <w:highlight w:val="none"/>
        </w:rPr>
        <w:t>费用网上支付，支付成功后，方可上传电子</w:t>
      </w:r>
      <w:r>
        <w:rPr>
          <w:rFonts w:hint="eastAsia" w:asciiTheme="minorEastAsia" w:hAnsiTheme="minorEastAsia" w:eastAsiaTheme="minorEastAsia" w:cstheme="minorEastAsia"/>
          <w:color w:val="auto"/>
          <w:sz w:val="21"/>
          <w:szCs w:val="21"/>
          <w:highlight w:val="none"/>
          <w:lang w:eastAsia="zh-CN"/>
        </w:rPr>
        <w:t>响应文件</w:t>
      </w:r>
      <w:r>
        <w:rPr>
          <w:rFonts w:hint="eastAsia" w:asciiTheme="minorEastAsia" w:hAnsiTheme="minorEastAsia" w:eastAsiaTheme="minorEastAsia" w:cstheme="minorEastAsia"/>
          <w:color w:val="auto"/>
          <w:sz w:val="21"/>
          <w:szCs w:val="21"/>
          <w:highlight w:val="none"/>
        </w:rPr>
        <w:t>。（政府采购类项目不收取</w:t>
      </w:r>
      <w:r>
        <w:rPr>
          <w:rFonts w:hint="eastAsia" w:asciiTheme="minorEastAsia" w:hAnsiTheme="minorEastAsia" w:eastAsiaTheme="minorEastAsia" w:cstheme="minorEastAsia"/>
          <w:color w:val="auto"/>
          <w:sz w:val="21"/>
          <w:szCs w:val="21"/>
          <w:highlight w:val="none"/>
          <w:lang w:eastAsia="zh-CN"/>
        </w:rPr>
        <w:t>磋商文件</w:t>
      </w:r>
      <w:r>
        <w:rPr>
          <w:rFonts w:hint="eastAsia" w:asciiTheme="minorEastAsia" w:hAnsiTheme="minorEastAsia" w:eastAsiaTheme="minorEastAsia" w:cstheme="minorEastAsia"/>
          <w:color w:val="auto"/>
          <w:sz w:val="21"/>
          <w:szCs w:val="21"/>
          <w:highlight w:val="none"/>
        </w:rPr>
        <w:t>费用）。供应商须在</w:t>
      </w:r>
      <w:r>
        <w:rPr>
          <w:rFonts w:hint="eastAsia" w:asciiTheme="minorEastAsia" w:hAnsiTheme="minorEastAsia" w:eastAsiaTheme="minorEastAsia" w:cstheme="minorEastAsia"/>
          <w:color w:val="auto"/>
          <w:sz w:val="21"/>
          <w:szCs w:val="21"/>
          <w:highlight w:val="none"/>
          <w:lang w:eastAsia="zh-CN"/>
        </w:rPr>
        <w:t>响应文件</w:t>
      </w:r>
      <w:r>
        <w:rPr>
          <w:rFonts w:hint="eastAsia" w:asciiTheme="minorEastAsia" w:hAnsiTheme="minorEastAsia" w:eastAsiaTheme="minorEastAsia" w:cstheme="minorEastAsia"/>
          <w:color w:val="auto"/>
          <w:sz w:val="21"/>
          <w:szCs w:val="21"/>
          <w:highlight w:val="none"/>
        </w:rPr>
        <w:t>递交截止时间前制作并提交。</w:t>
      </w:r>
    </w:p>
    <w:p w14:paraId="3924A2CB">
      <w:pPr>
        <w:keepNext/>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3.7.4响应文件份数见供应商须知前附表。</w:t>
      </w:r>
      <w:bookmarkStart w:id="465" w:name="_Toc19433"/>
    </w:p>
    <w:p w14:paraId="68DA650D">
      <w:pPr>
        <w:pStyle w:val="48"/>
        <w:keepNext/>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0" w:firstLineChars="0"/>
        <w:jc w:val="left"/>
        <w:textAlignment w:val="auto"/>
        <w:rPr>
          <w:rFonts w:hint="eastAsia" w:asciiTheme="minorEastAsia" w:hAnsiTheme="minorEastAsia" w:eastAsiaTheme="minorEastAsia" w:cstheme="minorEastAsia"/>
          <w:b/>
          <w:bCs/>
          <w:color w:val="auto"/>
          <w:sz w:val="21"/>
          <w:szCs w:val="21"/>
          <w:highlight w:val="none"/>
        </w:rPr>
      </w:pPr>
      <w:bookmarkStart w:id="466" w:name="_Toc13389"/>
      <w:bookmarkStart w:id="467" w:name="_Toc1526"/>
      <w:r>
        <w:rPr>
          <w:rFonts w:hint="eastAsia" w:asciiTheme="minorEastAsia" w:hAnsiTheme="minorEastAsia" w:eastAsiaTheme="minorEastAsia" w:cstheme="minorEastAsia"/>
          <w:b/>
          <w:bCs/>
          <w:color w:val="auto"/>
          <w:sz w:val="21"/>
          <w:szCs w:val="21"/>
          <w:highlight w:val="none"/>
        </w:rPr>
        <w:t>4.</w:t>
      </w:r>
      <w:bookmarkEnd w:id="461"/>
      <w:bookmarkEnd w:id="462"/>
      <w:bookmarkEnd w:id="463"/>
      <w:bookmarkEnd w:id="464"/>
      <w:r>
        <w:rPr>
          <w:rFonts w:hint="eastAsia" w:asciiTheme="minorEastAsia" w:hAnsiTheme="minorEastAsia" w:eastAsiaTheme="minorEastAsia" w:cstheme="minorEastAsia"/>
          <w:b/>
          <w:bCs/>
          <w:color w:val="auto"/>
          <w:sz w:val="21"/>
          <w:szCs w:val="21"/>
          <w:highlight w:val="none"/>
        </w:rPr>
        <w:t>磋商</w:t>
      </w:r>
      <w:bookmarkEnd w:id="465"/>
      <w:bookmarkEnd w:id="466"/>
      <w:bookmarkEnd w:id="467"/>
      <w:bookmarkStart w:id="468" w:name="_Toc152045556"/>
      <w:bookmarkStart w:id="469" w:name="_Toc18820"/>
      <w:bookmarkStart w:id="470" w:name="_Toc318450699"/>
      <w:bookmarkStart w:id="471" w:name="_Toc490667852"/>
      <w:bookmarkStart w:id="472" w:name="_Toc11243"/>
      <w:bookmarkStart w:id="473" w:name="_Toc16344"/>
      <w:bookmarkStart w:id="474" w:name="_Toc22961"/>
      <w:bookmarkStart w:id="475" w:name="_Toc466298115"/>
      <w:bookmarkStart w:id="476" w:name="_Toc144974524"/>
      <w:bookmarkStart w:id="477" w:name="_Toc16962"/>
      <w:bookmarkStart w:id="478" w:name="_Toc31492"/>
      <w:bookmarkStart w:id="479" w:name="_Toc455867792"/>
      <w:bookmarkStart w:id="480" w:name="_Toc455080132"/>
      <w:bookmarkStart w:id="481" w:name="_Toc152042332"/>
      <w:bookmarkStart w:id="482" w:name="_Toc16783"/>
      <w:bookmarkStart w:id="483" w:name="_Toc26583"/>
      <w:bookmarkStart w:id="484" w:name="_Toc26550"/>
      <w:bookmarkStart w:id="485" w:name="_Toc21145"/>
    </w:p>
    <w:p w14:paraId="42657783">
      <w:pPr>
        <w:keepNext/>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rPr>
        <w:t>4.1响应文件的</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r>
        <w:rPr>
          <w:rFonts w:hint="eastAsia" w:asciiTheme="minorEastAsia" w:hAnsiTheme="minorEastAsia" w:eastAsiaTheme="minorEastAsia" w:cstheme="minorEastAsia"/>
          <w:b/>
          <w:bCs/>
          <w:color w:val="auto"/>
          <w:sz w:val="21"/>
          <w:szCs w:val="21"/>
          <w:highlight w:val="none"/>
          <w:lang w:eastAsia="zh-CN"/>
        </w:rPr>
        <w:t>上传</w:t>
      </w:r>
      <w:bookmarkEnd w:id="485"/>
    </w:p>
    <w:p w14:paraId="7AFF2FCE">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4.1.1网上上传的电子响应文件应使用供应商数字证书认证并加密。</w:t>
      </w:r>
    </w:p>
    <w:p w14:paraId="3B06CF36">
      <w:pPr>
        <w:keepNext/>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b/>
          <w:bCs/>
          <w:color w:val="auto"/>
          <w:sz w:val="21"/>
          <w:szCs w:val="21"/>
          <w:highlight w:val="none"/>
        </w:rPr>
      </w:pPr>
      <w:bookmarkStart w:id="486" w:name="_Toc7663"/>
      <w:bookmarkStart w:id="487" w:name="_Toc152045557"/>
      <w:bookmarkStart w:id="488" w:name="_Toc144974525"/>
      <w:bookmarkStart w:id="489" w:name="_Toc20259"/>
      <w:bookmarkStart w:id="490" w:name="_Toc30171"/>
      <w:bookmarkStart w:id="491" w:name="_Toc455867793"/>
      <w:bookmarkStart w:id="492" w:name="_Toc8754"/>
      <w:bookmarkStart w:id="493" w:name="_Toc152042333"/>
      <w:bookmarkStart w:id="494" w:name="_Toc455080133"/>
      <w:bookmarkStart w:id="495" w:name="_Toc462"/>
      <w:bookmarkStart w:id="496" w:name="_Toc16832"/>
      <w:bookmarkStart w:id="497" w:name="_Toc466298116"/>
      <w:bookmarkStart w:id="498" w:name="_Toc4767"/>
      <w:bookmarkStart w:id="499" w:name="_Toc25665"/>
      <w:bookmarkStart w:id="500" w:name="_Toc27132"/>
      <w:bookmarkStart w:id="501" w:name="_Toc21897"/>
      <w:bookmarkStart w:id="502" w:name="_Toc5699"/>
      <w:bookmarkStart w:id="503" w:name="_Toc490667853"/>
      <w:bookmarkStart w:id="504" w:name="_Toc28272"/>
      <w:bookmarkStart w:id="505" w:name="_Toc21072"/>
      <w:bookmarkStart w:id="506" w:name="_Toc318450700"/>
      <w:r>
        <w:rPr>
          <w:rFonts w:hint="eastAsia" w:asciiTheme="minorEastAsia" w:hAnsiTheme="minorEastAsia" w:eastAsiaTheme="minorEastAsia" w:cstheme="minorEastAsia"/>
          <w:b/>
          <w:bCs/>
          <w:color w:val="auto"/>
          <w:sz w:val="21"/>
          <w:szCs w:val="21"/>
          <w:highlight w:val="none"/>
        </w:rPr>
        <w:t>4.2响应文件的递交</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14:paraId="598BC55D">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bookmarkStart w:id="507" w:name="_Toc30860"/>
      <w:bookmarkStart w:id="508" w:name="_Toc19951"/>
      <w:bookmarkStart w:id="509" w:name="_Toc455080134"/>
      <w:bookmarkStart w:id="510" w:name="_Toc17161"/>
      <w:bookmarkStart w:id="511" w:name="_Toc455867794"/>
      <w:bookmarkStart w:id="512" w:name="_Toc144974526"/>
      <w:bookmarkStart w:id="513" w:name="_Toc490667854"/>
      <w:bookmarkStart w:id="514" w:name="_Toc21890"/>
      <w:bookmarkStart w:id="515" w:name="_Toc26684"/>
      <w:bookmarkStart w:id="516" w:name="_Toc11817"/>
      <w:bookmarkStart w:id="517" w:name="_Toc20281"/>
      <w:bookmarkStart w:id="518" w:name="_Toc152045558"/>
      <w:bookmarkStart w:id="519" w:name="_Toc5102"/>
      <w:bookmarkStart w:id="520" w:name="_Toc318450701"/>
      <w:bookmarkStart w:id="521" w:name="_Toc2952"/>
      <w:bookmarkStart w:id="522" w:name="_Toc152042334"/>
      <w:bookmarkStart w:id="523" w:name="_Toc466298117"/>
      <w:r>
        <w:rPr>
          <w:rFonts w:hint="eastAsia" w:asciiTheme="minorEastAsia" w:hAnsiTheme="minorEastAsia" w:eastAsiaTheme="minorEastAsia" w:cstheme="minorEastAsia"/>
          <w:color w:val="auto"/>
          <w:sz w:val="21"/>
          <w:szCs w:val="21"/>
          <w:highlight w:val="none"/>
        </w:rPr>
        <w:t>4.2.1电子响应文件的递交</w:t>
      </w:r>
    </w:p>
    <w:p w14:paraId="1C991943">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各供应商应在</w:t>
      </w:r>
      <w:r>
        <w:rPr>
          <w:rFonts w:hint="eastAsia" w:asciiTheme="minorEastAsia" w:hAnsiTheme="minorEastAsia" w:eastAsiaTheme="minorEastAsia" w:cstheme="minorEastAsia"/>
          <w:color w:val="auto"/>
          <w:sz w:val="21"/>
          <w:szCs w:val="21"/>
          <w:highlight w:val="none"/>
          <w:lang w:eastAsia="zh-CN"/>
        </w:rPr>
        <w:t>响应文件提交</w:t>
      </w:r>
      <w:r>
        <w:rPr>
          <w:rFonts w:hint="eastAsia" w:asciiTheme="minorEastAsia" w:hAnsiTheme="minorEastAsia" w:eastAsiaTheme="minorEastAsia" w:cstheme="minorEastAsia"/>
          <w:color w:val="auto"/>
          <w:sz w:val="21"/>
          <w:szCs w:val="21"/>
          <w:highlight w:val="none"/>
        </w:rPr>
        <w:t>时间前上传加密的电子响应文件（*.XYTF）到会员系统的指定位置。上传的电子响应文件应使用</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CA数字证书认证并加密。上传时必须得到交易系统“上传成功”的确认回复后方为上传成功。请供应商在上传前务必认真检查上传响应文件是否完整、正确。</w:t>
      </w:r>
    </w:p>
    <w:p w14:paraId="5379B91B">
      <w:pPr>
        <w:keepNext/>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b/>
          <w:bCs/>
          <w:color w:val="auto"/>
          <w:sz w:val="21"/>
          <w:szCs w:val="21"/>
          <w:highlight w:val="none"/>
        </w:rPr>
      </w:pPr>
      <w:bookmarkStart w:id="524" w:name="_Toc1790"/>
      <w:bookmarkStart w:id="525" w:name="_Toc22732"/>
      <w:bookmarkStart w:id="526" w:name="_Toc3825"/>
      <w:bookmarkStart w:id="527" w:name="_Toc19081"/>
      <w:r>
        <w:rPr>
          <w:rFonts w:hint="eastAsia" w:asciiTheme="minorEastAsia" w:hAnsiTheme="minorEastAsia" w:eastAsiaTheme="minorEastAsia" w:cstheme="minorEastAsia"/>
          <w:b/>
          <w:bCs/>
          <w:color w:val="auto"/>
          <w:sz w:val="21"/>
          <w:szCs w:val="21"/>
          <w:highlight w:val="none"/>
        </w:rPr>
        <w:t>4.3响应文件的修改与撤回</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14:paraId="31CB251D">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bookmarkStart w:id="528" w:name="_Toc144974527"/>
      <w:bookmarkStart w:id="529" w:name="_Toc152045559"/>
      <w:bookmarkStart w:id="530" w:name="_Toc152042335"/>
      <w:bookmarkStart w:id="531" w:name="_Toc455080135"/>
      <w:r>
        <w:rPr>
          <w:rFonts w:hint="eastAsia" w:asciiTheme="minorEastAsia" w:hAnsiTheme="minorEastAsia" w:eastAsiaTheme="minorEastAsia" w:cstheme="minorEastAsia"/>
          <w:color w:val="auto"/>
          <w:sz w:val="21"/>
          <w:szCs w:val="21"/>
          <w:highlight w:val="none"/>
        </w:rPr>
        <w:t>4.3.1在第一章“</w:t>
      </w:r>
      <w:r>
        <w:rPr>
          <w:rFonts w:hint="eastAsia" w:asciiTheme="minorEastAsia" w:hAnsiTheme="minorEastAsia" w:eastAsiaTheme="minorEastAsia" w:cstheme="minorEastAsia"/>
          <w:color w:val="auto"/>
          <w:sz w:val="21"/>
          <w:szCs w:val="21"/>
          <w:highlight w:val="none"/>
          <w:lang w:eastAsia="zh-CN"/>
        </w:rPr>
        <w:t>竞争性</w:t>
      </w:r>
      <w:r>
        <w:rPr>
          <w:rFonts w:hint="eastAsia" w:asciiTheme="minorEastAsia" w:hAnsiTheme="minorEastAsia" w:eastAsiaTheme="minorEastAsia" w:cstheme="minorEastAsia"/>
          <w:color w:val="auto"/>
          <w:sz w:val="21"/>
          <w:szCs w:val="21"/>
          <w:highlight w:val="none"/>
        </w:rPr>
        <w:t>磋商公告”规定的</w:t>
      </w:r>
      <w:r>
        <w:rPr>
          <w:rFonts w:hint="eastAsia" w:asciiTheme="minorEastAsia" w:hAnsiTheme="minorEastAsia" w:eastAsiaTheme="minorEastAsia" w:cstheme="minorEastAsia"/>
          <w:color w:val="auto"/>
          <w:sz w:val="21"/>
          <w:szCs w:val="21"/>
          <w:highlight w:val="none"/>
          <w:lang w:eastAsia="zh-CN"/>
        </w:rPr>
        <w:t>响应文件提交</w:t>
      </w:r>
      <w:r>
        <w:rPr>
          <w:rFonts w:hint="eastAsia" w:asciiTheme="minorEastAsia" w:hAnsiTheme="minorEastAsia" w:eastAsiaTheme="minorEastAsia" w:cstheme="minorEastAsia"/>
          <w:color w:val="auto"/>
          <w:sz w:val="21"/>
          <w:szCs w:val="21"/>
          <w:highlight w:val="none"/>
        </w:rPr>
        <w:t>时间前，供应商可以多次修改或撤回已递交的响应文件，最终响应文件以</w:t>
      </w:r>
      <w:r>
        <w:rPr>
          <w:rFonts w:hint="eastAsia" w:asciiTheme="minorEastAsia" w:hAnsiTheme="minorEastAsia" w:eastAsiaTheme="minorEastAsia" w:cstheme="minorEastAsia"/>
          <w:color w:val="auto"/>
          <w:sz w:val="21"/>
          <w:szCs w:val="21"/>
          <w:highlight w:val="none"/>
          <w:lang w:eastAsia="zh-CN"/>
        </w:rPr>
        <w:t>响应文件提交</w:t>
      </w:r>
      <w:r>
        <w:rPr>
          <w:rFonts w:hint="eastAsia" w:asciiTheme="minorEastAsia" w:hAnsiTheme="minorEastAsia" w:eastAsiaTheme="minorEastAsia" w:cstheme="minorEastAsia"/>
          <w:color w:val="auto"/>
          <w:sz w:val="21"/>
          <w:szCs w:val="21"/>
          <w:highlight w:val="none"/>
        </w:rPr>
        <w:t>时间前完成上传至信阳市公共资源交易中心交易系统最后一份响应文件为准。</w:t>
      </w:r>
    </w:p>
    <w:p w14:paraId="463227FC">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4.3.2修改的响应文件应按照本章第3.7条、第4.2条规定进行编制和递交。</w:t>
      </w:r>
    </w:p>
    <w:bookmarkEnd w:id="528"/>
    <w:bookmarkEnd w:id="529"/>
    <w:bookmarkEnd w:id="530"/>
    <w:p w14:paraId="7089D96E">
      <w:pPr>
        <w:pStyle w:val="48"/>
        <w:keepNext/>
        <w:keepLines w:val="0"/>
        <w:pageBreakBefore w:val="0"/>
        <w:widowControl w:val="0"/>
        <w:numPr>
          <w:ilvl w:val="0"/>
          <w:numId w:val="4"/>
        </w:numPr>
        <w:kinsoku/>
        <w:wordWrap/>
        <w:overflowPunct/>
        <w:topLinePunct w:val="0"/>
        <w:autoSpaceDE/>
        <w:autoSpaceDN/>
        <w:bidi w:val="0"/>
        <w:adjustRightInd/>
        <w:snapToGrid/>
        <w:spacing w:beforeLines="0" w:afterLines="0" w:line="360" w:lineRule="auto"/>
        <w:jc w:val="both"/>
        <w:textAlignment w:val="auto"/>
        <w:rPr>
          <w:rFonts w:hint="eastAsia" w:asciiTheme="minorEastAsia" w:hAnsiTheme="minorEastAsia" w:eastAsiaTheme="minorEastAsia" w:cstheme="minorEastAsia"/>
          <w:b/>
          <w:bCs/>
          <w:color w:val="auto"/>
          <w:sz w:val="21"/>
          <w:szCs w:val="21"/>
          <w:highlight w:val="none"/>
        </w:rPr>
      </w:pPr>
      <w:bookmarkStart w:id="532" w:name="_Toc17063"/>
      <w:bookmarkStart w:id="533" w:name="_Toc14969"/>
      <w:bookmarkStart w:id="534" w:name="_Toc21327"/>
      <w:r>
        <w:rPr>
          <w:rFonts w:hint="eastAsia" w:asciiTheme="minorEastAsia" w:hAnsiTheme="minorEastAsia" w:eastAsiaTheme="minorEastAsia" w:cstheme="minorEastAsia"/>
          <w:b/>
          <w:bCs/>
          <w:color w:val="auto"/>
          <w:sz w:val="21"/>
          <w:szCs w:val="21"/>
          <w:highlight w:val="none"/>
        </w:rPr>
        <w:t>磋商开始</w:t>
      </w:r>
      <w:bookmarkEnd w:id="531"/>
      <w:bookmarkEnd w:id="532"/>
      <w:bookmarkEnd w:id="533"/>
      <w:bookmarkEnd w:id="534"/>
      <w:bookmarkStart w:id="535" w:name="_Toc14"/>
      <w:bookmarkStart w:id="536" w:name="_Toc490667856"/>
      <w:bookmarkStart w:id="537" w:name="_Toc318450703"/>
      <w:bookmarkStart w:id="538" w:name="_Toc20333"/>
      <w:bookmarkStart w:id="539" w:name="_Toc455080136"/>
      <w:bookmarkStart w:id="540" w:name="_Toc16040"/>
      <w:bookmarkStart w:id="541" w:name="_Toc144974528"/>
      <w:bookmarkStart w:id="542" w:name="_Toc455867796"/>
      <w:bookmarkStart w:id="543" w:name="_Toc152042336"/>
      <w:bookmarkStart w:id="544" w:name="_Toc466298119"/>
      <w:bookmarkStart w:id="545" w:name="_Toc9969"/>
      <w:bookmarkStart w:id="546" w:name="_Toc6763"/>
      <w:bookmarkStart w:id="547" w:name="_Toc20660"/>
      <w:bookmarkStart w:id="548" w:name="_Toc26426"/>
      <w:bookmarkStart w:id="549" w:name="_Toc25809"/>
      <w:bookmarkStart w:id="550" w:name="_Toc25533"/>
      <w:bookmarkStart w:id="551" w:name="_Toc152045560"/>
    </w:p>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14:paraId="5E2323E2">
      <w:pPr>
        <w:keepNext/>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color w:val="auto"/>
          <w:sz w:val="21"/>
          <w:szCs w:val="21"/>
          <w:highlight w:val="none"/>
        </w:rPr>
      </w:pPr>
      <w:bookmarkStart w:id="552" w:name="_Toc152045561"/>
      <w:bookmarkStart w:id="553" w:name="_Toc25911"/>
      <w:bookmarkStart w:id="554" w:name="_Toc490667857"/>
      <w:bookmarkStart w:id="555" w:name="_Toc455867797"/>
      <w:bookmarkStart w:id="556" w:name="_Toc17491"/>
      <w:bookmarkStart w:id="557" w:name="_Toc11148"/>
      <w:bookmarkStart w:id="558" w:name="_Toc747"/>
      <w:bookmarkStart w:id="559" w:name="_Toc18582"/>
      <w:bookmarkStart w:id="560" w:name="_Toc30074"/>
      <w:bookmarkStart w:id="561" w:name="_Toc3865"/>
      <w:bookmarkStart w:id="562" w:name="_Toc9328"/>
      <w:bookmarkStart w:id="563" w:name="_Toc30965"/>
      <w:bookmarkStart w:id="564" w:name="_Toc30792"/>
      <w:bookmarkStart w:id="565" w:name="_Toc144974529"/>
      <w:bookmarkStart w:id="566" w:name="_Toc318450704"/>
      <w:bookmarkStart w:id="567" w:name="_Toc152042337"/>
      <w:bookmarkStart w:id="568" w:name="_Toc466298120"/>
      <w:bookmarkStart w:id="569" w:name="_Toc455080137"/>
      <w:r>
        <w:rPr>
          <w:rFonts w:hint="eastAsia" w:asciiTheme="minorEastAsia" w:hAnsiTheme="minorEastAsia" w:eastAsiaTheme="minorEastAsia" w:cstheme="minorEastAsia"/>
          <w:b/>
          <w:bCs/>
          <w:color w:val="auto"/>
          <w:sz w:val="21"/>
          <w:szCs w:val="21"/>
          <w:highlight w:val="none"/>
        </w:rPr>
        <w:t>5.1磋商时间和地点</w:t>
      </w:r>
    </w:p>
    <w:p w14:paraId="10A1EF49">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5.1.1采购人在本章规定的</w:t>
      </w:r>
      <w:r>
        <w:rPr>
          <w:rFonts w:hint="eastAsia" w:asciiTheme="minorEastAsia" w:hAnsiTheme="minorEastAsia" w:eastAsiaTheme="minorEastAsia" w:cstheme="minorEastAsia"/>
          <w:color w:val="auto"/>
          <w:sz w:val="21"/>
          <w:szCs w:val="21"/>
          <w:highlight w:val="none"/>
          <w:lang w:eastAsia="zh-CN"/>
        </w:rPr>
        <w:t>响应文件提交</w:t>
      </w:r>
      <w:r>
        <w:rPr>
          <w:rFonts w:hint="eastAsia" w:asciiTheme="minorEastAsia" w:hAnsiTheme="minorEastAsia" w:eastAsiaTheme="minorEastAsia" w:cstheme="minorEastAsia"/>
          <w:color w:val="auto"/>
          <w:sz w:val="21"/>
          <w:szCs w:val="21"/>
          <w:highlight w:val="none"/>
        </w:rPr>
        <w:t>时间（</w:t>
      </w:r>
      <w:r>
        <w:rPr>
          <w:rFonts w:hint="eastAsia" w:asciiTheme="minorEastAsia" w:hAnsiTheme="minorEastAsia" w:eastAsiaTheme="minorEastAsia" w:cstheme="minorEastAsia"/>
          <w:color w:val="auto"/>
          <w:sz w:val="21"/>
          <w:szCs w:val="21"/>
          <w:highlight w:val="none"/>
          <w:lang w:eastAsia="zh-CN"/>
        </w:rPr>
        <w:t>开标</w:t>
      </w:r>
      <w:r>
        <w:rPr>
          <w:rFonts w:hint="eastAsia" w:asciiTheme="minorEastAsia" w:hAnsiTheme="minorEastAsia" w:eastAsiaTheme="minorEastAsia" w:cstheme="minorEastAsia"/>
          <w:color w:val="auto"/>
          <w:sz w:val="21"/>
          <w:szCs w:val="21"/>
          <w:highlight w:val="none"/>
        </w:rPr>
        <w:t>时间）和</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须知前附表规定的地点开标。</w:t>
      </w:r>
    </w:p>
    <w:p w14:paraId="2D2DEDAC">
      <w:pPr>
        <w:keepNext/>
        <w:keepLines w:val="0"/>
        <w:pageBreakBefore w:val="0"/>
        <w:widowControl w:val="0"/>
        <w:kinsoku/>
        <w:wordWrap w:val="0"/>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rPr>
        <w:t>5.1.2</w:t>
      </w:r>
      <w:r>
        <w:rPr>
          <w:rFonts w:hint="eastAsia" w:asciiTheme="minorEastAsia" w:hAnsiTheme="minorEastAsia" w:eastAsiaTheme="minorEastAsia" w:cstheme="minorEastAsia"/>
          <w:b/>
          <w:bCs/>
          <w:color w:val="auto"/>
          <w:sz w:val="21"/>
          <w:szCs w:val="21"/>
          <w:highlight w:val="none"/>
          <w:lang w:val="en-US" w:eastAsia="zh-CN"/>
        </w:rPr>
        <w:t>本项目采用“不见面开标”交易方式，不见面开标大厅网址为</w:t>
      </w:r>
      <w:r>
        <w:rPr>
          <w:rFonts w:hint="eastAsia" w:asciiTheme="minorEastAsia" w:hAnsiTheme="minorEastAsia" w:eastAsiaTheme="minorEastAsia" w:cstheme="minorEastAsia"/>
          <w:b/>
          <w:bCs/>
          <w:color w:val="auto"/>
          <w:sz w:val="21"/>
          <w:szCs w:val="21"/>
          <w:highlight w:val="none"/>
          <w:lang w:val="en-US" w:eastAsia="zh-CN"/>
        </w:rPr>
        <w:fldChar w:fldCharType="begin"/>
      </w:r>
      <w:r>
        <w:rPr>
          <w:rFonts w:hint="eastAsia" w:asciiTheme="minorEastAsia" w:hAnsiTheme="minorEastAsia" w:eastAsiaTheme="minorEastAsia" w:cstheme="minorEastAsia"/>
          <w:b/>
          <w:bCs/>
          <w:color w:val="auto"/>
          <w:sz w:val="21"/>
          <w:szCs w:val="21"/>
          <w:highlight w:val="none"/>
          <w:lang w:val="en-US" w:eastAsia="zh-CN"/>
        </w:rPr>
        <w:instrText xml:space="preserve"> HYPERLINK "http://117.158.91.68:8095/xxhy，投标人无需寄送和递交非加密的电子投标文件，无需到现场参加开标会议，无需到达现场提交原件资料。" </w:instrText>
      </w:r>
      <w:r>
        <w:rPr>
          <w:rFonts w:hint="eastAsia" w:asciiTheme="minorEastAsia" w:hAnsiTheme="minorEastAsia" w:eastAsiaTheme="minorEastAsia" w:cstheme="minorEastAsia"/>
          <w:b/>
          <w:bCs/>
          <w:color w:val="auto"/>
          <w:sz w:val="21"/>
          <w:szCs w:val="21"/>
          <w:highlight w:val="none"/>
          <w:lang w:val="en-US" w:eastAsia="zh-CN"/>
        </w:rPr>
        <w:fldChar w:fldCharType="separate"/>
      </w:r>
      <w:r>
        <w:rPr>
          <w:rFonts w:hint="eastAsia" w:asciiTheme="minorEastAsia" w:hAnsiTheme="minorEastAsia" w:eastAsiaTheme="minorEastAsia" w:cstheme="minorEastAsia"/>
          <w:color w:val="auto"/>
          <w:kern w:val="0"/>
          <w:sz w:val="21"/>
          <w:szCs w:val="21"/>
          <w:highlight w:val="none"/>
        </w:rPr>
        <w:t>https://ggzyjy.xinyang.gov.cn/BidOpening</w:t>
      </w:r>
      <w:r>
        <w:rPr>
          <w:rFonts w:hint="eastAsia" w:asciiTheme="minorEastAsia" w:hAnsiTheme="minorEastAsia" w:eastAsiaTheme="minorEastAsia" w:cstheme="minorEastAsia"/>
          <w:b/>
          <w:bCs/>
          <w:color w:val="auto"/>
          <w:sz w:val="21"/>
          <w:szCs w:val="21"/>
          <w:highlight w:val="none"/>
          <w:lang w:val="en-US" w:eastAsia="zh-CN"/>
        </w:rPr>
        <w:t>，供应商无需寄送和递交</w:t>
      </w:r>
      <w:r>
        <w:rPr>
          <w:rFonts w:hint="eastAsia" w:asciiTheme="minorEastAsia" w:hAnsiTheme="minorEastAsia" w:eastAsiaTheme="minorEastAsia" w:cstheme="minorEastAsia"/>
          <w:b/>
          <w:bCs/>
          <w:color w:val="auto"/>
          <w:sz w:val="21"/>
          <w:szCs w:val="21"/>
          <w:highlight w:val="none"/>
        </w:rPr>
        <w:t>非加密的电子</w:t>
      </w:r>
      <w:r>
        <w:rPr>
          <w:rFonts w:hint="eastAsia" w:asciiTheme="minorEastAsia" w:hAnsiTheme="minorEastAsia" w:eastAsiaTheme="minorEastAsia" w:cstheme="minorEastAsia"/>
          <w:b/>
          <w:bCs/>
          <w:color w:val="auto"/>
          <w:sz w:val="21"/>
          <w:szCs w:val="21"/>
          <w:highlight w:val="none"/>
          <w:lang w:eastAsia="zh-CN"/>
        </w:rPr>
        <w:t>响应文件，</w:t>
      </w:r>
      <w:r>
        <w:rPr>
          <w:rFonts w:hint="eastAsia" w:asciiTheme="minorEastAsia" w:hAnsiTheme="minorEastAsia" w:eastAsiaTheme="minorEastAsia" w:cstheme="minorEastAsia"/>
          <w:b/>
          <w:bCs/>
          <w:color w:val="auto"/>
          <w:sz w:val="21"/>
          <w:szCs w:val="21"/>
          <w:highlight w:val="none"/>
          <w:lang w:val="en-US" w:eastAsia="zh-CN"/>
        </w:rPr>
        <w:t>无需到现场参加开标会议，无需到达现场提交原件资料。</w:t>
      </w:r>
      <w:r>
        <w:rPr>
          <w:rFonts w:hint="eastAsia" w:asciiTheme="minorEastAsia" w:hAnsiTheme="minorEastAsia" w:eastAsiaTheme="minorEastAsia" w:cstheme="minorEastAsia"/>
          <w:b/>
          <w:bCs/>
          <w:color w:val="auto"/>
          <w:sz w:val="21"/>
          <w:szCs w:val="21"/>
          <w:highlight w:val="none"/>
          <w:lang w:val="en-US" w:eastAsia="zh-CN"/>
        </w:rPr>
        <w:fldChar w:fldCharType="end"/>
      </w:r>
    </w:p>
    <w:p w14:paraId="2CB036F3">
      <w:pPr>
        <w:keepNext/>
        <w:keepLines w:val="0"/>
        <w:pageBreakBefore w:val="0"/>
        <w:widowControl w:val="0"/>
        <w:kinsoku/>
        <w:wordWrap w:val="0"/>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供应商应当在响应文件提交时间前，使用供应商CA数字证书登录不见面开标大厅，在线签到并准时参加开标活动，并在规定时间内完成响应文件解密、答疑澄清等。</w:t>
      </w:r>
    </w:p>
    <w:p w14:paraId="0D1E2209">
      <w:pPr>
        <w:keepNext/>
        <w:keepLines w:val="0"/>
        <w:pageBreakBefore w:val="0"/>
        <w:widowControl w:val="0"/>
        <w:kinsoku/>
        <w:wordWrap w:val="0"/>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供应商需在解密开始后10分钟内完成解密（当供应商过多时，解密时间可以适当延长）。在响应文件解密过程中，因供应商原因（如供应商准备不到位、电脑网络问题等），造成无法及时解密的，将被退回响应文件。</w:t>
      </w:r>
    </w:p>
    <w:p w14:paraId="2113D5CB">
      <w:pPr>
        <w:keepNext/>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不见面开标服务的具体事宜，请查阅信阳市公共资源交易中心网站首页—下载中心—信阳市不见面开标大厅系统操作手册。</w:t>
      </w:r>
    </w:p>
    <w:p w14:paraId="7B2FC79D">
      <w:pPr>
        <w:keepNext/>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rPr>
        <w:t>开标</w:t>
      </w:r>
      <w:r>
        <w:rPr>
          <w:rFonts w:hint="eastAsia" w:asciiTheme="minorEastAsia" w:hAnsiTheme="minorEastAsia" w:eastAsiaTheme="minorEastAsia" w:cstheme="minorEastAsia"/>
          <w:b/>
          <w:bCs/>
          <w:color w:val="auto"/>
          <w:sz w:val="21"/>
          <w:szCs w:val="21"/>
          <w:highlight w:val="none"/>
          <w:lang w:eastAsia="zh-CN"/>
        </w:rPr>
        <w:t>过程中</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bCs/>
          <w:color w:val="auto"/>
          <w:sz w:val="21"/>
          <w:szCs w:val="21"/>
          <w:highlight w:val="none"/>
          <w:lang w:eastAsia="zh-CN"/>
        </w:rPr>
        <w:t>供应商</w:t>
      </w:r>
      <w:r>
        <w:rPr>
          <w:rFonts w:hint="eastAsia" w:asciiTheme="minorEastAsia" w:hAnsiTheme="minorEastAsia" w:eastAsiaTheme="minorEastAsia" w:cstheme="minorEastAsia"/>
          <w:b/>
          <w:bCs/>
          <w:color w:val="auto"/>
          <w:sz w:val="21"/>
          <w:szCs w:val="21"/>
          <w:highlight w:val="none"/>
        </w:rPr>
        <w:t>如有异议，须</w:t>
      </w:r>
      <w:r>
        <w:rPr>
          <w:rFonts w:hint="eastAsia" w:asciiTheme="minorEastAsia" w:hAnsiTheme="minorEastAsia" w:eastAsiaTheme="minorEastAsia" w:cstheme="minorEastAsia"/>
          <w:b/>
          <w:bCs/>
          <w:color w:val="auto"/>
          <w:sz w:val="21"/>
          <w:szCs w:val="21"/>
          <w:highlight w:val="none"/>
          <w:lang w:eastAsia="zh-CN"/>
        </w:rPr>
        <w:t>在开标结束前</w:t>
      </w:r>
      <w:r>
        <w:rPr>
          <w:rFonts w:hint="eastAsia" w:asciiTheme="minorEastAsia" w:hAnsiTheme="minorEastAsia" w:eastAsiaTheme="minorEastAsia" w:cstheme="minorEastAsia"/>
          <w:b/>
          <w:bCs/>
          <w:color w:val="auto"/>
          <w:sz w:val="21"/>
          <w:szCs w:val="21"/>
          <w:highlight w:val="none"/>
        </w:rPr>
        <w:t>通过系统提出，否则视同</w:t>
      </w:r>
      <w:r>
        <w:rPr>
          <w:rFonts w:hint="eastAsia" w:asciiTheme="minorEastAsia" w:hAnsiTheme="minorEastAsia" w:eastAsiaTheme="minorEastAsia" w:cstheme="minorEastAsia"/>
          <w:b/>
          <w:bCs/>
          <w:color w:val="auto"/>
          <w:sz w:val="21"/>
          <w:szCs w:val="21"/>
          <w:highlight w:val="none"/>
          <w:lang w:eastAsia="zh-CN"/>
        </w:rPr>
        <w:t>认可</w:t>
      </w:r>
      <w:r>
        <w:rPr>
          <w:rFonts w:hint="eastAsia" w:asciiTheme="minorEastAsia" w:hAnsiTheme="minorEastAsia" w:eastAsiaTheme="minorEastAsia" w:cstheme="minorEastAsia"/>
          <w:b/>
          <w:bCs/>
          <w:color w:val="auto"/>
          <w:sz w:val="21"/>
          <w:szCs w:val="21"/>
          <w:highlight w:val="none"/>
        </w:rPr>
        <w:t>开标记录</w:t>
      </w:r>
      <w:r>
        <w:rPr>
          <w:rFonts w:hint="eastAsia" w:asciiTheme="minorEastAsia" w:hAnsiTheme="minorEastAsia" w:eastAsiaTheme="minorEastAsia" w:cstheme="minorEastAsia"/>
          <w:b/>
          <w:bCs/>
          <w:color w:val="auto"/>
          <w:sz w:val="21"/>
          <w:szCs w:val="21"/>
          <w:highlight w:val="none"/>
          <w:lang w:eastAsia="zh-CN"/>
        </w:rPr>
        <w:t>。开标结束后，</w:t>
      </w:r>
      <w:r>
        <w:rPr>
          <w:rFonts w:hint="eastAsia" w:asciiTheme="minorEastAsia" w:hAnsiTheme="minorEastAsia" w:eastAsiaTheme="minorEastAsia" w:cstheme="minorEastAsia"/>
          <w:b/>
          <w:bCs/>
          <w:color w:val="auto"/>
          <w:sz w:val="21"/>
          <w:szCs w:val="21"/>
          <w:highlight w:val="none"/>
        </w:rPr>
        <w:t>对开标记录</w:t>
      </w:r>
      <w:r>
        <w:rPr>
          <w:rFonts w:hint="eastAsia" w:asciiTheme="minorEastAsia" w:hAnsiTheme="minorEastAsia" w:eastAsiaTheme="minorEastAsia" w:cstheme="minorEastAsia"/>
          <w:b/>
          <w:bCs/>
          <w:color w:val="auto"/>
          <w:sz w:val="21"/>
          <w:szCs w:val="21"/>
          <w:highlight w:val="none"/>
          <w:lang w:eastAsia="zh-CN"/>
        </w:rPr>
        <w:t>的</w:t>
      </w:r>
      <w:r>
        <w:rPr>
          <w:rFonts w:hint="eastAsia" w:asciiTheme="minorEastAsia" w:hAnsiTheme="minorEastAsia" w:eastAsiaTheme="minorEastAsia" w:cstheme="minorEastAsia"/>
          <w:b/>
          <w:bCs/>
          <w:color w:val="auto"/>
          <w:sz w:val="21"/>
          <w:szCs w:val="21"/>
          <w:highlight w:val="none"/>
        </w:rPr>
        <w:t>任何异议</w:t>
      </w:r>
      <w:r>
        <w:rPr>
          <w:rFonts w:hint="eastAsia" w:asciiTheme="minorEastAsia" w:hAnsiTheme="minorEastAsia" w:eastAsiaTheme="minorEastAsia" w:cstheme="minorEastAsia"/>
          <w:b/>
          <w:bCs/>
          <w:color w:val="auto"/>
          <w:sz w:val="21"/>
          <w:szCs w:val="21"/>
          <w:highlight w:val="none"/>
          <w:lang w:eastAsia="zh-CN"/>
        </w:rPr>
        <w:t>不再接受</w:t>
      </w:r>
      <w:r>
        <w:rPr>
          <w:rFonts w:hint="eastAsia" w:asciiTheme="minorEastAsia" w:hAnsiTheme="minorEastAsia" w:eastAsiaTheme="minorEastAsia" w:cstheme="minorEastAsia"/>
          <w:b/>
          <w:bCs/>
          <w:color w:val="auto"/>
          <w:sz w:val="21"/>
          <w:szCs w:val="21"/>
          <w:highlight w:val="none"/>
        </w:rPr>
        <w:t>。</w:t>
      </w:r>
    </w:p>
    <w:p w14:paraId="3CCACAB3">
      <w:pPr>
        <w:keepNext/>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b/>
          <w:bCs/>
          <w:color w:val="auto"/>
          <w:sz w:val="21"/>
          <w:szCs w:val="21"/>
          <w:highlight w:val="none"/>
        </w:rPr>
      </w:pPr>
      <w:bookmarkStart w:id="570" w:name="_Toc2061"/>
      <w:bookmarkStart w:id="571" w:name="_Toc8689"/>
      <w:bookmarkStart w:id="572" w:name="_Toc2864"/>
      <w:r>
        <w:rPr>
          <w:rFonts w:hint="eastAsia" w:asciiTheme="minorEastAsia" w:hAnsiTheme="minorEastAsia" w:eastAsiaTheme="minorEastAsia" w:cstheme="minorEastAsia"/>
          <w:b/>
          <w:bCs/>
          <w:color w:val="auto"/>
          <w:sz w:val="21"/>
          <w:szCs w:val="21"/>
          <w:highlight w:val="none"/>
        </w:rPr>
        <w:t>5.2磋商程序</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14:paraId="3D3D5255">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0" w:firstLineChars="200"/>
        <w:jc w:val="both"/>
        <w:textAlignment w:val="auto"/>
        <w:outlineLvl w:val="9"/>
        <w:rPr>
          <w:rFonts w:hint="eastAsia" w:asciiTheme="minorEastAsia" w:hAnsiTheme="minorEastAsia" w:eastAsiaTheme="minorEastAsia" w:cstheme="minorEastAsia"/>
          <w:b w:val="0"/>
          <w:bCs w:val="0"/>
          <w:color w:val="auto"/>
          <w:kern w:val="2"/>
          <w:sz w:val="21"/>
          <w:szCs w:val="21"/>
          <w:highlight w:val="none"/>
          <w:lang w:val="en-US" w:eastAsia="zh-CN" w:bidi="ar-SA"/>
        </w:rPr>
      </w:pPr>
      <w:bookmarkStart w:id="573" w:name="_Toc30403"/>
      <w:bookmarkStart w:id="574" w:name="_Toc14065"/>
      <w:bookmarkStart w:id="575" w:name="_Toc30485"/>
      <w:bookmarkStart w:id="576" w:name="_Toc22975"/>
      <w:bookmarkStart w:id="577" w:name="_Toc152045562"/>
      <w:bookmarkStart w:id="578" w:name="_Toc152042338"/>
      <w:bookmarkStart w:id="579" w:name="_Toc144974530"/>
      <w:r>
        <w:rPr>
          <w:rFonts w:hint="eastAsia" w:asciiTheme="minorEastAsia" w:hAnsiTheme="minorEastAsia" w:eastAsiaTheme="minorEastAsia" w:cstheme="minorEastAsia"/>
          <w:b w:val="0"/>
          <w:bCs w:val="0"/>
          <w:color w:val="auto"/>
          <w:kern w:val="2"/>
          <w:sz w:val="21"/>
          <w:szCs w:val="21"/>
          <w:highlight w:val="none"/>
          <w:lang w:val="en-US" w:eastAsia="zh-CN" w:bidi="ar-SA"/>
        </w:rPr>
        <w:t>5.2.1磋商小组对磋商文件进行熟悉确认。</w:t>
      </w:r>
      <w:bookmarkEnd w:id="573"/>
      <w:bookmarkEnd w:id="574"/>
      <w:bookmarkEnd w:id="575"/>
      <w:bookmarkEnd w:id="576"/>
    </w:p>
    <w:p w14:paraId="608A68DC">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5.2.2磋商小组推选组长，讨论、通过磋商工作流程和磋商要点。</w:t>
      </w:r>
    </w:p>
    <w:p w14:paraId="1BAB5D49">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5.2.</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资格评审审查：磋商开始后，采购人依据磋商文件规定，对供应商进行审查，以确定磋商供应商是否具备参与磋商的资格。</w:t>
      </w:r>
    </w:p>
    <w:p w14:paraId="0579130A">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5.2.</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符合性</w:t>
      </w:r>
      <w:r>
        <w:rPr>
          <w:rFonts w:hint="eastAsia" w:asciiTheme="minorEastAsia" w:hAnsiTheme="minorEastAsia" w:eastAsiaTheme="minorEastAsia" w:cstheme="minorEastAsia"/>
          <w:color w:val="auto"/>
          <w:sz w:val="21"/>
          <w:szCs w:val="21"/>
          <w:highlight w:val="none"/>
        </w:rPr>
        <w:t>审查：磋商开始后，磋商小组依据磋商文件规定，对通过</w:t>
      </w:r>
      <w:r>
        <w:rPr>
          <w:rFonts w:hint="eastAsia" w:asciiTheme="minorEastAsia" w:hAnsiTheme="minorEastAsia" w:eastAsiaTheme="minorEastAsia" w:cstheme="minorEastAsia"/>
          <w:color w:val="auto"/>
          <w:sz w:val="21"/>
          <w:szCs w:val="21"/>
          <w:highlight w:val="none"/>
          <w:lang w:eastAsia="zh-CN"/>
        </w:rPr>
        <w:t>资格</w:t>
      </w:r>
      <w:r>
        <w:rPr>
          <w:rFonts w:hint="eastAsia" w:asciiTheme="minorEastAsia" w:hAnsiTheme="minorEastAsia" w:eastAsiaTheme="minorEastAsia" w:cstheme="minorEastAsia"/>
          <w:color w:val="auto"/>
          <w:sz w:val="21"/>
          <w:szCs w:val="21"/>
          <w:highlight w:val="none"/>
        </w:rPr>
        <w:t>评审的供应商进行审查，以确定磋商供应商是否具备参与磋商的资格。</w:t>
      </w:r>
    </w:p>
    <w:p w14:paraId="6719CF23">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5.2.</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磋商小组对通过资格性和符合性审查的响应文件进行评估，确定与各竞标人磋商的具体内容。</w:t>
      </w:r>
    </w:p>
    <w:p w14:paraId="6FACD019">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5.2.</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磋商过程中，磋商小组可以根据磋商情况实质性变动招标需求中的技术、服务要求以及合同草案条款，但不得变动磋商文件中的其他内容。实质性变动的内容需经采购人(业主)代表确认。并以书面形式通知所有参加磋商的供应商，该变动是磋商文件的有效组成部分。供应商应当按照磋商文件的变动情况和磋商小组的要求重新提交响应文件并由其法定代表人或其授权代表签字或者加盖公章。由授权代表签字的应当附法定代表人授权书。供应商为自然人的应当由本人签字并附身份证。供应商应根据磋商小组的要求，以书面形式在规定时间</w:t>
      </w:r>
      <w:r>
        <w:rPr>
          <w:rFonts w:hint="eastAsia" w:asciiTheme="minorEastAsia" w:hAnsiTheme="minorEastAsia" w:eastAsiaTheme="minorEastAsia" w:cstheme="minorEastAsia"/>
          <w:color w:val="auto"/>
          <w:sz w:val="21"/>
          <w:szCs w:val="21"/>
          <w:highlight w:val="none"/>
          <w:lang w:eastAsia="zh-CN"/>
        </w:rPr>
        <w:t>内作出响应</w:t>
      </w:r>
      <w:r>
        <w:rPr>
          <w:rFonts w:hint="eastAsia" w:asciiTheme="minorEastAsia" w:hAnsiTheme="minorEastAsia" w:eastAsiaTheme="minorEastAsia" w:cstheme="minorEastAsia"/>
          <w:color w:val="auto"/>
          <w:sz w:val="21"/>
          <w:szCs w:val="21"/>
          <w:highlight w:val="none"/>
        </w:rPr>
        <w:t>，未做出响应的响应文件将被视为无效竞标。若磋商小组没有实质性变动招标需求中的技术、服务要求以及合同草案条款，则供应商的最后报价不得高于首次报价，否则按废标处理。</w:t>
      </w:r>
    </w:p>
    <w:p w14:paraId="4B5C7697">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5.2.</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磋商小组对符合招标需求的供应商进行两轮报价；供应商只有通过资格评审、</w:t>
      </w:r>
      <w:r>
        <w:rPr>
          <w:rFonts w:hint="eastAsia" w:asciiTheme="minorEastAsia" w:hAnsiTheme="minorEastAsia" w:eastAsiaTheme="minorEastAsia" w:cstheme="minorEastAsia"/>
          <w:color w:val="auto"/>
          <w:sz w:val="21"/>
          <w:szCs w:val="21"/>
          <w:highlight w:val="none"/>
          <w:lang w:eastAsia="zh-CN"/>
        </w:rPr>
        <w:t>符合</w:t>
      </w:r>
      <w:r>
        <w:rPr>
          <w:rFonts w:hint="eastAsia" w:asciiTheme="minorEastAsia" w:hAnsiTheme="minorEastAsia" w:eastAsiaTheme="minorEastAsia" w:cstheme="minorEastAsia"/>
          <w:color w:val="auto"/>
          <w:sz w:val="21"/>
          <w:szCs w:val="21"/>
          <w:highlight w:val="none"/>
        </w:rPr>
        <w:t>性评审后方可进入下一轮报价，在规定的时间内同时提交报价，最终报价不得超过响应文件中报价。</w:t>
      </w:r>
    </w:p>
    <w:p w14:paraId="78CD012C">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5.2.</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经磋商确定最终招标需求，由磋商小组采用综合评分法对通过初步评审的供应商的响应文件进行综合评分。</w:t>
      </w:r>
    </w:p>
    <w:p w14:paraId="39661965">
      <w:pPr>
        <w:pStyle w:val="48"/>
        <w:keepNext/>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0" w:firstLineChars="0"/>
        <w:jc w:val="both"/>
        <w:textAlignment w:val="auto"/>
        <w:rPr>
          <w:rFonts w:hint="eastAsia" w:asciiTheme="minorEastAsia" w:hAnsiTheme="minorEastAsia" w:eastAsiaTheme="minorEastAsia" w:cstheme="minorEastAsia"/>
          <w:b/>
          <w:bCs/>
          <w:color w:val="auto"/>
          <w:sz w:val="21"/>
          <w:szCs w:val="21"/>
          <w:highlight w:val="none"/>
        </w:rPr>
      </w:pPr>
      <w:bookmarkStart w:id="580" w:name="_Toc455080138"/>
      <w:bookmarkStart w:id="581" w:name="_Toc21785"/>
      <w:bookmarkStart w:id="582" w:name="_Toc14039"/>
      <w:bookmarkStart w:id="583" w:name="_Toc8837"/>
      <w:r>
        <w:rPr>
          <w:rFonts w:hint="eastAsia" w:asciiTheme="minorEastAsia" w:hAnsiTheme="minorEastAsia" w:eastAsiaTheme="minorEastAsia" w:cstheme="minorEastAsia"/>
          <w:b/>
          <w:bCs/>
          <w:color w:val="auto"/>
          <w:sz w:val="21"/>
          <w:szCs w:val="21"/>
          <w:highlight w:val="none"/>
        </w:rPr>
        <w:t>6.</w:t>
      </w:r>
      <w:bookmarkEnd w:id="577"/>
      <w:bookmarkEnd w:id="578"/>
      <w:bookmarkEnd w:id="579"/>
      <w:r>
        <w:rPr>
          <w:rFonts w:hint="eastAsia" w:asciiTheme="minorEastAsia" w:hAnsiTheme="minorEastAsia" w:eastAsiaTheme="minorEastAsia" w:cstheme="minorEastAsia"/>
          <w:b/>
          <w:bCs/>
          <w:color w:val="auto"/>
          <w:sz w:val="21"/>
          <w:szCs w:val="21"/>
          <w:highlight w:val="none"/>
        </w:rPr>
        <w:t>磋商</w:t>
      </w:r>
      <w:bookmarkEnd w:id="580"/>
      <w:r>
        <w:rPr>
          <w:rFonts w:hint="eastAsia" w:asciiTheme="minorEastAsia" w:hAnsiTheme="minorEastAsia" w:eastAsiaTheme="minorEastAsia" w:cstheme="minorEastAsia"/>
          <w:b/>
          <w:bCs/>
          <w:color w:val="auto"/>
          <w:sz w:val="21"/>
          <w:szCs w:val="21"/>
          <w:highlight w:val="none"/>
        </w:rPr>
        <w:t>小组</w:t>
      </w:r>
      <w:bookmarkEnd w:id="581"/>
      <w:bookmarkEnd w:id="582"/>
      <w:bookmarkEnd w:id="583"/>
    </w:p>
    <w:p w14:paraId="5F4AACB4">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bookmarkStart w:id="584" w:name="_Toc9808"/>
      <w:bookmarkStart w:id="585" w:name="_Toc318450706"/>
      <w:bookmarkStart w:id="586" w:name="_Toc26098"/>
      <w:bookmarkStart w:id="587" w:name="_Toc22250"/>
      <w:bookmarkStart w:id="588" w:name="_Toc144974531"/>
      <w:bookmarkStart w:id="589" w:name="_Toc152045563"/>
      <w:bookmarkStart w:id="590" w:name="_Toc152042339"/>
      <w:bookmarkStart w:id="591" w:name="_Toc919"/>
      <w:bookmarkStart w:id="592" w:name="_Toc8157"/>
      <w:bookmarkStart w:id="593" w:name="_Toc490667859"/>
      <w:bookmarkStart w:id="594" w:name="_Toc466298122"/>
      <w:bookmarkStart w:id="595" w:name="_Toc8725"/>
      <w:bookmarkStart w:id="596" w:name="_Toc455867799"/>
      <w:bookmarkStart w:id="597" w:name="_Toc13978"/>
      <w:bookmarkStart w:id="598" w:name="_Toc455080139"/>
      <w:bookmarkStart w:id="599" w:name="_Toc11270"/>
      <w:bookmarkStart w:id="600" w:name="_Toc18985"/>
      <w:bookmarkStart w:id="601" w:name="_Toc23138"/>
      <w:bookmarkStart w:id="602" w:name="_Toc1546"/>
      <w:bookmarkStart w:id="603" w:name="_Toc1574"/>
      <w:bookmarkStart w:id="604" w:name="_Toc25619"/>
      <w:r>
        <w:rPr>
          <w:rFonts w:hint="eastAsia" w:asciiTheme="minorEastAsia" w:hAnsiTheme="minorEastAsia" w:eastAsiaTheme="minorEastAsia" w:cstheme="minorEastAsia"/>
          <w:b/>
          <w:bCs/>
          <w:color w:val="auto"/>
          <w:sz w:val="21"/>
          <w:szCs w:val="21"/>
          <w:highlight w:val="none"/>
        </w:rPr>
        <w:t>6.1</w:t>
      </w:r>
      <w:bookmarkEnd w:id="584"/>
      <w:bookmarkEnd w:id="585"/>
      <w:bookmarkEnd w:id="586"/>
      <w:bookmarkEnd w:id="587"/>
      <w:bookmarkEnd w:id="588"/>
      <w:bookmarkEnd w:id="589"/>
      <w:bookmarkEnd w:id="590"/>
      <w:r>
        <w:rPr>
          <w:rFonts w:hint="eastAsia" w:asciiTheme="minorEastAsia" w:hAnsiTheme="minorEastAsia" w:eastAsiaTheme="minorEastAsia" w:cstheme="minorEastAsia"/>
          <w:b/>
          <w:bCs/>
          <w:color w:val="auto"/>
          <w:sz w:val="21"/>
          <w:szCs w:val="21"/>
          <w:highlight w:val="none"/>
        </w:rPr>
        <w:t>磋商小组</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14:paraId="3B56BB61">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磋商由采购人依法组建的磋商小组负责。磋商小组由采购人代表以及有关技术、经济等方面的专家组成。磋商小组成员人数以及技术、经济等方面专家的确定方式见供应商须知前附表。</w:t>
      </w:r>
    </w:p>
    <w:p w14:paraId="59A1F5C1">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bookmarkStart w:id="605" w:name="_Toc27035"/>
      <w:bookmarkStart w:id="606" w:name="_Toc22143"/>
      <w:bookmarkStart w:id="607" w:name="_Toc152042340"/>
      <w:bookmarkStart w:id="608" w:name="_Toc144974532"/>
      <w:bookmarkStart w:id="609" w:name="_Toc236"/>
      <w:bookmarkStart w:id="610" w:name="_Toc25721"/>
      <w:bookmarkStart w:id="611" w:name="_Toc4435"/>
      <w:bookmarkStart w:id="612" w:name="_Toc8240"/>
      <w:bookmarkStart w:id="613" w:name="_Toc490667860"/>
      <w:bookmarkStart w:id="614" w:name="_Toc18044"/>
      <w:bookmarkStart w:id="615" w:name="_Toc455867800"/>
      <w:bookmarkStart w:id="616" w:name="_Toc318450707"/>
      <w:bookmarkStart w:id="617" w:name="_Toc7286"/>
      <w:bookmarkStart w:id="618" w:name="_Toc466298123"/>
      <w:bookmarkStart w:id="619" w:name="_Toc455080140"/>
      <w:bookmarkStart w:id="620" w:name="_Toc152045564"/>
      <w:bookmarkStart w:id="621" w:name="_Toc21102"/>
      <w:bookmarkStart w:id="622" w:name="_Toc13368"/>
      <w:bookmarkStart w:id="623" w:name="_Toc8248"/>
      <w:bookmarkStart w:id="624" w:name="_Toc23749"/>
      <w:bookmarkStart w:id="625" w:name="_Toc9532"/>
      <w:r>
        <w:rPr>
          <w:rFonts w:hint="eastAsia" w:asciiTheme="minorEastAsia" w:hAnsiTheme="minorEastAsia" w:eastAsiaTheme="minorEastAsia" w:cstheme="minorEastAsia"/>
          <w:b/>
          <w:bCs/>
          <w:color w:val="auto"/>
          <w:sz w:val="21"/>
          <w:szCs w:val="21"/>
          <w:highlight w:val="none"/>
        </w:rPr>
        <w:t>6.2磋商原则</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14:paraId="71000275">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磋商活动遵循公平、公正、科学和择优的原则。</w:t>
      </w:r>
      <w:bookmarkStart w:id="626" w:name="_Toc8705"/>
      <w:bookmarkStart w:id="627" w:name="_Toc15595"/>
      <w:bookmarkStart w:id="628" w:name="_Toc318450708"/>
      <w:bookmarkStart w:id="629" w:name="_Toc16725"/>
      <w:bookmarkStart w:id="630" w:name="_Toc144974533"/>
      <w:bookmarkStart w:id="631" w:name="_Toc152045565"/>
      <w:bookmarkStart w:id="632" w:name="_Toc152042341"/>
      <w:bookmarkStart w:id="633" w:name="_Toc7890"/>
      <w:bookmarkStart w:id="634" w:name="_Toc24358"/>
      <w:bookmarkStart w:id="635" w:name="_Toc455867801"/>
      <w:bookmarkStart w:id="636" w:name="_Toc490667861"/>
      <w:bookmarkStart w:id="637" w:name="_Toc18756"/>
      <w:bookmarkStart w:id="638" w:name="_Toc27036"/>
      <w:bookmarkStart w:id="639" w:name="_Toc3606"/>
      <w:bookmarkStart w:id="640" w:name="_Toc466298124"/>
      <w:bookmarkStart w:id="641" w:name="_Toc455080141"/>
      <w:bookmarkStart w:id="642" w:name="_Toc28734"/>
      <w:bookmarkStart w:id="643" w:name="_Toc20062"/>
    </w:p>
    <w:p w14:paraId="18DFE721">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6.3</w:t>
      </w:r>
      <w:bookmarkEnd w:id="626"/>
      <w:bookmarkEnd w:id="627"/>
      <w:bookmarkEnd w:id="628"/>
      <w:bookmarkEnd w:id="629"/>
      <w:bookmarkEnd w:id="630"/>
      <w:bookmarkEnd w:id="631"/>
      <w:bookmarkEnd w:id="632"/>
      <w:r>
        <w:rPr>
          <w:rFonts w:hint="eastAsia" w:asciiTheme="minorEastAsia" w:hAnsiTheme="minorEastAsia" w:eastAsiaTheme="minorEastAsia" w:cstheme="minorEastAsia"/>
          <w:b/>
          <w:bCs/>
          <w:color w:val="auto"/>
          <w:sz w:val="21"/>
          <w:szCs w:val="21"/>
          <w:highlight w:val="none"/>
        </w:rPr>
        <w:t>磋商</w:t>
      </w:r>
      <w:bookmarkEnd w:id="633"/>
      <w:bookmarkEnd w:id="634"/>
      <w:bookmarkEnd w:id="635"/>
      <w:bookmarkEnd w:id="636"/>
      <w:bookmarkEnd w:id="637"/>
      <w:bookmarkEnd w:id="638"/>
      <w:bookmarkEnd w:id="639"/>
      <w:bookmarkEnd w:id="640"/>
      <w:bookmarkEnd w:id="641"/>
      <w:bookmarkEnd w:id="642"/>
      <w:bookmarkEnd w:id="643"/>
    </w:p>
    <w:p w14:paraId="2EFE1915">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磋商小组按照第三章“评审办法”规定的方法、评审因素、标准和程序对响应文件进行评审。第三章“评审办法”没有规定的方法、评审因素和标准，不作为评标依据。</w:t>
      </w:r>
    </w:p>
    <w:p w14:paraId="1519ACFE">
      <w:pPr>
        <w:pStyle w:val="48"/>
        <w:keepNext/>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0" w:firstLineChars="0"/>
        <w:jc w:val="both"/>
        <w:textAlignment w:val="auto"/>
        <w:rPr>
          <w:rFonts w:hint="eastAsia" w:asciiTheme="minorEastAsia" w:hAnsiTheme="minorEastAsia" w:eastAsiaTheme="minorEastAsia" w:cstheme="minorEastAsia"/>
          <w:b/>
          <w:bCs/>
          <w:color w:val="auto"/>
          <w:sz w:val="21"/>
          <w:szCs w:val="21"/>
          <w:highlight w:val="none"/>
        </w:rPr>
      </w:pPr>
      <w:bookmarkStart w:id="644" w:name="_Toc9522"/>
      <w:bookmarkStart w:id="645" w:name="_Toc17261"/>
      <w:bookmarkStart w:id="646" w:name="_Toc455080142"/>
      <w:bookmarkStart w:id="647" w:name="_Toc152042342"/>
      <w:bookmarkStart w:id="648" w:name="_Toc152045566"/>
      <w:bookmarkStart w:id="649" w:name="_Toc144974534"/>
      <w:bookmarkStart w:id="650" w:name="_Toc31221"/>
      <w:r>
        <w:rPr>
          <w:rFonts w:hint="eastAsia" w:asciiTheme="minorEastAsia" w:hAnsiTheme="minorEastAsia" w:eastAsiaTheme="minorEastAsia" w:cstheme="minorEastAsia"/>
          <w:b/>
          <w:bCs/>
          <w:color w:val="auto"/>
          <w:sz w:val="21"/>
          <w:szCs w:val="21"/>
          <w:highlight w:val="none"/>
        </w:rPr>
        <w:t>7.合同授予</w:t>
      </w:r>
      <w:bookmarkEnd w:id="644"/>
      <w:bookmarkEnd w:id="645"/>
      <w:bookmarkEnd w:id="646"/>
      <w:bookmarkEnd w:id="647"/>
      <w:bookmarkEnd w:id="648"/>
      <w:bookmarkEnd w:id="649"/>
      <w:bookmarkEnd w:id="650"/>
    </w:p>
    <w:p w14:paraId="74AD3D7F">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bookmarkStart w:id="651" w:name="_Toc14528"/>
      <w:bookmarkStart w:id="652" w:name="_Toc455867803"/>
      <w:bookmarkStart w:id="653" w:name="_Toc152042343"/>
      <w:bookmarkStart w:id="654" w:name="_Toc455080143"/>
      <w:bookmarkStart w:id="655" w:name="_Toc152045567"/>
      <w:bookmarkStart w:id="656" w:name="_Toc28547"/>
      <w:bookmarkStart w:id="657" w:name="_Toc25316"/>
      <w:bookmarkStart w:id="658" w:name="_Toc3487"/>
      <w:bookmarkStart w:id="659" w:name="_Toc22461"/>
      <w:bookmarkStart w:id="660" w:name="_Toc144974535"/>
      <w:bookmarkStart w:id="661" w:name="_Toc318450710"/>
      <w:bookmarkStart w:id="662" w:name="_Toc28919"/>
      <w:bookmarkStart w:id="663" w:name="_Toc490667863"/>
      <w:bookmarkStart w:id="664" w:name="_Toc8087"/>
      <w:bookmarkStart w:id="665" w:name="_Toc17660"/>
      <w:bookmarkStart w:id="666" w:name="_Toc29664"/>
      <w:bookmarkStart w:id="667" w:name="_Toc7358"/>
      <w:bookmarkStart w:id="668" w:name="_Toc29686"/>
      <w:bookmarkStart w:id="669" w:name="_Toc20777"/>
      <w:bookmarkStart w:id="670" w:name="_Toc11409"/>
      <w:bookmarkStart w:id="671" w:name="_Toc466298126"/>
      <w:r>
        <w:rPr>
          <w:rFonts w:hint="eastAsia" w:asciiTheme="minorEastAsia" w:hAnsiTheme="minorEastAsia" w:eastAsiaTheme="minorEastAsia" w:cstheme="minorEastAsia"/>
          <w:b/>
          <w:bCs/>
          <w:color w:val="auto"/>
          <w:sz w:val="21"/>
          <w:szCs w:val="21"/>
          <w:highlight w:val="none"/>
        </w:rPr>
        <w:t>7.1定标方式</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14:paraId="03C37C24">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bookmarkStart w:id="672" w:name="_Toc152042344"/>
      <w:bookmarkStart w:id="673" w:name="_Toc28254"/>
      <w:bookmarkStart w:id="674" w:name="_Toc144974536"/>
      <w:bookmarkStart w:id="675" w:name="_Toc152045568"/>
      <w:bookmarkStart w:id="676" w:name="_Toc7066"/>
      <w:bookmarkStart w:id="677" w:name="_Toc10868"/>
      <w:bookmarkStart w:id="678" w:name="_Toc318450711"/>
      <w:r>
        <w:rPr>
          <w:rFonts w:hint="eastAsia" w:asciiTheme="minorEastAsia" w:hAnsiTheme="minorEastAsia" w:eastAsiaTheme="minorEastAsia" w:cstheme="minorEastAsia"/>
          <w:color w:val="auto"/>
          <w:sz w:val="21"/>
          <w:szCs w:val="21"/>
          <w:highlight w:val="none"/>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或者被查实存在影响成交结果的违法行为等情形，不符合成交条件的，采购人可以按照磋商小组提出的成交候选人名单排序依次确定其他成交候选人为成交人，也可以重新磋商。</w:t>
      </w:r>
    </w:p>
    <w:p w14:paraId="55F9E0F7">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bookmarkStart w:id="679" w:name="_Toc455867804"/>
      <w:bookmarkStart w:id="680" w:name="_Toc19781"/>
      <w:bookmarkStart w:id="681" w:name="_Toc490667864"/>
      <w:bookmarkStart w:id="682" w:name="_Toc455080144"/>
      <w:bookmarkStart w:id="683" w:name="_Toc9775"/>
      <w:bookmarkStart w:id="684" w:name="_Toc15866"/>
      <w:bookmarkStart w:id="685" w:name="_Toc16163"/>
      <w:bookmarkStart w:id="686" w:name="_Toc30300"/>
      <w:bookmarkStart w:id="687" w:name="_Toc28177"/>
      <w:bookmarkStart w:id="688" w:name="_Toc5428"/>
      <w:bookmarkStart w:id="689" w:name="_Toc466298127"/>
      <w:bookmarkStart w:id="690" w:name="_Toc5668"/>
      <w:bookmarkStart w:id="691" w:name="_Toc9897"/>
      <w:bookmarkStart w:id="692" w:name="_Toc15825"/>
      <w:r>
        <w:rPr>
          <w:rFonts w:hint="eastAsia" w:asciiTheme="minorEastAsia" w:hAnsiTheme="minorEastAsia" w:eastAsiaTheme="minorEastAsia" w:cstheme="minorEastAsia"/>
          <w:b/>
          <w:bCs/>
          <w:color w:val="auto"/>
          <w:sz w:val="21"/>
          <w:szCs w:val="21"/>
          <w:highlight w:val="none"/>
        </w:rPr>
        <w:t>7.2成交通知</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14:paraId="3CC8EC6F">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zCs w:val="21"/>
        </w:rPr>
      </w:pPr>
      <w:r>
        <w:rPr>
          <w:rFonts w:hint="eastAsia" w:ascii="宋体" w:hAnsi="宋体" w:cs="宋体"/>
          <w:szCs w:val="21"/>
        </w:rPr>
        <w:t>采购人或者采购代理机构应当在成交供应商确定之日起2个工作日内，在《河南省政府采购网》及其它相关网站公告成交结果，同时向成交供应商发出成交通知书，成交通知书是合同的组成部分。</w:t>
      </w:r>
    </w:p>
    <w:p w14:paraId="135E33AF">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bookmarkStart w:id="693" w:name="_Toc26760"/>
      <w:bookmarkStart w:id="694" w:name="_Toc152045570"/>
      <w:bookmarkStart w:id="695" w:name="_Toc9022"/>
      <w:bookmarkStart w:id="696" w:name="_Toc318450712"/>
      <w:bookmarkStart w:id="697" w:name="_Toc26655"/>
      <w:bookmarkStart w:id="698" w:name="_Toc8886"/>
      <w:bookmarkStart w:id="699" w:name="_Toc24026"/>
      <w:bookmarkStart w:id="700" w:name="_Toc10082"/>
      <w:bookmarkStart w:id="701" w:name="_Toc455080145"/>
      <w:bookmarkStart w:id="702" w:name="_Toc144974538"/>
      <w:bookmarkStart w:id="703" w:name="_Toc1704"/>
      <w:bookmarkStart w:id="704" w:name="_Toc21271"/>
      <w:bookmarkStart w:id="705" w:name="_Toc455867805"/>
      <w:bookmarkStart w:id="706" w:name="_Toc152042346"/>
      <w:bookmarkStart w:id="707" w:name="_Toc12508"/>
      <w:bookmarkStart w:id="708" w:name="_Toc466298128"/>
      <w:bookmarkStart w:id="709" w:name="_Toc26915"/>
      <w:bookmarkStart w:id="710" w:name="_Toc13147"/>
      <w:bookmarkStart w:id="711" w:name="_Toc490667865"/>
      <w:bookmarkStart w:id="712" w:name="_Toc12663"/>
      <w:bookmarkStart w:id="713" w:name="_Toc15458"/>
      <w:r>
        <w:rPr>
          <w:rFonts w:hint="eastAsia" w:asciiTheme="minorEastAsia" w:hAnsiTheme="minorEastAsia" w:eastAsiaTheme="minorEastAsia" w:cstheme="minorEastAsia"/>
          <w:b/>
          <w:bCs/>
          <w:color w:val="auto"/>
          <w:sz w:val="21"/>
          <w:szCs w:val="21"/>
          <w:highlight w:val="none"/>
        </w:rPr>
        <w:t>7.3签订合同</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14:paraId="6DF534AC">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eastAsia="zh-CN"/>
        </w:rPr>
      </w:pPr>
      <w:r>
        <w:rPr>
          <w:rFonts w:hint="eastAsia" w:ascii="宋体" w:hAnsi="宋体" w:cs="宋体"/>
          <w:szCs w:val="21"/>
        </w:rPr>
        <w:t>成交供应商应当自发出成交通知书之日起1-2日内</w:t>
      </w:r>
      <w:r>
        <w:rPr>
          <w:rFonts w:hint="eastAsia" w:asciiTheme="minorEastAsia" w:hAnsiTheme="minorEastAsia" w:eastAsiaTheme="minorEastAsia" w:cstheme="minorEastAsia"/>
          <w:color w:val="auto"/>
          <w:sz w:val="21"/>
          <w:szCs w:val="21"/>
          <w:highlight w:val="none"/>
        </w:rPr>
        <w:t>，根据</w:t>
      </w:r>
      <w:r>
        <w:rPr>
          <w:rFonts w:hint="eastAsia" w:asciiTheme="minorEastAsia" w:hAnsiTheme="minorEastAsia" w:eastAsiaTheme="minorEastAsia" w:cstheme="minorEastAsia"/>
          <w:color w:val="auto"/>
          <w:sz w:val="21"/>
          <w:szCs w:val="21"/>
          <w:highlight w:val="none"/>
          <w:lang w:val="en-US" w:eastAsia="zh-CN"/>
        </w:rPr>
        <w:t>磋商</w:t>
      </w:r>
      <w:r>
        <w:rPr>
          <w:rFonts w:hint="eastAsia" w:asciiTheme="minorEastAsia" w:hAnsiTheme="minorEastAsia" w:eastAsiaTheme="minorEastAsia" w:cstheme="minorEastAsia"/>
          <w:color w:val="auto"/>
          <w:sz w:val="21"/>
          <w:szCs w:val="21"/>
          <w:highlight w:val="none"/>
        </w:rPr>
        <w:t>文件和</w:t>
      </w:r>
      <w:r>
        <w:rPr>
          <w:rFonts w:hint="eastAsia" w:asciiTheme="minorEastAsia" w:hAnsiTheme="minorEastAsia" w:eastAsiaTheme="minorEastAsia" w:cstheme="minorEastAsia"/>
          <w:color w:val="auto"/>
          <w:sz w:val="21"/>
          <w:szCs w:val="21"/>
          <w:highlight w:val="none"/>
          <w:lang w:val="en-US" w:eastAsia="zh-CN"/>
        </w:rPr>
        <w:t>成交供应商</w:t>
      </w:r>
      <w:r>
        <w:rPr>
          <w:rFonts w:hint="eastAsia" w:asciiTheme="minorEastAsia" w:hAnsiTheme="minorEastAsia" w:eastAsiaTheme="minorEastAsia" w:cstheme="minorEastAsia"/>
          <w:color w:val="auto"/>
          <w:sz w:val="21"/>
          <w:szCs w:val="21"/>
          <w:highlight w:val="none"/>
        </w:rPr>
        <w:t>的</w:t>
      </w:r>
      <w:r>
        <w:rPr>
          <w:rFonts w:hint="eastAsia" w:asciiTheme="minorEastAsia" w:hAnsiTheme="minorEastAsia" w:eastAsiaTheme="minorEastAsia" w:cstheme="minorEastAsia"/>
          <w:color w:val="auto"/>
          <w:sz w:val="21"/>
          <w:szCs w:val="21"/>
          <w:highlight w:val="none"/>
          <w:lang w:val="en-US" w:eastAsia="zh-CN"/>
        </w:rPr>
        <w:t>响应</w:t>
      </w:r>
      <w:r>
        <w:rPr>
          <w:rFonts w:hint="eastAsia" w:asciiTheme="minorEastAsia" w:hAnsiTheme="minorEastAsia" w:eastAsiaTheme="minorEastAsia" w:cstheme="minorEastAsia"/>
          <w:color w:val="auto"/>
          <w:sz w:val="21"/>
          <w:szCs w:val="21"/>
          <w:highlight w:val="none"/>
        </w:rPr>
        <w:t>文件订立书面合同。</w:t>
      </w:r>
      <w:r>
        <w:rPr>
          <w:rFonts w:hint="eastAsia" w:asciiTheme="minorEastAsia" w:hAnsiTheme="minorEastAsia" w:eastAsiaTheme="minorEastAsia" w:cstheme="minorEastAsia"/>
          <w:color w:val="auto"/>
          <w:sz w:val="21"/>
          <w:szCs w:val="21"/>
          <w:highlight w:val="none"/>
          <w:lang w:val="en-US" w:eastAsia="zh-CN"/>
        </w:rPr>
        <w:t>成交供应商</w:t>
      </w:r>
      <w:r>
        <w:rPr>
          <w:rFonts w:hint="eastAsia" w:asciiTheme="minorEastAsia" w:hAnsiTheme="minorEastAsia" w:eastAsiaTheme="minorEastAsia" w:cstheme="minorEastAsia"/>
          <w:color w:val="auto"/>
          <w:sz w:val="21"/>
          <w:szCs w:val="21"/>
          <w:highlight w:val="none"/>
        </w:rPr>
        <w:t>无正当理由拒签合同的，</w:t>
      </w:r>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人取消其中标资格。成交人无正当理由拒签合同的，采购人取消其成交资格</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发出成交通知书后，采购人无正当理由拒签合同的，给成交人造成损失的，还应当赔偿损失。</w:t>
      </w:r>
      <w:bookmarkStart w:id="714" w:name="_Toc16866"/>
      <w:bookmarkStart w:id="715" w:name="_Toc455080146"/>
      <w:bookmarkStart w:id="716" w:name="_Toc3084"/>
      <w:bookmarkStart w:id="717" w:name="_Toc805"/>
      <w:bookmarkStart w:id="718" w:name="_Toc144974542"/>
      <w:bookmarkStart w:id="719" w:name="_Toc152045574"/>
      <w:bookmarkStart w:id="720" w:name="_Toc152042350"/>
    </w:p>
    <w:p w14:paraId="7B9BB07B">
      <w:pPr>
        <w:pStyle w:val="48"/>
        <w:keepNext/>
        <w:keepLines w:val="0"/>
        <w:pageBreakBefore w:val="0"/>
        <w:widowControl w:val="0"/>
        <w:numPr>
          <w:ilvl w:val="0"/>
          <w:numId w:val="5"/>
        </w:numPr>
        <w:kinsoku/>
        <w:wordWrap/>
        <w:overflowPunct/>
        <w:topLinePunct w:val="0"/>
        <w:autoSpaceDE/>
        <w:autoSpaceDN/>
        <w:bidi w:val="0"/>
        <w:adjustRightInd/>
        <w:snapToGrid/>
        <w:spacing w:beforeLines="0" w:afterLines="0" w:line="360" w:lineRule="auto"/>
        <w:ind w:left="0" w:leftChars="0" w:firstLine="0" w:firstLineChars="0"/>
        <w:jc w:val="both"/>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重新招标</w:t>
      </w:r>
      <w:bookmarkEnd w:id="714"/>
      <w:bookmarkEnd w:id="715"/>
      <w:bookmarkEnd w:id="716"/>
      <w:bookmarkEnd w:id="717"/>
    </w:p>
    <w:p w14:paraId="0BC17735">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bookmarkStart w:id="721" w:name="_Toc16556"/>
      <w:r>
        <w:rPr>
          <w:rFonts w:hint="eastAsia" w:asciiTheme="minorEastAsia" w:hAnsiTheme="minorEastAsia" w:eastAsiaTheme="minorEastAsia" w:cstheme="minorEastAsia"/>
          <w:b/>
          <w:bCs/>
          <w:color w:val="auto"/>
          <w:sz w:val="21"/>
          <w:szCs w:val="21"/>
          <w:highlight w:val="none"/>
        </w:rPr>
        <w:t>8.1重新招标</w:t>
      </w:r>
      <w:bookmarkEnd w:id="721"/>
    </w:p>
    <w:p w14:paraId="7A530718">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bookmarkStart w:id="722" w:name="_Toc9985"/>
      <w:r>
        <w:rPr>
          <w:rFonts w:hint="eastAsia" w:asciiTheme="minorEastAsia" w:hAnsiTheme="minorEastAsia" w:eastAsiaTheme="minorEastAsia" w:cstheme="minorEastAsia"/>
          <w:color w:val="auto"/>
          <w:sz w:val="21"/>
          <w:szCs w:val="21"/>
          <w:highlight w:val="none"/>
        </w:rPr>
        <w:t>有下列情形之一的，采购人将重新招标：</w:t>
      </w:r>
      <w:bookmarkEnd w:id="722"/>
    </w:p>
    <w:p w14:paraId="1252A3F5">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eastAsia="zh-CN"/>
        </w:rPr>
      </w:pPr>
      <w:bookmarkStart w:id="723" w:name="_Toc25063"/>
      <w:r>
        <w:rPr>
          <w:rFonts w:hint="eastAsia" w:asciiTheme="minorEastAsia" w:hAnsiTheme="minorEastAsia" w:eastAsiaTheme="minorEastAsia" w:cstheme="minorEastAsia"/>
          <w:color w:val="auto"/>
          <w:sz w:val="21"/>
          <w:szCs w:val="21"/>
          <w:highlight w:val="none"/>
        </w:rPr>
        <w:t>（1）在采购过程中符合要求的供应商不足3家的；</w:t>
      </w:r>
      <w:bookmarkEnd w:id="723"/>
    </w:p>
    <w:p w14:paraId="5C94C4D2">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bookmarkStart w:id="724" w:name="_Toc17911"/>
      <w:r>
        <w:rPr>
          <w:rFonts w:hint="eastAsia" w:asciiTheme="minorEastAsia" w:hAnsiTheme="minorEastAsia" w:eastAsiaTheme="minorEastAsia" w:cstheme="minorEastAsia"/>
          <w:color w:val="auto"/>
          <w:sz w:val="21"/>
          <w:szCs w:val="21"/>
          <w:highlight w:val="none"/>
        </w:rPr>
        <w:t>（2）经磋商小组评审后否决所有响应文件的。</w:t>
      </w:r>
      <w:bookmarkEnd w:id="724"/>
      <w:bookmarkStart w:id="725" w:name="_Toc9996"/>
      <w:bookmarkStart w:id="726" w:name="_Toc10011"/>
      <w:bookmarkStart w:id="727" w:name="_Toc15558"/>
      <w:bookmarkStart w:id="728" w:name="_Toc455080147"/>
    </w:p>
    <w:p w14:paraId="7F9A70C8">
      <w:pPr>
        <w:keepNext/>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9.纪律和监督</w:t>
      </w:r>
      <w:bookmarkEnd w:id="718"/>
      <w:bookmarkEnd w:id="719"/>
      <w:bookmarkEnd w:id="720"/>
      <w:bookmarkEnd w:id="725"/>
      <w:bookmarkEnd w:id="726"/>
      <w:bookmarkEnd w:id="727"/>
      <w:bookmarkEnd w:id="728"/>
    </w:p>
    <w:p w14:paraId="13755527">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bookmarkStart w:id="729" w:name="_Toc697"/>
      <w:bookmarkStart w:id="730" w:name="_Toc455867808"/>
      <w:bookmarkStart w:id="731" w:name="_Toc15592"/>
      <w:bookmarkStart w:id="732" w:name="_Toc12992"/>
      <w:bookmarkStart w:id="733" w:name="_Toc13970"/>
      <w:bookmarkStart w:id="734" w:name="_Toc455080148"/>
      <w:bookmarkStart w:id="735" w:name="_Toc4"/>
      <w:bookmarkStart w:id="736" w:name="_Toc19159"/>
      <w:bookmarkStart w:id="737" w:name="_Toc466298131"/>
      <w:bookmarkStart w:id="738" w:name="_Toc269"/>
      <w:bookmarkStart w:id="739" w:name="_Toc27836"/>
      <w:bookmarkStart w:id="740" w:name="_Toc152042351"/>
      <w:bookmarkStart w:id="741" w:name="_Toc152045575"/>
      <w:bookmarkStart w:id="742" w:name="_Toc15769"/>
      <w:bookmarkStart w:id="743" w:name="_Toc20009"/>
      <w:bookmarkStart w:id="744" w:name="_Toc144974543"/>
      <w:bookmarkStart w:id="745" w:name="_Toc2646"/>
      <w:bookmarkStart w:id="746" w:name="_Toc1282"/>
      <w:bookmarkStart w:id="747" w:name="_Toc18997"/>
      <w:bookmarkStart w:id="748" w:name="_Toc490667868"/>
      <w:bookmarkStart w:id="749" w:name="_Toc318450714"/>
      <w:r>
        <w:rPr>
          <w:rFonts w:hint="eastAsia" w:asciiTheme="minorEastAsia" w:hAnsiTheme="minorEastAsia" w:eastAsiaTheme="minorEastAsia" w:cstheme="minorEastAsia"/>
          <w:b/>
          <w:bCs/>
          <w:color w:val="auto"/>
          <w:sz w:val="21"/>
          <w:szCs w:val="21"/>
          <w:highlight w:val="none"/>
        </w:rPr>
        <w:t>9.1对</w:t>
      </w:r>
      <w:r>
        <w:rPr>
          <w:rFonts w:hint="eastAsia" w:asciiTheme="minorEastAsia" w:hAnsiTheme="minorEastAsia" w:eastAsiaTheme="minorEastAsia" w:cstheme="minorEastAsia"/>
          <w:b/>
          <w:bCs/>
          <w:color w:val="auto"/>
          <w:sz w:val="21"/>
          <w:szCs w:val="21"/>
          <w:highlight w:val="none"/>
          <w:lang w:eastAsia="zh-CN"/>
        </w:rPr>
        <w:t>采购人</w:t>
      </w:r>
      <w:r>
        <w:rPr>
          <w:rFonts w:hint="eastAsia" w:asciiTheme="minorEastAsia" w:hAnsiTheme="minorEastAsia" w:eastAsiaTheme="minorEastAsia" w:cstheme="minorEastAsia"/>
          <w:b/>
          <w:bCs/>
          <w:color w:val="auto"/>
          <w:sz w:val="21"/>
          <w:szCs w:val="21"/>
          <w:highlight w:val="none"/>
        </w:rPr>
        <w:t>的纪律要求</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14:paraId="1314C747">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采购人</w:t>
      </w:r>
      <w:r>
        <w:rPr>
          <w:rFonts w:hint="eastAsia" w:asciiTheme="minorEastAsia" w:hAnsiTheme="minorEastAsia" w:eastAsiaTheme="minorEastAsia" w:cstheme="minorEastAsia"/>
          <w:color w:val="auto"/>
          <w:sz w:val="21"/>
          <w:szCs w:val="21"/>
          <w:highlight w:val="none"/>
          <w:lang w:eastAsia="zh-CN"/>
        </w:rPr>
        <w:t>不得泄露</w:t>
      </w:r>
      <w:r>
        <w:rPr>
          <w:rFonts w:hint="eastAsia" w:asciiTheme="minorEastAsia" w:hAnsiTheme="minorEastAsia" w:eastAsiaTheme="minorEastAsia" w:cstheme="minorEastAsia"/>
          <w:color w:val="auto"/>
          <w:sz w:val="21"/>
          <w:szCs w:val="21"/>
          <w:highlight w:val="none"/>
        </w:rPr>
        <w:t>磋商活动中应当保密的情况和资料，不得与供应商串通损害国家利益、社会公共利益或者他人合法权益。</w:t>
      </w:r>
    </w:p>
    <w:p w14:paraId="5E1B9C41">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bookmarkStart w:id="750" w:name="_Toc18204"/>
      <w:bookmarkStart w:id="751" w:name="_Toc1743"/>
      <w:bookmarkStart w:id="752" w:name="_Toc152045576"/>
      <w:bookmarkStart w:id="753" w:name="_Toc20261"/>
      <w:bookmarkStart w:id="754" w:name="_Toc7572"/>
      <w:bookmarkStart w:id="755" w:name="_Toc3089"/>
      <w:bookmarkStart w:id="756" w:name="_Toc17040"/>
      <w:bookmarkStart w:id="757" w:name="_Toc21922"/>
      <w:bookmarkStart w:id="758" w:name="_Toc2132"/>
      <w:bookmarkStart w:id="759" w:name="_Toc490667869"/>
      <w:bookmarkStart w:id="760" w:name="_Toc27698"/>
      <w:bookmarkStart w:id="761" w:name="_Toc318450715"/>
      <w:bookmarkStart w:id="762" w:name="_Toc144974544"/>
      <w:bookmarkStart w:id="763" w:name="_Toc18604"/>
      <w:bookmarkStart w:id="764" w:name="_Toc19167"/>
      <w:bookmarkStart w:id="765" w:name="_Toc23323"/>
      <w:bookmarkStart w:id="766" w:name="_Toc455080149"/>
      <w:bookmarkStart w:id="767" w:name="_Toc21646"/>
      <w:bookmarkStart w:id="768" w:name="_Toc152042352"/>
      <w:bookmarkStart w:id="769" w:name="_Toc455867809"/>
      <w:bookmarkStart w:id="770" w:name="_Toc466298132"/>
      <w:r>
        <w:rPr>
          <w:rFonts w:hint="eastAsia" w:asciiTheme="minorEastAsia" w:hAnsiTheme="minorEastAsia" w:eastAsiaTheme="minorEastAsia" w:cstheme="minorEastAsia"/>
          <w:b/>
          <w:bCs/>
          <w:color w:val="auto"/>
          <w:sz w:val="21"/>
          <w:szCs w:val="21"/>
          <w:highlight w:val="none"/>
        </w:rPr>
        <w:t>9.2对供应商的纪律要求</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14:paraId="39C0B85A">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供应商不得相互串通或者与采购人串通，不得向采购人或者谈判小组行贿谋取成交，不得以他人名义或者以其他方式弄虚作假骗取成交；供应商不得以任何方式干扰、影响评审工作。</w:t>
      </w:r>
    </w:p>
    <w:p w14:paraId="4402C428">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bookmarkStart w:id="771" w:name="_Toc25241"/>
      <w:bookmarkStart w:id="772" w:name="_Toc144974545"/>
      <w:bookmarkStart w:id="773" w:name="_Toc9067"/>
      <w:bookmarkStart w:id="774" w:name="_Toc455080150"/>
      <w:bookmarkStart w:id="775" w:name="_Toc455867810"/>
      <w:bookmarkStart w:id="776" w:name="_Toc466298133"/>
      <w:bookmarkStart w:id="777" w:name="_Toc152045577"/>
      <w:bookmarkStart w:id="778" w:name="_Toc152042353"/>
      <w:bookmarkStart w:id="779" w:name="_Toc12177"/>
      <w:bookmarkStart w:id="780" w:name="_Toc7107"/>
      <w:bookmarkStart w:id="781" w:name="_Toc25211"/>
      <w:bookmarkStart w:id="782" w:name="_Toc30153"/>
      <w:bookmarkStart w:id="783" w:name="_Toc490667870"/>
      <w:bookmarkStart w:id="784" w:name="_Toc318450716"/>
      <w:bookmarkStart w:id="785" w:name="_Toc19965"/>
      <w:bookmarkStart w:id="786" w:name="_Toc29278"/>
      <w:bookmarkStart w:id="787" w:name="_Toc28813"/>
      <w:bookmarkStart w:id="788" w:name="_Toc31001"/>
      <w:bookmarkStart w:id="789" w:name="_Toc32320"/>
      <w:bookmarkStart w:id="790" w:name="_Toc12316"/>
      <w:bookmarkStart w:id="791" w:name="_Toc7439"/>
      <w:r>
        <w:rPr>
          <w:rFonts w:hint="eastAsia" w:asciiTheme="minorEastAsia" w:hAnsiTheme="minorEastAsia" w:eastAsiaTheme="minorEastAsia" w:cstheme="minorEastAsia"/>
          <w:b/>
          <w:bCs/>
          <w:color w:val="auto"/>
          <w:sz w:val="21"/>
          <w:szCs w:val="21"/>
          <w:highlight w:val="none"/>
        </w:rPr>
        <w:t>9.3对磋商小组成员的纪律要求</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p w14:paraId="684B46E6">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磋商小组成员不得收受他人的财物或者其他好处，不得向他人</w:t>
      </w:r>
      <w:r>
        <w:rPr>
          <w:rFonts w:hint="eastAsia" w:asciiTheme="minorEastAsia" w:hAnsiTheme="minorEastAsia" w:eastAsiaTheme="minorEastAsia" w:cstheme="minorEastAsia"/>
          <w:color w:val="auto"/>
          <w:sz w:val="21"/>
          <w:szCs w:val="21"/>
          <w:highlight w:val="none"/>
          <w:lang w:eastAsia="zh-CN"/>
        </w:rPr>
        <w:t>透露</w:t>
      </w:r>
      <w:r>
        <w:rPr>
          <w:rFonts w:hint="eastAsia" w:asciiTheme="minorEastAsia" w:hAnsiTheme="minorEastAsia" w:eastAsiaTheme="minorEastAsia" w:cstheme="minorEastAsia"/>
          <w:color w:val="auto"/>
          <w:sz w:val="21"/>
          <w:szCs w:val="21"/>
          <w:highlight w:val="none"/>
        </w:rPr>
        <w:t>对响应文件的评审和比较、成交候选人的推荐情况以及评标有关的其他情况。在磋商活动中，磋商小组成员不得擅离职守，影响评标程序正常进行，不得使用第三章“评审办法”没有规定的评审因素和标准进行评标。</w:t>
      </w:r>
    </w:p>
    <w:p w14:paraId="13536460">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bookmarkStart w:id="792" w:name="_Toc17987"/>
      <w:bookmarkStart w:id="793" w:name="_Toc152045578"/>
      <w:bookmarkStart w:id="794" w:name="_Toc318450717"/>
      <w:bookmarkStart w:id="795" w:name="_Toc235"/>
      <w:bookmarkStart w:id="796" w:name="_Toc490667871"/>
      <w:bookmarkStart w:id="797" w:name="_Toc152042354"/>
      <w:bookmarkStart w:id="798" w:name="_Toc1295"/>
      <w:bookmarkStart w:id="799" w:name="_Toc7368"/>
      <w:bookmarkStart w:id="800" w:name="_Toc23717"/>
      <w:bookmarkStart w:id="801" w:name="_Toc455867811"/>
      <w:bookmarkStart w:id="802" w:name="_Toc24"/>
      <w:bookmarkStart w:id="803" w:name="_Toc19485"/>
      <w:bookmarkStart w:id="804" w:name="_Toc20546"/>
      <w:bookmarkStart w:id="805" w:name="_Toc27559"/>
      <w:bookmarkStart w:id="806" w:name="_Toc11790"/>
      <w:bookmarkStart w:id="807" w:name="_Toc466298134"/>
      <w:bookmarkStart w:id="808" w:name="_Toc455080151"/>
      <w:bookmarkStart w:id="809" w:name="_Toc22936"/>
      <w:bookmarkStart w:id="810" w:name="_Toc9063"/>
      <w:bookmarkStart w:id="811" w:name="_Toc26462"/>
      <w:bookmarkStart w:id="812" w:name="_Toc144974546"/>
      <w:r>
        <w:rPr>
          <w:rFonts w:hint="eastAsia" w:asciiTheme="minorEastAsia" w:hAnsiTheme="minorEastAsia" w:eastAsiaTheme="minorEastAsia" w:cstheme="minorEastAsia"/>
          <w:b/>
          <w:bCs/>
          <w:color w:val="auto"/>
          <w:sz w:val="21"/>
          <w:szCs w:val="21"/>
          <w:highlight w:val="none"/>
        </w:rPr>
        <w:t>9.4对与评标活动有关的工作人员的纪律要求</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p>
    <w:p w14:paraId="5C19919C">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bookmarkStart w:id="813" w:name="_Toc152042355"/>
      <w:r>
        <w:rPr>
          <w:rFonts w:hint="eastAsia" w:asciiTheme="minorEastAsia" w:hAnsiTheme="minorEastAsia" w:eastAsiaTheme="minorEastAsia" w:cstheme="minorEastAsia"/>
          <w:color w:val="auto"/>
          <w:sz w:val="21"/>
          <w:szCs w:val="21"/>
          <w:highlight w:val="none"/>
        </w:rPr>
        <w:t>与评标活动有关的工作人员不得收受他人的财物或者其他好处，不得向他人</w:t>
      </w:r>
      <w:r>
        <w:rPr>
          <w:rFonts w:hint="eastAsia" w:asciiTheme="minorEastAsia" w:hAnsiTheme="minorEastAsia" w:eastAsiaTheme="minorEastAsia" w:cstheme="minorEastAsia"/>
          <w:color w:val="auto"/>
          <w:sz w:val="21"/>
          <w:szCs w:val="21"/>
          <w:highlight w:val="none"/>
          <w:lang w:eastAsia="zh-CN"/>
        </w:rPr>
        <w:t>透露</w:t>
      </w:r>
      <w:r>
        <w:rPr>
          <w:rFonts w:hint="eastAsia" w:asciiTheme="minorEastAsia" w:hAnsiTheme="minorEastAsia" w:eastAsiaTheme="minorEastAsia" w:cstheme="minorEastAsia"/>
          <w:color w:val="auto"/>
          <w:sz w:val="21"/>
          <w:szCs w:val="21"/>
          <w:highlight w:val="none"/>
        </w:rPr>
        <w:t>对响应文件的评审和比较、成交候选人的推荐情况以及评标有关的其他情况。在评标活动中，与评标活动有关的工作人员不得擅离职守，影响评标程序正常进行。</w:t>
      </w:r>
      <w:bookmarkEnd w:id="813"/>
    </w:p>
    <w:p w14:paraId="25DE1036">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bookmarkStart w:id="814" w:name="_Toc1820"/>
      <w:bookmarkStart w:id="815" w:name="_Toc4306"/>
      <w:bookmarkStart w:id="816" w:name="_Toc32675"/>
      <w:bookmarkStart w:id="817" w:name="_Toc5504"/>
      <w:bookmarkStart w:id="818" w:name="_Toc23551"/>
      <w:bookmarkStart w:id="819" w:name="_Toc455867812"/>
      <w:bookmarkStart w:id="820" w:name="_Toc455080152"/>
      <w:bookmarkStart w:id="821" w:name="_Toc152045579"/>
      <w:bookmarkStart w:id="822" w:name="_Toc3303"/>
      <w:bookmarkStart w:id="823" w:name="_Toc490667872"/>
      <w:bookmarkStart w:id="824" w:name="_Toc318450718"/>
      <w:bookmarkStart w:id="825" w:name="_Toc8074"/>
      <w:bookmarkStart w:id="826" w:name="_Toc25751"/>
      <w:bookmarkStart w:id="827" w:name="_Toc31010"/>
      <w:bookmarkStart w:id="828" w:name="_Toc466298135"/>
      <w:bookmarkStart w:id="829" w:name="_Toc152042356"/>
      <w:bookmarkStart w:id="830" w:name="_Toc6199"/>
      <w:bookmarkStart w:id="831" w:name="_Toc17735"/>
      <w:bookmarkStart w:id="832" w:name="_Toc25816"/>
      <w:bookmarkStart w:id="833" w:name="_Toc3617"/>
      <w:r>
        <w:rPr>
          <w:rFonts w:hint="eastAsia" w:asciiTheme="minorEastAsia" w:hAnsiTheme="minorEastAsia" w:eastAsiaTheme="minorEastAsia" w:cstheme="minorEastAsia"/>
          <w:b/>
          <w:bCs/>
          <w:color w:val="auto"/>
          <w:sz w:val="21"/>
          <w:szCs w:val="21"/>
          <w:highlight w:val="none"/>
        </w:rPr>
        <w:t>9.5投诉</w:t>
      </w:r>
      <w:bookmarkEnd w:id="812"/>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14:paraId="774E9451">
      <w:pPr>
        <w:pStyle w:val="49"/>
        <w:keepNext/>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20" w:firstLineChars="200"/>
        <w:jc w:val="both"/>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供应商和其他利害关系人认为本次磋商活动违反法律、法规和规章规定的，有权向有关行政监督部门投诉。</w:t>
      </w:r>
    </w:p>
    <w:p w14:paraId="41BFFFFB">
      <w:pPr>
        <w:pStyle w:val="48"/>
        <w:keepNext/>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0" w:firstLineChars="0"/>
        <w:jc w:val="both"/>
        <w:textAlignment w:val="auto"/>
        <w:rPr>
          <w:rFonts w:hint="eastAsia" w:asciiTheme="minorEastAsia" w:hAnsiTheme="minorEastAsia" w:eastAsiaTheme="minorEastAsia" w:cstheme="minorEastAsia"/>
          <w:b/>
          <w:bCs/>
          <w:color w:val="auto"/>
          <w:sz w:val="21"/>
          <w:szCs w:val="21"/>
          <w:highlight w:val="none"/>
        </w:rPr>
      </w:pPr>
      <w:bookmarkStart w:id="834" w:name="_Toc16094"/>
      <w:bookmarkStart w:id="835" w:name="_Toc455080153"/>
      <w:bookmarkStart w:id="836" w:name="_Toc152045580"/>
      <w:bookmarkStart w:id="837" w:name="_Toc14221"/>
      <w:bookmarkStart w:id="838" w:name="_Toc144974547"/>
      <w:bookmarkStart w:id="839" w:name="_Toc21681"/>
      <w:bookmarkStart w:id="840" w:name="_Toc152042357"/>
      <w:r>
        <w:rPr>
          <w:rFonts w:hint="eastAsia" w:asciiTheme="minorEastAsia" w:hAnsiTheme="minorEastAsia" w:eastAsiaTheme="minorEastAsia" w:cstheme="minorEastAsia"/>
          <w:b/>
          <w:bCs/>
          <w:color w:val="auto"/>
          <w:sz w:val="21"/>
          <w:szCs w:val="21"/>
          <w:highlight w:val="none"/>
        </w:rPr>
        <w:t>10.需要补充的其他内容</w:t>
      </w:r>
      <w:bookmarkEnd w:id="834"/>
      <w:bookmarkEnd w:id="835"/>
      <w:bookmarkEnd w:id="836"/>
      <w:bookmarkEnd w:id="837"/>
      <w:bookmarkEnd w:id="838"/>
      <w:bookmarkEnd w:id="839"/>
      <w:bookmarkEnd w:id="840"/>
    </w:p>
    <w:p w14:paraId="1B1A0EED">
      <w:pPr>
        <w:keepNext/>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 w:val="21"/>
          <w:szCs w:val="21"/>
          <w:highlight w:val="none"/>
        </w:rPr>
      </w:pPr>
      <w:bookmarkStart w:id="841" w:name="_Toc5706"/>
      <w:bookmarkStart w:id="842" w:name="_Toc490667874"/>
      <w:bookmarkStart w:id="843" w:name="_Toc14763"/>
      <w:bookmarkStart w:id="844" w:name="_Toc22486"/>
      <w:bookmarkStart w:id="845" w:name="_Toc5176"/>
      <w:bookmarkStart w:id="846" w:name="_Toc10636"/>
      <w:bookmarkStart w:id="847" w:name="_Toc24865"/>
      <w:bookmarkStart w:id="848" w:name="_Toc17627"/>
      <w:r>
        <w:rPr>
          <w:rFonts w:hint="eastAsia" w:asciiTheme="minorEastAsia" w:hAnsiTheme="minorEastAsia" w:eastAsiaTheme="minorEastAsia" w:cstheme="minorEastAsia"/>
          <w:color w:val="auto"/>
          <w:sz w:val="21"/>
          <w:szCs w:val="21"/>
          <w:highlight w:val="none"/>
        </w:rPr>
        <w:t>需要补充的其他内容：见供应商须知前附表。</w:t>
      </w:r>
      <w:bookmarkEnd w:id="841"/>
      <w:bookmarkEnd w:id="842"/>
      <w:bookmarkEnd w:id="843"/>
      <w:bookmarkEnd w:id="844"/>
      <w:bookmarkEnd w:id="845"/>
      <w:bookmarkEnd w:id="846"/>
      <w:bookmarkEnd w:id="847"/>
      <w:bookmarkEnd w:id="848"/>
    </w:p>
    <w:p w14:paraId="7E135698">
      <w:pPr>
        <w:keepNext/>
        <w:keepLines w:val="0"/>
        <w:pageBreakBefore w:val="0"/>
        <w:widowControl w:val="0"/>
        <w:kinsoku/>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br w:type="page"/>
      </w:r>
    </w:p>
    <w:p w14:paraId="5E16A412">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1"/>
        <w:rPr>
          <w:rFonts w:hint="eastAsia" w:asciiTheme="minorEastAsia" w:hAnsiTheme="minorEastAsia" w:eastAsiaTheme="minorEastAsia" w:cstheme="minorEastAsia"/>
          <w:b/>
          <w:bCs/>
          <w:color w:val="auto"/>
          <w:sz w:val="32"/>
          <w:szCs w:val="32"/>
          <w:highlight w:val="none"/>
        </w:rPr>
      </w:pPr>
      <w:bookmarkStart w:id="849" w:name="_Toc2523"/>
      <w:r>
        <w:rPr>
          <w:rFonts w:hint="eastAsia" w:asciiTheme="minorEastAsia" w:hAnsiTheme="minorEastAsia" w:eastAsiaTheme="minorEastAsia" w:cstheme="minorEastAsia"/>
          <w:b/>
          <w:color w:val="auto"/>
          <w:sz w:val="32"/>
          <w:szCs w:val="32"/>
          <w:highlight w:val="none"/>
        </w:rPr>
        <w:t>河南省政府采购合同融资政策告知函</w:t>
      </w:r>
      <w:bookmarkEnd w:id="849"/>
    </w:p>
    <w:p w14:paraId="4BDD7354">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p>
    <w:p w14:paraId="08F006DF">
      <w:pPr>
        <w:keepNext w:val="0"/>
        <w:keepLines w:val="0"/>
        <w:pageBreakBefore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各</w:t>
      </w:r>
      <w:r>
        <w:rPr>
          <w:rFonts w:hint="eastAsia" w:asciiTheme="minorEastAsia" w:hAnsiTheme="minorEastAsia" w:eastAsia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w:t>
      </w:r>
    </w:p>
    <w:p w14:paraId="2B611AEC">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欢迎贵公司参与河南省政府采购活动！</w:t>
      </w:r>
    </w:p>
    <w:p w14:paraId="0FB23F31">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政府采购合同融资是河南省财政厅支持中小微企业发展，针对参与政府采购活动的投标人融资难、融资贵问题推出的一项融资政策。贵公司若成为本次政府采购项目的中标成交投标人，可持政府采购合同向金融机构申请贷款，无需抵押、担保，融资机构将根据《河南省政府采购合同融资工作实施方案》（豫财购〔2017〕10号），按照双方自愿的原则提供便捷、优惠的贷款服务。</w:t>
      </w:r>
    </w:p>
    <w:p w14:paraId="6893CD1A">
      <w:pPr>
        <w:keepNext w:val="0"/>
        <w:keepLines w:val="0"/>
        <w:pageBreakBefore w:val="0"/>
        <w:kinsoku/>
        <w:wordWrap/>
        <w:overflowPunct/>
        <w:topLinePunct w:val="0"/>
        <w:autoSpaceDE/>
        <w:autoSpaceDN/>
        <w:bidi w:val="0"/>
        <w:adjustRightInd/>
        <w:snapToGrid/>
        <w:spacing w:line="50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贷款渠道和提供贷款的金融机构，可在河南省政府采购网“河南省政府采购合同融资平台”查询联系。</w:t>
      </w:r>
    </w:p>
    <w:p w14:paraId="263029A1">
      <w:pPr>
        <w:pStyle w:val="30"/>
        <w:keepNext w:val="0"/>
        <w:keepLines w:val="0"/>
        <w:pageBreakBefore w:val="0"/>
        <w:kinsoku/>
        <w:wordWrap/>
        <w:overflowPunct/>
        <w:topLinePunct w:val="0"/>
        <w:autoSpaceDE/>
        <w:autoSpaceDN/>
        <w:bidi w:val="0"/>
        <w:adjustRightInd/>
        <w:snapToGrid/>
        <w:spacing w:after="0" w:afterLines="0" w:line="500" w:lineRule="exact"/>
        <w:ind w:left="0" w:leftChars="0" w:firstLine="454" w:firstLineChars="200"/>
        <w:jc w:val="left"/>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pacing w:val="8"/>
          <w:sz w:val="21"/>
          <w:szCs w:val="21"/>
          <w:highlight w:val="none"/>
          <w:shd w:val="clear" w:color="080000" w:fill="FFFFFF"/>
        </w:rPr>
        <w:t>注：1.</w:t>
      </w:r>
      <w:r>
        <w:rPr>
          <w:rFonts w:hint="eastAsia" w:asciiTheme="minorEastAsia" w:hAnsiTheme="minorEastAsia" w:eastAsiaTheme="minorEastAsia" w:cstheme="minorEastAsia"/>
          <w:b/>
          <w:bCs/>
          <w:color w:val="auto"/>
          <w:sz w:val="21"/>
          <w:szCs w:val="21"/>
          <w:highlight w:val="none"/>
        </w:rPr>
        <w:t>预进行合同融资的，在签订合同时，投标人的合同账号需为合同融资行指定的账户和账号。</w:t>
      </w:r>
    </w:p>
    <w:p w14:paraId="76F7C6C0">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8"/>
          <w:sz w:val="21"/>
          <w:szCs w:val="21"/>
          <w:highlight w:val="none"/>
          <w:shd w:val="clear" w:color="080000" w:fill="FFFFFF"/>
        </w:rPr>
        <w:t>2.</w:t>
      </w:r>
      <w:r>
        <w:rPr>
          <w:rFonts w:hint="eastAsia" w:asciiTheme="minorEastAsia" w:hAnsiTheme="minorEastAsia" w:eastAsiaTheme="minorEastAsia" w:cstheme="minorEastAsia"/>
          <w:b/>
          <w:bCs/>
          <w:color w:val="auto"/>
          <w:spacing w:val="8"/>
          <w:sz w:val="21"/>
          <w:szCs w:val="21"/>
          <w:highlight w:val="none"/>
          <w:shd w:val="clear" w:color="080000" w:fill="FFFFFF"/>
          <w:lang w:eastAsia="zh-CN"/>
        </w:rPr>
        <w:t>预</w:t>
      </w:r>
      <w:r>
        <w:rPr>
          <w:rFonts w:hint="eastAsia" w:asciiTheme="minorEastAsia" w:hAnsiTheme="minorEastAsia" w:eastAsiaTheme="minorEastAsia" w:cstheme="minorEastAsia"/>
          <w:b/>
          <w:bCs/>
          <w:color w:val="auto"/>
          <w:spacing w:val="8"/>
          <w:sz w:val="21"/>
          <w:szCs w:val="21"/>
          <w:highlight w:val="none"/>
          <w:shd w:val="clear" w:color="080000" w:fill="FFFFFF"/>
        </w:rPr>
        <w:t>进行合同融资的，请提醒采购人在合同备案时，将备案系统中投标人默认账号修改后合同融资行指定的账户和账号，然后再提交合同备案。</w:t>
      </w:r>
    </w:p>
    <w:bookmarkEnd w:id="54"/>
    <w:bookmarkEnd w:id="55"/>
    <w:bookmarkEnd w:id="56"/>
    <w:bookmarkEnd w:id="57"/>
    <w:bookmarkEnd w:id="58"/>
    <w:bookmarkEnd w:id="59"/>
    <w:p w14:paraId="4ADAFCFC">
      <w:pPr>
        <w:jc w:val="center"/>
        <w:outlineLvl w:val="0"/>
        <w:rPr>
          <w:rStyle w:val="44"/>
          <w:rFonts w:hint="eastAsia" w:asciiTheme="minorEastAsia" w:hAnsiTheme="minorEastAsia" w:eastAsiaTheme="minorEastAsia" w:cstheme="minorEastAsia"/>
          <w:color w:val="auto"/>
          <w:sz w:val="32"/>
          <w:szCs w:val="32"/>
          <w:highlight w:val="none"/>
        </w:rPr>
      </w:pPr>
      <w:bookmarkStart w:id="850" w:name="_Toc152045609"/>
      <w:bookmarkStart w:id="851" w:name="_Toc144974577"/>
      <w:bookmarkStart w:id="852" w:name="_Toc152042387"/>
      <w:bookmarkStart w:id="853" w:name="_Toc14024"/>
      <w:r>
        <w:rPr>
          <w:rFonts w:hint="eastAsia" w:asciiTheme="minorEastAsia" w:hAnsiTheme="minorEastAsia" w:eastAsiaTheme="minorEastAsia" w:cstheme="minorEastAsia"/>
          <w:b/>
          <w:color w:val="auto"/>
          <w:kern w:val="44"/>
          <w:sz w:val="32"/>
          <w:szCs w:val="32"/>
          <w:highlight w:val="none"/>
        </w:rPr>
        <w:br w:type="page"/>
      </w:r>
      <w:bookmarkStart w:id="854" w:name="_Toc14970"/>
      <w:bookmarkStart w:id="855" w:name="_Toc9954"/>
      <w:bookmarkStart w:id="856" w:name="_Toc283"/>
      <w:r>
        <w:rPr>
          <w:rStyle w:val="44"/>
          <w:rFonts w:hint="eastAsia" w:asciiTheme="minorEastAsia" w:hAnsiTheme="minorEastAsia" w:eastAsiaTheme="minorEastAsia" w:cstheme="minorEastAsia"/>
          <w:color w:val="auto"/>
          <w:sz w:val="32"/>
          <w:szCs w:val="32"/>
          <w:highlight w:val="none"/>
        </w:rPr>
        <w:t>第三章 评审办法（综合评分法）</w:t>
      </w:r>
      <w:bookmarkEnd w:id="854"/>
      <w:bookmarkEnd w:id="855"/>
      <w:bookmarkEnd w:id="856"/>
    </w:p>
    <w:p w14:paraId="64BBD201">
      <w:pPr>
        <w:pStyle w:val="6"/>
        <w:numPr>
          <w:ilvl w:val="1"/>
          <w:numId w:val="0"/>
        </w:numPr>
        <w:bidi w:val="0"/>
        <w:ind w:left="0" w:leftChars="0" w:firstLine="0" w:firstLineChars="0"/>
        <w:rPr>
          <w:rFonts w:hint="eastAsia" w:asciiTheme="minorEastAsia" w:hAnsiTheme="minorEastAsia" w:eastAsiaTheme="minorEastAsia" w:cstheme="minorEastAsia"/>
          <w:color w:val="auto"/>
          <w:highlight w:val="none"/>
        </w:rPr>
      </w:pPr>
      <w:bookmarkStart w:id="857" w:name="_Toc318450721"/>
      <w:bookmarkStart w:id="858" w:name="_Toc28567"/>
      <w:bookmarkStart w:id="859" w:name="_Toc466298139"/>
      <w:bookmarkStart w:id="860" w:name="_Toc455080156"/>
      <w:bookmarkStart w:id="861" w:name="_Toc144974566"/>
      <w:bookmarkStart w:id="862" w:name="_Toc27806"/>
      <w:bookmarkStart w:id="863" w:name="_Toc281405527"/>
      <w:bookmarkStart w:id="864" w:name="_Toc152042376"/>
      <w:bookmarkStart w:id="865" w:name="_Toc152045599"/>
      <w:bookmarkStart w:id="866" w:name="_Toc455867816"/>
      <w:bookmarkStart w:id="867" w:name="_Toc26734"/>
      <w:bookmarkStart w:id="868" w:name="_Toc28069"/>
      <w:r>
        <w:rPr>
          <w:rFonts w:hint="eastAsia" w:asciiTheme="minorEastAsia" w:hAnsiTheme="minorEastAsia" w:eastAsiaTheme="minorEastAsia" w:cstheme="minorEastAsia"/>
          <w:b/>
          <w:i w:val="0"/>
          <w:color w:val="auto"/>
          <w:kern w:val="2"/>
          <w:sz w:val="30"/>
          <w:szCs w:val="30"/>
          <w:highlight w:val="none"/>
          <w:lang w:val="zh-CN" w:eastAsia="zh-CN" w:bidi="zh-CN"/>
        </w:rPr>
        <w:t xml:space="preserve">   </w:t>
      </w:r>
      <w:r>
        <w:rPr>
          <w:rFonts w:hint="eastAsia" w:asciiTheme="minorEastAsia" w:hAnsiTheme="minorEastAsia" w:eastAsiaTheme="minorEastAsia" w:cstheme="minorEastAsia"/>
          <w:color w:val="auto"/>
          <w:highlight w:val="none"/>
        </w:rPr>
        <w:t>评审办法前附表</w:t>
      </w:r>
      <w:bookmarkEnd w:id="857"/>
      <w:bookmarkEnd w:id="858"/>
      <w:bookmarkEnd w:id="859"/>
      <w:bookmarkEnd w:id="860"/>
      <w:bookmarkEnd w:id="861"/>
      <w:bookmarkEnd w:id="862"/>
      <w:bookmarkEnd w:id="863"/>
      <w:bookmarkEnd w:id="864"/>
      <w:bookmarkEnd w:id="865"/>
      <w:bookmarkEnd w:id="866"/>
      <w:bookmarkEnd w:id="867"/>
      <w:bookmarkEnd w:id="868"/>
    </w:p>
    <w:tbl>
      <w:tblPr>
        <w:tblStyle w:val="31"/>
        <w:tblW w:w="10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1057"/>
        <w:gridCol w:w="1537"/>
        <w:gridCol w:w="5945"/>
        <w:gridCol w:w="784"/>
      </w:tblGrid>
      <w:tr w14:paraId="4D0F6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946" w:type="dxa"/>
            <w:gridSpan w:val="2"/>
            <w:noWrap w:val="0"/>
            <w:vAlign w:val="center"/>
          </w:tcPr>
          <w:p w14:paraId="05CF2D44">
            <w:pPr>
              <w:keepNext w:val="0"/>
              <w:keepLines w:val="0"/>
              <w:pageBreakBefore w:val="0"/>
              <w:kinsoku/>
              <w:wordWrap/>
              <w:overflowPunct/>
              <w:topLinePunct w:val="0"/>
              <w:bidi w:val="0"/>
              <w:spacing w:line="36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条款号</w:t>
            </w:r>
          </w:p>
        </w:tc>
        <w:tc>
          <w:tcPr>
            <w:tcW w:w="1537" w:type="dxa"/>
            <w:noWrap w:val="0"/>
            <w:vAlign w:val="center"/>
          </w:tcPr>
          <w:p w14:paraId="2617EE44">
            <w:pPr>
              <w:keepNext w:val="0"/>
              <w:keepLines w:val="0"/>
              <w:pageBreakBefore w:val="0"/>
              <w:kinsoku/>
              <w:wordWrap/>
              <w:overflowPunct/>
              <w:topLinePunct w:val="0"/>
              <w:bidi w:val="0"/>
              <w:spacing w:line="36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评审因素</w:t>
            </w:r>
          </w:p>
        </w:tc>
        <w:tc>
          <w:tcPr>
            <w:tcW w:w="6729" w:type="dxa"/>
            <w:gridSpan w:val="2"/>
            <w:noWrap w:val="0"/>
            <w:vAlign w:val="center"/>
          </w:tcPr>
          <w:p w14:paraId="63B4ED96">
            <w:pPr>
              <w:keepNext w:val="0"/>
              <w:keepLines w:val="0"/>
              <w:pageBreakBefore w:val="0"/>
              <w:kinsoku/>
              <w:wordWrap/>
              <w:overflowPunct/>
              <w:topLinePunct w:val="0"/>
              <w:bidi w:val="0"/>
              <w:spacing w:line="36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评审标准</w:t>
            </w:r>
          </w:p>
        </w:tc>
      </w:tr>
      <w:tr w14:paraId="1DBA3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jc w:val="center"/>
        </w:trPr>
        <w:tc>
          <w:tcPr>
            <w:tcW w:w="889" w:type="dxa"/>
            <w:vMerge w:val="restart"/>
            <w:noWrap w:val="0"/>
            <w:vAlign w:val="center"/>
          </w:tcPr>
          <w:p w14:paraId="56905BE8">
            <w:pPr>
              <w:keepNext w:val="0"/>
              <w:keepLines w:val="0"/>
              <w:pageBreakBefore w:val="0"/>
              <w:kinsoku/>
              <w:wordWrap/>
              <w:overflowPunct/>
              <w:topLinePunct w:val="0"/>
              <w:bidi w:val="0"/>
              <w:spacing w:line="360" w:lineRule="exact"/>
              <w:ind w:left="0" w:leftChars="0" w:right="0" w:rightChars="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2.1.1</w:t>
            </w:r>
          </w:p>
        </w:tc>
        <w:tc>
          <w:tcPr>
            <w:tcW w:w="1057" w:type="dxa"/>
            <w:vMerge w:val="restart"/>
            <w:noWrap w:val="0"/>
            <w:vAlign w:val="center"/>
          </w:tcPr>
          <w:p w14:paraId="2CA63013">
            <w:pPr>
              <w:keepNext w:val="0"/>
              <w:keepLines w:val="0"/>
              <w:pageBreakBefore w:val="0"/>
              <w:kinsoku/>
              <w:wordWrap/>
              <w:overflowPunct/>
              <w:topLinePunct w:val="0"/>
              <w:bidi w:val="0"/>
              <w:spacing w:line="36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eastAsia="zh-CN"/>
              </w:rPr>
              <w:t>资格</w:t>
            </w:r>
            <w:r>
              <w:rPr>
                <w:rFonts w:hint="eastAsia" w:asciiTheme="minorEastAsia" w:hAnsiTheme="minorEastAsia" w:eastAsiaTheme="minorEastAsia" w:cstheme="minorEastAsia"/>
                <w:b/>
                <w:bCs/>
                <w:color w:val="auto"/>
                <w:sz w:val="21"/>
                <w:szCs w:val="21"/>
                <w:highlight w:val="none"/>
              </w:rPr>
              <w:t>评审</w:t>
            </w:r>
          </w:p>
          <w:p w14:paraId="298EE5C7">
            <w:pPr>
              <w:keepNext w:val="0"/>
              <w:keepLines w:val="0"/>
              <w:pageBreakBefore w:val="0"/>
              <w:kinsoku/>
              <w:wordWrap/>
              <w:overflowPunct/>
              <w:topLinePunct w:val="0"/>
              <w:bidi w:val="0"/>
              <w:spacing w:line="36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标准</w:t>
            </w:r>
          </w:p>
        </w:tc>
        <w:tc>
          <w:tcPr>
            <w:tcW w:w="1537" w:type="dxa"/>
            <w:noWrap w:val="0"/>
            <w:vAlign w:val="center"/>
          </w:tcPr>
          <w:p w14:paraId="3B8FC71F">
            <w:pPr>
              <w:keepNext w:val="0"/>
              <w:keepLines w:val="0"/>
              <w:pageBreakBefore w:val="0"/>
              <w:kinsoku/>
              <w:wordWrap/>
              <w:overflowPunct/>
              <w:topLinePunct w:val="0"/>
              <w:autoSpaceDE/>
              <w:autoSpaceDN/>
              <w:bidi w:val="0"/>
              <w:adjustRightInd/>
              <w:spacing w:line="360" w:lineRule="exact"/>
              <w:ind w:left="0" w:leftChars="0"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符合《中华人民共和国政府采购法》</w:t>
            </w:r>
            <w:r>
              <w:rPr>
                <w:rFonts w:hint="eastAsia" w:asciiTheme="minorEastAsia" w:hAnsiTheme="minorEastAsia" w:eastAsiaTheme="minorEastAsia" w:cstheme="minorEastAsia"/>
                <w:color w:val="auto"/>
                <w:sz w:val="21"/>
                <w:szCs w:val="21"/>
                <w:highlight w:val="none"/>
                <w:lang w:eastAsia="zh-CN"/>
              </w:rPr>
              <w:t>第二十二条</w:t>
            </w:r>
            <w:r>
              <w:rPr>
                <w:rFonts w:hint="eastAsia" w:asciiTheme="minorEastAsia" w:hAnsiTheme="minorEastAsia" w:eastAsiaTheme="minorEastAsia" w:cstheme="minorEastAsia"/>
                <w:color w:val="auto"/>
                <w:sz w:val="21"/>
                <w:szCs w:val="21"/>
                <w:highlight w:val="none"/>
              </w:rPr>
              <w:t>规定</w:t>
            </w:r>
          </w:p>
        </w:tc>
        <w:tc>
          <w:tcPr>
            <w:tcW w:w="6729" w:type="dxa"/>
            <w:gridSpan w:val="2"/>
            <w:noWrap w:val="0"/>
            <w:vAlign w:val="center"/>
          </w:tcPr>
          <w:p w14:paraId="598D081B">
            <w:pPr>
              <w:keepNext w:val="0"/>
              <w:keepLines w:val="0"/>
              <w:pageBreakBefore w:val="0"/>
              <w:kinsoku/>
              <w:wordWrap/>
              <w:overflowPunct/>
              <w:topLinePunct w:val="0"/>
              <w:autoSpaceDE/>
              <w:autoSpaceDN/>
              <w:bidi w:val="0"/>
              <w:adjustRightInd/>
              <w:spacing w:line="360" w:lineRule="exact"/>
              <w:ind w:left="0" w:leftChars="0" w:right="0" w:righ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符合第二章“供应商须知”第1.5.1项规定</w:t>
            </w:r>
          </w:p>
        </w:tc>
      </w:tr>
      <w:tr w14:paraId="798C4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889" w:type="dxa"/>
            <w:vMerge w:val="continue"/>
            <w:noWrap w:val="0"/>
            <w:vAlign w:val="center"/>
          </w:tcPr>
          <w:p w14:paraId="690523F2">
            <w:pPr>
              <w:keepNext w:val="0"/>
              <w:keepLines w:val="0"/>
              <w:pageBreakBefore w:val="0"/>
              <w:widowControl/>
              <w:kinsoku/>
              <w:wordWrap/>
              <w:overflowPunct/>
              <w:topLinePunct w:val="0"/>
              <w:bidi w:val="0"/>
              <w:spacing w:line="360" w:lineRule="exact"/>
              <w:ind w:left="0" w:leftChars="0" w:right="0" w:rightChars="0"/>
              <w:jc w:val="left"/>
              <w:textAlignment w:val="auto"/>
              <w:rPr>
                <w:rFonts w:hint="eastAsia" w:asciiTheme="minorEastAsia" w:hAnsiTheme="minorEastAsia" w:eastAsiaTheme="minorEastAsia" w:cstheme="minorEastAsia"/>
                <w:b/>
                <w:bCs/>
                <w:color w:val="auto"/>
                <w:sz w:val="21"/>
                <w:szCs w:val="21"/>
                <w:highlight w:val="none"/>
              </w:rPr>
            </w:pPr>
          </w:p>
        </w:tc>
        <w:tc>
          <w:tcPr>
            <w:tcW w:w="1057" w:type="dxa"/>
            <w:vMerge w:val="continue"/>
            <w:noWrap w:val="0"/>
            <w:vAlign w:val="center"/>
          </w:tcPr>
          <w:p w14:paraId="71F1F164">
            <w:pPr>
              <w:keepNext w:val="0"/>
              <w:keepLines w:val="0"/>
              <w:pageBreakBefore w:val="0"/>
              <w:widowControl/>
              <w:kinsoku/>
              <w:wordWrap/>
              <w:overflowPunct/>
              <w:topLinePunct w:val="0"/>
              <w:bidi w:val="0"/>
              <w:spacing w:line="360" w:lineRule="exact"/>
              <w:ind w:left="0" w:leftChars="0" w:right="0" w:rightChars="0"/>
              <w:jc w:val="left"/>
              <w:textAlignment w:val="auto"/>
              <w:rPr>
                <w:rFonts w:hint="eastAsia" w:asciiTheme="minorEastAsia" w:hAnsiTheme="minorEastAsia" w:eastAsiaTheme="minorEastAsia" w:cstheme="minorEastAsia"/>
                <w:b/>
                <w:bCs/>
                <w:color w:val="auto"/>
                <w:sz w:val="21"/>
                <w:szCs w:val="21"/>
                <w:highlight w:val="none"/>
              </w:rPr>
            </w:pPr>
          </w:p>
        </w:tc>
        <w:tc>
          <w:tcPr>
            <w:tcW w:w="1537" w:type="dxa"/>
            <w:noWrap w:val="0"/>
            <w:vAlign w:val="center"/>
          </w:tcPr>
          <w:p w14:paraId="1745C180">
            <w:pPr>
              <w:keepNext w:val="0"/>
              <w:keepLines w:val="0"/>
              <w:pageBreakBefore w:val="0"/>
              <w:kinsoku/>
              <w:wordWrap/>
              <w:overflowPunct/>
              <w:topLinePunct w:val="0"/>
              <w:autoSpaceDE/>
              <w:autoSpaceDN/>
              <w:bidi w:val="0"/>
              <w:adjustRightInd/>
              <w:spacing w:line="360" w:lineRule="exact"/>
              <w:ind w:left="0" w:leftChars="0" w:right="0" w:rightChars="0"/>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落实政府采购政策满足的资格要求</w:t>
            </w:r>
          </w:p>
        </w:tc>
        <w:tc>
          <w:tcPr>
            <w:tcW w:w="6729" w:type="dxa"/>
            <w:gridSpan w:val="2"/>
            <w:noWrap w:val="0"/>
            <w:vAlign w:val="center"/>
          </w:tcPr>
          <w:p w14:paraId="74BA98D7">
            <w:pPr>
              <w:keepNext w:val="0"/>
              <w:keepLines w:val="0"/>
              <w:pageBreakBefore w:val="0"/>
              <w:kinsoku/>
              <w:wordWrap/>
              <w:overflowPunct/>
              <w:topLinePunct w:val="0"/>
              <w:autoSpaceDE/>
              <w:autoSpaceDN/>
              <w:bidi w:val="0"/>
              <w:adjustRightInd/>
              <w:spacing w:line="360" w:lineRule="exact"/>
              <w:ind w:left="0" w:leftChars="0" w:right="0" w:rightChars="0"/>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符合第二章“供应商须知”第1.5.1项规定</w:t>
            </w:r>
          </w:p>
        </w:tc>
      </w:tr>
      <w:tr w14:paraId="2B9A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889" w:type="dxa"/>
            <w:vMerge w:val="continue"/>
            <w:noWrap w:val="0"/>
            <w:vAlign w:val="center"/>
          </w:tcPr>
          <w:p w14:paraId="12768E07">
            <w:pPr>
              <w:keepNext w:val="0"/>
              <w:keepLines w:val="0"/>
              <w:pageBreakBefore w:val="0"/>
              <w:widowControl/>
              <w:kinsoku/>
              <w:wordWrap/>
              <w:overflowPunct/>
              <w:topLinePunct w:val="0"/>
              <w:bidi w:val="0"/>
              <w:spacing w:line="360" w:lineRule="exact"/>
              <w:ind w:left="0" w:leftChars="0" w:right="0" w:rightChars="0"/>
              <w:jc w:val="left"/>
              <w:textAlignment w:val="auto"/>
              <w:rPr>
                <w:rFonts w:hint="eastAsia" w:asciiTheme="minorEastAsia" w:hAnsiTheme="minorEastAsia" w:eastAsiaTheme="minorEastAsia" w:cstheme="minorEastAsia"/>
                <w:b/>
                <w:bCs/>
                <w:color w:val="auto"/>
                <w:sz w:val="21"/>
                <w:szCs w:val="21"/>
                <w:highlight w:val="none"/>
              </w:rPr>
            </w:pPr>
          </w:p>
        </w:tc>
        <w:tc>
          <w:tcPr>
            <w:tcW w:w="1057" w:type="dxa"/>
            <w:vMerge w:val="continue"/>
            <w:noWrap w:val="0"/>
            <w:vAlign w:val="center"/>
          </w:tcPr>
          <w:p w14:paraId="7A17CEC9">
            <w:pPr>
              <w:keepNext w:val="0"/>
              <w:keepLines w:val="0"/>
              <w:pageBreakBefore w:val="0"/>
              <w:widowControl/>
              <w:kinsoku/>
              <w:wordWrap/>
              <w:overflowPunct/>
              <w:topLinePunct w:val="0"/>
              <w:bidi w:val="0"/>
              <w:spacing w:line="360" w:lineRule="exact"/>
              <w:ind w:left="0" w:leftChars="0" w:right="0" w:rightChars="0"/>
              <w:jc w:val="left"/>
              <w:textAlignment w:val="auto"/>
              <w:rPr>
                <w:rFonts w:hint="eastAsia" w:asciiTheme="minorEastAsia" w:hAnsiTheme="minorEastAsia" w:eastAsiaTheme="minorEastAsia" w:cstheme="minorEastAsia"/>
                <w:b/>
                <w:bCs/>
                <w:color w:val="auto"/>
                <w:sz w:val="21"/>
                <w:szCs w:val="21"/>
                <w:highlight w:val="none"/>
              </w:rPr>
            </w:pPr>
          </w:p>
        </w:tc>
        <w:tc>
          <w:tcPr>
            <w:tcW w:w="1537" w:type="dxa"/>
            <w:noWrap w:val="0"/>
            <w:vAlign w:val="center"/>
          </w:tcPr>
          <w:p w14:paraId="087B6E90">
            <w:pPr>
              <w:keepNext w:val="0"/>
              <w:keepLines w:val="0"/>
              <w:pageBreakBefore w:val="0"/>
              <w:kinsoku/>
              <w:wordWrap/>
              <w:overflowPunct/>
              <w:topLinePunct w:val="0"/>
              <w:autoSpaceDE/>
              <w:autoSpaceDN/>
              <w:bidi w:val="0"/>
              <w:adjustRightInd/>
              <w:spacing w:line="360" w:lineRule="exact"/>
              <w:ind w:left="0" w:leftChars="0" w:right="0" w:rightChars="0"/>
              <w:jc w:val="center"/>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特定资格要求</w:t>
            </w:r>
          </w:p>
        </w:tc>
        <w:tc>
          <w:tcPr>
            <w:tcW w:w="6729" w:type="dxa"/>
            <w:gridSpan w:val="2"/>
            <w:noWrap w:val="0"/>
            <w:vAlign w:val="center"/>
          </w:tcPr>
          <w:p w14:paraId="6E546F21">
            <w:pPr>
              <w:keepNext w:val="0"/>
              <w:keepLines w:val="0"/>
              <w:pageBreakBefore w:val="0"/>
              <w:kinsoku/>
              <w:wordWrap/>
              <w:overflowPunct/>
              <w:topLinePunct w:val="0"/>
              <w:autoSpaceDE/>
              <w:autoSpaceDN/>
              <w:bidi w:val="0"/>
              <w:adjustRightInd/>
              <w:spacing w:line="360" w:lineRule="exact"/>
              <w:ind w:left="0" w:leftChars="0" w:right="0" w:righ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符合第二章“供应商须知”第1.5.1项规定</w:t>
            </w:r>
          </w:p>
        </w:tc>
      </w:tr>
      <w:tr w14:paraId="173F2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89" w:type="dxa"/>
            <w:vMerge w:val="continue"/>
            <w:noWrap w:val="0"/>
            <w:vAlign w:val="center"/>
          </w:tcPr>
          <w:p w14:paraId="0B646672">
            <w:pPr>
              <w:keepNext w:val="0"/>
              <w:keepLines w:val="0"/>
              <w:pageBreakBefore w:val="0"/>
              <w:kinsoku/>
              <w:wordWrap/>
              <w:overflowPunct/>
              <w:topLinePunct w:val="0"/>
              <w:bidi w:val="0"/>
              <w:spacing w:line="360" w:lineRule="exact"/>
              <w:ind w:left="0" w:leftChars="0" w:right="0" w:rightChars="0"/>
              <w:textAlignment w:val="auto"/>
              <w:rPr>
                <w:rFonts w:hint="eastAsia" w:asciiTheme="minorEastAsia" w:hAnsiTheme="minorEastAsia" w:eastAsiaTheme="minorEastAsia" w:cstheme="minorEastAsia"/>
                <w:b/>
                <w:bCs/>
                <w:color w:val="auto"/>
                <w:sz w:val="21"/>
                <w:szCs w:val="21"/>
                <w:highlight w:val="none"/>
              </w:rPr>
            </w:pPr>
          </w:p>
        </w:tc>
        <w:tc>
          <w:tcPr>
            <w:tcW w:w="1057" w:type="dxa"/>
            <w:vMerge w:val="continue"/>
            <w:noWrap w:val="0"/>
            <w:vAlign w:val="center"/>
          </w:tcPr>
          <w:p w14:paraId="6B952D68">
            <w:pPr>
              <w:keepNext w:val="0"/>
              <w:keepLines w:val="0"/>
              <w:pageBreakBefore w:val="0"/>
              <w:kinsoku/>
              <w:wordWrap/>
              <w:overflowPunct/>
              <w:topLinePunct w:val="0"/>
              <w:bidi w:val="0"/>
              <w:spacing w:line="36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p>
        </w:tc>
        <w:tc>
          <w:tcPr>
            <w:tcW w:w="1537" w:type="dxa"/>
            <w:noWrap w:val="0"/>
            <w:vAlign w:val="center"/>
          </w:tcPr>
          <w:p w14:paraId="61AEEF9A">
            <w:pPr>
              <w:keepNext w:val="0"/>
              <w:keepLines w:val="0"/>
              <w:pageBreakBefore w:val="0"/>
              <w:kinsoku/>
              <w:wordWrap/>
              <w:overflowPunct/>
              <w:topLinePunct w:val="0"/>
              <w:autoSpaceDE/>
              <w:autoSpaceDN/>
              <w:bidi w:val="0"/>
              <w:adjustRightInd/>
              <w:spacing w:line="360" w:lineRule="exact"/>
              <w:ind w:left="0" w:leftChars="0"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信誉</w:t>
            </w:r>
            <w:r>
              <w:rPr>
                <w:rFonts w:hint="eastAsia" w:asciiTheme="minorEastAsia" w:hAnsiTheme="minorEastAsia" w:eastAsiaTheme="minorEastAsia" w:cstheme="minorEastAsia"/>
                <w:color w:val="auto"/>
                <w:sz w:val="21"/>
                <w:szCs w:val="21"/>
                <w:highlight w:val="none"/>
              </w:rPr>
              <w:t>要求</w:t>
            </w:r>
          </w:p>
        </w:tc>
        <w:tc>
          <w:tcPr>
            <w:tcW w:w="6729" w:type="dxa"/>
            <w:gridSpan w:val="2"/>
            <w:noWrap w:val="0"/>
            <w:vAlign w:val="center"/>
          </w:tcPr>
          <w:p w14:paraId="22E7E406">
            <w:pPr>
              <w:keepNext w:val="0"/>
              <w:keepLines w:val="0"/>
              <w:pageBreakBefore w:val="0"/>
              <w:kinsoku/>
              <w:wordWrap/>
              <w:overflowPunct/>
              <w:topLinePunct w:val="0"/>
              <w:autoSpaceDE/>
              <w:autoSpaceDN/>
              <w:bidi w:val="0"/>
              <w:adjustRightInd/>
              <w:spacing w:line="360" w:lineRule="exact"/>
              <w:ind w:left="0" w:leftChars="0" w:right="0" w:righ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符合第二章“供应商须知”第1.5.1项规定</w:t>
            </w:r>
          </w:p>
        </w:tc>
      </w:tr>
      <w:tr w14:paraId="6A13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89" w:type="dxa"/>
            <w:vMerge w:val="continue"/>
            <w:noWrap w:val="0"/>
            <w:vAlign w:val="center"/>
          </w:tcPr>
          <w:p w14:paraId="04345443">
            <w:pPr>
              <w:keepNext w:val="0"/>
              <w:keepLines w:val="0"/>
              <w:pageBreakBefore w:val="0"/>
              <w:kinsoku/>
              <w:wordWrap/>
              <w:overflowPunct/>
              <w:topLinePunct w:val="0"/>
              <w:bidi w:val="0"/>
              <w:spacing w:line="360" w:lineRule="exact"/>
              <w:ind w:left="0" w:leftChars="0" w:right="0" w:rightChars="0"/>
              <w:textAlignment w:val="auto"/>
              <w:rPr>
                <w:rFonts w:hint="eastAsia" w:asciiTheme="minorEastAsia" w:hAnsiTheme="minorEastAsia" w:eastAsiaTheme="minorEastAsia" w:cstheme="minorEastAsia"/>
                <w:b/>
                <w:bCs/>
                <w:color w:val="auto"/>
                <w:sz w:val="21"/>
                <w:szCs w:val="21"/>
                <w:highlight w:val="none"/>
              </w:rPr>
            </w:pPr>
          </w:p>
        </w:tc>
        <w:tc>
          <w:tcPr>
            <w:tcW w:w="1057" w:type="dxa"/>
            <w:vMerge w:val="continue"/>
            <w:noWrap w:val="0"/>
            <w:vAlign w:val="center"/>
          </w:tcPr>
          <w:p w14:paraId="4C35B107">
            <w:pPr>
              <w:keepNext w:val="0"/>
              <w:keepLines w:val="0"/>
              <w:pageBreakBefore w:val="0"/>
              <w:kinsoku/>
              <w:wordWrap/>
              <w:overflowPunct/>
              <w:topLinePunct w:val="0"/>
              <w:bidi w:val="0"/>
              <w:spacing w:line="36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p>
        </w:tc>
        <w:tc>
          <w:tcPr>
            <w:tcW w:w="1537" w:type="dxa"/>
            <w:noWrap w:val="0"/>
            <w:vAlign w:val="center"/>
          </w:tcPr>
          <w:p w14:paraId="15C77231">
            <w:pPr>
              <w:keepNext w:val="0"/>
              <w:keepLines w:val="0"/>
              <w:pageBreakBefore w:val="0"/>
              <w:kinsoku/>
              <w:wordWrap/>
              <w:overflowPunct/>
              <w:topLinePunct w:val="0"/>
              <w:autoSpaceDE/>
              <w:autoSpaceDN/>
              <w:bidi w:val="0"/>
              <w:adjustRightInd/>
              <w:spacing w:line="360" w:lineRule="exact"/>
              <w:ind w:left="0" w:leftChars="0" w:right="0" w:rightChars="0"/>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其他要求</w:t>
            </w:r>
          </w:p>
        </w:tc>
        <w:tc>
          <w:tcPr>
            <w:tcW w:w="6729" w:type="dxa"/>
            <w:gridSpan w:val="2"/>
            <w:noWrap w:val="0"/>
            <w:vAlign w:val="center"/>
          </w:tcPr>
          <w:p w14:paraId="7CFD8E48">
            <w:pPr>
              <w:keepNext w:val="0"/>
              <w:keepLines w:val="0"/>
              <w:pageBreakBefore w:val="0"/>
              <w:kinsoku/>
              <w:wordWrap/>
              <w:overflowPunct/>
              <w:topLinePunct w:val="0"/>
              <w:autoSpaceDE/>
              <w:autoSpaceDN/>
              <w:bidi w:val="0"/>
              <w:adjustRightInd/>
              <w:spacing w:line="360" w:lineRule="exact"/>
              <w:ind w:left="0" w:leftChars="0" w:right="0" w:righ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符合第二章“供应商须知”第1.5.1项规定</w:t>
            </w:r>
          </w:p>
        </w:tc>
      </w:tr>
      <w:tr w14:paraId="0AABA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89" w:type="dxa"/>
            <w:vMerge w:val="restart"/>
            <w:noWrap w:val="0"/>
            <w:vAlign w:val="center"/>
          </w:tcPr>
          <w:p w14:paraId="27C34391">
            <w:pPr>
              <w:keepNext w:val="0"/>
              <w:keepLines w:val="0"/>
              <w:pageBreakBefore w:val="0"/>
              <w:widowControl/>
              <w:kinsoku/>
              <w:wordWrap/>
              <w:overflowPunct/>
              <w:topLinePunct w:val="0"/>
              <w:bidi w:val="0"/>
              <w:spacing w:line="360" w:lineRule="exact"/>
              <w:ind w:left="0" w:leftChars="0" w:right="0" w:rightChars="0"/>
              <w:jc w:val="left"/>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2.1.2</w:t>
            </w:r>
          </w:p>
        </w:tc>
        <w:tc>
          <w:tcPr>
            <w:tcW w:w="1057" w:type="dxa"/>
            <w:vMerge w:val="restart"/>
            <w:noWrap w:val="0"/>
            <w:vAlign w:val="center"/>
          </w:tcPr>
          <w:p w14:paraId="6C9CEBC3">
            <w:pPr>
              <w:keepNext w:val="0"/>
              <w:keepLines w:val="0"/>
              <w:pageBreakBefore w:val="0"/>
              <w:kinsoku/>
              <w:wordWrap/>
              <w:overflowPunct/>
              <w:topLinePunct w:val="0"/>
              <w:bidi w:val="0"/>
              <w:spacing w:line="36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符合</w:t>
            </w:r>
            <w:r>
              <w:rPr>
                <w:rFonts w:hint="eastAsia" w:asciiTheme="minorEastAsia" w:hAnsiTheme="minorEastAsia" w:eastAsiaTheme="minorEastAsia" w:cstheme="minorEastAsia"/>
                <w:b/>
                <w:bCs/>
                <w:color w:val="auto"/>
                <w:sz w:val="21"/>
                <w:szCs w:val="21"/>
                <w:highlight w:val="none"/>
              </w:rPr>
              <w:t>性</w:t>
            </w:r>
          </w:p>
          <w:p w14:paraId="3B29C63B">
            <w:pPr>
              <w:keepNext w:val="0"/>
              <w:keepLines w:val="0"/>
              <w:pageBreakBefore w:val="0"/>
              <w:widowControl/>
              <w:kinsoku/>
              <w:wordWrap/>
              <w:overflowPunct/>
              <w:topLinePunct w:val="0"/>
              <w:bidi w:val="0"/>
              <w:spacing w:line="36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评审标准</w:t>
            </w:r>
          </w:p>
        </w:tc>
        <w:tc>
          <w:tcPr>
            <w:tcW w:w="1537" w:type="dxa"/>
            <w:noWrap w:val="0"/>
            <w:vAlign w:val="center"/>
          </w:tcPr>
          <w:p w14:paraId="22BE94AD">
            <w:pPr>
              <w:keepNext w:val="0"/>
              <w:keepLines w:val="0"/>
              <w:pageBreakBefore w:val="0"/>
              <w:kinsoku/>
              <w:wordWrap/>
              <w:overflowPunct/>
              <w:topLinePunct w:val="0"/>
              <w:bidi w:val="0"/>
              <w:spacing w:line="360" w:lineRule="exact"/>
              <w:ind w:left="0" w:leftChars="0" w:right="0" w:rightChars="0"/>
              <w:jc w:val="center"/>
              <w:textAlignment w:val="auto"/>
              <w:rPr>
                <w:rFonts w:hint="eastAsia" w:asciiTheme="minorEastAsia" w:hAnsiTheme="minorEastAsia" w:eastAsiaTheme="minorEastAsia" w:cstheme="minorEastAsia"/>
                <w:color w:val="FF0000"/>
                <w:sz w:val="21"/>
                <w:szCs w:val="21"/>
                <w:highlight w:val="none"/>
                <w:lang w:eastAsia="zh-CN"/>
              </w:rPr>
            </w:pPr>
            <w:r>
              <w:rPr>
                <w:rFonts w:hint="eastAsia" w:asciiTheme="minorEastAsia" w:hAnsiTheme="minorEastAsia" w:eastAsiaTheme="minorEastAsia" w:cstheme="minorEastAsia"/>
                <w:color w:val="auto"/>
                <w:sz w:val="21"/>
                <w:szCs w:val="21"/>
                <w:highlight w:val="none"/>
              </w:rPr>
              <w:t>供应商名称</w:t>
            </w:r>
          </w:p>
        </w:tc>
        <w:tc>
          <w:tcPr>
            <w:tcW w:w="6729" w:type="dxa"/>
            <w:gridSpan w:val="2"/>
            <w:noWrap w:val="0"/>
            <w:vAlign w:val="center"/>
          </w:tcPr>
          <w:p w14:paraId="4E54FE4B">
            <w:pPr>
              <w:keepNext w:val="0"/>
              <w:keepLines w:val="0"/>
              <w:pageBreakBefore w:val="0"/>
              <w:kinsoku/>
              <w:wordWrap/>
              <w:overflowPunct/>
              <w:topLinePunct w:val="0"/>
              <w:bidi w:val="0"/>
              <w:spacing w:line="360" w:lineRule="exact"/>
              <w:ind w:left="0" w:leftChars="0" w:right="0" w:rightChars="0"/>
              <w:textAlignment w:val="auto"/>
              <w:rPr>
                <w:rFonts w:hint="eastAsia" w:asciiTheme="minorEastAsia" w:hAnsiTheme="minorEastAsia" w:eastAsiaTheme="minorEastAsia" w:cstheme="minorEastAsia"/>
                <w:color w:val="FF0000"/>
                <w:sz w:val="21"/>
                <w:szCs w:val="21"/>
                <w:highlight w:val="none"/>
                <w:lang w:eastAsia="zh-CN"/>
              </w:rPr>
            </w:pPr>
            <w:r>
              <w:rPr>
                <w:rFonts w:hint="eastAsia" w:asciiTheme="minorEastAsia" w:hAnsiTheme="minorEastAsia" w:eastAsiaTheme="minorEastAsia" w:cstheme="minorEastAsia"/>
                <w:color w:val="auto"/>
                <w:sz w:val="21"/>
                <w:szCs w:val="21"/>
                <w:highlight w:val="none"/>
              </w:rPr>
              <w:t>与营业执照一致</w:t>
            </w:r>
          </w:p>
        </w:tc>
      </w:tr>
      <w:tr w14:paraId="431C2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889" w:type="dxa"/>
            <w:vMerge w:val="continue"/>
            <w:noWrap w:val="0"/>
            <w:vAlign w:val="center"/>
          </w:tcPr>
          <w:p w14:paraId="012508F1">
            <w:pPr>
              <w:keepNext w:val="0"/>
              <w:keepLines w:val="0"/>
              <w:pageBreakBefore w:val="0"/>
              <w:widowControl/>
              <w:kinsoku/>
              <w:wordWrap/>
              <w:overflowPunct/>
              <w:topLinePunct w:val="0"/>
              <w:bidi w:val="0"/>
              <w:spacing w:line="360" w:lineRule="exact"/>
              <w:ind w:left="0" w:leftChars="0" w:right="0" w:rightChars="0"/>
              <w:jc w:val="left"/>
              <w:textAlignment w:val="auto"/>
              <w:rPr>
                <w:rFonts w:hint="eastAsia" w:asciiTheme="minorEastAsia" w:hAnsiTheme="minorEastAsia" w:eastAsiaTheme="minorEastAsia" w:cstheme="minorEastAsia"/>
                <w:b/>
                <w:bCs/>
                <w:color w:val="auto"/>
                <w:sz w:val="21"/>
                <w:szCs w:val="21"/>
                <w:highlight w:val="none"/>
              </w:rPr>
            </w:pPr>
          </w:p>
        </w:tc>
        <w:tc>
          <w:tcPr>
            <w:tcW w:w="1057" w:type="dxa"/>
            <w:vMerge w:val="continue"/>
            <w:noWrap w:val="0"/>
            <w:vAlign w:val="center"/>
          </w:tcPr>
          <w:p w14:paraId="2317D62A">
            <w:pPr>
              <w:keepNext w:val="0"/>
              <w:keepLines w:val="0"/>
              <w:pageBreakBefore w:val="0"/>
              <w:widowControl/>
              <w:kinsoku/>
              <w:wordWrap/>
              <w:overflowPunct/>
              <w:topLinePunct w:val="0"/>
              <w:bidi w:val="0"/>
              <w:spacing w:line="36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p>
        </w:tc>
        <w:tc>
          <w:tcPr>
            <w:tcW w:w="1537" w:type="dxa"/>
            <w:noWrap w:val="0"/>
            <w:vAlign w:val="center"/>
          </w:tcPr>
          <w:p w14:paraId="4D5AE78A">
            <w:pPr>
              <w:keepNext w:val="0"/>
              <w:keepLines w:val="0"/>
              <w:pageBreakBefore w:val="0"/>
              <w:kinsoku/>
              <w:wordWrap/>
              <w:overflowPunct/>
              <w:topLinePunct w:val="0"/>
              <w:bidi w:val="0"/>
              <w:spacing w:line="360" w:lineRule="exact"/>
              <w:ind w:left="0" w:leftChars="0"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磋商函</w:t>
            </w:r>
          </w:p>
          <w:p w14:paraId="42BB3C31">
            <w:pPr>
              <w:keepNext w:val="0"/>
              <w:keepLines w:val="0"/>
              <w:pageBreakBefore w:val="0"/>
              <w:kinsoku/>
              <w:wordWrap/>
              <w:overflowPunct/>
              <w:topLinePunct w:val="0"/>
              <w:bidi w:val="0"/>
              <w:spacing w:line="360" w:lineRule="exact"/>
              <w:ind w:left="0" w:leftChars="0"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签字盖章</w:t>
            </w:r>
          </w:p>
        </w:tc>
        <w:tc>
          <w:tcPr>
            <w:tcW w:w="6729" w:type="dxa"/>
            <w:gridSpan w:val="2"/>
            <w:noWrap w:val="0"/>
            <w:vAlign w:val="center"/>
          </w:tcPr>
          <w:p w14:paraId="201A8D81">
            <w:pPr>
              <w:keepNext w:val="0"/>
              <w:keepLines w:val="0"/>
              <w:pageBreakBefore w:val="0"/>
              <w:kinsoku/>
              <w:wordWrap/>
              <w:overflowPunct/>
              <w:topLinePunct w:val="0"/>
              <w:bidi w:val="0"/>
              <w:spacing w:line="360" w:lineRule="exact"/>
              <w:ind w:left="0" w:leftChars="0" w:right="0" w:righ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符合第六章“竞争性磋商响应文件格式”磋商函签字盖章的要求</w:t>
            </w:r>
          </w:p>
        </w:tc>
      </w:tr>
      <w:tr w14:paraId="20DC7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889" w:type="dxa"/>
            <w:vMerge w:val="continue"/>
            <w:noWrap w:val="0"/>
            <w:vAlign w:val="center"/>
          </w:tcPr>
          <w:p w14:paraId="608C605C">
            <w:pPr>
              <w:keepNext w:val="0"/>
              <w:keepLines w:val="0"/>
              <w:pageBreakBefore w:val="0"/>
              <w:widowControl/>
              <w:kinsoku/>
              <w:wordWrap/>
              <w:overflowPunct/>
              <w:topLinePunct w:val="0"/>
              <w:bidi w:val="0"/>
              <w:spacing w:line="36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057" w:type="dxa"/>
            <w:vMerge w:val="continue"/>
            <w:noWrap w:val="0"/>
            <w:vAlign w:val="center"/>
          </w:tcPr>
          <w:p w14:paraId="3448006A">
            <w:pPr>
              <w:keepNext w:val="0"/>
              <w:keepLines w:val="0"/>
              <w:pageBreakBefore w:val="0"/>
              <w:widowControl/>
              <w:kinsoku/>
              <w:wordWrap/>
              <w:overflowPunct/>
              <w:topLinePunct w:val="0"/>
              <w:bidi w:val="0"/>
              <w:spacing w:line="36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537" w:type="dxa"/>
            <w:noWrap w:val="0"/>
            <w:vAlign w:val="center"/>
          </w:tcPr>
          <w:p w14:paraId="13E31E72">
            <w:pPr>
              <w:keepNext w:val="0"/>
              <w:keepLines w:val="0"/>
              <w:pageBreakBefore w:val="0"/>
              <w:kinsoku/>
              <w:wordWrap/>
              <w:overflowPunct/>
              <w:topLinePunct w:val="0"/>
              <w:bidi w:val="0"/>
              <w:spacing w:line="360" w:lineRule="exact"/>
              <w:ind w:left="0" w:leftChars="0"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响应文件格式</w:t>
            </w:r>
          </w:p>
        </w:tc>
        <w:tc>
          <w:tcPr>
            <w:tcW w:w="6729" w:type="dxa"/>
            <w:gridSpan w:val="2"/>
            <w:noWrap w:val="0"/>
            <w:vAlign w:val="center"/>
          </w:tcPr>
          <w:p w14:paraId="5F6D43AF">
            <w:pPr>
              <w:keepNext w:val="0"/>
              <w:keepLines w:val="0"/>
              <w:pageBreakBefore w:val="0"/>
              <w:kinsoku/>
              <w:wordWrap/>
              <w:overflowPunct/>
              <w:topLinePunct w:val="0"/>
              <w:bidi w:val="0"/>
              <w:spacing w:line="360" w:lineRule="exact"/>
              <w:ind w:left="0" w:leftChars="0" w:right="0" w:righ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符合</w:t>
            </w:r>
            <w:r>
              <w:rPr>
                <w:rFonts w:hint="eastAsia" w:asciiTheme="minorEastAsia" w:hAnsiTheme="minorEastAsia" w:eastAsiaTheme="minorEastAsia" w:cstheme="minorEastAsia"/>
                <w:color w:val="auto"/>
                <w:sz w:val="21"/>
                <w:szCs w:val="21"/>
                <w:highlight w:val="none"/>
                <w:lang w:eastAsia="zh-CN"/>
              </w:rPr>
              <w:t>第六章</w:t>
            </w:r>
            <w:r>
              <w:rPr>
                <w:rFonts w:hint="eastAsia" w:asciiTheme="minorEastAsia" w:hAnsiTheme="minorEastAsia" w:eastAsiaTheme="minorEastAsia" w:cstheme="minorEastAsia"/>
                <w:color w:val="auto"/>
                <w:sz w:val="21"/>
                <w:szCs w:val="21"/>
                <w:highlight w:val="none"/>
              </w:rPr>
              <w:t>“竞争性磋商响应文件格式”的要求</w:t>
            </w:r>
          </w:p>
        </w:tc>
      </w:tr>
      <w:tr w14:paraId="6DCB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89" w:type="dxa"/>
            <w:vMerge w:val="continue"/>
            <w:noWrap w:val="0"/>
            <w:vAlign w:val="center"/>
          </w:tcPr>
          <w:p w14:paraId="078A1BF8">
            <w:pPr>
              <w:keepNext w:val="0"/>
              <w:keepLines w:val="0"/>
              <w:pageBreakBefore w:val="0"/>
              <w:widowControl/>
              <w:kinsoku/>
              <w:wordWrap/>
              <w:overflowPunct/>
              <w:topLinePunct w:val="0"/>
              <w:bidi w:val="0"/>
              <w:spacing w:line="36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057" w:type="dxa"/>
            <w:vMerge w:val="continue"/>
            <w:noWrap w:val="0"/>
            <w:vAlign w:val="center"/>
          </w:tcPr>
          <w:p w14:paraId="05AC44D0">
            <w:pPr>
              <w:keepNext w:val="0"/>
              <w:keepLines w:val="0"/>
              <w:pageBreakBefore w:val="0"/>
              <w:widowControl/>
              <w:kinsoku/>
              <w:wordWrap/>
              <w:overflowPunct/>
              <w:topLinePunct w:val="0"/>
              <w:bidi w:val="0"/>
              <w:spacing w:line="36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537" w:type="dxa"/>
            <w:noWrap w:val="0"/>
            <w:vAlign w:val="center"/>
          </w:tcPr>
          <w:p w14:paraId="3F22C0F9">
            <w:pPr>
              <w:keepNext w:val="0"/>
              <w:keepLines w:val="0"/>
              <w:pageBreakBefore w:val="0"/>
              <w:kinsoku/>
              <w:wordWrap/>
              <w:overflowPunct/>
              <w:topLinePunct w:val="0"/>
              <w:bidi w:val="0"/>
              <w:spacing w:line="360" w:lineRule="exact"/>
              <w:ind w:left="0" w:leftChars="0"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报价唯一</w:t>
            </w:r>
          </w:p>
        </w:tc>
        <w:tc>
          <w:tcPr>
            <w:tcW w:w="6729" w:type="dxa"/>
            <w:gridSpan w:val="2"/>
            <w:noWrap w:val="0"/>
            <w:vAlign w:val="center"/>
          </w:tcPr>
          <w:p w14:paraId="1982B6D0">
            <w:pPr>
              <w:keepNext w:val="0"/>
              <w:keepLines w:val="0"/>
              <w:pageBreakBefore w:val="0"/>
              <w:kinsoku/>
              <w:wordWrap/>
              <w:overflowPunct/>
              <w:topLinePunct w:val="0"/>
              <w:bidi w:val="0"/>
              <w:spacing w:line="360" w:lineRule="exact"/>
              <w:ind w:left="0" w:leftChars="0" w:right="0" w:righ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只能有一个有效报价（第一次报价）</w:t>
            </w:r>
          </w:p>
        </w:tc>
      </w:tr>
      <w:tr w14:paraId="528E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89" w:type="dxa"/>
            <w:vMerge w:val="continue"/>
            <w:noWrap w:val="0"/>
            <w:vAlign w:val="center"/>
          </w:tcPr>
          <w:p w14:paraId="6EE99C95">
            <w:pPr>
              <w:keepNext w:val="0"/>
              <w:keepLines w:val="0"/>
              <w:pageBreakBefore w:val="0"/>
              <w:widowControl/>
              <w:kinsoku/>
              <w:wordWrap/>
              <w:overflowPunct/>
              <w:topLinePunct w:val="0"/>
              <w:bidi w:val="0"/>
              <w:spacing w:line="36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057" w:type="dxa"/>
            <w:vMerge w:val="continue"/>
            <w:noWrap w:val="0"/>
            <w:vAlign w:val="center"/>
          </w:tcPr>
          <w:p w14:paraId="5A0F90EA">
            <w:pPr>
              <w:keepNext w:val="0"/>
              <w:keepLines w:val="0"/>
              <w:pageBreakBefore w:val="0"/>
              <w:widowControl/>
              <w:kinsoku/>
              <w:wordWrap/>
              <w:overflowPunct/>
              <w:topLinePunct w:val="0"/>
              <w:bidi w:val="0"/>
              <w:spacing w:line="36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537" w:type="dxa"/>
            <w:noWrap w:val="0"/>
            <w:vAlign w:val="center"/>
          </w:tcPr>
          <w:p w14:paraId="1AE89E80">
            <w:pPr>
              <w:keepNext w:val="0"/>
              <w:keepLines w:val="0"/>
              <w:pageBreakBefore w:val="0"/>
              <w:kinsoku/>
              <w:wordWrap/>
              <w:overflowPunct/>
              <w:topLinePunct w:val="0"/>
              <w:bidi w:val="0"/>
              <w:spacing w:line="360" w:lineRule="exact"/>
              <w:ind w:left="0" w:leftChars="0"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响应内容</w:t>
            </w:r>
          </w:p>
        </w:tc>
        <w:tc>
          <w:tcPr>
            <w:tcW w:w="6729" w:type="dxa"/>
            <w:gridSpan w:val="2"/>
            <w:noWrap w:val="0"/>
            <w:vAlign w:val="center"/>
          </w:tcPr>
          <w:p w14:paraId="47E6DEDB">
            <w:pPr>
              <w:keepNext w:val="0"/>
              <w:keepLines w:val="0"/>
              <w:pageBreakBefore w:val="0"/>
              <w:kinsoku/>
              <w:wordWrap/>
              <w:overflowPunct/>
              <w:topLinePunct w:val="0"/>
              <w:bidi w:val="0"/>
              <w:spacing w:line="360" w:lineRule="exact"/>
              <w:ind w:left="0" w:leftChars="0" w:right="0" w:rightChars="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符合第二章“供应商须知”第1.4.1项规定</w:t>
            </w:r>
          </w:p>
        </w:tc>
      </w:tr>
      <w:tr w14:paraId="5330B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89" w:type="dxa"/>
            <w:vMerge w:val="continue"/>
            <w:noWrap w:val="0"/>
            <w:vAlign w:val="center"/>
          </w:tcPr>
          <w:p w14:paraId="236DA4A9">
            <w:pPr>
              <w:keepNext w:val="0"/>
              <w:keepLines w:val="0"/>
              <w:pageBreakBefore w:val="0"/>
              <w:kinsoku/>
              <w:wordWrap/>
              <w:overflowPunct/>
              <w:topLinePunct w:val="0"/>
              <w:bidi w:val="0"/>
              <w:spacing w:line="360" w:lineRule="exact"/>
              <w:ind w:left="0" w:leftChars="0" w:right="0" w:rightChars="0"/>
              <w:textAlignment w:val="auto"/>
              <w:rPr>
                <w:rFonts w:hint="eastAsia" w:asciiTheme="minorEastAsia" w:hAnsiTheme="minorEastAsia" w:eastAsiaTheme="minorEastAsia" w:cstheme="minorEastAsia"/>
                <w:color w:val="auto"/>
                <w:sz w:val="21"/>
                <w:szCs w:val="21"/>
                <w:highlight w:val="none"/>
              </w:rPr>
            </w:pPr>
          </w:p>
        </w:tc>
        <w:tc>
          <w:tcPr>
            <w:tcW w:w="1057" w:type="dxa"/>
            <w:vMerge w:val="continue"/>
            <w:noWrap w:val="0"/>
            <w:vAlign w:val="center"/>
          </w:tcPr>
          <w:p w14:paraId="1B21CEC8">
            <w:pPr>
              <w:keepNext w:val="0"/>
              <w:keepLines w:val="0"/>
              <w:pageBreakBefore w:val="0"/>
              <w:kinsoku/>
              <w:wordWrap/>
              <w:overflowPunct/>
              <w:topLinePunct w:val="0"/>
              <w:bidi w:val="0"/>
              <w:spacing w:line="360" w:lineRule="exact"/>
              <w:ind w:left="0" w:leftChars="0" w:right="0" w:rightChars="0"/>
              <w:jc w:val="center"/>
              <w:textAlignment w:val="auto"/>
              <w:rPr>
                <w:rFonts w:hint="eastAsia" w:asciiTheme="minorEastAsia" w:hAnsiTheme="minorEastAsia" w:eastAsiaTheme="minorEastAsia" w:cstheme="minorEastAsia"/>
                <w:color w:val="auto"/>
                <w:sz w:val="21"/>
                <w:szCs w:val="21"/>
                <w:highlight w:val="none"/>
              </w:rPr>
            </w:pPr>
          </w:p>
        </w:tc>
        <w:tc>
          <w:tcPr>
            <w:tcW w:w="1537" w:type="dxa"/>
            <w:noWrap w:val="0"/>
            <w:vAlign w:val="center"/>
          </w:tcPr>
          <w:p w14:paraId="5EE34CAD">
            <w:pPr>
              <w:keepNext w:val="0"/>
              <w:keepLines w:val="0"/>
              <w:pageBreakBefore w:val="0"/>
              <w:kinsoku/>
              <w:wordWrap/>
              <w:overflowPunct/>
              <w:topLinePunct w:val="0"/>
              <w:bidi w:val="0"/>
              <w:spacing w:line="360" w:lineRule="exact"/>
              <w:ind w:left="0" w:leftChars="0"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服务期</w:t>
            </w:r>
          </w:p>
        </w:tc>
        <w:tc>
          <w:tcPr>
            <w:tcW w:w="6729" w:type="dxa"/>
            <w:gridSpan w:val="2"/>
            <w:noWrap w:val="0"/>
            <w:vAlign w:val="center"/>
          </w:tcPr>
          <w:p w14:paraId="17B8D7B7">
            <w:pPr>
              <w:keepNext w:val="0"/>
              <w:keepLines w:val="0"/>
              <w:pageBreakBefore w:val="0"/>
              <w:kinsoku/>
              <w:wordWrap/>
              <w:overflowPunct/>
              <w:topLinePunct w:val="0"/>
              <w:bidi w:val="0"/>
              <w:spacing w:line="360" w:lineRule="exact"/>
              <w:ind w:left="0" w:leftChars="0" w:right="0" w:righ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符合第二章“供应商须知”第1.4.2项规定</w:t>
            </w:r>
          </w:p>
        </w:tc>
      </w:tr>
      <w:tr w14:paraId="5B99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89" w:type="dxa"/>
            <w:vMerge w:val="continue"/>
            <w:noWrap w:val="0"/>
            <w:vAlign w:val="center"/>
          </w:tcPr>
          <w:p w14:paraId="0A7D9AFF">
            <w:pPr>
              <w:keepNext w:val="0"/>
              <w:keepLines w:val="0"/>
              <w:pageBreakBefore w:val="0"/>
              <w:widowControl/>
              <w:kinsoku/>
              <w:wordWrap/>
              <w:overflowPunct/>
              <w:topLinePunct w:val="0"/>
              <w:bidi w:val="0"/>
              <w:spacing w:line="36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057" w:type="dxa"/>
            <w:vMerge w:val="continue"/>
            <w:noWrap w:val="0"/>
            <w:vAlign w:val="center"/>
          </w:tcPr>
          <w:p w14:paraId="07BCDE6D">
            <w:pPr>
              <w:keepNext w:val="0"/>
              <w:keepLines w:val="0"/>
              <w:pageBreakBefore w:val="0"/>
              <w:widowControl/>
              <w:kinsoku/>
              <w:wordWrap/>
              <w:overflowPunct/>
              <w:topLinePunct w:val="0"/>
              <w:bidi w:val="0"/>
              <w:spacing w:line="36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537" w:type="dxa"/>
            <w:noWrap w:val="0"/>
            <w:vAlign w:val="center"/>
          </w:tcPr>
          <w:p w14:paraId="1E45614D">
            <w:pPr>
              <w:keepNext w:val="0"/>
              <w:keepLines w:val="0"/>
              <w:pageBreakBefore w:val="0"/>
              <w:kinsoku/>
              <w:wordWrap/>
              <w:overflowPunct/>
              <w:topLinePunct w:val="0"/>
              <w:bidi w:val="0"/>
              <w:spacing w:line="360" w:lineRule="exact"/>
              <w:ind w:left="0" w:leftChars="0" w:right="0" w:rightChars="0"/>
              <w:jc w:val="center"/>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服务标准</w:t>
            </w:r>
          </w:p>
        </w:tc>
        <w:tc>
          <w:tcPr>
            <w:tcW w:w="6729" w:type="dxa"/>
            <w:gridSpan w:val="2"/>
            <w:noWrap w:val="0"/>
            <w:vAlign w:val="center"/>
          </w:tcPr>
          <w:p w14:paraId="617E19F4">
            <w:pPr>
              <w:keepNext w:val="0"/>
              <w:keepLines w:val="0"/>
              <w:pageBreakBefore w:val="0"/>
              <w:kinsoku/>
              <w:wordWrap/>
              <w:overflowPunct/>
              <w:topLinePunct w:val="0"/>
              <w:bidi w:val="0"/>
              <w:spacing w:line="360" w:lineRule="exact"/>
              <w:ind w:left="0" w:leftChars="0" w:right="0" w:righ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符合第二章“供应商须知”第1.4.3项规定</w:t>
            </w:r>
          </w:p>
        </w:tc>
      </w:tr>
      <w:tr w14:paraId="7A66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89" w:type="dxa"/>
            <w:vMerge w:val="continue"/>
            <w:noWrap w:val="0"/>
            <w:vAlign w:val="center"/>
          </w:tcPr>
          <w:p w14:paraId="0AB6E838">
            <w:pPr>
              <w:keepNext w:val="0"/>
              <w:keepLines w:val="0"/>
              <w:pageBreakBefore w:val="0"/>
              <w:widowControl/>
              <w:kinsoku/>
              <w:wordWrap/>
              <w:overflowPunct/>
              <w:topLinePunct w:val="0"/>
              <w:bidi w:val="0"/>
              <w:spacing w:line="36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057" w:type="dxa"/>
            <w:vMerge w:val="continue"/>
            <w:noWrap w:val="0"/>
            <w:vAlign w:val="center"/>
          </w:tcPr>
          <w:p w14:paraId="593FDA75">
            <w:pPr>
              <w:keepNext w:val="0"/>
              <w:keepLines w:val="0"/>
              <w:pageBreakBefore w:val="0"/>
              <w:widowControl/>
              <w:kinsoku/>
              <w:wordWrap/>
              <w:overflowPunct/>
              <w:topLinePunct w:val="0"/>
              <w:bidi w:val="0"/>
              <w:spacing w:line="36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537" w:type="dxa"/>
            <w:noWrap w:val="0"/>
            <w:vAlign w:val="center"/>
          </w:tcPr>
          <w:p w14:paraId="50F5211F">
            <w:pPr>
              <w:keepNext w:val="0"/>
              <w:keepLines w:val="0"/>
              <w:pageBreakBefore w:val="0"/>
              <w:kinsoku/>
              <w:wordWrap/>
              <w:overflowPunct/>
              <w:topLinePunct w:val="0"/>
              <w:bidi w:val="0"/>
              <w:spacing w:line="360" w:lineRule="exact"/>
              <w:ind w:left="0" w:leftChars="0" w:right="0" w:rightChars="0"/>
              <w:jc w:val="center"/>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磋商有效期</w:t>
            </w:r>
          </w:p>
        </w:tc>
        <w:tc>
          <w:tcPr>
            <w:tcW w:w="6729" w:type="dxa"/>
            <w:gridSpan w:val="2"/>
            <w:noWrap w:val="0"/>
            <w:vAlign w:val="center"/>
          </w:tcPr>
          <w:p w14:paraId="25B19470">
            <w:pPr>
              <w:keepNext w:val="0"/>
              <w:keepLines w:val="0"/>
              <w:pageBreakBefore w:val="0"/>
              <w:kinsoku/>
              <w:wordWrap/>
              <w:overflowPunct/>
              <w:topLinePunct w:val="0"/>
              <w:bidi w:val="0"/>
              <w:spacing w:line="360" w:lineRule="exact"/>
              <w:ind w:left="0" w:leftChars="0" w:right="0" w:righ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符合第二章“供应商须知”第3.3.1项规定</w:t>
            </w:r>
          </w:p>
        </w:tc>
      </w:tr>
      <w:tr w14:paraId="66E9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89" w:type="dxa"/>
            <w:vMerge w:val="continue"/>
            <w:noWrap w:val="0"/>
            <w:vAlign w:val="center"/>
          </w:tcPr>
          <w:p w14:paraId="5A37CCF7">
            <w:pPr>
              <w:keepNext w:val="0"/>
              <w:keepLines w:val="0"/>
              <w:pageBreakBefore w:val="0"/>
              <w:widowControl/>
              <w:kinsoku/>
              <w:wordWrap/>
              <w:overflowPunct/>
              <w:topLinePunct w:val="0"/>
              <w:bidi w:val="0"/>
              <w:spacing w:line="36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057" w:type="dxa"/>
            <w:vMerge w:val="continue"/>
            <w:noWrap w:val="0"/>
            <w:vAlign w:val="center"/>
          </w:tcPr>
          <w:p w14:paraId="1459A493">
            <w:pPr>
              <w:keepNext w:val="0"/>
              <w:keepLines w:val="0"/>
              <w:pageBreakBefore w:val="0"/>
              <w:widowControl/>
              <w:kinsoku/>
              <w:wordWrap/>
              <w:overflowPunct/>
              <w:topLinePunct w:val="0"/>
              <w:bidi w:val="0"/>
              <w:spacing w:line="36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537" w:type="dxa"/>
            <w:noWrap w:val="0"/>
            <w:vAlign w:val="center"/>
          </w:tcPr>
          <w:p w14:paraId="2E88E8AD">
            <w:pPr>
              <w:keepNext w:val="0"/>
              <w:keepLines w:val="0"/>
              <w:pageBreakBefore w:val="0"/>
              <w:kinsoku/>
              <w:wordWrap/>
              <w:overflowPunct/>
              <w:topLinePunct w:val="0"/>
              <w:bidi w:val="0"/>
              <w:spacing w:line="360" w:lineRule="exact"/>
              <w:ind w:left="0" w:leftChars="0"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磋商报价</w:t>
            </w:r>
          </w:p>
        </w:tc>
        <w:tc>
          <w:tcPr>
            <w:tcW w:w="6729" w:type="dxa"/>
            <w:gridSpan w:val="2"/>
            <w:noWrap w:val="0"/>
            <w:vAlign w:val="center"/>
          </w:tcPr>
          <w:p w14:paraId="3C2B93D6">
            <w:pPr>
              <w:keepNext w:val="0"/>
              <w:keepLines w:val="0"/>
              <w:pageBreakBefore w:val="0"/>
              <w:kinsoku/>
              <w:wordWrap/>
              <w:overflowPunct/>
              <w:topLinePunct w:val="0"/>
              <w:bidi w:val="0"/>
              <w:spacing w:line="360" w:lineRule="exact"/>
              <w:ind w:left="0" w:leftChars="0" w:right="0" w:righ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磋商报价在规定的报价要求范围之内，未超出预算价</w:t>
            </w:r>
          </w:p>
        </w:tc>
      </w:tr>
      <w:tr w14:paraId="164EC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946" w:type="dxa"/>
            <w:gridSpan w:val="2"/>
            <w:noWrap w:val="0"/>
            <w:vAlign w:val="center"/>
          </w:tcPr>
          <w:p w14:paraId="34909F5A">
            <w:pPr>
              <w:keepNext w:val="0"/>
              <w:keepLines w:val="0"/>
              <w:pageBreakBefore w:val="0"/>
              <w:widowControl w:val="0"/>
              <w:kinsoku/>
              <w:wordWrap/>
              <w:overflowPunct/>
              <w:topLinePunct w:val="0"/>
              <w:bidi w:val="0"/>
              <w:adjustRightInd/>
              <w:snapToGrid/>
              <w:spacing w:line="40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bookmarkStart w:id="869" w:name="_Toc144974567"/>
            <w:bookmarkStart w:id="870" w:name="_Toc152045600"/>
            <w:bookmarkStart w:id="871" w:name="_Toc152042377"/>
            <w:bookmarkStart w:id="872" w:name="_Toc318450722"/>
            <w:bookmarkStart w:id="873" w:name="_Toc281405528"/>
            <w:bookmarkStart w:id="874" w:name="_Toc31578"/>
            <w:r>
              <w:rPr>
                <w:rFonts w:hint="eastAsia" w:asciiTheme="minorEastAsia" w:hAnsiTheme="minorEastAsia" w:eastAsiaTheme="minorEastAsia" w:cstheme="minorEastAsia"/>
                <w:b/>
                <w:bCs/>
                <w:color w:val="auto"/>
                <w:sz w:val="21"/>
                <w:szCs w:val="21"/>
                <w:highlight w:val="none"/>
              </w:rPr>
              <w:t>条款号</w:t>
            </w:r>
          </w:p>
        </w:tc>
        <w:tc>
          <w:tcPr>
            <w:tcW w:w="1537" w:type="dxa"/>
            <w:noWrap w:val="0"/>
            <w:vAlign w:val="center"/>
          </w:tcPr>
          <w:p w14:paraId="12E89DD3">
            <w:pPr>
              <w:keepNext w:val="0"/>
              <w:keepLines w:val="0"/>
              <w:pageBreakBefore w:val="0"/>
              <w:widowControl w:val="0"/>
              <w:kinsoku/>
              <w:wordWrap/>
              <w:overflowPunct/>
              <w:topLinePunct w:val="0"/>
              <w:bidi w:val="0"/>
              <w:adjustRightInd/>
              <w:snapToGrid/>
              <w:spacing w:line="40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条款内容</w:t>
            </w:r>
          </w:p>
        </w:tc>
        <w:tc>
          <w:tcPr>
            <w:tcW w:w="6729" w:type="dxa"/>
            <w:gridSpan w:val="2"/>
            <w:noWrap w:val="0"/>
            <w:vAlign w:val="center"/>
          </w:tcPr>
          <w:p w14:paraId="503FB8B1">
            <w:pPr>
              <w:keepNext w:val="0"/>
              <w:keepLines w:val="0"/>
              <w:pageBreakBefore w:val="0"/>
              <w:widowControl w:val="0"/>
              <w:kinsoku/>
              <w:wordWrap/>
              <w:overflowPunct/>
              <w:topLinePunct w:val="0"/>
              <w:bidi w:val="0"/>
              <w:adjustRightInd/>
              <w:snapToGrid/>
              <w:spacing w:line="400" w:lineRule="exact"/>
              <w:ind w:left="0" w:leftChars="0" w:right="0" w:rightChars="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编列内容</w:t>
            </w:r>
          </w:p>
        </w:tc>
      </w:tr>
      <w:tr w14:paraId="0A7C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946" w:type="dxa"/>
            <w:gridSpan w:val="2"/>
            <w:noWrap w:val="0"/>
            <w:vAlign w:val="center"/>
          </w:tcPr>
          <w:p w14:paraId="7E7201B6">
            <w:pPr>
              <w:keepNext w:val="0"/>
              <w:keepLines w:val="0"/>
              <w:pageBreakBefore w:val="0"/>
              <w:widowControl w:val="0"/>
              <w:kinsoku/>
              <w:wordWrap/>
              <w:overflowPunct/>
              <w:topLinePunct w:val="0"/>
              <w:bidi w:val="0"/>
              <w:adjustRightInd/>
              <w:snapToGrid/>
              <w:spacing w:line="40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2.2.1</w:t>
            </w:r>
          </w:p>
        </w:tc>
        <w:tc>
          <w:tcPr>
            <w:tcW w:w="1537" w:type="dxa"/>
            <w:noWrap w:val="0"/>
            <w:vAlign w:val="center"/>
          </w:tcPr>
          <w:p w14:paraId="0AA2B9A6">
            <w:pPr>
              <w:keepNext w:val="0"/>
              <w:keepLines w:val="0"/>
              <w:pageBreakBefore w:val="0"/>
              <w:widowControl w:val="0"/>
              <w:kinsoku/>
              <w:wordWrap/>
              <w:overflowPunct/>
              <w:topLinePunct w:val="0"/>
              <w:bidi w:val="0"/>
              <w:adjustRightInd/>
              <w:snapToGrid/>
              <w:spacing w:line="40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分值构成</w:t>
            </w:r>
          </w:p>
          <w:p w14:paraId="5B8E2013">
            <w:pPr>
              <w:keepNext w:val="0"/>
              <w:keepLines w:val="0"/>
              <w:pageBreakBefore w:val="0"/>
              <w:widowControl w:val="0"/>
              <w:kinsoku/>
              <w:wordWrap/>
              <w:overflowPunct/>
              <w:topLinePunct w:val="0"/>
              <w:bidi w:val="0"/>
              <w:adjustRightInd/>
              <w:snapToGrid/>
              <w:spacing w:line="40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pacing w:val="-11"/>
                <w:sz w:val="21"/>
                <w:szCs w:val="21"/>
                <w:highlight w:val="none"/>
              </w:rPr>
              <w:t>（总分100分）</w:t>
            </w:r>
          </w:p>
        </w:tc>
        <w:tc>
          <w:tcPr>
            <w:tcW w:w="6729" w:type="dxa"/>
            <w:gridSpan w:val="2"/>
            <w:noWrap w:val="0"/>
            <w:vAlign w:val="center"/>
          </w:tcPr>
          <w:p w14:paraId="44D40CE4">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商务部分：</w:t>
            </w:r>
            <w:r>
              <w:rPr>
                <w:rFonts w:hint="eastAsia" w:asciiTheme="minorEastAsia" w:hAnsiTheme="minorEastAsia" w:eastAsia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rPr>
              <w:t>分</w:t>
            </w:r>
          </w:p>
          <w:p w14:paraId="456F8B0E">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技术部分：</w:t>
            </w:r>
            <w:r>
              <w:rPr>
                <w:rFonts w:hint="eastAsia" w:asciiTheme="minorEastAsia" w:hAnsiTheme="minorEastAsia" w:eastAsiaTheme="minorEastAsia" w:cstheme="minorEastAsia"/>
                <w:color w:val="auto"/>
                <w:sz w:val="21"/>
                <w:szCs w:val="21"/>
                <w:highlight w:val="none"/>
                <w:lang w:val="en-US" w:eastAsia="zh-CN"/>
              </w:rPr>
              <w:t>41</w:t>
            </w:r>
            <w:r>
              <w:rPr>
                <w:rFonts w:hint="eastAsia" w:asciiTheme="minorEastAsia" w:hAnsiTheme="minorEastAsia" w:eastAsiaTheme="minorEastAsia" w:cstheme="minorEastAsia"/>
                <w:color w:val="auto"/>
                <w:sz w:val="21"/>
                <w:szCs w:val="21"/>
                <w:highlight w:val="none"/>
              </w:rPr>
              <w:t>分</w:t>
            </w:r>
          </w:p>
          <w:p w14:paraId="6D010D8E">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综合部分：</w:t>
            </w:r>
            <w:r>
              <w:rPr>
                <w:rFonts w:hint="eastAsia" w:asciiTheme="minorEastAsia" w:hAnsiTheme="minorEastAsia" w:eastAsiaTheme="minorEastAsia" w:cstheme="minorEastAsia"/>
                <w:color w:val="auto"/>
                <w:sz w:val="21"/>
                <w:szCs w:val="21"/>
                <w:highlight w:val="none"/>
                <w:lang w:val="en-US" w:eastAsia="zh-CN"/>
              </w:rPr>
              <w:t>29</w:t>
            </w:r>
            <w:r>
              <w:rPr>
                <w:rFonts w:hint="eastAsia" w:asciiTheme="minorEastAsia" w:hAnsiTheme="minorEastAsia" w:eastAsiaTheme="minorEastAsia" w:cstheme="minorEastAsia"/>
                <w:color w:val="auto"/>
                <w:sz w:val="21"/>
                <w:szCs w:val="21"/>
                <w:highlight w:val="none"/>
              </w:rPr>
              <w:t>分</w:t>
            </w:r>
          </w:p>
        </w:tc>
      </w:tr>
      <w:tr w14:paraId="3E087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889" w:type="dxa"/>
            <w:noWrap w:val="0"/>
            <w:vAlign w:val="center"/>
          </w:tcPr>
          <w:p w14:paraId="7FE669C9">
            <w:pPr>
              <w:keepNext w:val="0"/>
              <w:keepLines w:val="0"/>
              <w:pageBreakBefore w:val="0"/>
              <w:widowControl w:val="0"/>
              <w:kinsoku/>
              <w:wordWrap/>
              <w:overflowPunct/>
              <w:topLinePunct w:val="0"/>
              <w:bidi w:val="0"/>
              <w:adjustRightInd/>
              <w:snapToGrid/>
              <w:spacing w:line="40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2.2.2（1）</w:t>
            </w:r>
          </w:p>
        </w:tc>
        <w:tc>
          <w:tcPr>
            <w:tcW w:w="1057" w:type="dxa"/>
            <w:noWrap w:val="0"/>
            <w:vAlign w:val="center"/>
          </w:tcPr>
          <w:p w14:paraId="77B10333">
            <w:pPr>
              <w:keepNext w:val="0"/>
              <w:keepLines w:val="0"/>
              <w:pageBreakBefore w:val="0"/>
              <w:widowControl w:val="0"/>
              <w:kinsoku/>
              <w:wordWrap/>
              <w:overflowPunct/>
              <w:topLinePunct w:val="0"/>
              <w:bidi w:val="0"/>
              <w:adjustRightInd/>
              <w:snapToGrid/>
              <w:spacing w:line="40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商务</w:t>
            </w:r>
          </w:p>
          <w:p w14:paraId="0F5917F8">
            <w:pPr>
              <w:keepNext w:val="0"/>
              <w:keepLines w:val="0"/>
              <w:pageBreakBefore w:val="0"/>
              <w:widowControl w:val="0"/>
              <w:kinsoku/>
              <w:wordWrap/>
              <w:overflowPunct/>
              <w:topLinePunct w:val="0"/>
              <w:bidi w:val="0"/>
              <w:adjustRightInd/>
              <w:snapToGrid/>
              <w:spacing w:line="40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部分</w:t>
            </w:r>
          </w:p>
          <w:p w14:paraId="6CF18DFB">
            <w:pPr>
              <w:keepNext w:val="0"/>
              <w:keepLines w:val="0"/>
              <w:pageBreakBefore w:val="0"/>
              <w:widowControl w:val="0"/>
              <w:kinsoku/>
              <w:wordWrap/>
              <w:overflowPunct/>
              <w:topLinePunct w:val="0"/>
              <w:bidi w:val="0"/>
              <w:adjustRightInd/>
              <w:snapToGrid/>
              <w:spacing w:line="400" w:lineRule="exact"/>
              <w:ind w:left="0" w:leftChars="0" w:right="0" w:rightChars="0"/>
              <w:jc w:val="both"/>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lang w:val="en-US" w:eastAsia="zh-CN"/>
              </w:rPr>
              <w:t>30</w:t>
            </w:r>
            <w:r>
              <w:rPr>
                <w:rFonts w:hint="eastAsia" w:asciiTheme="minorEastAsia" w:hAnsiTheme="minorEastAsia" w:eastAsiaTheme="minorEastAsia" w:cstheme="minorEastAsia"/>
                <w:b/>
                <w:bCs/>
                <w:color w:val="auto"/>
                <w:sz w:val="21"/>
                <w:szCs w:val="21"/>
                <w:highlight w:val="none"/>
              </w:rPr>
              <w:t>分）</w:t>
            </w:r>
          </w:p>
        </w:tc>
        <w:tc>
          <w:tcPr>
            <w:tcW w:w="1537" w:type="dxa"/>
            <w:noWrap w:val="0"/>
            <w:vAlign w:val="center"/>
          </w:tcPr>
          <w:p w14:paraId="513EA53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磋商</w:t>
            </w:r>
            <w:r>
              <w:rPr>
                <w:rFonts w:hint="eastAsia" w:asciiTheme="minorEastAsia" w:hAnsiTheme="minorEastAsia" w:eastAsiaTheme="minorEastAsia" w:cstheme="minorEastAsia"/>
                <w:b/>
                <w:bCs/>
                <w:color w:val="auto"/>
                <w:sz w:val="21"/>
                <w:szCs w:val="21"/>
                <w:highlight w:val="none"/>
              </w:rPr>
              <w:t>报价</w:t>
            </w:r>
          </w:p>
          <w:p w14:paraId="3B18F19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bCs/>
                <w:color w:val="auto"/>
                <w:sz w:val="21"/>
                <w:szCs w:val="21"/>
                <w:highlight w:val="none"/>
                <w:lang w:val="en-US" w:eastAsia="zh-CN"/>
              </w:rPr>
              <w:t>30</w:t>
            </w:r>
            <w:r>
              <w:rPr>
                <w:rFonts w:hint="eastAsia" w:asciiTheme="minorEastAsia" w:hAnsiTheme="minorEastAsia" w:eastAsiaTheme="minorEastAsia" w:cstheme="minorEastAsia"/>
                <w:b/>
                <w:bCs/>
                <w:color w:val="auto"/>
                <w:sz w:val="21"/>
                <w:szCs w:val="21"/>
                <w:highlight w:val="none"/>
              </w:rPr>
              <w:t>分）</w:t>
            </w:r>
          </w:p>
        </w:tc>
        <w:tc>
          <w:tcPr>
            <w:tcW w:w="6729" w:type="dxa"/>
            <w:gridSpan w:val="2"/>
            <w:noWrap w:val="0"/>
            <w:vAlign w:val="center"/>
          </w:tcPr>
          <w:p w14:paraId="73E54454">
            <w:pPr>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kern w:val="0"/>
                <w:sz w:val="21"/>
                <w:szCs w:val="21"/>
              </w:rPr>
            </w:pPr>
            <w:r>
              <w:rPr>
                <w:rFonts w:hint="eastAsia" w:ascii="宋体" w:hAnsi="宋体" w:cs="宋体"/>
                <w:kern w:val="0"/>
                <w:sz w:val="21"/>
                <w:szCs w:val="21"/>
              </w:rPr>
              <w:t>1、价格分计算方法</w:t>
            </w:r>
          </w:p>
          <w:p w14:paraId="6FF96A72">
            <w:pPr>
              <w:keepNext w:val="0"/>
              <w:keepLines w:val="0"/>
              <w:pageBreakBefore w:val="0"/>
              <w:kinsoku/>
              <w:wordWrap/>
              <w:overflowPunct/>
              <w:topLinePunct w:val="0"/>
              <w:autoSpaceDE/>
              <w:autoSpaceDN/>
              <w:bidi w:val="0"/>
              <w:adjustRightInd/>
              <w:snapToGrid/>
              <w:spacing w:line="240" w:lineRule="auto"/>
              <w:ind w:firstLine="420"/>
              <w:jc w:val="left"/>
              <w:textAlignment w:val="auto"/>
              <w:rPr>
                <w:rFonts w:hint="eastAsia" w:ascii="宋体" w:hAnsi="宋体" w:cs="宋体"/>
                <w:kern w:val="0"/>
                <w:sz w:val="21"/>
                <w:szCs w:val="21"/>
              </w:rPr>
            </w:pPr>
            <w:r>
              <w:rPr>
                <w:rFonts w:hint="eastAsia" w:ascii="宋体" w:hAnsi="宋体" w:cs="宋体"/>
                <w:kern w:val="0"/>
                <w:sz w:val="21"/>
                <w:szCs w:val="21"/>
              </w:rPr>
              <w:t>采用低价优先法计算，即满足磋商文件要求且最后报价最低的供应商的价格为磋商基准价，其价格分为满分。其他供应商的价格分统一按照下列公式计算：</w:t>
            </w:r>
          </w:p>
          <w:p w14:paraId="3EC96725">
            <w:pPr>
              <w:keepNext w:val="0"/>
              <w:keepLines w:val="0"/>
              <w:pageBreakBefore w:val="0"/>
              <w:kinsoku/>
              <w:wordWrap/>
              <w:overflowPunct/>
              <w:topLinePunct w:val="0"/>
              <w:autoSpaceDE/>
              <w:autoSpaceDN/>
              <w:bidi w:val="0"/>
              <w:adjustRightInd/>
              <w:snapToGrid/>
              <w:spacing w:line="240" w:lineRule="auto"/>
              <w:ind w:firstLine="422" w:firstLineChars="200"/>
              <w:jc w:val="left"/>
              <w:textAlignment w:val="auto"/>
              <w:rPr>
                <w:rFonts w:hint="eastAsia" w:ascii="宋体" w:hAnsi="宋体" w:cs="宋体"/>
                <w:kern w:val="0"/>
                <w:sz w:val="21"/>
                <w:szCs w:val="21"/>
              </w:rPr>
            </w:pPr>
            <w:r>
              <w:rPr>
                <w:rFonts w:hint="eastAsia" w:ascii="宋体" w:hAnsi="宋体" w:cs="宋体"/>
                <w:b/>
                <w:bCs/>
                <w:kern w:val="0"/>
                <w:sz w:val="21"/>
                <w:szCs w:val="21"/>
              </w:rPr>
              <w:t>磋商报价得分=（磋商基准价/最后磋商报价）×30</w:t>
            </w:r>
          </w:p>
          <w:p w14:paraId="7DE7345A">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宋体" w:hAnsi="宋体" w:cs="宋体"/>
                <w:sz w:val="21"/>
                <w:szCs w:val="21"/>
                <w:lang w:bidi="ar"/>
              </w:rPr>
            </w:pPr>
            <w:r>
              <w:rPr>
                <w:rFonts w:hint="eastAsia" w:ascii="宋体" w:hAnsi="宋体" w:cs="宋体"/>
                <w:sz w:val="21"/>
                <w:szCs w:val="21"/>
                <w:lang w:bidi="ar"/>
              </w:rPr>
              <w:t>2、评审原则：</w:t>
            </w:r>
          </w:p>
          <w:p w14:paraId="08E0F4F1">
            <w:pPr>
              <w:keepNext w:val="0"/>
              <w:keepLines w:val="0"/>
              <w:pageBreakBefore w:val="0"/>
              <w:kinsoku/>
              <w:wordWrap/>
              <w:overflowPunct/>
              <w:topLinePunct w:val="0"/>
              <w:autoSpaceDE/>
              <w:autoSpaceDN/>
              <w:bidi w:val="0"/>
              <w:adjustRightInd/>
              <w:snapToGrid/>
              <w:spacing w:line="240" w:lineRule="auto"/>
              <w:ind w:firstLine="420" w:firstLineChars="0"/>
              <w:jc w:val="left"/>
              <w:textAlignment w:val="auto"/>
              <w:rPr>
                <w:rFonts w:hint="eastAsia" w:ascii="宋体" w:hAnsi="宋体" w:eastAsia="宋体" w:cs="宋体"/>
                <w:kern w:val="0"/>
                <w:sz w:val="21"/>
                <w:szCs w:val="21"/>
              </w:rPr>
            </w:pPr>
            <w:r>
              <w:rPr>
                <w:rFonts w:hint="eastAsia" w:ascii="宋体" w:hAnsi="宋体" w:cs="宋体"/>
                <w:kern w:val="0"/>
                <w:sz w:val="21"/>
                <w:szCs w:val="21"/>
                <w:lang w:val="en-US" w:eastAsia="zh-CN"/>
              </w:rPr>
              <w:t>2.</w:t>
            </w:r>
            <w:r>
              <w:rPr>
                <w:rFonts w:hint="eastAsia" w:ascii="宋体" w:hAnsi="宋体" w:eastAsia="宋体" w:cs="宋体"/>
                <w:kern w:val="0"/>
                <w:sz w:val="21"/>
                <w:szCs w:val="21"/>
              </w:rPr>
              <w:t>1价格分计算保留小数点后</w:t>
            </w:r>
            <w:r>
              <w:rPr>
                <w:rFonts w:hint="eastAsia" w:ascii="宋体" w:hAnsi="宋体" w:cs="宋体"/>
                <w:kern w:val="0"/>
                <w:sz w:val="21"/>
                <w:szCs w:val="21"/>
                <w:lang w:eastAsia="zh-CN"/>
              </w:rPr>
              <w:t>两位</w:t>
            </w:r>
            <w:r>
              <w:rPr>
                <w:rFonts w:hint="eastAsia" w:ascii="宋体" w:hAnsi="宋体" w:eastAsia="宋体" w:cs="宋体"/>
                <w:kern w:val="0"/>
                <w:sz w:val="21"/>
                <w:szCs w:val="21"/>
              </w:rPr>
              <w:t>；</w:t>
            </w:r>
          </w:p>
          <w:p w14:paraId="02D099A8">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2.2</w:t>
            </w:r>
            <w:r>
              <w:rPr>
                <w:rFonts w:hint="eastAsia" w:ascii="宋体" w:hAnsi="宋体" w:eastAsia="宋体" w:cs="宋体"/>
                <w:kern w:val="0"/>
                <w:sz w:val="21"/>
                <w:szCs w:val="21"/>
                <w:lang w:val="en-US" w:eastAsia="zh-CN"/>
              </w:rPr>
              <w:t>根据《关于推动解决政府采购异常低价问题的通知》，采购评审中出现下列情形之一的，磋商小组应当启动异常低价投标（响应）审查程序：</w:t>
            </w:r>
          </w:p>
          <w:p w14:paraId="02D9B978">
            <w:pPr>
              <w:keepNext w:val="0"/>
              <w:keepLines w:val="0"/>
              <w:pageBreakBefore w:val="0"/>
              <w:kinsoku/>
              <w:wordWrap/>
              <w:overflowPunct/>
              <w:topLinePunct w:val="0"/>
              <w:autoSpaceDE/>
              <w:autoSpaceDN/>
              <w:bidi w:val="0"/>
              <w:adjustRightInd/>
              <w:snapToGrid/>
              <w:spacing w:line="240" w:lineRule="auto"/>
              <w:ind w:firstLine="420" w:firstLineChars="0"/>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（1）投标（响应）报价低于全部通过符合性审查供应商投标（响应）报价平均值65%的，即投标（响应）报价&lt;全部通过符合性审查供应商投标（响应）报价平均值×65%；</w:t>
            </w:r>
          </w:p>
          <w:p w14:paraId="58CCA955">
            <w:pPr>
              <w:keepNext w:val="0"/>
              <w:keepLines w:val="0"/>
              <w:pageBreakBefore w:val="0"/>
              <w:kinsoku/>
              <w:wordWrap/>
              <w:overflowPunct/>
              <w:topLinePunct w:val="0"/>
              <w:autoSpaceDE/>
              <w:autoSpaceDN/>
              <w:bidi w:val="0"/>
              <w:adjustRightInd/>
              <w:snapToGrid/>
              <w:spacing w:line="240" w:lineRule="auto"/>
              <w:ind w:firstLine="420" w:firstLineChars="0"/>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（2）投标（响应）报价低于通过符合性审查的次低报价供应商投标（响应）报价65%的，即投标（响应）报价&lt;通过符合性审查的次低报价供应商投标（响应）报价×65%；</w:t>
            </w:r>
          </w:p>
          <w:p w14:paraId="08DA012E">
            <w:pPr>
              <w:keepNext w:val="0"/>
              <w:keepLines w:val="0"/>
              <w:pageBreakBefore w:val="0"/>
              <w:kinsoku/>
              <w:wordWrap/>
              <w:overflowPunct/>
              <w:topLinePunct w:val="0"/>
              <w:autoSpaceDE/>
              <w:autoSpaceDN/>
              <w:bidi w:val="0"/>
              <w:adjustRightInd/>
              <w:snapToGrid/>
              <w:spacing w:line="240" w:lineRule="auto"/>
              <w:ind w:firstLine="420" w:firstLineChars="0"/>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（3）投标（响应）报价低于采购项目最高限价65%的，即投标（响应）报价&lt;采购项目最高限价×65%；</w:t>
            </w:r>
          </w:p>
          <w:p w14:paraId="7B3117BC">
            <w:pPr>
              <w:keepNext w:val="0"/>
              <w:keepLines w:val="0"/>
              <w:pageBreakBefore w:val="0"/>
              <w:kinsoku/>
              <w:wordWrap/>
              <w:overflowPunct/>
              <w:topLinePunct w:val="0"/>
              <w:autoSpaceDE/>
              <w:autoSpaceDN/>
              <w:bidi w:val="0"/>
              <w:adjustRightInd/>
              <w:snapToGrid/>
              <w:spacing w:line="240" w:lineRule="auto"/>
              <w:ind w:firstLine="420" w:firstLineChars="0"/>
              <w:jc w:val="left"/>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（4）磋商小组基于专业判断，认为供应商报价过低，有可能影响产品质量或者不能诚信履约的其他情形。</w:t>
            </w:r>
          </w:p>
          <w:p w14:paraId="702FDA21">
            <w:pPr>
              <w:keepNext w:val="0"/>
              <w:keepLines w:val="0"/>
              <w:pageBreakBefore w:val="0"/>
              <w:kinsoku/>
              <w:wordWrap/>
              <w:overflowPunct/>
              <w:topLinePunct w:val="0"/>
              <w:autoSpaceDE/>
              <w:autoSpaceDN/>
              <w:bidi w:val="0"/>
              <w:adjustRightInd/>
              <w:snapToGrid/>
              <w:spacing w:line="240" w:lineRule="auto"/>
              <w:ind w:firstLine="420" w:firstLineChars="0"/>
              <w:jc w:val="left"/>
              <w:textAlignment w:val="auto"/>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2.3</w:t>
            </w:r>
            <w:r>
              <w:rPr>
                <w:rFonts w:hint="eastAsia" w:ascii="宋体" w:hAnsi="宋体" w:eastAsia="宋体" w:cs="宋体"/>
                <w:kern w:val="0"/>
                <w:sz w:val="21"/>
                <w:szCs w:val="21"/>
                <w:lang w:val="en-US" w:eastAsia="zh-CN"/>
              </w:rPr>
              <w:t>磋商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6CD8F8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cs="宋体"/>
                <w:kern w:val="0"/>
                <w:sz w:val="21"/>
                <w:szCs w:val="21"/>
                <w:lang w:val="en-US" w:eastAsia="zh-CN"/>
              </w:rPr>
              <w:t>2.4</w:t>
            </w:r>
            <w:r>
              <w:rPr>
                <w:rFonts w:hint="eastAsia" w:ascii="宋体" w:hAnsi="宋体" w:eastAsia="宋体" w:cs="宋体"/>
                <w:kern w:val="0"/>
                <w:sz w:val="21"/>
                <w:szCs w:val="21"/>
                <w:lang w:val="en-US" w:eastAsia="zh-CN"/>
              </w:rPr>
              <w:t>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2A15E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889" w:type="dxa"/>
            <w:vMerge w:val="restart"/>
            <w:noWrap w:val="0"/>
            <w:vAlign w:val="center"/>
          </w:tcPr>
          <w:p w14:paraId="5E422815">
            <w:pPr>
              <w:keepNext w:val="0"/>
              <w:keepLines w:val="0"/>
              <w:pageBreakBefore w:val="0"/>
              <w:widowControl w:val="0"/>
              <w:kinsoku/>
              <w:wordWrap/>
              <w:overflowPunct/>
              <w:topLinePunct w:val="0"/>
              <w:bidi w:val="0"/>
              <w:adjustRightInd/>
              <w:snapToGrid/>
              <w:spacing w:line="40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2.2.2（</w:t>
            </w:r>
            <w:r>
              <w:rPr>
                <w:rFonts w:hint="eastAsia" w:asciiTheme="minorEastAsia" w:hAnsiTheme="minorEastAsia" w:eastAsiaTheme="minorEastAsia" w:cstheme="minorEastAsia"/>
                <w:b/>
                <w:bCs/>
                <w:color w:val="auto"/>
                <w:sz w:val="21"/>
                <w:szCs w:val="21"/>
                <w:highlight w:val="none"/>
                <w:lang w:val="en-US" w:eastAsia="zh-CN"/>
              </w:rPr>
              <w:t>2</w:t>
            </w:r>
            <w:r>
              <w:rPr>
                <w:rFonts w:hint="eastAsia" w:asciiTheme="minorEastAsia" w:hAnsiTheme="minorEastAsia" w:eastAsiaTheme="minorEastAsia" w:cstheme="minorEastAsia"/>
                <w:b/>
                <w:bCs/>
                <w:color w:val="auto"/>
                <w:sz w:val="21"/>
                <w:szCs w:val="21"/>
                <w:highlight w:val="none"/>
              </w:rPr>
              <w:t>）</w:t>
            </w:r>
          </w:p>
        </w:tc>
        <w:tc>
          <w:tcPr>
            <w:tcW w:w="1057" w:type="dxa"/>
            <w:vMerge w:val="restart"/>
            <w:noWrap w:val="0"/>
            <w:vAlign w:val="center"/>
          </w:tcPr>
          <w:p w14:paraId="6368BD7C">
            <w:pPr>
              <w:keepNext w:val="0"/>
              <w:keepLines w:val="0"/>
              <w:pageBreakBefore w:val="0"/>
              <w:widowControl w:val="0"/>
              <w:kinsoku/>
              <w:wordWrap/>
              <w:overflowPunct/>
              <w:topLinePunct w:val="0"/>
              <w:bidi w:val="0"/>
              <w:adjustRightInd/>
              <w:snapToGrid/>
              <w:spacing w:line="40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技术部分</w:t>
            </w:r>
          </w:p>
          <w:p w14:paraId="40B87841">
            <w:pPr>
              <w:keepNext w:val="0"/>
              <w:keepLines w:val="0"/>
              <w:pageBreakBefore w:val="0"/>
              <w:widowControl w:val="0"/>
              <w:kinsoku/>
              <w:wordWrap/>
              <w:overflowPunct/>
              <w:topLinePunct w:val="0"/>
              <w:bidi w:val="0"/>
              <w:adjustRightInd/>
              <w:snapToGrid/>
              <w:spacing w:line="400" w:lineRule="exact"/>
              <w:ind w:left="0" w:leftChars="0" w:right="0" w:rightChars="0"/>
              <w:jc w:val="center"/>
              <w:textAlignment w:val="auto"/>
              <w:rPr>
                <w:rFonts w:hint="default"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（41分）</w:t>
            </w:r>
          </w:p>
        </w:tc>
        <w:tc>
          <w:tcPr>
            <w:tcW w:w="1537" w:type="dxa"/>
            <w:noWrap w:val="0"/>
            <w:vAlign w:val="center"/>
          </w:tcPr>
          <w:p w14:paraId="4762DE94">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firstLine="0" w:firstLineChars="0"/>
              <w:jc w:val="center"/>
              <w:textAlignment w:val="center"/>
              <w:rPr>
                <w:rFonts w:hint="eastAsia" w:ascii="宋体" w:hAnsi="宋体" w:eastAsia="宋体" w:cs="宋体"/>
                <w:b w:val="0"/>
                <w:bCs w:val="0"/>
                <w:color w:val="000000"/>
                <w:spacing w:val="0"/>
                <w:position w:val="0"/>
                <w:sz w:val="21"/>
                <w:szCs w:val="21"/>
              </w:rPr>
            </w:pPr>
            <w:r>
              <w:rPr>
                <w:rFonts w:hint="eastAsia" w:ascii="宋体" w:hAnsi="宋体" w:eastAsia="宋体" w:cs="宋体"/>
                <w:b w:val="0"/>
                <w:bCs w:val="0"/>
                <w:color w:val="000000"/>
                <w:spacing w:val="0"/>
                <w:position w:val="0"/>
                <w:sz w:val="21"/>
                <w:szCs w:val="21"/>
              </w:rPr>
              <w:t>垃圾清运管理制度</w:t>
            </w:r>
          </w:p>
          <w:p w14:paraId="02EABBBD">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000000"/>
                <w:spacing w:val="0"/>
                <w:position w:val="0"/>
                <w:sz w:val="21"/>
                <w:szCs w:val="21"/>
              </w:rPr>
              <w:t>（</w:t>
            </w:r>
            <w:r>
              <w:rPr>
                <w:rFonts w:hint="eastAsia" w:ascii="宋体" w:hAnsi="宋体" w:eastAsia="宋体" w:cs="宋体"/>
                <w:b w:val="0"/>
                <w:bCs w:val="0"/>
                <w:color w:val="000000"/>
                <w:spacing w:val="0"/>
                <w:position w:val="0"/>
                <w:sz w:val="21"/>
                <w:szCs w:val="21"/>
                <w:lang w:val="en-US" w:eastAsia="zh-CN"/>
              </w:rPr>
              <w:t>4</w:t>
            </w:r>
            <w:r>
              <w:rPr>
                <w:rFonts w:hint="eastAsia" w:ascii="宋体" w:hAnsi="宋体" w:eastAsia="宋体" w:cs="宋体"/>
                <w:b w:val="0"/>
                <w:bCs w:val="0"/>
                <w:color w:val="000000"/>
                <w:spacing w:val="0"/>
                <w:position w:val="0"/>
                <w:sz w:val="21"/>
                <w:szCs w:val="21"/>
              </w:rPr>
              <w:t>分）</w:t>
            </w:r>
          </w:p>
        </w:tc>
        <w:tc>
          <w:tcPr>
            <w:tcW w:w="6729" w:type="dxa"/>
            <w:gridSpan w:val="2"/>
            <w:noWrap w:val="0"/>
            <w:vAlign w:val="center"/>
          </w:tcPr>
          <w:p w14:paraId="425082CD">
            <w:pPr>
              <w:keepNext w:val="0"/>
              <w:keepLines w:val="0"/>
              <w:pageBreakBefore w:val="0"/>
              <w:kinsoku/>
              <w:wordWrap/>
              <w:overflowPunct/>
              <w:topLinePunct w:val="0"/>
              <w:autoSpaceDE/>
              <w:autoSpaceDN/>
              <w:bidi w:val="0"/>
              <w:adjustRightInd/>
              <w:snapToGrid/>
              <w:spacing w:beforeAutospacing="0" w:afterAutospacing="0" w:line="240" w:lineRule="auto"/>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kern w:val="0"/>
                <w:sz w:val="21"/>
                <w:szCs w:val="21"/>
                <w:lang w:val="en-US" w:eastAsia="zh-CN"/>
              </w:rPr>
              <w:t>包含不限于以下内容：管理制度健全，考核制度、现场操作员培训制度、驾驶员管理制度、人员岗位职责、车辆、设备配备及维修保养制度。</w:t>
            </w:r>
          </w:p>
        </w:tc>
      </w:tr>
      <w:tr w14:paraId="70D2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89" w:type="dxa"/>
            <w:vMerge w:val="continue"/>
            <w:noWrap w:val="0"/>
            <w:vAlign w:val="center"/>
          </w:tcPr>
          <w:p w14:paraId="4A88CD0E">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057" w:type="dxa"/>
            <w:vMerge w:val="continue"/>
            <w:noWrap w:val="0"/>
            <w:vAlign w:val="center"/>
          </w:tcPr>
          <w:p w14:paraId="663AFA57">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537" w:type="dxa"/>
            <w:noWrap w:val="0"/>
            <w:vAlign w:val="center"/>
          </w:tcPr>
          <w:p w14:paraId="5C81B9AF">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firstLine="0"/>
              <w:jc w:val="center"/>
              <w:textAlignment w:val="center"/>
              <w:rPr>
                <w:rFonts w:hint="eastAsia" w:ascii="宋体" w:hAnsi="宋体" w:eastAsia="宋体" w:cs="宋体"/>
                <w:b w:val="0"/>
                <w:bCs w:val="0"/>
                <w:color w:val="000000"/>
                <w:spacing w:val="0"/>
                <w:position w:val="0"/>
                <w:sz w:val="21"/>
                <w:szCs w:val="21"/>
              </w:rPr>
            </w:pPr>
            <w:r>
              <w:rPr>
                <w:rFonts w:hint="eastAsia" w:ascii="宋体" w:hAnsi="宋体" w:eastAsia="宋体" w:cs="宋体"/>
                <w:b w:val="0"/>
                <w:bCs w:val="0"/>
                <w:color w:val="000000"/>
                <w:spacing w:val="0"/>
                <w:position w:val="0"/>
                <w:sz w:val="21"/>
                <w:szCs w:val="21"/>
              </w:rPr>
              <w:t>文明运输方案及措施</w:t>
            </w:r>
          </w:p>
          <w:p w14:paraId="0CD7A008">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firstLine="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000000"/>
                <w:spacing w:val="0"/>
                <w:position w:val="0"/>
                <w:sz w:val="21"/>
                <w:szCs w:val="21"/>
              </w:rPr>
              <w:t>（</w:t>
            </w:r>
            <w:r>
              <w:rPr>
                <w:rFonts w:hint="eastAsia" w:ascii="宋体" w:hAnsi="宋体" w:eastAsia="宋体" w:cs="宋体"/>
                <w:b w:val="0"/>
                <w:bCs w:val="0"/>
                <w:color w:val="000000"/>
                <w:spacing w:val="0"/>
                <w:position w:val="0"/>
                <w:sz w:val="21"/>
                <w:szCs w:val="21"/>
                <w:lang w:val="en-US" w:eastAsia="zh-CN"/>
              </w:rPr>
              <w:t>4</w:t>
            </w:r>
            <w:r>
              <w:rPr>
                <w:rFonts w:hint="eastAsia" w:ascii="宋体" w:hAnsi="宋体" w:eastAsia="宋体" w:cs="宋体"/>
                <w:b w:val="0"/>
                <w:bCs w:val="0"/>
                <w:color w:val="000000"/>
                <w:spacing w:val="0"/>
                <w:position w:val="0"/>
                <w:sz w:val="21"/>
                <w:szCs w:val="21"/>
              </w:rPr>
              <w:t>分）</w:t>
            </w:r>
          </w:p>
        </w:tc>
        <w:tc>
          <w:tcPr>
            <w:tcW w:w="6729" w:type="dxa"/>
            <w:gridSpan w:val="2"/>
            <w:noWrap w:val="0"/>
            <w:vAlign w:val="center"/>
          </w:tcPr>
          <w:p w14:paraId="4A2017D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000000"/>
                <w:kern w:val="0"/>
                <w:sz w:val="21"/>
                <w:szCs w:val="21"/>
                <w:lang w:val="en-US" w:eastAsia="zh-CN" w:bidi="ar"/>
              </w:rPr>
              <w:t>为维护校园环境卫生，应做到（包</w:t>
            </w:r>
            <w:r>
              <w:rPr>
                <w:rFonts w:hint="eastAsia" w:ascii="宋体" w:hAnsi="宋体" w:cs="宋体"/>
                <w:b w:val="0"/>
                <w:bCs w:val="0"/>
                <w:color w:val="000000"/>
                <w:kern w:val="0"/>
                <w:sz w:val="21"/>
                <w:szCs w:val="21"/>
                <w:lang w:val="en-US" w:eastAsia="zh-CN" w:bidi="ar"/>
              </w:rPr>
              <w:t>括但</w:t>
            </w:r>
            <w:r>
              <w:rPr>
                <w:rFonts w:hint="eastAsia" w:ascii="宋体" w:hAnsi="宋体" w:eastAsia="宋体" w:cs="宋体"/>
                <w:b w:val="0"/>
                <w:bCs w:val="0"/>
                <w:color w:val="000000"/>
                <w:kern w:val="0"/>
                <w:sz w:val="21"/>
                <w:szCs w:val="21"/>
                <w:lang w:val="en-US" w:eastAsia="zh-CN" w:bidi="ar"/>
              </w:rPr>
              <w:t>不限于）运输沿线无遗撒垃圾、噪声扰民、控制运输线路沿线扬尘等环境保护措施，营造规范有序、干净整洁的校园环境。请供应商根据本项目特点和招标文件第五章采购需求及要求，编制垃圾清运实施方案。</w:t>
            </w:r>
          </w:p>
        </w:tc>
      </w:tr>
      <w:tr w14:paraId="1A96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9" w:type="dxa"/>
            <w:vMerge w:val="continue"/>
            <w:noWrap w:val="0"/>
            <w:vAlign w:val="center"/>
          </w:tcPr>
          <w:p w14:paraId="2A35CBB0">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057" w:type="dxa"/>
            <w:vMerge w:val="continue"/>
            <w:noWrap w:val="0"/>
            <w:vAlign w:val="center"/>
          </w:tcPr>
          <w:p w14:paraId="36CA901A">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537" w:type="dxa"/>
            <w:noWrap w:val="0"/>
            <w:vAlign w:val="center"/>
          </w:tcPr>
          <w:p w14:paraId="7BDF31A6">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firstLine="0" w:firstLineChars="0"/>
              <w:jc w:val="center"/>
              <w:textAlignment w:val="center"/>
              <w:rPr>
                <w:rFonts w:hint="eastAsia" w:ascii="宋体" w:hAnsi="宋体" w:eastAsia="宋体" w:cs="宋体"/>
                <w:b w:val="0"/>
                <w:bCs w:val="0"/>
                <w:color w:val="000000"/>
                <w:spacing w:val="0"/>
                <w:position w:val="0"/>
                <w:sz w:val="21"/>
                <w:szCs w:val="21"/>
              </w:rPr>
            </w:pPr>
            <w:r>
              <w:rPr>
                <w:rFonts w:hint="eastAsia" w:ascii="宋体" w:hAnsi="宋体" w:eastAsia="宋体" w:cs="宋体"/>
                <w:b w:val="0"/>
                <w:bCs w:val="0"/>
                <w:color w:val="000000"/>
                <w:spacing w:val="0"/>
                <w:position w:val="0"/>
                <w:sz w:val="21"/>
                <w:szCs w:val="21"/>
              </w:rPr>
              <w:t>垃圾清运工作记录及档案资料保存制度</w:t>
            </w:r>
          </w:p>
          <w:p w14:paraId="6EDB1927">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000000"/>
                <w:spacing w:val="0"/>
                <w:position w:val="0"/>
                <w:sz w:val="21"/>
                <w:szCs w:val="21"/>
              </w:rPr>
              <w:t>（</w:t>
            </w:r>
            <w:r>
              <w:rPr>
                <w:rFonts w:hint="eastAsia" w:ascii="宋体" w:hAnsi="宋体" w:eastAsia="宋体" w:cs="宋体"/>
                <w:b w:val="0"/>
                <w:bCs w:val="0"/>
                <w:color w:val="000000"/>
                <w:spacing w:val="0"/>
                <w:position w:val="0"/>
                <w:sz w:val="21"/>
                <w:szCs w:val="21"/>
                <w:lang w:val="en-US" w:eastAsia="zh-CN"/>
              </w:rPr>
              <w:t>4</w:t>
            </w:r>
            <w:r>
              <w:rPr>
                <w:rFonts w:hint="eastAsia" w:ascii="宋体" w:hAnsi="宋体" w:eastAsia="宋体" w:cs="宋体"/>
                <w:b w:val="0"/>
                <w:bCs w:val="0"/>
                <w:color w:val="000000"/>
                <w:spacing w:val="0"/>
                <w:position w:val="0"/>
                <w:sz w:val="21"/>
                <w:szCs w:val="21"/>
              </w:rPr>
              <w:t>分）</w:t>
            </w:r>
          </w:p>
        </w:tc>
        <w:tc>
          <w:tcPr>
            <w:tcW w:w="6729" w:type="dxa"/>
            <w:gridSpan w:val="2"/>
            <w:noWrap w:val="0"/>
            <w:vAlign w:val="center"/>
          </w:tcPr>
          <w:p w14:paraId="19E0C793">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hanging="12"/>
              <w:jc w:val="left"/>
              <w:textAlignment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000000"/>
                <w:kern w:val="0"/>
                <w:sz w:val="21"/>
                <w:szCs w:val="21"/>
                <w:lang w:val="en-US" w:eastAsia="zh-CN" w:bidi="ar"/>
              </w:rPr>
              <w:t>供应商根据本项目特点要求需制定详细、完整、真实的垃圾清运工作记录。</w:t>
            </w:r>
          </w:p>
        </w:tc>
      </w:tr>
      <w:tr w14:paraId="61A0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89" w:type="dxa"/>
            <w:vMerge w:val="continue"/>
            <w:noWrap w:val="0"/>
            <w:vAlign w:val="center"/>
          </w:tcPr>
          <w:p w14:paraId="0117AAE9">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057" w:type="dxa"/>
            <w:vMerge w:val="continue"/>
            <w:noWrap w:val="0"/>
            <w:vAlign w:val="center"/>
          </w:tcPr>
          <w:p w14:paraId="2449DE39">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537" w:type="dxa"/>
            <w:noWrap w:val="0"/>
            <w:vAlign w:val="center"/>
          </w:tcPr>
          <w:p w14:paraId="6A7EA10B">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firstLine="0"/>
              <w:jc w:val="center"/>
              <w:textAlignment w:val="center"/>
              <w:rPr>
                <w:rFonts w:hint="eastAsia" w:ascii="宋体" w:hAnsi="宋体" w:eastAsia="宋体" w:cs="宋体"/>
                <w:b w:val="0"/>
                <w:bCs w:val="0"/>
                <w:sz w:val="21"/>
                <w:szCs w:val="21"/>
              </w:rPr>
            </w:pPr>
            <w:r>
              <w:rPr>
                <w:rFonts w:hint="eastAsia" w:ascii="宋体" w:hAnsi="宋体" w:eastAsia="宋体" w:cs="宋体"/>
                <w:b w:val="0"/>
                <w:bCs w:val="0"/>
                <w:color w:val="000000"/>
                <w:spacing w:val="0"/>
                <w:position w:val="0"/>
                <w:sz w:val="21"/>
                <w:szCs w:val="21"/>
              </w:rPr>
              <w:t>应急预案措施</w:t>
            </w:r>
          </w:p>
          <w:p w14:paraId="7194BCA7">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000000"/>
                <w:spacing w:val="0"/>
                <w:position w:val="0"/>
                <w:sz w:val="21"/>
                <w:szCs w:val="21"/>
              </w:rPr>
              <w:t>（</w:t>
            </w:r>
            <w:r>
              <w:rPr>
                <w:rFonts w:hint="eastAsia" w:ascii="宋体" w:hAnsi="宋体" w:eastAsia="宋体" w:cs="宋体"/>
                <w:b w:val="0"/>
                <w:bCs w:val="0"/>
                <w:color w:val="000000"/>
                <w:spacing w:val="0"/>
                <w:position w:val="0"/>
                <w:sz w:val="21"/>
                <w:szCs w:val="21"/>
                <w:lang w:val="en-US" w:eastAsia="zh-CN"/>
              </w:rPr>
              <w:t>4</w:t>
            </w:r>
            <w:r>
              <w:rPr>
                <w:rFonts w:hint="eastAsia" w:ascii="宋体" w:hAnsi="宋体" w:eastAsia="宋体" w:cs="宋体"/>
                <w:b w:val="0"/>
                <w:bCs w:val="0"/>
                <w:color w:val="000000"/>
                <w:spacing w:val="0"/>
                <w:position w:val="0"/>
                <w:sz w:val="21"/>
                <w:szCs w:val="21"/>
              </w:rPr>
              <w:t>分）</w:t>
            </w:r>
          </w:p>
        </w:tc>
        <w:tc>
          <w:tcPr>
            <w:tcW w:w="6729" w:type="dxa"/>
            <w:gridSpan w:val="2"/>
            <w:noWrap w:val="0"/>
            <w:vAlign w:val="center"/>
          </w:tcPr>
          <w:p w14:paraId="7163301D">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firstLine="0"/>
              <w:jc w:val="left"/>
              <w:textAlignment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000000"/>
                <w:spacing w:val="0"/>
                <w:position w:val="0"/>
                <w:sz w:val="21"/>
                <w:szCs w:val="21"/>
              </w:rPr>
              <w:t>供应商根据本项目特点和招标文件第五章采购需求及要求需制定突发情况和恶劣天气的应急措施及迎接重大活动、检查和屏蔽的保障措施。</w:t>
            </w:r>
          </w:p>
        </w:tc>
      </w:tr>
      <w:tr w14:paraId="4C91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889" w:type="dxa"/>
            <w:vMerge w:val="continue"/>
            <w:noWrap w:val="0"/>
            <w:vAlign w:val="center"/>
          </w:tcPr>
          <w:p w14:paraId="66DA2117">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057" w:type="dxa"/>
            <w:vMerge w:val="continue"/>
            <w:noWrap w:val="0"/>
            <w:vAlign w:val="center"/>
          </w:tcPr>
          <w:p w14:paraId="473CC9D5">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537" w:type="dxa"/>
            <w:noWrap w:val="0"/>
            <w:vAlign w:val="center"/>
          </w:tcPr>
          <w:p w14:paraId="71A98DE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协调能力及措施</w:t>
            </w:r>
          </w:p>
          <w:p w14:paraId="2164CB5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（4分）</w:t>
            </w:r>
          </w:p>
        </w:tc>
        <w:tc>
          <w:tcPr>
            <w:tcW w:w="6729" w:type="dxa"/>
            <w:gridSpan w:val="2"/>
            <w:noWrap w:val="0"/>
            <w:vAlign w:val="center"/>
          </w:tcPr>
          <w:p w14:paraId="3CCBD00C">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left"/>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具有协调周边环境保证垃圾清运顺利进行的能力及措施，措施详尽、可实施性强</w:t>
            </w:r>
          </w:p>
        </w:tc>
      </w:tr>
      <w:tr w14:paraId="4D8E6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89" w:type="dxa"/>
            <w:vMerge w:val="continue"/>
            <w:noWrap w:val="0"/>
            <w:vAlign w:val="center"/>
          </w:tcPr>
          <w:p w14:paraId="1C43602E">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057" w:type="dxa"/>
            <w:vMerge w:val="continue"/>
            <w:noWrap w:val="0"/>
            <w:vAlign w:val="center"/>
          </w:tcPr>
          <w:p w14:paraId="659FFF5F">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537" w:type="dxa"/>
            <w:noWrap w:val="0"/>
            <w:vAlign w:val="center"/>
          </w:tcPr>
          <w:p w14:paraId="2A22AA8C">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firstLine="0" w:firstLineChars="0"/>
              <w:jc w:val="center"/>
              <w:textAlignment w:val="center"/>
              <w:rPr>
                <w:rFonts w:hint="eastAsia" w:ascii="宋体" w:hAnsi="宋体" w:eastAsia="宋体" w:cs="宋体"/>
                <w:b w:val="0"/>
                <w:bCs w:val="0"/>
                <w:color w:val="auto"/>
                <w:spacing w:val="0"/>
                <w:position w:val="0"/>
                <w:sz w:val="21"/>
                <w:szCs w:val="21"/>
                <w:lang w:val="en-US" w:eastAsia="zh-CN"/>
              </w:rPr>
            </w:pPr>
            <w:r>
              <w:rPr>
                <w:rFonts w:hint="eastAsia" w:ascii="宋体" w:hAnsi="宋体" w:eastAsia="宋体" w:cs="宋体"/>
                <w:b w:val="0"/>
                <w:bCs w:val="0"/>
                <w:color w:val="auto"/>
                <w:spacing w:val="0"/>
                <w:position w:val="0"/>
                <w:sz w:val="21"/>
                <w:szCs w:val="21"/>
                <w:lang w:val="en-US" w:eastAsia="zh-CN"/>
              </w:rPr>
              <w:t>清运设备及 人员</w:t>
            </w:r>
            <w:r>
              <w:rPr>
                <w:rFonts w:hint="eastAsia" w:ascii="宋体" w:hAnsi="宋体" w:eastAsia="宋体" w:cs="宋体"/>
                <w:b w:val="0"/>
                <w:bCs w:val="0"/>
                <w:color w:val="auto"/>
                <w:spacing w:val="0"/>
                <w:position w:val="0"/>
                <w:sz w:val="21"/>
                <w:szCs w:val="21"/>
              </w:rPr>
              <w:t>配备</w:t>
            </w:r>
            <w:r>
              <w:rPr>
                <w:rFonts w:hint="eastAsia" w:ascii="宋体" w:hAnsi="宋体" w:eastAsia="宋体" w:cs="宋体"/>
                <w:b w:val="0"/>
                <w:bCs w:val="0"/>
                <w:color w:val="auto"/>
                <w:spacing w:val="0"/>
                <w:position w:val="0"/>
                <w:sz w:val="21"/>
                <w:szCs w:val="21"/>
                <w:lang w:val="en-US" w:eastAsia="zh-CN"/>
              </w:rPr>
              <w:t>计划</w:t>
            </w:r>
          </w:p>
          <w:p w14:paraId="6883D04F">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firstLine="0" w:firstLineChars="0"/>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pacing w:val="0"/>
                <w:position w:val="0"/>
                <w:sz w:val="21"/>
                <w:szCs w:val="21"/>
              </w:rPr>
              <w:t>（</w:t>
            </w:r>
            <w:r>
              <w:rPr>
                <w:rFonts w:hint="eastAsia" w:ascii="宋体" w:hAnsi="宋体" w:eastAsia="宋体" w:cs="宋体"/>
                <w:b w:val="0"/>
                <w:bCs w:val="0"/>
                <w:color w:val="auto"/>
                <w:spacing w:val="0"/>
                <w:position w:val="0"/>
                <w:sz w:val="21"/>
                <w:szCs w:val="21"/>
                <w:lang w:val="en-US" w:eastAsia="zh-CN"/>
              </w:rPr>
              <w:t>4</w:t>
            </w:r>
            <w:r>
              <w:rPr>
                <w:rFonts w:hint="eastAsia" w:ascii="宋体" w:hAnsi="宋体" w:eastAsia="宋体" w:cs="宋体"/>
                <w:b w:val="0"/>
                <w:bCs w:val="0"/>
                <w:color w:val="auto"/>
                <w:spacing w:val="0"/>
                <w:position w:val="0"/>
                <w:sz w:val="21"/>
                <w:szCs w:val="21"/>
              </w:rPr>
              <w:t>分）</w:t>
            </w:r>
          </w:p>
        </w:tc>
        <w:tc>
          <w:tcPr>
            <w:tcW w:w="6729" w:type="dxa"/>
            <w:gridSpan w:val="2"/>
            <w:noWrap w:val="0"/>
            <w:vAlign w:val="center"/>
          </w:tcPr>
          <w:p w14:paraId="792D4CAF">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firstLine="0"/>
              <w:jc w:val="left"/>
              <w:textAlignment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pacing w:val="0"/>
                <w:position w:val="0"/>
                <w:sz w:val="21"/>
                <w:szCs w:val="21"/>
              </w:rPr>
              <w:t>供应商根据本项目特点和本项目服务期限，需编写适合本项目的清运设备及人员配备计划。</w:t>
            </w:r>
          </w:p>
        </w:tc>
      </w:tr>
      <w:tr w14:paraId="65443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89" w:type="dxa"/>
            <w:vMerge w:val="continue"/>
            <w:noWrap w:val="0"/>
            <w:vAlign w:val="center"/>
          </w:tcPr>
          <w:p w14:paraId="3E1E5BD4">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057" w:type="dxa"/>
            <w:vMerge w:val="continue"/>
            <w:noWrap w:val="0"/>
            <w:vAlign w:val="center"/>
          </w:tcPr>
          <w:p w14:paraId="627DFDBA">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537" w:type="dxa"/>
            <w:noWrap w:val="0"/>
            <w:vAlign w:val="center"/>
          </w:tcPr>
          <w:p w14:paraId="7D27B8B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cente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环境保护管理体系与运输现场防尘措施</w:t>
            </w:r>
          </w:p>
          <w:p w14:paraId="16B6FD0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000000"/>
                <w:kern w:val="0"/>
                <w:sz w:val="21"/>
                <w:szCs w:val="21"/>
                <w:lang w:val="en-US" w:eastAsia="zh-CN" w:bidi="ar"/>
              </w:rPr>
              <w:t>（4分）</w:t>
            </w:r>
          </w:p>
        </w:tc>
        <w:tc>
          <w:tcPr>
            <w:tcW w:w="6729" w:type="dxa"/>
            <w:gridSpan w:val="2"/>
            <w:noWrap w:val="0"/>
            <w:vAlign w:val="center"/>
          </w:tcPr>
          <w:p w14:paraId="5F606AB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000000"/>
                <w:kern w:val="0"/>
                <w:sz w:val="21"/>
                <w:szCs w:val="21"/>
                <w:lang w:val="en-US" w:eastAsia="zh-CN" w:bidi="ar"/>
              </w:rPr>
              <w:t>供应商根据本项目特点及要求特点，编写环境保护与运输现场防尘措施。</w:t>
            </w:r>
          </w:p>
        </w:tc>
      </w:tr>
      <w:tr w14:paraId="143F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89" w:type="dxa"/>
            <w:vMerge w:val="continue"/>
            <w:noWrap w:val="0"/>
            <w:vAlign w:val="center"/>
          </w:tcPr>
          <w:p w14:paraId="2622C005">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057" w:type="dxa"/>
            <w:vMerge w:val="continue"/>
            <w:noWrap w:val="0"/>
            <w:vAlign w:val="center"/>
          </w:tcPr>
          <w:p w14:paraId="78163337">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537" w:type="dxa"/>
            <w:noWrap w:val="0"/>
            <w:vAlign w:val="center"/>
          </w:tcPr>
          <w:p w14:paraId="02799051">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firstLine="0" w:firstLineChars="0"/>
              <w:jc w:val="center"/>
              <w:textAlignment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000000"/>
                <w:spacing w:val="0"/>
                <w:position w:val="0"/>
                <w:sz w:val="21"/>
                <w:szCs w:val="21"/>
              </w:rPr>
              <w:t>安全运输管理体系及安全运输措施（</w:t>
            </w:r>
            <w:r>
              <w:rPr>
                <w:rFonts w:hint="eastAsia" w:ascii="宋体" w:hAnsi="宋体" w:eastAsia="宋体" w:cs="宋体"/>
                <w:b w:val="0"/>
                <w:bCs w:val="0"/>
                <w:color w:val="000000"/>
                <w:spacing w:val="0"/>
                <w:position w:val="0"/>
                <w:sz w:val="21"/>
                <w:szCs w:val="21"/>
                <w:lang w:val="en-US" w:eastAsia="zh-CN"/>
              </w:rPr>
              <w:t>3</w:t>
            </w:r>
            <w:r>
              <w:rPr>
                <w:rFonts w:hint="eastAsia" w:ascii="宋体" w:hAnsi="宋体" w:eastAsia="宋体" w:cs="宋体"/>
                <w:b w:val="0"/>
                <w:bCs w:val="0"/>
                <w:color w:val="000000"/>
                <w:spacing w:val="0"/>
                <w:position w:val="0"/>
                <w:sz w:val="21"/>
                <w:szCs w:val="21"/>
              </w:rPr>
              <w:t>分）</w:t>
            </w:r>
          </w:p>
        </w:tc>
        <w:tc>
          <w:tcPr>
            <w:tcW w:w="6729" w:type="dxa"/>
            <w:gridSpan w:val="2"/>
            <w:noWrap w:val="0"/>
            <w:vAlign w:val="center"/>
          </w:tcPr>
          <w:p w14:paraId="258E8FA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left"/>
              <w:rPr>
                <w:rFonts w:hint="eastAsia" w:ascii="宋体" w:hAnsi="宋体" w:eastAsia="宋体" w:cs="宋体"/>
                <w:b w:val="0"/>
                <w:bCs w:val="0"/>
                <w:color w:val="auto"/>
                <w:spacing w:val="1"/>
                <w:kern w:val="0"/>
                <w:sz w:val="21"/>
                <w:szCs w:val="21"/>
                <w:highlight w:val="none"/>
                <w:lang w:val="en-US" w:eastAsia="zh-CN"/>
              </w:rPr>
            </w:pPr>
            <w:r>
              <w:rPr>
                <w:rFonts w:hint="eastAsia" w:ascii="宋体" w:hAnsi="宋体" w:eastAsia="宋体" w:cs="宋体"/>
                <w:b w:val="0"/>
                <w:bCs w:val="0"/>
                <w:color w:val="000000"/>
                <w:kern w:val="0"/>
                <w:sz w:val="21"/>
                <w:szCs w:val="21"/>
                <w:lang w:val="en-US" w:eastAsia="zh-CN" w:bidi="ar"/>
              </w:rPr>
              <w:t>供应商根据本项目特点及要求特点，编写安全运输管理体系及安全运输措施。</w:t>
            </w:r>
          </w:p>
        </w:tc>
      </w:tr>
      <w:tr w14:paraId="74ECB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89" w:type="dxa"/>
            <w:vMerge w:val="continue"/>
            <w:noWrap w:val="0"/>
            <w:vAlign w:val="center"/>
          </w:tcPr>
          <w:p w14:paraId="16361A62">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057" w:type="dxa"/>
            <w:vMerge w:val="continue"/>
            <w:noWrap w:val="0"/>
            <w:vAlign w:val="center"/>
          </w:tcPr>
          <w:p w14:paraId="23FC19C8">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537" w:type="dxa"/>
            <w:noWrap w:val="0"/>
            <w:vAlign w:val="center"/>
          </w:tcPr>
          <w:p w14:paraId="5B8C0E19">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firstLine="0"/>
              <w:jc w:val="center"/>
              <w:textAlignment w:val="center"/>
              <w:rPr>
                <w:rFonts w:hint="eastAsia" w:ascii="宋体" w:hAnsi="宋体" w:eastAsia="宋体" w:cs="宋体"/>
                <w:b w:val="0"/>
                <w:bCs w:val="0"/>
                <w:sz w:val="21"/>
                <w:szCs w:val="21"/>
              </w:rPr>
            </w:pPr>
            <w:r>
              <w:rPr>
                <w:rFonts w:hint="eastAsia" w:ascii="宋体" w:hAnsi="宋体" w:eastAsia="宋体" w:cs="宋体"/>
                <w:b w:val="0"/>
                <w:bCs w:val="0"/>
                <w:color w:val="000000"/>
                <w:spacing w:val="0"/>
                <w:position w:val="0"/>
                <w:sz w:val="21"/>
                <w:szCs w:val="21"/>
              </w:rPr>
              <w:t>项目管理内容</w:t>
            </w:r>
          </w:p>
          <w:p w14:paraId="6315D88A">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firstLine="0" w:firstLineChars="0"/>
              <w:jc w:val="center"/>
              <w:textAlignment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000000"/>
                <w:spacing w:val="0"/>
                <w:position w:val="0"/>
                <w:sz w:val="21"/>
                <w:szCs w:val="21"/>
              </w:rPr>
              <w:t>（</w:t>
            </w:r>
            <w:r>
              <w:rPr>
                <w:rFonts w:hint="eastAsia" w:ascii="宋体" w:hAnsi="宋体" w:eastAsia="宋体" w:cs="宋体"/>
                <w:b w:val="0"/>
                <w:bCs w:val="0"/>
                <w:color w:val="000000"/>
                <w:spacing w:val="0"/>
                <w:position w:val="0"/>
                <w:sz w:val="21"/>
                <w:szCs w:val="21"/>
                <w:lang w:val="en-US" w:eastAsia="zh-CN"/>
              </w:rPr>
              <w:t>3</w:t>
            </w:r>
            <w:r>
              <w:rPr>
                <w:rFonts w:hint="eastAsia" w:ascii="宋体" w:hAnsi="宋体" w:eastAsia="宋体" w:cs="宋体"/>
                <w:b w:val="0"/>
                <w:bCs w:val="0"/>
                <w:color w:val="000000"/>
                <w:spacing w:val="0"/>
                <w:position w:val="0"/>
                <w:sz w:val="21"/>
                <w:szCs w:val="21"/>
              </w:rPr>
              <w:t>分）</w:t>
            </w:r>
          </w:p>
        </w:tc>
        <w:tc>
          <w:tcPr>
            <w:tcW w:w="6729" w:type="dxa"/>
            <w:gridSpan w:val="2"/>
            <w:noWrap w:val="0"/>
            <w:vAlign w:val="center"/>
          </w:tcPr>
          <w:p w14:paraId="19762026">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left"/>
              <w:rPr>
                <w:rFonts w:hint="eastAsia" w:ascii="宋体" w:hAnsi="宋体" w:eastAsia="宋体" w:cs="宋体"/>
                <w:b w:val="0"/>
                <w:bCs w:val="0"/>
                <w:color w:val="auto"/>
                <w:spacing w:val="1"/>
                <w:kern w:val="0"/>
                <w:sz w:val="21"/>
                <w:szCs w:val="21"/>
                <w:highlight w:val="none"/>
                <w:lang w:val="en-US" w:eastAsia="zh-CN"/>
              </w:rPr>
            </w:pPr>
            <w:r>
              <w:rPr>
                <w:rFonts w:hint="eastAsia" w:ascii="宋体" w:hAnsi="宋体" w:eastAsia="宋体" w:cs="宋体"/>
                <w:b w:val="0"/>
                <w:bCs w:val="0"/>
                <w:color w:val="000000"/>
                <w:kern w:val="0"/>
                <w:sz w:val="21"/>
                <w:szCs w:val="21"/>
                <w:lang w:val="en-US" w:eastAsia="zh-CN" w:bidi="ar"/>
              </w:rPr>
              <w:t>评委会根据供应商提供的项目管理内容（</w:t>
            </w:r>
            <w:r>
              <w:rPr>
                <w:rFonts w:hint="eastAsia" w:ascii="宋体" w:hAnsi="宋体" w:cs="宋体"/>
                <w:b w:val="0"/>
                <w:bCs w:val="0"/>
                <w:color w:val="000000"/>
                <w:kern w:val="0"/>
                <w:sz w:val="21"/>
                <w:szCs w:val="21"/>
                <w:lang w:val="en-US" w:eastAsia="zh-CN" w:bidi="ar"/>
              </w:rPr>
              <w:t>包括但不限于</w:t>
            </w:r>
            <w:r>
              <w:rPr>
                <w:rFonts w:hint="eastAsia" w:ascii="宋体" w:hAnsi="宋体" w:eastAsia="宋体" w:cs="宋体"/>
                <w:b w:val="0"/>
                <w:bCs w:val="0"/>
                <w:color w:val="000000"/>
                <w:kern w:val="0"/>
                <w:sz w:val="21"/>
                <w:szCs w:val="21"/>
                <w:lang w:val="en-US" w:eastAsia="zh-CN" w:bidi="ar"/>
              </w:rPr>
              <w:t>：①项目管理机构设置及各岗位管理职能职责划分；②项目负责人工作职责及服务方案；③考核管理方案）</w:t>
            </w:r>
          </w:p>
        </w:tc>
      </w:tr>
      <w:tr w14:paraId="2321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889" w:type="dxa"/>
            <w:vMerge w:val="continue"/>
            <w:noWrap w:val="0"/>
            <w:vAlign w:val="center"/>
          </w:tcPr>
          <w:p w14:paraId="164A7694">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057" w:type="dxa"/>
            <w:vMerge w:val="continue"/>
            <w:noWrap w:val="0"/>
            <w:vAlign w:val="center"/>
          </w:tcPr>
          <w:p w14:paraId="1319550C">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8266" w:type="dxa"/>
            <w:gridSpan w:val="3"/>
            <w:noWrap w:val="0"/>
            <w:vAlign w:val="center"/>
          </w:tcPr>
          <w:p w14:paraId="5D2912EE">
            <w:pPr>
              <w:keepNext w:val="0"/>
              <w:keepLines w:val="0"/>
              <w:pageBreakBefore w:val="0"/>
              <w:widowControl w:val="0"/>
              <w:kinsoku/>
              <w:wordWrap/>
              <w:overflowPunct/>
              <w:topLinePunct w:val="0"/>
              <w:autoSpaceDE w:val="0"/>
              <w:autoSpaceDN w:val="0"/>
              <w:bidi w:val="0"/>
              <w:adjustRightInd/>
              <w:snapToGrid/>
              <w:spacing w:beforeAutospacing="0" w:afterAutospacing="0" w:line="240" w:lineRule="auto"/>
              <w:ind w:left="0" w:leftChars="0" w:right="0" w:right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1"/>
                <w:kern w:val="0"/>
                <w:sz w:val="21"/>
                <w:szCs w:val="21"/>
                <w:highlight w:val="none"/>
              </w:rPr>
              <w:t>说明：以上每项有则按所示分值得分，缺项经半数以上评委确认该项不得分。</w:t>
            </w:r>
          </w:p>
        </w:tc>
      </w:tr>
      <w:tr w14:paraId="661FF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889" w:type="dxa"/>
            <w:vMerge w:val="continue"/>
            <w:noWrap w:val="0"/>
            <w:vAlign w:val="center"/>
          </w:tcPr>
          <w:p w14:paraId="7600A04F">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057" w:type="dxa"/>
            <w:vMerge w:val="continue"/>
            <w:noWrap w:val="0"/>
            <w:vAlign w:val="center"/>
          </w:tcPr>
          <w:p w14:paraId="435DE973">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537" w:type="dxa"/>
            <w:vMerge w:val="restart"/>
            <w:noWrap w:val="0"/>
            <w:vAlign w:val="center"/>
          </w:tcPr>
          <w:p w14:paraId="3C94453B">
            <w:pPr>
              <w:spacing w:line="360" w:lineRule="auto"/>
              <w:ind w:left="0" w:lef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技术</w:t>
            </w:r>
            <w:r>
              <w:rPr>
                <w:rFonts w:hint="eastAsia" w:ascii="宋体" w:hAnsi="宋体" w:eastAsia="宋体" w:cs="宋体"/>
                <w:color w:val="auto"/>
                <w:sz w:val="21"/>
                <w:szCs w:val="21"/>
                <w:highlight w:val="none"/>
              </w:rPr>
              <w:t>方案水平</w:t>
            </w:r>
          </w:p>
          <w:p w14:paraId="7359108F">
            <w:pPr>
              <w:keepNext w:val="0"/>
              <w:keepLines w:val="0"/>
              <w:pageBreakBefore w:val="0"/>
              <w:widowControl w:val="0"/>
              <w:kinsoku/>
              <w:wordWrap/>
              <w:overflowPunct/>
              <w:topLinePunct w:val="0"/>
              <w:autoSpaceDE w:val="0"/>
              <w:autoSpaceDN w:val="0"/>
              <w:bidi w:val="0"/>
              <w:adjustRightInd/>
              <w:snapToGrid/>
              <w:spacing w:line="400" w:lineRule="exact"/>
              <w:ind w:left="0" w:leftChars="0" w:right="0" w:rightChars="0"/>
              <w:jc w:val="center"/>
              <w:textAlignment w:val="auto"/>
              <w:rPr>
                <w:rFonts w:hint="eastAsia" w:ascii="宋体" w:hAnsi="宋体" w:eastAsia="宋体" w:cs="宋体"/>
                <w:b/>
                <w:bCs/>
                <w:color w:val="auto"/>
                <w:spacing w:val="1"/>
                <w:kern w:val="0"/>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7分</w:t>
            </w:r>
            <w:r>
              <w:rPr>
                <w:rFonts w:hint="eastAsia" w:ascii="宋体" w:hAnsi="宋体" w:eastAsia="宋体" w:cs="宋体"/>
                <w:color w:val="auto"/>
                <w:sz w:val="21"/>
                <w:szCs w:val="21"/>
                <w:highlight w:val="none"/>
                <w:lang w:eastAsia="zh-CN"/>
              </w:rPr>
              <w:t>）</w:t>
            </w:r>
          </w:p>
        </w:tc>
        <w:tc>
          <w:tcPr>
            <w:tcW w:w="5945" w:type="dxa"/>
            <w:noWrap w:val="0"/>
            <w:vAlign w:val="center"/>
          </w:tcPr>
          <w:p w14:paraId="188AD686">
            <w:pPr>
              <w:keepNext w:val="0"/>
              <w:keepLines w:val="0"/>
              <w:pageBreakBefore w:val="0"/>
              <w:widowControl w:val="0"/>
              <w:numPr>
                <w:ilvl w:val="0"/>
                <w:numId w:val="0"/>
              </w:numPr>
              <w:kinsoku/>
              <w:wordWrap/>
              <w:overflowPunct/>
              <w:topLinePunct w:val="0"/>
              <w:bidi w:val="0"/>
              <w:adjustRightInd/>
              <w:snapToGrid/>
              <w:spacing w:line="360" w:lineRule="exact"/>
              <w:ind w:left="0" w:leftChars="0" w:right="0" w:righ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1.有关“技术</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val="en-US" w:eastAsia="zh-CN"/>
              </w:rPr>
              <w:t>”内容是否齐全、准确、清晰及表达的准确性、条理性等：</w:t>
            </w:r>
          </w:p>
          <w:p w14:paraId="02406373">
            <w:pPr>
              <w:keepNext w:val="0"/>
              <w:keepLines w:val="0"/>
              <w:pageBreakBefore w:val="0"/>
              <w:widowControl w:val="0"/>
              <w:numPr>
                <w:ilvl w:val="0"/>
                <w:numId w:val="0"/>
              </w:numPr>
              <w:kinsoku/>
              <w:wordWrap/>
              <w:overflowPunct/>
              <w:topLinePunct w:val="0"/>
              <w:bidi w:val="0"/>
              <w:adjustRightInd/>
              <w:snapToGrid/>
              <w:spacing w:line="360" w:lineRule="exact"/>
              <w:ind w:right="0" w:righ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优秀（方案内容非常齐全、准确、清晰，非常符合现场实际情况、具有很强的可操作性）得4分；</w:t>
            </w:r>
          </w:p>
          <w:p w14:paraId="3801F266">
            <w:pPr>
              <w:keepNext w:val="0"/>
              <w:keepLines w:val="0"/>
              <w:pageBreakBefore w:val="0"/>
              <w:widowControl w:val="0"/>
              <w:numPr>
                <w:ilvl w:val="0"/>
                <w:numId w:val="0"/>
              </w:numPr>
              <w:kinsoku/>
              <w:wordWrap/>
              <w:overflowPunct/>
              <w:topLinePunct w:val="0"/>
              <w:bidi w:val="0"/>
              <w:adjustRightInd/>
              <w:snapToGrid/>
              <w:spacing w:line="360" w:lineRule="exact"/>
              <w:ind w:right="0" w:righ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良好（方案内容较齐全、准确、清晰，较符合现场实际情况、较具有可操作性）得2分；</w:t>
            </w:r>
          </w:p>
          <w:p w14:paraId="2A1C815D">
            <w:pPr>
              <w:keepNext w:val="0"/>
              <w:keepLines w:val="0"/>
              <w:pageBreakBefore w:val="0"/>
              <w:widowControl w:val="0"/>
              <w:numPr>
                <w:ilvl w:val="0"/>
                <w:numId w:val="0"/>
              </w:numPr>
              <w:kinsoku/>
              <w:wordWrap/>
              <w:overflowPunct/>
              <w:topLinePunct w:val="0"/>
              <w:bidi w:val="0"/>
              <w:adjustRightInd/>
              <w:snapToGrid/>
              <w:spacing w:line="360" w:lineRule="exact"/>
              <w:ind w:right="0" w:righ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一般（方案内容基本齐全、准确、清晰，基本符合现场实际情况、可操作性一般）得1分；</w:t>
            </w:r>
          </w:p>
          <w:p w14:paraId="0531EFB3">
            <w:pPr>
              <w:keepNext w:val="0"/>
              <w:keepLines w:val="0"/>
              <w:pageBreakBefore w:val="0"/>
              <w:widowControl w:val="0"/>
              <w:numPr>
                <w:ilvl w:val="0"/>
                <w:numId w:val="0"/>
              </w:numPr>
              <w:kinsoku/>
              <w:wordWrap/>
              <w:overflowPunct/>
              <w:topLinePunct w:val="0"/>
              <w:bidi w:val="0"/>
              <w:adjustRightInd/>
              <w:snapToGrid/>
              <w:spacing w:line="360" w:lineRule="exact"/>
              <w:ind w:right="0" w:righ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差（方案内容描述差流于形式）得0.5分；</w:t>
            </w:r>
          </w:p>
          <w:p w14:paraId="003D84FC">
            <w:pPr>
              <w:spacing w:line="360" w:lineRule="auto"/>
              <w:ind w:left="0" w:leftChars="0" w:firstLine="0" w:firstLineChars="0"/>
              <w:rPr>
                <w:rFonts w:hint="eastAsia" w:ascii="宋体" w:hAnsi="宋体" w:eastAsia="宋体" w:cs="宋体"/>
                <w:b/>
                <w:bCs/>
                <w:color w:val="auto"/>
                <w:spacing w:val="1"/>
                <w:kern w:val="0"/>
                <w:sz w:val="21"/>
                <w:szCs w:val="21"/>
                <w:highlight w:val="none"/>
              </w:rPr>
            </w:pPr>
            <w:r>
              <w:rPr>
                <w:rFonts w:hint="eastAsia" w:ascii="宋体" w:hAnsi="宋体" w:eastAsia="宋体" w:cs="宋体"/>
                <w:color w:val="auto"/>
                <w:sz w:val="21"/>
                <w:szCs w:val="21"/>
                <w:highlight w:val="none"/>
                <w:lang w:val="en-US" w:eastAsia="zh-CN"/>
              </w:rPr>
              <w:t>如“技术</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val="en-US" w:eastAsia="zh-CN"/>
              </w:rPr>
              <w:t>”全部各项内容均不提供，此项“技术</w:t>
            </w:r>
            <w:r>
              <w:rPr>
                <w:rFonts w:hint="eastAsia" w:ascii="宋体" w:hAnsi="宋体" w:eastAsia="宋体" w:cs="宋体"/>
                <w:color w:val="auto"/>
                <w:sz w:val="21"/>
                <w:szCs w:val="21"/>
                <w:highlight w:val="none"/>
              </w:rPr>
              <w:t>方案水平</w:t>
            </w:r>
            <w:r>
              <w:rPr>
                <w:rFonts w:hint="eastAsia" w:ascii="宋体" w:hAnsi="宋体" w:eastAsia="宋体" w:cs="宋体"/>
                <w:color w:val="auto"/>
                <w:sz w:val="21"/>
                <w:szCs w:val="21"/>
                <w:highlight w:val="none"/>
                <w:lang w:val="en-US" w:eastAsia="zh-CN"/>
              </w:rPr>
              <w:t>”不得分；</w:t>
            </w:r>
          </w:p>
        </w:tc>
        <w:tc>
          <w:tcPr>
            <w:tcW w:w="784" w:type="dxa"/>
            <w:noWrap w:val="0"/>
            <w:vAlign w:val="center"/>
          </w:tcPr>
          <w:p w14:paraId="04128453">
            <w:pPr>
              <w:spacing w:line="360" w:lineRule="auto"/>
              <w:ind w:left="0" w:leftChars="0" w:firstLine="0" w:firstLineChars="0"/>
              <w:jc w:val="center"/>
              <w:rPr>
                <w:rFonts w:hint="eastAsia" w:ascii="宋体" w:hAnsi="宋体" w:eastAsia="宋体" w:cs="宋体"/>
                <w:b/>
                <w:bCs/>
                <w:color w:val="auto"/>
                <w:spacing w:val="1"/>
                <w:kern w:val="0"/>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tc>
      </w:tr>
      <w:tr w14:paraId="08CF1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889" w:type="dxa"/>
            <w:vMerge w:val="continue"/>
            <w:noWrap w:val="0"/>
            <w:vAlign w:val="center"/>
          </w:tcPr>
          <w:p w14:paraId="32595B74">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057" w:type="dxa"/>
            <w:vMerge w:val="continue"/>
            <w:noWrap w:val="0"/>
            <w:vAlign w:val="center"/>
          </w:tcPr>
          <w:p w14:paraId="19A72BE5">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537" w:type="dxa"/>
            <w:vMerge w:val="continue"/>
            <w:noWrap w:val="0"/>
            <w:vAlign w:val="center"/>
          </w:tcPr>
          <w:p w14:paraId="5EF5A77C">
            <w:pPr>
              <w:keepNext w:val="0"/>
              <w:keepLines w:val="0"/>
              <w:pageBreakBefore w:val="0"/>
              <w:widowControl w:val="0"/>
              <w:kinsoku/>
              <w:wordWrap/>
              <w:overflowPunct/>
              <w:topLinePunct w:val="0"/>
              <w:autoSpaceDE w:val="0"/>
              <w:autoSpaceDN w:val="0"/>
              <w:bidi w:val="0"/>
              <w:adjustRightInd/>
              <w:snapToGrid/>
              <w:spacing w:line="400" w:lineRule="exact"/>
              <w:ind w:left="0" w:leftChars="0" w:right="0" w:rightChars="0"/>
              <w:jc w:val="left"/>
              <w:textAlignment w:val="auto"/>
              <w:rPr>
                <w:rFonts w:hint="eastAsia" w:ascii="宋体" w:hAnsi="宋体" w:eastAsia="宋体" w:cs="宋体"/>
                <w:b/>
                <w:bCs/>
                <w:color w:val="auto"/>
                <w:spacing w:val="1"/>
                <w:kern w:val="0"/>
                <w:sz w:val="21"/>
                <w:szCs w:val="21"/>
                <w:highlight w:val="none"/>
              </w:rPr>
            </w:pPr>
          </w:p>
        </w:tc>
        <w:tc>
          <w:tcPr>
            <w:tcW w:w="5945" w:type="dxa"/>
            <w:noWrap w:val="0"/>
            <w:vAlign w:val="center"/>
          </w:tcPr>
          <w:p w14:paraId="39786859">
            <w:pPr>
              <w:keepNext w:val="0"/>
              <w:keepLines w:val="0"/>
              <w:pageBreakBefore w:val="0"/>
              <w:widowControl w:val="0"/>
              <w:numPr>
                <w:ilvl w:val="0"/>
                <w:numId w:val="0"/>
              </w:numPr>
              <w:kinsoku/>
              <w:wordWrap/>
              <w:overflowPunct/>
              <w:topLinePunct w:val="0"/>
              <w:bidi w:val="0"/>
              <w:adjustRightInd/>
              <w:snapToGrid/>
              <w:spacing w:line="360" w:lineRule="exact"/>
              <w:ind w:right="0" w:righ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2.有关“技术</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val="en-US" w:eastAsia="zh-CN"/>
              </w:rPr>
              <w:t>”各项主要内容的措施是否稳妥、计划、制度及管理团队是否科学、切合实际，合理可行：</w:t>
            </w:r>
          </w:p>
          <w:p w14:paraId="570C8A97">
            <w:pPr>
              <w:keepNext w:val="0"/>
              <w:keepLines w:val="0"/>
              <w:pageBreakBefore w:val="0"/>
              <w:widowControl w:val="0"/>
              <w:numPr>
                <w:ilvl w:val="0"/>
                <w:numId w:val="0"/>
              </w:numPr>
              <w:kinsoku/>
              <w:wordWrap/>
              <w:overflowPunct/>
              <w:topLinePunct w:val="0"/>
              <w:bidi w:val="0"/>
              <w:adjustRightInd/>
              <w:snapToGrid/>
              <w:spacing w:line="360" w:lineRule="exact"/>
              <w:ind w:right="0" w:righ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优秀（各项主要内容的措施非常稳妥，各项计划、制度及管理团队</w:t>
            </w:r>
            <w:r>
              <w:rPr>
                <w:rFonts w:hint="eastAsia" w:ascii="宋体" w:hAnsi="宋体" w:cs="宋体"/>
                <w:color w:val="auto"/>
                <w:sz w:val="21"/>
                <w:szCs w:val="21"/>
                <w:highlight w:val="none"/>
                <w:lang w:val="en-US" w:eastAsia="zh-CN"/>
              </w:rPr>
              <w:t>更加</w:t>
            </w:r>
            <w:r>
              <w:rPr>
                <w:rFonts w:hint="eastAsia" w:ascii="宋体" w:hAnsi="宋体" w:eastAsia="宋体" w:cs="宋体"/>
                <w:color w:val="auto"/>
                <w:sz w:val="21"/>
                <w:szCs w:val="21"/>
                <w:highlight w:val="none"/>
                <w:lang w:val="en-US" w:eastAsia="zh-CN"/>
              </w:rPr>
              <w:t>科学、切合实际、合理可行）得3分；</w:t>
            </w:r>
          </w:p>
          <w:p w14:paraId="021B6729">
            <w:pPr>
              <w:keepNext w:val="0"/>
              <w:keepLines w:val="0"/>
              <w:pageBreakBefore w:val="0"/>
              <w:widowControl w:val="0"/>
              <w:numPr>
                <w:ilvl w:val="0"/>
                <w:numId w:val="0"/>
              </w:numPr>
              <w:kinsoku/>
              <w:wordWrap/>
              <w:overflowPunct/>
              <w:topLinePunct w:val="0"/>
              <w:bidi w:val="0"/>
              <w:adjustRightInd/>
              <w:snapToGrid/>
              <w:spacing w:line="360" w:lineRule="exact"/>
              <w:ind w:right="0" w:rightChars="0"/>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val="en-US" w:eastAsia="zh-CN"/>
              </w:rPr>
              <w:t>良好（各项主要内容的措施描述良好，各项计划、制度及管理团队基本合理、基本可行）得2分；</w:t>
            </w:r>
          </w:p>
          <w:p w14:paraId="6F1A146E">
            <w:pPr>
              <w:keepNext w:val="0"/>
              <w:keepLines w:val="0"/>
              <w:pageBreakBefore w:val="0"/>
              <w:widowControl w:val="0"/>
              <w:numPr>
                <w:ilvl w:val="0"/>
                <w:numId w:val="0"/>
              </w:numPr>
              <w:kinsoku/>
              <w:wordWrap/>
              <w:overflowPunct/>
              <w:topLinePunct w:val="0"/>
              <w:bidi w:val="0"/>
              <w:adjustRightInd/>
              <w:snapToGrid/>
              <w:spacing w:line="360" w:lineRule="exact"/>
              <w:ind w:right="0" w:righ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一般（各项主要内容的措施、计划一般）得1分；</w:t>
            </w:r>
          </w:p>
          <w:p w14:paraId="1D8571C6">
            <w:pPr>
              <w:keepNext w:val="0"/>
              <w:keepLines w:val="0"/>
              <w:pageBreakBefore w:val="0"/>
              <w:widowControl w:val="0"/>
              <w:numPr>
                <w:ilvl w:val="0"/>
                <w:numId w:val="0"/>
              </w:numPr>
              <w:kinsoku/>
              <w:wordWrap/>
              <w:overflowPunct/>
              <w:topLinePunct w:val="0"/>
              <w:bidi w:val="0"/>
              <w:adjustRightInd/>
              <w:snapToGrid/>
              <w:spacing w:line="360" w:lineRule="exact"/>
              <w:ind w:right="0" w:righ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差（各项主要内容的措施、计划描述差流于形式）得0.5分；</w:t>
            </w:r>
          </w:p>
          <w:p w14:paraId="301A2FAD">
            <w:pPr>
              <w:keepNext w:val="0"/>
              <w:keepLines w:val="0"/>
              <w:pageBreakBefore w:val="0"/>
              <w:widowControl w:val="0"/>
              <w:numPr>
                <w:ilvl w:val="0"/>
                <w:numId w:val="0"/>
              </w:numPr>
              <w:kinsoku/>
              <w:wordWrap/>
              <w:overflowPunct/>
              <w:topLinePunct w:val="0"/>
              <w:bidi w:val="0"/>
              <w:adjustRightInd/>
              <w:snapToGrid/>
              <w:spacing w:line="360" w:lineRule="exact"/>
              <w:ind w:right="0" w:rightChars="0"/>
              <w:jc w:val="left"/>
              <w:textAlignment w:val="auto"/>
              <w:rPr>
                <w:rFonts w:hint="eastAsia" w:ascii="宋体" w:hAnsi="宋体" w:eastAsia="宋体" w:cs="宋体"/>
                <w:b/>
                <w:bCs/>
                <w:color w:val="auto"/>
                <w:spacing w:val="1"/>
                <w:kern w:val="0"/>
                <w:sz w:val="21"/>
                <w:szCs w:val="21"/>
                <w:highlight w:val="none"/>
              </w:rPr>
            </w:pPr>
            <w:r>
              <w:rPr>
                <w:rFonts w:hint="eastAsia" w:ascii="宋体" w:hAnsi="宋体" w:eastAsia="宋体" w:cs="宋体"/>
                <w:color w:val="auto"/>
                <w:sz w:val="21"/>
                <w:szCs w:val="21"/>
                <w:highlight w:val="none"/>
                <w:lang w:val="en-US" w:eastAsia="zh-CN"/>
              </w:rPr>
              <w:t>如“技术方案”全部各项内容均不提供，此项“</w:t>
            </w:r>
            <w:r>
              <w:rPr>
                <w:rFonts w:hint="eastAsia" w:ascii="宋体" w:hAnsi="宋体" w:cs="宋体"/>
                <w:color w:val="auto"/>
                <w:sz w:val="21"/>
                <w:szCs w:val="21"/>
                <w:highlight w:val="none"/>
                <w:lang w:val="en-US" w:eastAsia="zh-CN"/>
              </w:rPr>
              <w:t>技术</w:t>
            </w:r>
            <w:r>
              <w:rPr>
                <w:rFonts w:hint="eastAsia" w:ascii="宋体" w:hAnsi="宋体" w:eastAsia="宋体" w:cs="宋体"/>
                <w:color w:val="auto"/>
                <w:sz w:val="21"/>
                <w:szCs w:val="21"/>
                <w:highlight w:val="none"/>
                <w:lang w:val="en-US" w:eastAsia="zh-CN"/>
              </w:rPr>
              <w:t>方案水平”不得分；</w:t>
            </w:r>
          </w:p>
        </w:tc>
        <w:tc>
          <w:tcPr>
            <w:tcW w:w="784" w:type="dxa"/>
            <w:noWrap w:val="0"/>
            <w:vAlign w:val="center"/>
          </w:tcPr>
          <w:p w14:paraId="103FBF0F">
            <w:pPr>
              <w:spacing w:line="360" w:lineRule="auto"/>
              <w:ind w:left="0" w:leftChars="0" w:firstLine="0" w:firstLineChars="0"/>
              <w:jc w:val="center"/>
              <w:rPr>
                <w:rFonts w:hint="eastAsia" w:ascii="宋体" w:hAnsi="宋体" w:eastAsia="宋体" w:cs="宋体"/>
                <w:b/>
                <w:bCs/>
                <w:color w:val="auto"/>
                <w:spacing w:val="1"/>
                <w:kern w:val="0"/>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tc>
      </w:tr>
      <w:tr w14:paraId="2E104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889" w:type="dxa"/>
            <w:vMerge w:val="continue"/>
            <w:noWrap w:val="0"/>
            <w:vAlign w:val="center"/>
          </w:tcPr>
          <w:p w14:paraId="6FF4693E">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057" w:type="dxa"/>
            <w:vMerge w:val="continue"/>
            <w:noWrap w:val="0"/>
            <w:vAlign w:val="center"/>
          </w:tcPr>
          <w:p w14:paraId="17B7BC9E">
            <w:pPr>
              <w:keepNext w:val="0"/>
              <w:keepLines w:val="0"/>
              <w:pageBreakBefore w:val="0"/>
              <w:widowControl w:val="0"/>
              <w:kinsoku/>
              <w:wordWrap/>
              <w:overflowPunct/>
              <w:topLinePunct w:val="0"/>
              <w:bidi w:val="0"/>
              <w:adjustRightInd/>
              <w:snapToGrid/>
              <w:spacing w:line="400" w:lineRule="exact"/>
              <w:ind w:left="0" w:leftChars="0" w:right="0" w:rightChars="0"/>
              <w:jc w:val="left"/>
              <w:textAlignment w:val="auto"/>
              <w:rPr>
                <w:rFonts w:hint="eastAsia" w:asciiTheme="minorEastAsia" w:hAnsiTheme="minorEastAsia" w:eastAsiaTheme="minorEastAsia" w:cstheme="minorEastAsia"/>
                <w:color w:val="auto"/>
                <w:sz w:val="21"/>
                <w:szCs w:val="21"/>
                <w:highlight w:val="none"/>
              </w:rPr>
            </w:pPr>
          </w:p>
        </w:tc>
        <w:tc>
          <w:tcPr>
            <w:tcW w:w="1537" w:type="dxa"/>
            <w:vMerge w:val="continue"/>
            <w:noWrap w:val="0"/>
            <w:vAlign w:val="center"/>
          </w:tcPr>
          <w:p w14:paraId="07EC2909">
            <w:pPr>
              <w:keepNext w:val="0"/>
              <w:keepLines w:val="0"/>
              <w:pageBreakBefore w:val="0"/>
              <w:widowControl w:val="0"/>
              <w:kinsoku/>
              <w:wordWrap/>
              <w:overflowPunct/>
              <w:topLinePunct w:val="0"/>
              <w:autoSpaceDE w:val="0"/>
              <w:autoSpaceDN w:val="0"/>
              <w:bidi w:val="0"/>
              <w:adjustRightInd/>
              <w:snapToGrid/>
              <w:spacing w:line="400" w:lineRule="exact"/>
              <w:ind w:left="0" w:leftChars="0" w:right="0" w:rightChars="0"/>
              <w:jc w:val="left"/>
              <w:textAlignment w:val="auto"/>
              <w:rPr>
                <w:rFonts w:hint="eastAsia" w:ascii="宋体" w:hAnsi="宋体" w:eastAsia="宋体" w:cs="宋体"/>
                <w:b/>
                <w:bCs/>
                <w:color w:val="auto"/>
                <w:spacing w:val="1"/>
                <w:kern w:val="0"/>
                <w:sz w:val="21"/>
                <w:szCs w:val="21"/>
                <w:highlight w:val="none"/>
              </w:rPr>
            </w:pPr>
          </w:p>
        </w:tc>
        <w:tc>
          <w:tcPr>
            <w:tcW w:w="6729" w:type="dxa"/>
            <w:gridSpan w:val="2"/>
            <w:noWrap w:val="0"/>
            <w:vAlign w:val="center"/>
          </w:tcPr>
          <w:p w14:paraId="1961A159">
            <w:pPr>
              <w:keepNext w:val="0"/>
              <w:keepLines w:val="0"/>
              <w:pageBreakBefore w:val="0"/>
              <w:widowControl w:val="0"/>
              <w:kinsoku/>
              <w:wordWrap/>
              <w:overflowPunct/>
              <w:topLinePunct w:val="0"/>
              <w:autoSpaceDE w:val="0"/>
              <w:autoSpaceDN w:val="0"/>
              <w:bidi w:val="0"/>
              <w:adjustRightInd/>
              <w:snapToGrid/>
              <w:spacing w:line="400" w:lineRule="exact"/>
              <w:ind w:left="0" w:leftChars="0" w:right="0" w:rightChars="0"/>
              <w:jc w:val="left"/>
              <w:textAlignment w:val="auto"/>
              <w:rPr>
                <w:rFonts w:hint="eastAsia" w:ascii="宋体" w:hAnsi="宋体" w:eastAsia="宋体" w:cs="宋体"/>
                <w:b/>
                <w:bCs/>
                <w:color w:val="auto"/>
                <w:spacing w:val="1"/>
                <w:kern w:val="0"/>
                <w:sz w:val="21"/>
                <w:szCs w:val="21"/>
                <w:highlight w:val="none"/>
              </w:rPr>
            </w:pPr>
            <w:r>
              <w:rPr>
                <w:rFonts w:hint="eastAsia" w:ascii="宋体" w:hAnsi="宋体" w:eastAsia="宋体" w:cs="宋体"/>
                <w:b/>
                <w:bCs/>
                <w:color w:val="auto"/>
                <w:spacing w:val="-6"/>
                <w:sz w:val="21"/>
                <w:szCs w:val="21"/>
                <w:lang w:val="en-US" w:eastAsia="zh-CN"/>
              </w:rPr>
              <w:t>特别提示：评委评审时不能仅以页数篇幅作为评审依据，应根据供应商针对本项目实际情况编写的方案进行综合评审。</w:t>
            </w:r>
          </w:p>
        </w:tc>
      </w:tr>
      <w:tr w14:paraId="4C196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889" w:type="dxa"/>
            <w:vMerge w:val="restart"/>
            <w:noWrap w:val="0"/>
            <w:vAlign w:val="center"/>
          </w:tcPr>
          <w:p w14:paraId="67DA224A">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2.2.2（3）</w:t>
            </w:r>
          </w:p>
        </w:tc>
        <w:tc>
          <w:tcPr>
            <w:tcW w:w="1057" w:type="dxa"/>
            <w:vMerge w:val="restart"/>
            <w:noWrap w:val="0"/>
            <w:vAlign w:val="center"/>
          </w:tcPr>
          <w:p w14:paraId="4ED0862D">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综合部分</w:t>
            </w:r>
          </w:p>
          <w:p w14:paraId="54ACEB3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bCs/>
                <w:color w:val="auto"/>
                <w:sz w:val="21"/>
                <w:szCs w:val="21"/>
                <w:highlight w:val="none"/>
                <w:lang w:val="en-US" w:eastAsia="zh-CN"/>
              </w:rPr>
              <w:t>29</w:t>
            </w:r>
            <w:r>
              <w:rPr>
                <w:rFonts w:hint="eastAsia" w:asciiTheme="minorEastAsia" w:hAnsiTheme="minorEastAsia" w:eastAsiaTheme="minorEastAsia" w:cstheme="minorEastAsia"/>
                <w:b/>
                <w:bCs/>
                <w:color w:val="auto"/>
                <w:sz w:val="21"/>
                <w:szCs w:val="21"/>
                <w:highlight w:val="none"/>
              </w:rPr>
              <w:t>分）</w:t>
            </w:r>
          </w:p>
        </w:tc>
        <w:tc>
          <w:tcPr>
            <w:tcW w:w="1537" w:type="dxa"/>
            <w:noWrap w:val="0"/>
            <w:vAlign w:val="center"/>
          </w:tcPr>
          <w:p w14:paraId="2614B182">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firstLine="0" w:firstLineChars="0"/>
              <w:jc w:val="center"/>
              <w:textAlignment w:val="center"/>
              <w:rPr>
                <w:rFonts w:hint="eastAsia" w:ascii="宋体" w:hAnsi="宋体" w:eastAsia="宋体" w:cs="宋体"/>
                <w:color w:val="000000"/>
                <w:spacing w:val="0"/>
                <w:position w:val="0"/>
                <w:sz w:val="21"/>
                <w:szCs w:val="21"/>
              </w:rPr>
            </w:pPr>
            <w:r>
              <w:rPr>
                <w:rFonts w:hint="eastAsia" w:ascii="宋体" w:hAnsi="宋体" w:eastAsia="宋体" w:cs="宋体"/>
                <w:color w:val="000000"/>
                <w:spacing w:val="0"/>
                <w:position w:val="0"/>
                <w:sz w:val="21"/>
                <w:szCs w:val="21"/>
              </w:rPr>
              <w:t>企业业绩</w:t>
            </w:r>
          </w:p>
          <w:p w14:paraId="4DE4C72F">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firstLine="0" w:firstLineChars="0"/>
              <w:jc w:val="center"/>
              <w:textAlignment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000000"/>
                <w:spacing w:val="0"/>
                <w:position w:val="0"/>
                <w:sz w:val="21"/>
                <w:szCs w:val="21"/>
              </w:rPr>
              <w:t>（</w:t>
            </w:r>
            <w:r>
              <w:rPr>
                <w:rFonts w:hint="eastAsia" w:ascii="宋体" w:hAnsi="宋体" w:eastAsia="宋体" w:cs="宋体"/>
                <w:color w:val="000000"/>
                <w:spacing w:val="0"/>
                <w:position w:val="0"/>
                <w:sz w:val="21"/>
                <w:szCs w:val="21"/>
                <w:lang w:val="en-US" w:eastAsia="zh-CN"/>
              </w:rPr>
              <w:t>6</w:t>
            </w:r>
            <w:r>
              <w:rPr>
                <w:rFonts w:hint="eastAsia" w:ascii="宋体" w:hAnsi="宋体" w:eastAsia="宋体" w:cs="宋体"/>
                <w:color w:val="000000"/>
                <w:spacing w:val="0"/>
                <w:position w:val="0"/>
                <w:sz w:val="21"/>
                <w:szCs w:val="21"/>
              </w:rPr>
              <w:t>分）</w:t>
            </w:r>
          </w:p>
        </w:tc>
        <w:tc>
          <w:tcPr>
            <w:tcW w:w="6729" w:type="dxa"/>
            <w:gridSpan w:val="2"/>
            <w:noWrap w:val="0"/>
            <w:vAlign w:val="top"/>
          </w:tcPr>
          <w:p w14:paraId="7DC9D78D">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firstLine="0"/>
              <w:jc w:val="left"/>
              <w:textAlignment w:val="center"/>
              <w:rPr>
                <w:rFonts w:hint="eastAsia" w:ascii="宋体" w:hAnsi="宋体" w:eastAsia="宋体" w:cs="宋体"/>
                <w:sz w:val="21"/>
                <w:szCs w:val="21"/>
              </w:rPr>
            </w:pPr>
            <w:r>
              <w:rPr>
                <w:rFonts w:hint="eastAsia" w:ascii="宋体" w:hAnsi="宋体" w:eastAsia="宋体" w:cs="宋体"/>
                <w:color w:val="000000"/>
                <w:spacing w:val="0"/>
                <w:position w:val="0"/>
                <w:sz w:val="21"/>
                <w:szCs w:val="21"/>
              </w:rPr>
              <w:t>供应商2023年</w:t>
            </w:r>
            <w:r>
              <w:rPr>
                <w:rFonts w:hint="eastAsia" w:ascii="宋体" w:hAnsi="宋体" w:eastAsia="宋体" w:cs="宋体"/>
                <w:color w:val="000000"/>
                <w:spacing w:val="0"/>
                <w:position w:val="0"/>
                <w:sz w:val="21"/>
                <w:szCs w:val="21"/>
                <w:lang w:val="en-US" w:eastAsia="zh-CN"/>
              </w:rPr>
              <w:t>7</w:t>
            </w:r>
            <w:r>
              <w:rPr>
                <w:rFonts w:hint="eastAsia" w:ascii="宋体" w:hAnsi="宋体" w:eastAsia="宋体" w:cs="宋体"/>
                <w:color w:val="000000"/>
                <w:spacing w:val="0"/>
                <w:position w:val="0"/>
                <w:sz w:val="21"/>
                <w:szCs w:val="21"/>
              </w:rPr>
              <w:t>月</w:t>
            </w:r>
            <w:r>
              <w:rPr>
                <w:rFonts w:hint="eastAsia" w:ascii="宋体" w:hAnsi="宋体" w:eastAsia="宋体" w:cs="宋体"/>
                <w:color w:val="000000"/>
                <w:spacing w:val="0"/>
                <w:position w:val="0"/>
                <w:sz w:val="21"/>
                <w:szCs w:val="21"/>
                <w:lang w:val="en-US" w:eastAsia="zh-CN"/>
              </w:rPr>
              <w:t>1</w:t>
            </w:r>
            <w:r>
              <w:rPr>
                <w:rFonts w:hint="eastAsia" w:ascii="宋体" w:hAnsi="宋体" w:eastAsia="宋体" w:cs="宋体"/>
                <w:color w:val="000000"/>
                <w:spacing w:val="0"/>
                <w:position w:val="0"/>
                <w:sz w:val="21"/>
                <w:szCs w:val="21"/>
              </w:rPr>
              <w:t>日</w:t>
            </w:r>
            <w:r>
              <w:rPr>
                <w:rFonts w:hint="eastAsia" w:ascii="宋体" w:hAnsi="宋体" w:eastAsia="宋体" w:cs="宋体"/>
                <w:color w:val="000000"/>
                <w:spacing w:val="0"/>
                <w:position w:val="0"/>
                <w:sz w:val="21"/>
                <w:szCs w:val="21"/>
                <w:lang w:eastAsia="zh-CN"/>
              </w:rPr>
              <w:t>（</w:t>
            </w:r>
            <w:r>
              <w:rPr>
                <w:rFonts w:hint="eastAsia" w:ascii="宋体" w:hAnsi="宋体" w:eastAsia="宋体" w:cs="宋体"/>
                <w:color w:val="000000"/>
                <w:spacing w:val="0"/>
                <w:position w:val="0"/>
                <w:sz w:val="21"/>
                <w:szCs w:val="21"/>
                <w:lang w:val="en-US" w:eastAsia="zh-CN"/>
              </w:rPr>
              <w:t>时间以签订合同时间为准</w:t>
            </w:r>
            <w:r>
              <w:rPr>
                <w:rFonts w:hint="eastAsia" w:ascii="宋体" w:hAnsi="宋体" w:eastAsia="宋体" w:cs="宋体"/>
                <w:color w:val="000000"/>
                <w:spacing w:val="0"/>
                <w:position w:val="0"/>
                <w:sz w:val="21"/>
                <w:szCs w:val="21"/>
                <w:lang w:eastAsia="zh-CN"/>
              </w:rPr>
              <w:t>）</w:t>
            </w:r>
            <w:r>
              <w:rPr>
                <w:rFonts w:hint="eastAsia" w:ascii="宋体" w:hAnsi="宋体" w:eastAsia="宋体" w:cs="宋体"/>
                <w:color w:val="000000"/>
                <w:spacing w:val="0"/>
                <w:position w:val="0"/>
                <w:sz w:val="21"/>
                <w:szCs w:val="21"/>
              </w:rPr>
              <w:t>以来</w:t>
            </w:r>
            <w:r>
              <w:rPr>
                <w:rFonts w:hint="eastAsia" w:ascii="宋体" w:hAnsi="宋体" w:eastAsia="宋体" w:cs="宋体"/>
                <w:color w:val="000000"/>
                <w:spacing w:val="0"/>
                <w:position w:val="0"/>
                <w:sz w:val="21"/>
                <w:szCs w:val="21"/>
                <w:lang w:val="en-US" w:eastAsia="zh-CN"/>
              </w:rPr>
              <w:t>承担的包含垃圾清运</w:t>
            </w:r>
            <w:r>
              <w:rPr>
                <w:rFonts w:hint="eastAsia" w:ascii="宋体" w:hAnsi="宋体" w:eastAsia="宋体" w:cs="宋体"/>
                <w:color w:val="000000"/>
                <w:spacing w:val="0"/>
                <w:position w:val="0"/>
                <w:sz w:val="21"/>
                <w:szCs w:val="21"/>
              </w:rPr>
              <w:t>项目</w:t>
            </w:r>
            <w:r>
              <w:rPr>
                <w:rFonts w:hint="eastAsia" w:ascii="宋体" w:hAnsi="宋体" w:eastAsia="宋体" w:cs="宋体"/>
                <w:color w:val="000000"/>
                <w:spacing w:val="0"/>
                <w:position w:val="0"/>
                <w:sz w:val="21"/>
                <w:szCs w:val="21"/>
                <w:lang w:val="en-US" w:eastAsia="zh-CN"/>
              </w:rPr>
              <w:t>业绩，</w:t>
            </w:r>
            <w:r>
              <w:rPr>
                <w:rFonts w:hint="eastAsia" w:ascii="宋体" w:hAnsi="宋体" w:eastAsia="宋体" w:cs="宋体"/>
                <w:color w:val="000000"/>
                <w:spacing w:val="0"/>
                <w:position w:val="0"/>
                <w:sz w:val="21"/>
                <w:szCs w:val="21"/>
              </w:rPr>
              <w:t>每提供一项得</w:t>
            </w:r>
            <w:r>
              <w:rPr>
                <w:rFonts w:hint="eastAsia" w:ascii="宋体" w:hAnsi="宋体" w:eastAsia="宋体" w:cs="宋体"/>
                <w:color w:val="000000"/>
                <w:spacing w:val="0"/>
                <w:position w:val="0"/>
                <w:sz w:val="21"/>
                <w:szCs w:val="21"/>
                <w:lang w:val="en-US" w:eastAsia="zh-CN"/>
              </w:rPr>
              <w:t>2</w:t>
            </w:r>
            <w:r>
              <w:rPr>
                <w:rFonts w:hint="eastAsia" w:ascii="宋体" w:hAnsi="宋体" w:eastAsia="宋体" w:cs="宋体"/>
                <w:color w:val="000000"/>
                <w:spacing w:val="0"/>
                <w:position w:val="0"/>
                <w:sz w:val="21"/>
                <w:szCs w:val="21"/>
              </w:rPr>
              <w:t>分，本项最多得</w:t>
            </w:r>
            <w:r>
              <w:rPr>
                <w:rFonts w:hint="eastAsia" w:ascii="宋体" w:hAnsi="宋体" w:eastAsia="宋体" w:cs="宋体"/>
                <w:color w:val="000000"/>
                <w:spacing w:val="0"/>
                <w:position w:val="0"/>
                <w:sz w:val="21"/>
                <w:szCs w:val="21"/>
                <w:lang w:val="en-US" w:eastAsia="zh-CN"/>
              </w:rPr>
              <w:t>6</w:t>
            </w:r>
            <w:r>
              <w:rPr>
                <w:rFonts w:hint="eastAsia" w:ascii="宋体" w:hAnsi="宋体" w:eastAsia="宋体" w:cs="宋体"/>
                <w:color w:val="000000"/>
                <w:spacing w:val="0"/>
                <w:position w:val="0"/>
                <w:sz w:val="21"/>
                <w:szCs w:val="21"/>
              </w:rPr>
              <w:t>分。</w:t>
            </w:r>
          </w:p>
          <w:p w14:paraId="492669D5">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firstLine="0" w:firstLineChars="0"/>
              <w:jc w:val="left"/>
              <w:textAlignment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000000"/>
                <w:spacing w:val="0"/>
                <w:position w:val="0"/>
                <w:sz w:val="21"/>
                <w:szCs w:val="21"/>
              </w:rPr>
              <w:t>注：①响应文件中需同时提供项目中标（成交）结果网页截图、中标（成交）通知书原件扫描件、合同协议书原件扫描件；业绩时间以合同签订时间为准，证明材料提供不全或未提供的，该业绩不予计分。</w:t>
            </w:r>
          </w:p>
        </w:tc>
      </w:tr>
      <w:tr w14:paraId="3D7C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889" w:type="dxa"/>
            <w:vMerge w:val="continue"/>
            <w:noWrap w:val="0"/>
            <w:vAlign w:val="center"/>
          </w:tcPr>
          <w:p w14:paraId="4247E102">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p>
        </w:tc>
        <w:tc>
          <w:tcPr>
            <w:tcW w:w="1057" w:type="dxa"/>
            <w:vMerge w:val="continue"/>
            <w:noWrap w:val="0"/>
            <w:vAlign w:val="center"/>
          </w:tcPr>
          <w:p w14:paraId="587306C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p>
        </w:tc>
        <w:tc>
          <w:tcPr>
            <w:tcW w:w="1537" w:type="dxa"/>
            <w:noWrap w:val="0"/>
            <w:vAlign w:val="center"/>
          </w:tcPr>
          <w:p w14:paraId="0562790A">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firstLine="0" w:firstLineChars="0"/>
              <w:jc w:val="center"/>
              <w:textAlignment w:val="center"/>
              <w:rPr>
                <w:rFonts w:hint="eastAsia" w:ascii="宋体" w:hAnsi="宋体" w:eastAsia="宋体" w:cs="宋体"/>
                <w:color w:val="auto"/>
                <w:spacing w:val="0"/>
                <w:position w:val="0"/>
                <w:sz w:val="21"/>
                <w:szCs w:val="21"/>
                <w:lang w:eastAsia="zh-CN"/>
              </w:rPr>
            </w:pPr>
            <w:r>
              <w:rPr>
                <w:rFonts w:hint="eastAsia" w:ascii="宋体" w:hAnsi="宋体" w:eastAsia="宋体" w:cs="宋体"/>
                <w:color w:val="auto"/>
                <w:spacing w:val="0"/>
                <w:position w:val="0"/>
                <w:sz w:val="21"/>
                <w:szCs w:val="21"/>
              </w:rPr>
              <w:t>设备车辆</w:t>
            </w:r>
            <w:r>
              <w:rPr>
                <w:rFonts w:hint="eastAsia" w:ascii="宋体" w:hAnsi="宋体" w:eastAsia="宋体" w:cs="宋体"/>
                <w:color w:val="auto"/>
                <w:spacing w:val="0"/>
                <w:position w:val="0"/>
                <w:sz w:val="21"/>
                <w:szCs w:val="21"/>
              </w:rPr>
              <w:br w:type="textWrapping"/>
            </w:r>
            <w:r>
              <w:rPr>
                <w:rFonts w:hint="eastAsia" w:ascii="宋体" w:hAnsi="宋体" w:eastAsia="宋体" w:cs="宋体"/>
                <w:color w:val="auto"/>
                <w:spacing w:val="0"/>
                <w:position w:val="0"/>
                <w:sz w:val="21"/>
                <w:szCs w:val="21"/>
                <w:lang w:eastAsia="zh-CN"/>
              </w:rPr>
              <w:t>（</w:t>
            </w:r>
            <w:r>
              <w:rPr>
                <w:rFonts w:hint="eastAsia" w:ascii="宋体" w:hAnsi="宋体" w:eastAsia="宋体" w:cs="宋体"/>
                <w:color w:val="auto"/>
                <w:spacing w:val="0"/>
                <w:position w:val="0"/>
                <w:sz w:val="21"/>
                <w:szCs w:val="21"/>
                <w:lang w:val="en-US" w:eastAsia="zh-CN"/>
              </w:rPr>
              <w:t>9分</w:t>
            </w:r>
            <w:r>
              <w:rPr>
                <w:rFonts w:hint="eastAsia" w:ascii="宋体" w:hAnsi="宋体" w:eastAsia="宋体" w:cs="宋体"/>
                <w:color w:val="auto"/>
                <w:spacing w:val="0"/>
                <w:position w:val="0"/>
                <w:sz w:val="21"/>
                <w:szCs w:val="21"/>
                <w:lang w:eastAsia="zh-CN"/>
              </w:rPr>
              <w:t>）</w:t>
            </w:r>
          </w:p>
        </w:tc>
        <w:tc>
          <w:tcPr>
            <w:tcW w:w="6729" w:type="dxa"/>
            <w:gridSpan w:val="2"/>
            <w:noWrap w:val="0"/>
            <w:vAlign w:val="top"/>
          </w:tcPr>
          <w:p w14:paraId="032BAF98">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firstLine="0" w:firstLineChars="0"/>
              <w:jc w:val="left"/>
              <w:textAlignment w:val="center"/>
              <w:rPr>
                <w:rFonts w:hint="eastAsia" w:ascii="宋体" w:hAnsi="宋体" w:eastAsia="宋体" w:cs="宋体"/>
                <w:b w:val="0"/>
                <w:bCs w:val="0"/>
                <w:color w:val="auto"/>
                <w:spacing w:val="0"/>
                <w:position w:val="0"/>
                <w:sz w:val="21"/>
                <w:szCs w:val="21"/>
                <w:lang w:eastAsia="zh-CN"/>
              </w:rPr>
            </w:pPr>
            <w:r>
              <w:rPr>
                <w:rFonts w:hint="eastAsia" w:ascii="宋体" w:hAnsi="宋体" w:eastAsia="宋体" w:cs="宋体"/>
                <w:b w:val="0"/>
                <w:bCs w:val="0"/>
                <w:color w:val="auto"/>
                <w:spacing w:val="0"/>
                <w:position w:val="0"/>
                <w:sz w:val="21"/>
                <w:szCs w:val="21"/>
              </w:rPr>
              <w:t>供应商拟为本项目投入垃圾清运车辆</w:t>
            </w:r>
            <w:r>
              <w:rPr>
                <w:rFonts w:hint="eastAsia" w:ascii="宋体" w:hAnsi="宋体" w:eastAsia="宋体" w:cs="宋体"/>
                <w:b w:val="0"/>
                <w:bCs w:val="0"/>
                <w:color w:val="auto"/>
                <w:spacing w:val="0"/>
                <w:position w:val="0"/>
                <w:sz w:val="21"/>
                <w:szCs w:val="21"/>
                <w:lang w:eastAsia="zh-CN"/>
              </w:rPr>
              <w:t>：</w:t>
            </w:r>
          </w:p>
          <w:p w14:paraId="4E299AA5">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firstLine="0" w:firstLineChars="0"/>
              <w:jc w:val="left"/>
              <w:textAlignment w:val="center"/>
              <w:rPr>
                <w:rFonts w:hint="eastAsia" w:ascii="宋体" w:hAnsi="宋体" w:eastAsia="宋体" w:cs="宋体"/>
                <w:b w:val="0"/>
                <w:bCs w:val="0"/>
                <w:color w:val="auto"/>
                <w:spacing w:val="0"/>
                <w:position w:val="0"/>
                <w:sz w:val="21"/>
                <w:szCs w:val="21"/>
                <w:lang w:val="en-US" w:eastAsia="zh-CN"/>
              </w:rPr>
            </w:pPr>
            <w:r>
              <w:rPr>
                <w:rFonts w:hint="eastAsia" w:ascii="宋体" w:hAnsi="宋体" w:eastAsia="宋体" w:cs="宋体"/>
                <w:b w:val="0"/>
                <w:bCs w:val="0"/>
                <w:color w:val="auto"/>
                <w:spacing w:val="0"/>
                <w:position w:val="0"/>
                <w:sz w:val="21"/>
                <w:szCs w:val="21"/>
                <w:lang w:val="en-US" w:eastAsia="zh-CN"/>
              </w:rPr>
              <w:t>1.每提</w:t>
            </w:r>
            <w:r>
              <w:rPr>
                <w:rFonts w:hint="eastAsia" w:ascii="宋体" w:hAnsi="宋体" w:eastAsia="宋体" w:cs="宋体"/>
                <w:b w:val="0"/>
                <w:bCs w:val="0"/>
                <w:color w:val="auto"/>
                <w:spacing w:val="0"/>
                <w:position w:val="0"/>
                <w:sz w:val="21"/>
                <w:szCs w:val="21"/>
              </w:rPr>
              <w:t>供一辆</w:t>
            </w:r>
            <w:r>
              <w:rPr>
                <w:rFonts w:hint="eastAsia" w:ascii="宋体" w:hAnsi="宋体" w:eastAsia="宋体" w:cs="宋体"/>
                <w:b w:val="0"/>
                <w:bCs w:val="0"/>
                <w:color w:val="auto"/>
                <w:spacing w:val="0"/>
                <w:position w:val="0"/>
                <w:sz w:val="21"/>
                <w:szCs w:val="21"/>
                <w:lang w:val="en-US" w:eastAsia="zh-CN"/>
              </w:rPr>
              <w:t>勾臂垃圾车</w:t>
            </w:r>
            <w:r>
              <w:rPr>
                <w:rFonts w:hint="eastAsia" w:ascii="宋体" w:hAnsi="宋体" w:eastAsia="宋体" w:cs="宋体"/>
                <w:b w:val="0"/>
                <w:bCs w:val="0"/>
                <w:color w:val="auto"/>
                <w:spacing w:val="0"/>
                <w:position w:val="0"/>
                <w:sz w:val="21"/>
                <w:szCs w:val="21"/>
              </w:rPr>
              <w:t>得</w:t>
            </w:r>
            <w:r>
              <w:rPr>
                <w:rFonts w:hint="eastAsia" w:ascii="宋体" w:hAnsi="宋体" w:eastAsia="宋体" w:cs="宋体"/>
                <w:b w:val="0"/>
                <w:bCs w:val="0"/>
                <w:color w:val="auto"/>
                <w:spacing w:val="0"/>
                <w:position w:val="0"/>
                <w:sz w:val="21"/>
                <w:szCs w:val="21"/>
                <w:lang w:val="en-US" w:eastAsia="zh-CN"/>
              </w:rPr>
              <w:t>2</w:t>
            </w:r>
            <w:r>
              <w:rPr>
                <w:rFonts w:hint="eastAsia" w:ascii="宋体" w:hAnsi="宋体" w:eastAsia="宋体" w:cs="宋体"/>
                <w:b w:val="0"/>
                <w:bCs w:val="0"/>
                <w:color w:val="auto"/>
                <w:spacing w:val="0"/>
                <w:position w:val="0"/>
                <w:sz w:val="21"/>
                <w:szCs w:val="21"/>
              </w:rPr>
              <w:t>分</w:t>
            </w:r>
            <w:r>
              <w:rPr>
                <w:rFonts w:hint="eastAsia" w:ascii="宋体" w:hAnsi="宋体" w:eastAsia="宋体" w:cs="宋体"/>
                <w:b w:val="0"/>
                <w:bCs w:val="0"/>
                <w:color w:val="auto"/>
                <w:spacing w:val="0"/>
                <w:position w:val="0"/>
                <w:sz w:val="21"/>
                <w:szCs w:val="21"/>
                <w:lang w:eastAsia="zh-CN"/>
              </w:rPr>
              <w:t>，</w:t>
            </w:r>
            <w:r>
              <w:rPr>
                <w:rFonts w:hint="eastAsia" w:ascii="宋体" w:hAnsi="宋体" w:eastAsia="宋体" w:cs="宋体"/>
                <w:b w:val="0"/>
                <w:bCs w:val="0"/>
                <w:color w:val="auto"/>
                <w:spacing w:val="0"/>
                <w:position w:val="0"/>
                <w:sz w:val="21"/>
                <w:szCs w:val="21"/>
                <w:lang w:val="en-US" w:eastAsia="zh-CN"/>
              </w:rPr>
              <w:t>最高得2分</w:t>
            </w:r>
          </w:p>
          <w:p w14:paraId="3AB82F17">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firstLine="0" w:firstLineChars="0"/>
              <w:jc w:val="left"/>
              <w:textAlignment w:val="center"/>
              <w:rPr>
                <w:rFonts w:hint="eastAsia" w:ascii="宋体" w:hAnsi="宋体" w:eastAsia="宋体" w:cs="宋体"/>
                <w:b w:val="0"/>
                <w:bCs w:val="0"/>
                <w:color w:val="auto"/>
                <w:spacing w:val="0"/>
                <w:position w:val="0"/>
                <w:sz w:val="21"/>
                <w:szCs w:val="21"/>
                <w:lang w:val="en-US" w:eastAsia="zh-CN"/>
              </w:rPr>
            </w:pPr>
            <w:r>
              <w:rPr>
                <w:rFonts w:hint="eastAsia" w:ascii="宋体" w:hAnsi="宋体" w:eastAsia="宋体" w:cs="宋体"/>
                <w:b w:val="0"/>
                <w:bCs w:val="0"/>
                <w:color w:val="auto"/>
                <w:sz w:val="21"/>
                <w:szCs w:val="21"/>
                <w:lang w:val="en-US" w:eastAsia="zh-CN"/>
              </w:rPr>
              <w:t>2.每提供一辆</w:t>
            </w:r>
            <w:r>
              <w:rPr>
                <w:rFonts w:hint="eastAsia" w:ascii="宋体" w:hAnsi="宋体" w:eastAsia="宋体" w:cs="宋体"/>
                <w:b w:val="0"/>
                <w:bCs w:val="0"/>
                <w:color w:val="auto"/>
                <w:sz w:val="21"/>
                <w:szCs w:val="21"/>
              </w:rPr>
              <w:t>14方以上垃圾压缩车</w:t>
            </w:r>
            <w:r>
              <w:rPr>
                <w:rFonts w:hint="eastAsia" w:ascii="宋体" w:hAnsi="宋体" w:eastAsia="宋体" w:cs="宋体"/>
                <w:b w:val="0"/>
                <w:bCs w:val="0"/>
                <w:color w:val="auto"/>
                <w:spacing w:val="0"/>
                <w:position w:val="0"/>
                <w:sz w:val="21"/>
                <w:szCs w:val="21"/>
              </w:rPr>
              <w:t>得</w:t>
            </w:r>
            <w:r>
              <w:rPr>
                <w:rFonts w:hint="eastAsia" w:ascii="宋体" w:hAnsi="宋体" w:eastAsia="宋体" w:cs="宋体"/>
                <w:b w:val="0"/>
                <w:bCs w:val="0"/>
                <w:color w:val="auto"/>
                <w:spacing w:val="0"/>
                <w:position w:val="0"/>
                <w:sz w:val="21"/>
                <w:szCs w:val="21"/>
                <w:lang w:val="en-US" w:eastAsia="zh-CN"/>
              </w:rPr>
              <w:t>4</w:t>
            </w:r>
            <w:r>
              <w:rPr>
                <w:rFonts w:hint="eastAsia" w:ascii="宋体" w:hAnsi="宋体" w:eastAsia="宋体" w:cs="宋体"/>
                <w:b w:val="0"/>
                <w:bCs w:val="0"/>
                <w:color w:val="auto"/>
                <w:spacing w:val="0"/>
                <w:position w:val="0"/>
                <w:sz w:val="21"/>
                <w:szCs w:val="21"/>
              </w:rPr>
              <w:t>分</w:t>
            </w:r>
            <w:r>
              <w:rPr>
                <w:rFonts w:hint="eastAsia" w:ascii="宋体" w:hAnsi="宋体" w:eastAsia="宋体" w:cs="宋体"/>
                <w:b w:val="0"/>
                <w:bCs w:val="0"/>
                <w:color w:val="auto"/>
                <w:spacing w:val="0"/>
                <w:position w:val="0"/>
                <w:sz w:val="21"/>
                <w:szCs w:val="21"/>
                <w:lang w:eastAsia="zh-CN"/>
              </w:rPr>
              <w:t>，</w:t>
            </w:r>
            <w:r>
              <w:rPr>
                <w:rFonts w:hint="eastAsia" w:ascii="宋体" w:hAnsi="宋体" w:eastAsia="宋体" w:cs="宋体"/>
                <w:b w:val="0"/>
                <w:bCs w:val="0"/>
                <w:color w:val="auto"/>
                <w:spacing w:val="0"/>
                <w:position w:val="0"/>
                <w:sz w:val="21"/>
                <w:szCs w:val="21"/>
                <w:lang w:val="en-US" w:eastAsia="zh-CN"/>
              </w:rPr>
              <w:t>最高得4分</w:t>
            </w:r>
          </w:p>
          <w:p w14:paraId="0B22690F">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firstLine="0" w:firstLineChars="0"/>
              <w:jc w:val="left"/>
              <w:textAlignment w:val="center"/>
              <w:rPr>
                <w:rFonts w:hint="eastAsia" w:ascii="宋体" w:hAnsi="宋体" w:eastAsia="宋体" w:cs="宋体"/>
                <w:b w:val="0"/>
                <w:bCs w:val="0"/>
                <w:color w:val="auto"/>
                <w:spacing w:val="0"/>
                <w:position w:val="0"/>
                <w:sz w:val="21"/>
                <w:szCs w:val="21"/>
              </w:rPr>
            </w:pPr>
            <w:r>
              <w:rPr>
                <w:rFonts w:hint="eastAsia" w:ascii="宋体" w:hAnsi="宋体" w:eastAsia="宋体" w:cs="宋体"/>
                <w:b w:val="0"/>
                <w:bCs w:val="0"/>
                <w:color w:val="auto"/>
                <w:sz w:val="21"/>
                <w:szCs w:val="21"/>
                <w:lang w:val="en-US" w:eastAsia="zh-CN"/>
              </w:rPr>
              <w:t>3.每提供一辆</w:t>
            </w:r>
            <w:r>
              <w:rPr>
                <w:rFonts w:hint="eastAsia" w:ascii="宋体" w:hAnsi="宋体" w:eastAsia="宋体" w:cs="宋体"/>
                <w:b w:val="0"/>
                <w:bCs w:val="0"/>
                <w:color w:val="auto"/>
                <w:sz w:val="21"/>
                <w:szCs w:val="21"/>
              </w:rPr>
              <w:t>自重3吨以上的铲车</w:t>
            </w:r>
            <w:r>
              <w:rPr>
                <w:rFonts w:hint="eastAsia" w:ascii="宋体" w:hAnsi="宋体" w:eastAsia="宋体" w:cs="宋体"/>
                <w:b w:val="0"/>
                <w:bCs w:val="0"/>
                <w:color w:val="auto"/>
                <w:spacing w:val="0"/>
                <w:position w:val="0"/>
                <w:sz w:val="21"/>
                <w:szCs w:val="21"/>
              </w:rPr>
              <w:t>得</w:t>
            </w:r>
            <w:r>
              <w:rPr>
                <w:rFonts w:hint="eastAsia" w:ascii="宋体" w:hAnsi="宋体" w:eastAsia="宋体" w:cs="宋体"/>
                <w:b w:val="0"/>
                <w:bCs w:val="0"/>
                <w:color w:val="auto"/>
                <w:spacing w:val="0"/>
                <w:position w:val="0"/>
                <w:sz w:val="21"/>
                <w:szCs w:val="21"/>
                <w:lang w:val="en-US" w:eastAsia="zh-CN"/>
              </w:rPr>
              <w:t>3</w:t>
            </w:r>
            <w:r>
              <w:rPr>
                <w:rFonts w:hint="eastAsia" w:ascii="宋体" w:hAnsi="宋体" w:eastAsia="宋体" w:cs="宋体"/>
                <w:b w:val="0"/>
                <w:bCs w:val="0"/>
                <w:color w:val="auto"/>
                <w:spacing w:val="0"/>
                <w:position w:val="0"/>
                <w:sz w:val="21"/>
                <w:szCs w:val="21"/>
              </w:rPr>
              <w:t>分</w:t>
            </w:r>
            <w:r>
              <w:rPr>
                <w:rFonts w:hint="eastAsia" w:ascii="宋体" w:hAnsi="宋体" w:eastAsia="宋体" w:cs="宋体"/>
                <w:b w:val="0"/>
                <w:bCs w:val="0"/>
                <w:color w:val="auto"/>
                <w:spacing w:val="0"/>
                <w:position w:val="0"/>
                <w:sz w:val="21"/>
                <w:szCs w:val="21"/>
                <w:lang w:eastAsia="zh-CN"/>
              </w:rPr>
              <w:t>，</w:t>
            </w:r>
            <w:r>
              <w:rPr>
                <w:rFonts w:hint="eastAsia" w:ascii="宋体" w:hAnsi="宋体" w:eastAsia="宋体" w:cs="宋体"/>
                <w:b w:val="0"/>
                <w:bCs w:val="0"/>
                <w:color w:val="auto"/>
                <w:spacing w:val="0"/>
                <w:position w:val="0"/>
                <w:sz w:val="21"/>
                <w:szCs w:val="21"/>
                <w:lang w:val="en-US" w:eastAsia="zh-CN"/>
              </w:rPr>
              <w:t>最高得3分</w:t>
            </w:r>
          </w:p>
          <w:p w14:paraId="087FB1A9">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firstLine="0" w:firstLineChars="0"/>
              <w:jc w:val="left"/>
              <w:textAlignment w:val="center"/>
              <w:rPr>
                <w:rFonts w:hint="eastAsia" w:ascii="宋体" w:hAnsi="宋体" w:eastAsia="宋体" w:cs="宋体"/>
                <w:color w:val="auto"/>
                <w:spacing w:val="0"/>
                <w:position w:val="0"/>
                <w:sz w:val="21"/>
                <w:szCs w:val="21"/>
                <w:lang w:eastAsia="zh-CN"/>
              </w:rPr>
            </w:pPr>
            <w:r>
              <w:rPr>
                <w:rFonts w:hint="eastAsia" w:ascii="宋体" w:hAnsi="宋体" w:eastAsia="宋体" w:cs="宋体"/>
                <w:b w:val="0"/>
                <w:bCs w:val="0"/>
                <w:color w:val="auto"/>
                <w:spacing w:val="0"/>
                <w:position w:val="0"/>
                <w:sz w:val="21"/>
                <w:szCs w:val="21"/>
                <w:lang w:val="en-US" w:eastAsia="zh-CN"/>
              </w:rPr>
              <w:t>本项</w:t>
            </w:r>
            <w:r>
              <w:rPr>
                <w:rFonts w:hint="eastAsia" w:ascii="宋体" w:hAnsi="宋体" w:eastAsia="宋体" w:cs="宋体"/>
                <w:b w:val="0"/>
                <w:bCs w:val="0"/>
                <w:color w:val="auto"/>
                <w:spacing w:val="0"/>
                <w:position w:val="0"/>
                <w:sz w:val="21"/>
                <w:szCs w:val="21"/>
              </w:rPr>
              <w:t>最高得</w:t>
            </w:r>
            <w:r>
              <w:rPr>
                <w:rFonts w:hint="eastAsia" w:ascii="宋体" w:hAnsi="宋体" w:eastAsia="宋体" w:cs="宋体"/>
                <w:b w:val="0"/>
                <w:bCs w:val="0"/>
                <w:color w:val="auto"/>
                <w:spacing w:val="0"/>
                <w:position w:val="0"/>
                <w:sz w:val="21"/>
                <w:szCs w:val="21"/>
                <w:lang w:val="en-US" w:eastAsia="zh-CN"/>
              </w:rPr>
              <w:t>9</w:t>
            </w:r>
            <w:r>
              <w:rPr>
                <w:rFonts w:hint="eastAsia" w:ascii="宋体" w:hAnsi="宋体" w:eastAsia="宋体" w:cs="宋体"/>
                <w:b w:val="0"/>
                <w:bCs w:val="0"/>
                <w:color w:val="auto"/>
                <w:spacing w:val="0"/>
                <w:position w:val="0"/>
                <w:sz w:val="21"/>
                <w:szCs w:val="21"/>
              </w:rPr>
              <w:t>分；提供</w:t>
            </w:r>
            <w:r>
              <w:rPr>
                <w:rFonts w:hint="eastAsia" w:ascii="宋体" w:hAnsi="宋体" w:eastAsia="宋体" w:cs="宋体"/>
                <w:b w:val="0"/>
                <w:bCs w:val="0"/>
                <w:color w:val="auto"/>
                <w:spacing w:val="0"/>
                <w:position w:val="0"/>
                <w:sz w:val="21"/>
                <w:szCs w:val="21"/>
                <w:lang w:val="en-US" w:eastAsia="zh-CN"/>
              </w:rPr>
              <w:t>自有</w:t>
            </w:r>
            <w:r>
              <w:rPr>
                <w:rFonts w:hint="eastAsia" w:ascii="宋体" w:hAnsi="宋体" w:eastAsia="宋体" w:cs="宋体"/>
                <w:b w:val="0"/>
                <w:bCs w:val="0"/>
                <w:color w:val="auto"/>
                <w:spacing w:val="0"/>
                <w:position w:val="0"/>
                <w:sz w:val="21"/>
                <w:szCs w:val="21"/>
              </w:rPr>
              <w:t>车辆</w:t>
            </w:r>
            <w:r>
              <w:rPr>
                <w:rFonts w:hint="eastAsia" w:ascii="宋体" w:hAnsi="宋体" w:eastAsia="宋体" w:cs="宋体"/>
                <w:b w:val="0"/>
                <w:bCs w:val="0"/>
                <w:color w:val="auto"/>
                <w:spacing w:val="0"/>
                <w:position w:val="0"/>
                <w:sz w:val="21"/>
                <w:szCs w:val="21"/>
                <w:lang w:eastAsia="zh-CN"/>
              </w:rPr>
              <w:t>（</w:t>
            </w:r>
            <w:r>
              <w:rPr>
                <w:rFonts w:hint="eastAsia" w:ascii="宋体" w:hAnsi="宋体" w:eastAsia="宋体" w:cs="宋体"/>
                <w:b w:val="0"/>
                <w:bCs w:val="0"/>
                <w:color w:val="auto"/>
                <w:spacing w:val="0"/>
                <w:position w:val="0"/>
                <w:sz w:val="21"/>
                <w:szCs w:val="21"/>
                <w:lang w:val="en-US" w:eastAsia="zh-CN"/>
              </w:rPr>
              <w:t>车辆行驶证原件扫描件）或租赁车辆（车辆行驶证和租赁协议原件扫描件）证明资料</w:t>
            </w:r>
            <w:r>
              <w:rPr>
                <w:rFonts w:hint="eastAsia" w:ascii="宋体" w:hAnsi="宋体" w:eastAsia="宋体" w:cs="宋体"/>
                <w:b w:val="0"/>
                <w:bCs w:val="0"/>
                <w:color w:val="auto"/>
                <w:spacing w:val="0"/>
                <w:position w:val="0"/>
                <w:sz w:val="21"/>
                <w:szCs w:val="21"/>
              </w:rPr>
              <w:t>，不满足要求或未提供的不得分</w:t>
            </w:r>
            <w:r>
              <w:rPr>
                <w:rFonts w:hint="eastAsia" w:ascii="宋体" w:hAnsi="宋体" w:eastAsia="宋体" w:cs="宋体"/>
                <w:b w:val="0"/>
                <w:bCs w:val="0"/>
                <w:color w:val="auto"/>
                <w:spacing w:val="0"/>
                <w:position w:val="0"/>
                <w:sz w:val="21"/>
                <w:szCs w:val="21"/>
                <w:lang w:eastAsia="zh-CN"/>
              </w:rPr>
              <w:t>。</w:t>
            </w:r>
          </w:p>
        </w:tc>
      </w:tr>
      <w:tr w14:paraId="49DD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89" w:type="dxa"/>
            <w:vMerge w:val="continue"/>
            <w:noWrap w:val="0"/>
            <w:vAlign w:val="center"/>
          </w:tcPr>
          <w:p w14:paraId="7FF5AABD">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p>
        </w:tc>
        <w:tc>
          <w:tcPr>
            <w:tcW w:w="1057" w:type="dxa"/>
            <w:vMerge w:val="continue"/>
            <w:noWrap w:val="0"/>
            <w:vAlign w:val="center"/>
          </w:tcPr>
          <w:p w14:paraId="30A11D7C">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right="0" w:rightChars="0"/>
              <w:jc w:val="center"/>
              <w:textAlignment w:val="auto"/>
              <w:rPr>
                <w:rFonts w:hint="eastAsia" w:asciiTheme="minorEastAsia" w:hAnsiTheme="minorEastAsia" w:eastAsiaTheme="minorEastAsia" w:cstheme="minorEastAsia"/>
                <w:b/>
                <w:bCs/>
                <w:color w:val="auto"/>
                <w:sz w:val="21"/>
                <w:szCs w:val="21"/>
                <w:highlight w:val="none"/>
              </w:rPr>
            </w:pPr>
          </w:p>
        </w:tc>
        <w:tc>
          <w:tcPr>
            <w:tcW w:w="1537" w:type="dxa"/>
            <w:noWrap w:val="0"/>
            <w:vAlign w:val="center"/>
          </w:tcPr>
          <w:p w14:paraId="4B681E52">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firstLine="0" w:firstLineChars="0"/>
              <w:jc w:val="center"/>
              <w:textAlignment w:val="center"/>
              <w:rPr>
                <w:rFonts w:hint="eastAsia" w:ascii="宋体" w:hAnsi="宋体" w:eastAsia="宋体" w:cs="宋体"/>
                <w:color w:val="auto"/>
                <w:spacing w:val="0"/>
                <w:position w:val="0"/>
                <w:sz w:val="21"/>
                <w:szCs w:val="21"/>
                <w:lang w:val="en-US" w:eastAsia="zh-CN"/>
              </w:rPr>
            </w:pPr>
            <w:r>
              <w:rPr>
                <w:rFonts w:hint="eastAsia" w:ascii="宋体" w:hAnsi="宋体" w:eastAsia="宋体" w:cs="宋体"/>
                <w:color w:val="auto"/>
                <w:spacing w:val="0"/>
                <w:position w:val="0"/>
                <w:sz w:val="21"/>
                <w:szCs w:val="21"/>
                <w:lang w:val="en-US" w:eastAsia="zh-CN"/>
              </w:rPr>
              <w:t>人员配备</w:t>
            </w:r>
          </w:p>
          <w:p w14:paraId="2188EF46">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firstLine="0" w:firstLineChars="0"/>
              <w:jc w:val="center"/>
              <w:textAlignment w:val="center"/>
              <w:rPr>
                <w:rFonts w:hint="default" w:ascii="宋体" w:hAnsi="宋体" w:eastAsia="宋体" w:cs="宋体"/>
                <w:color w:val="auto"/>
                <w:spacing w:val="0"/>
                <w:position w:val="0"/>
                <w:sz w:val="21"/>
                <w:szCs w:val="21"/>
                <w:lang w:val="en-US" w:eastAsia="zh-CN"/>
              </w:rPr>
            </w:pPr>
            <w:r>
              <w:rPr>
                <w:rFonts w:hint="eastAsia" w:ascii="宋体" w:hAnsi="宋体" w:eastAsia="宋体" w:cs="宋体"/>
                <w:color w:val="auto"/>
                <w:spacing w:val="0"/>
                <w:position w:val="0"/>
                <w:sz w:val="21"/>
                <w:szCs w:val="21"/>
                <w:lang w:val="en-US" w:eastAsia="zh-CN"/>
              </w:rPr>
              <w:t>（6分）</w:t>
            </w:r>
          </w:p>
        </w:tc>
        <w:tc>
          <w:tcPr>
            <w:tcW w:w="6729" w:type="dxa"/>
            <w:gridSpan w:val="2"/>
            <w:noWrap w:val="0"/>
            <w:vAlign w:val="top"/>
          </w:tcPr>
          <w:p w14:paraId="675BA5CF">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firstLine="0" w:firstLineChars="0"/>
              <w:jc w:val="left"/>
              <w:textAlignment w:val="center"/>
              <w:rPr>
                <w:rFonts w:hint="eastAsia" w:ascii="宋体" w:hAnsi="宋体" w:eastAsia="宋体" w:cs="宋体"/>
                <w:color w:val="auto"/>
                <w:spacing w:val="0"/>
                <w:position w:val="0"/>
                <w:sz w:val="21"/>
                <w:szCs w:val="21"/>
                <w:lang w:val="en-US" w:eastAsia="zh-CN"/>
              </w:rPr>
            </w:pPr>
            <w:r>
              <w:rPr>
                <w:rFonts w:hint="eastAsia" w:ascii="宋体" w:hAnsi="宋体" w:eastAsia="宋体" w:cs="宋体"/>
                <w:color w:val="auto"/>
                <w:spacing w:val="0"/>
                <w:position w:val="0"/>
                <w:sz w:val="21"/>
                <w:szCs w:val="21"/>
                <w:lang w:val="en-US" w:eastAsia="zh-CN"/>
              </w:rPr>
              <w:t>每配备一名专业从事垃圾清运行业</w:t>
            </w:r>
            <w:r>
              <w:rPr>
                <w:rFonts w:hint="eastAsia" w:ascii="宋体" w:hAnsi="宋体" w:eastAsia="宋体" w:cs="宋体"/>
                <w:color w:val="auto"/>
                <w:spacing w:val="0"/>
                <w:position w:val="0"/>
                <w:sz w:val="21"/>
                <w:szCs w:val="21"/>
              </w:rPr>
              <w:t>专业技术员</w:t>
            </w:r>
            <w:r>
              <w:rPr>
                <w:rFonts w:hint="eastAsia" w:ascii="宋体" w:hAnsi="宋体" w:eastAsia="宋体" w:cs="宋体"/>
                <w:color w:val="auto"/>
                <w:spacing w:val="0"/>
                <w:position w:val="0"/>
                <w:sz w:val="21"/>
                <w:szCs w:val="21"/>
                <w:lang w:val="en-US" w:eastAsia="zh-CN"/>
              </w:rPr>
              <w:t>得3分，最高得6分。</w:t>
            </w:r>
          </w:p>
          <w:p w14:paraId="45C8E708">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firstLine="0" w:firstLineChars="0"/>
              <w:jc w:val="left"/>
              <w:textAlignment w:val="center"/>
              <w:rPr>
                <w:rFonts w:hint="eastAsia" w:ascii="宋体" w:hAnsi="宋体" w:eastAsia="宋体" w:cs="宋体"/>
                <w:color w:val="auto"/>
                <w:spacing w:val="0"/>
                <w:position w:val="0"/>
                <w:sz w:val="21"/>
                <w:szCs w:val="21"/>
                <w:lang w:val="en-US" w:eastAsia="zh-CN"/>
              </w:rPr>
            </w:pPr>
            <w:r>
              <w:rPr>
                <w:rFonts w:hint="eastAsia" w:ascii="宋体" w:hAnsi="宋体" w:eastAsia="宋体" w:cs="宋体"/>
                <w:color w:val="auto"/>
                <w:spacing w:val="0"/>
                <w:position w:val="0"/>
                <w:sz w:val="21"/>
                <w:szCs w:val="21"/>
                <w:lang w:val="en-US" w:eastAsia="zh-CN"/>
              </w:rPr>
              <w:t>提供劳动合同原件扫描件、近三个月（不含开标当月）本单位为其缴纳的社保证明文件，</w:t>
            </w:r>
            <w:r>
              <w:rPr>
                <w:rFonts w:hint="eastAsia" w:ascii="宋体" w:hAnsi="宋体" w:eastAsia="宋体" w:cs="宋体"/>
                <w:b w:val="0"/>
                <w:bCs w:val="0"/>
                <w:color w:val="auto"/>
                <w:spacing w:val="0"/>
                <w:position w:val="0"/>
                <w:sz w:val="21"/>
                <w:szCs w:val="21"/>
              </w:rPr>
              <w:t>不满足要求或未提供的不得分</w:t>
            </w:r>
            <w:r>
              <w:rPr>
                <w:rFonts w:hint="eastAsia" w:ascii="宋体" w:hAnsi="宋体" w:eastAsia="宋体" w:cs="宋体"/>
                <w:b w:val="0"/>
                <w:bCs w:val="0"/>
                <w:color w:val="auto"/>
                <w:spacing w:val="0"/>
                <w:position w:val="0"/>
                <w:sz w:val="21"/>
                <w:szCs w:val="21"/>
                <w:lang w:eastAsia="zh-CN"/>
              </w:rPr>
              <w:t>。</w:t>
            </w:r>
          </w:p>
        </w:tc>
      </w:tr>
      <w:tr w14:paraId="3D152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jc w:val="center"/>
        </w:trPr>
        <w:tc>
          <w:tcPr>
            <w:tcW w:w="889" w:type="dxa"/>
            <w:vMerge w:val="continue"/>
            <w:noWrap w:val="0"/>
            <w:vAlign w:val="center"/>
          </w:tcPr>
          <w:p w14:paraId="7CE0E19E">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right="0" w:rightChars="0"/>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p>
        </w:tc>
        <w:tc>
          <w:tcPr>
            <w:tcW w:w="1057" w:type="dxa"/>
            <w:vMerge w:val="continue"/>
            <w:noWrap w:val="0"/>
            <w:vAlign w:val="center"/>
          </w:tcPr>
          <w:p w14:paraId="6507F5CA">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right="0" w:rightChars="0"/>
              <w:jc w:val="center"/>
              <w:textAlignment w:val="auto"/>
              <w:rPr>
                <w:rFonts w:hint="eastAsia" w:asciiTheme="minorEastAsia" w:hAnsiTheme="minorEastAsia" w:eastAsiaTheme="minorEastAsia" w:cstheme="minorEastAsia"/>
                <w:color w:val="auto"/>
                <w:sz w:val="21"/>
                <w:szCs w:val="21"/>
                <w:highlight w:val="none"/>
              </w:rPr>
            </w:pPr>
          </w:p>
        </w:tc>
        <w:tc>
          <w:tcPr>
            <w:tcW w:w="1537" w:type="dxa"/>
            <w:noWrap w:val="0"/>
            <w:vAlign w:val="center"/>
          </w:tcPr>
          <w:p w14:paraId="73AE43DA">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firstLine="0" w:firstLineChars="0"/>
              <w:jc w:val="center"/>
              <w:textAlignment w:val="center"/>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安全承诺</w:t>
            </w:r>
          </w:p>
          <w:p w14:paraId="1C619CF1">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firstLine="0" w:firstLineChars="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0"/>
                <w:position w:val="0"/>
                <w:sz w:val="21"/>
                <w:szCs w:val="21"/>
              </w:rPr>
              <w:t>（</w:t>
            </w:r>
            <w:r>
              <w:rPr>
                <w:rFonts w:hint="eastAsia" w:ascii="宋体" w:hAnsi="宋体" w:eastAsia="宋体" w:cs="宋体"/>
                <w:color w:val="auto"/>
                <w:spacing w:val="0"/>
                <w:position w:val="0"/>
                <w:sz w:val="21"/>
                <w:szCs w:val="21"/>
                <w:lang w:val="en-US" w:eastAsia="zh-CN"/>
              </w:rPr>
              <w:t>4</w:t>
            </w:r>
            <w:r>
              <w:rPr>
                <w:rFonts w:hint="eastAsia" w:ascii="宋体" w:hAnsi="宋体" w:eastAsia="宋体" w:cs="宋体"/>
                <w:color w:val="auto"/>
                <w:spacing w:val="0"/>
                <w:position w:val="0"/>
                <w:sz w:val="21"/>
                <w:szCs w:val="21"/>
              </w:rPr>
              <w:t>分）</w:t>
            </w:r>
          </w:p>
        </w:tc>
        <w:tc>
          <w:tcPr>
            <w:tcW w:w="6729" w:type="dxa"/>
            <w:gridSpan w:val="2"/>
            <w:noWrap w:val="0"/>
            <w:vAlign w:val="center"/>
          </w:tcPr>
          <w:p w14:paraId="7D3E462B">
            <w:pPr>
              <w:pStyle w:val="2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firstLine="0"/>
              <w:jc w:val="left"/>
              <w:textAlignment w:val="center"/>
              <w:rPr>
                <w:rFonts w:hint="eastAsia" w:ascii="宋体" w:hAnsi="宋体" w:eastAsia="宋体" w:cs="宋体"/>
                <w:color w:val="auto"/>
                <w:sz w:val="21"/>
                <w:szCs w:val="21"/>
              </w:rPr>
            </w:pPr>
            <w:r>
              <w:rPr>
                <w:rFonts w:hint="eastAsia" w:ascii="宋体" w:hAnsi="宋体" w:eastAsia="宋体" w:cs="宋体"/>
                <w:b/>
                <w:bCs/>
                <w:color w:val="auto"/>
                <w:spacing w:val="0"/>
                <w:position w:val="0"/>
                <w:sz w:val="21"/>
                <w:szCs w:val="21"/>
              </w:rPr>
              <w:t>供应商应结合本项目要求（包括</w:t>
            </w:r>
            <w:r>
              <w:rPr>
                <w:rFonts w:hint="eastAsia" w:ascii="宋体" w:hAnsi="宋体" w:eastAsia="宋体" w:cs="宋体"/>
                <w:b/>
                <w:bCs/>
                <w:color w:val="auto"/>
                <w:spacing w:val="0"/>
                <w:position w:val="0"/>
                <w:sz w:val="21"/>
                <w:szCs w:val="21"/>
                <w:lang w:val="en-US" w:eastAsia="zh-CN"/>
              </w:rPr>
              <w:t>校内</w:t>
            </w:r>
            <w:r>
              <w:rPr>
                <w:rFonts w:hint="eastAsia" w:ascii="宋体" w:hAnsi="宋体" w:eastAsia="宋体" w:cs="宋体"/>
                <w:b/>
                <w:bCs/>
                <w:color w:val="auto"/>
                <w:spacing w:val="0"/>
                <w:position w:val="0"/>
                <w:sz w:val="21"/>
                <w:szCs w:val="21"/>
              </w:rPr>
              <w:t>及所经道路沿线），合理编写与本项目实施期间的安全承诺。</w:t>
            </w:r>
          </w:p>
          <w:p w14:paraId="310254F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jc w:val="left"/>
              <w:textAlignment w:val="center"/>
              <w:rPr>
                <w:rFonts w:hint="eastAsia" w:ascii="宋体" w:hAnsi="宋体" w:eastAsia="宋体" w:cs="宋体"/>
                <w:b w:val="0"/>
                <w:bCs w:val="0"/>
                <w:color w:val="auto"/>
                <w:kern w:val="0"/>
                <w:sz w:val="21"/>
                <w:szCs w:val="21"/>
                <w:lang w:val="en-US" w:eastAsia="zh-CN" w:bidi="ar"/>
              </w:rPr>
            </w:pPr>
            <w:r>
              <w:rPr>
                <w:rFonts w:hint="eastAsia" w:ascii="宋体" w:hAnsi="宋体" w:eastAsia="宋体" w:cs="宋体"/>
                <w:b w:val="0"/>
                <w:bCs w:val="0"/>
                <w:color w:val="auto"/>
                <w:kern w:val="0"/>
                <w:sz w:val="21"/>
                <w:szCs w:val="21"/>
                <w:lang w:val="en-US" w:eastAsia="zh-CN" w:bidi="ar"/>
              </w:rPr>
              <w:t>安全承诺，供应商承诺在项目实施过程中，加强现场及运输线路沿线安全防护、对员工进行安全培训，避免发生安全生产事故及道路安全事故，并承诺，如发生任何安全事故，由供应商承担一切责任和费用，采购人不承担连带责任。</w:t>
            </w:r>
          </w:p>
          <w:p w14:paraId="3AB0818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磋商小组根据供应商提供的安全承诺横向比较打分：优得4分，良得2分，一般得1分，差得0.5分，无此项内容不得分。</w:t>
            </w:r>
          </w:p>
        </w:tc>
      </w:tr>
      <w:tr w14:paraId="21DCD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89" w:type="dxa"/>
            <w:vMerge w:val="continue"/>
            <w:noWrap w:val="0"/>
            <w:vAlign w:val="center"/>
          </w:tcPr>
          <w:p w14:paraId="340F8E8A">
            <w:pPr>
              <w:keepNext w:val="0"/>
              <w:keepLines w:val="0"/>
              <w:pageBreakBefore w:val="0"/>
              <w:widowControl w:val="0"/>
              <w:kinsoku/>
              <w:wordWrap/>
              <w:overflowPunct/>
              <w:topLinePunct w:val="0"/>
              <w:bidi w:val="0"/>
              <w:adjustRightInd/>
              <w:snapToGrid/>
              <w:spacing w:line="400" w:lineRule="exact"/>
              <w:ind w:left="0" w:leftChars="0" w:right="0" w:rightChars="0"/>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bookmarkStart w:id="875" w:name="_Toc25104"/>
            <w:bookmarkStart w:id="876" w:name="_Toc21918"/>
          </w:p>
        </w:tc>
        <w:tc>
          <w:tcPr>
            <w:tcW w:w="1057" w:type="dxa"/>
            <w:vMerge w:val="continue"/>
            <w:noWrap w:val="0"/>
            <w:vAlign w:val="center"/>
          </w:tcPr>
          <w:p w14:paraId="4D132014">
            <w:pPr>
              <w:keepNext w:val="0"/>
              <w:keepLines w:val="0"/>
              <w:pageBreakBefore w:val="0"/>
              <w:widowControl w:val="0"/>
              <w:kinsoku/>
              <w:wordWrap/>
              <w:overflowPunct/>
              <w:topLinePunct w:val="0"/>
              <w:bidi w:val="0"/>
              <w:adjustRightInd/>
              <w:snapToGrid/>
              <w:spacing w:line="400" w:lineRule="exact"/>
              <w:ind w:left="0" w:leftChars="0" w:right="0" w:rightChars="0"/>
              <w:jc w:val="center"/>
              <w:textAlignment w:val="auto"/>
              <w:rPr>
                <w:rFonts w:hint="eastAsia" w:asciiTheme="minorEastAsia" w:hAnsiTheme="minorEastAsia" w:eastAsiaTheme="minorEastAsia" w:cstheme="minorEastAsia"/>
                <w:color w:val="auto"/>
                <w:sz w:val="21"/>
                <w:szCs w:val="21"/>
                <w:highlight w:val="none"/>
              </w:rPr>
            </w:pPr>
          </w:p>
        </w:tc>
        <w:tc>
          <w:tcPr>
            <w:tcW w:w="1537" w:type="dxa"/>
            <w:noWrap w:val="0"/>
            <w:vAlign w:val="center"/>
          </w:tcPr>
          <w:p w14:paraId="5BBC8A3D">
            <w:pPr>
              <w:keepNext w:val="0"/>
              <w:keepLines w:val="0"/>
              <w:pageBreakBefore w:val="0"/>
              <w:widowControl w:val="0"/>
              <w:numPr>
                <w:ilvl w:val="0"/>
                <w:numId w:val="0"/>
              </w:numPr>
              <w:kinsoku/>
              <w:wordWrap/>
              <w:overflowPunct/>
              <w:topLinePunct w:val="0"/>
              <w:bidi w:val="0"/>
              <w:adjustRightInd/>
              <w:snapToGrid/>
              <w:spacing w:line="360" w:lineRule="exact"/>
              <w:ind w:left="0" w:leftChars="0" w:right="0" w:rightChars="0" w:firstLine="0" w:firstLineChars="0"/>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优惠承诺</w:t>
            </w:r>
          </w:p>
          <w:p w14:paraId="36B66CBB">
            <w:pPr>
              <w:keepNext w:val="0"/>
              <w:keepLines w:val="0"/>
              <w:pageBreakBefore w:val="0"/>
              <w:widowControl w:val="0"/>
              <w:numPr>
                <w:ilvl w:val="0"/>
                <w:numId w:val="0"/>
              </w:numPr>
              <w:kinsoku/>
              <w:wordWrap/>
              <w:overflowPunct/>
              <w:topLinePunct w:val="0"/>
              <w:bidi w:val="0"/>
              <w:adjustRightInd/>
              <w:snapToGrid/>
              <w:spacing w:line="360" w:lineRule="exact"/>
              <w:ind w:left="0" w:leftChars="0" w:right="0" w:rightChars="0" w:firstLine="0" w:firstLineChars="0"/>
              <w:jc w:val="center"/>
              <w:textAlignment w:val="auto"/>
              <w:rPr>
                <w:rFonts w:hint="eastAsia" w:ascii="宋体" w:hAnsi="宋体" w:eastAsia="宋体" w:cs="宋体"/>
                <w:color w:val="auto"/>
                <w:spacing w:val="0"/>
                <w:position w:val="0"/>
                <w:sz w:val="21"/>
                <w:szCs w:val="21"/>
              </w:rPr>
            </w:pPr>
            <w:r>
              <w:rPr>
                <w:rFonts w:hint="eastAsia" w:asciiTheme="minorEastAsia" w:hAnsiTheme="minorEastAsia" w:eastAsiaTheme="minorEastAsia" w:cstheme="minorEastAsia"/>
                <w:color w:val="auto"/>
                <w:sz w:val="21"/>
                <w:szCs w:val="21"/>
                <w:highlight w:val="none"/>
                <w:lang w:val="en-US" w:eastAsia="zh-CN"/>
              </w:rPr>
              <w:t>（4分）</w:t>
            </w:r>
          </w:p>
        </w:tc>
        <w:tc>
          <w:tcPr>
            <w:tcW w:w="6729" w:type="dxa"/>
            <w:gridSpan w:val="2"/>
            <w:noWrap w:val="0"/>
            <w:vAlign w:val="center"/>
          </w:tcPr>
          <w:p w14:paraId="4B106209">
            <w:pPr>
              <w:keepNext w:val="0"/>
              <w:keepLines w:val="0"/>
              <w:pageBreakBefore w:val="0"/>
              <w:widowControl w:val="0"/>
              <w:kinsoku/>
              <w:overflowPunct/>
              <w:autoSpaceDE/>
              <w:autoSpaceDN/>
              <w:bidi w:val="0"/>
              <w:adjustRightInd/>
              <w:snapToGrid/>
              <w:spacing w:line="360" w:lineRule="auto"/>
              <w:jc w:val="left"/>
              <w:textAlignment w:val="auto"/>
              <w:rPr>
                <w:rFonts w:hint="eastAsia" w:ascii="宋体" w:hAnsi="宋体" w:eastAsia="宋体" w:cs="宋体"/>
                <w:b w:val="0"/>
                <w:bCs w:val="0"/>
                <w:color w:val="auto"/>
                <w:kern w:val="0"/>
                <w:sz w:val="21"/>
                <w:szCs w:val="21"/>
                <w:lang w:val="en-US" w:eastAsia="zh-CN" w:bidi="ar"/>
              </w:rPr>
            </w:pPr>
            <w:r>
              <w:rPr>
                <w:rFonts w:hint="eastAsia" w:asciiTheme="minorEastAsia" w:hAnsiTheme="minorEastAsia" w:eastAsiaTheme="minorEastAsia" w:cstheme="minorEastAsia"/>
                <w:color w:val="auto"/>
                <w:sz w:val="21"/>
                <w:szCs w:val="21"/>
                <w:highlight w:val="none"/>
                <w:lang w:val="en-US" w:eastAsia="zh-CN"/>
              </w:rPr>
              <w:t>磋商小组根据供应商提供的书面优惠承诺符合项目实际、确保依法依规，优惠合理，详实可行等情况横向比较打分：优得4分，良得2分，一般得1分，差得0.5分，无此项内容不得分。</w:t>
            </w:r>
          </w:p>
        </w:tc>
      </w:tr>
      <w:bookmarkEnd w:id="869"/>
      <w:bookmarkEnd w:id="870"/>
      <w:bookmarkEnd w:id="871"/>
      <w:bookmarkEnd w:id="872"/>
      <w:bookmarkEnd w:id="873"/>
      <w:bookmarkEnd w:id="874"/>
    </w:tbl>
    <w:p w14:paraId="0A8E73B2">
      <w:pPr>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b/>
          <w:bCs/>
          <w:color w:val="auto"/>
          <w:sz w:val="21"/>
          <w:szCs w:val="21"/>
          <w:highlight w:val="none"/>
        </w:rPr>
        <w:sectPr>
          <w:footerReference r:id="rId6" w:type="default"/>
          <w:pgSz w:w="11906" w:h="16839"/>
          <w:pgMar w:top="1431" w:right="1785" w:bottom="1156" w:left="1785" w:header="0" w:footer="994" w:gutter="0"/>
          <w:pgNumType w:fmt="decimal"/>
          <w:cols w:space="720" w:num="1"/>
        </w:sectPr>
      </w:pPr>
    </w:p>
    <w:p w14:paraId="2190153C">
      <w:pPr>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1.评审方法</w:t>
      </w:r>
      <w:bookmarkEnd w:id="875"/>
      <w:bookmarkEnd w:id="876"/>
    </w:p>
    <w:p w14:paraId="583D0893">
      <w:pPr>
        <w:pageBreakBefore w:val="0"/>
        <w:widowControl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lang w:bidi="en-US"/>
        </w:rPr>
        <w:t>本次评审采用综合评分法。磋商小组对满足磋商文件实质性要求的响应文件</w:t>
      </w:r>
      <w:r>
        <w:rPr>
          <w:rFonts w:hint="eastAsia" w:asciiTheme="minorEastAsia" w:hAnsiTheme="minorEastAsia" w:eastAsiaTheme="minorEastAsia" w:cstheme="minorEastAsia"/>
          <w:color w:val="auto"/>
          <w:sz w:val="21"/>
          <w:szCs w:val="21"/>
          <w:highlight w:val="none"/>
        </w:rPr>
        <w:t>，按照本章规定的评分标准进行打分，并按得分由高到低顺序推荐成交候选人，</w:t>
      </w:r>
      <w:r>
        <w:rPr>
          <w:rFonts w:hint="eastAsia" w:asciiTheme="minorEastAsia" w:hAnsiTheme="minorEastAsia" w:eastAsiaTheme="minorEastAsia" w:cstheme="minorEastAsia"/>
          <w:color w:val="auto"/>
          <w:kern w:val="0"/>
          <w:sz w:val="21"/>
          <w:szCs w:val="21"/>
          <w:highlight w:val="none"/>
        </w:rPr>
        <w:t>综合评分相等时，以报价得分高的优先；报价得分也相等的，由采购人自行确定。</w:t>
      </w:r>
      <w:bookmarkStart w:id="877" w:name="_Toc490667876"/>
      <w:bookmarkStart w:id="878" w:name="_Toc29362"/>
      <w:bookmarkStart w:id="879" w:name="_Toc281405529"/>
      <w:bookmarkStart w:id="880" w:name="_Toc152045601"/>
      <w:bookmarkStart w:id="881" w:name="_Toc24936"/>
      <w:bookmarkStart w:id="882" w:name="_Toc318450723"/>
      <w:bookmarkStart w:id="883" w:name="_Toc144974568"/>
      <w:bookmarkStart w:id="884" w:name="_Toc6612"/>
      <w:bookmarkStart w:id="885" w:name="_Toc455867817"/>
      <w:bookmarkStart w:id="886" w:name="_Toc5703"/>
      <w:bookmarkStart w:id="887" w:name="_Toc455080157"/>
      <w:bookmarkStart w:id="888" w:name="_Toc466298140"/>
      <w:bookmarkStart w:id="889" w:name="_Toc152042378"/>
      <w:bookmarkStart w:id="890" w:name="_Toc20837"/>
      <w:bookmarkStart w:id="891" w:name="_Toc26131"/>
    </w:p>
    <w:p w14:paraId="74483F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2.</w:t>
      </w:r>
      <w:r>
        <w:rPr>
          <w:rFonts w:hint="eastAsia" w:asciiTheme="minorEastAsia" w:hAnsiTheme="minorEastAsia" w:eastAsiaTheme="minorEastAsia" w:cstheme="minorEastAsia"/>
          <w:b/>
          <w:bCs/>
          <w:color w:val="auto"/>
          <w:sz w:val="21"/>
          <w:szCs w:val="21"/>
          <w:highlight w:val="none"/>
        </w:rPr>
        <w:t>评审标准</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Start w:id="892" w:name="_Toc144974569"/>
      <w:bookmarkStart w:id="893" w:name="_Toc19934"/>
      <w:bookmarkStart w:id="894" w:name="_Toc318450724"/>
      <w:bookmarkStart w:id="895" w:name="_Toc25637"/>
      <w:bookmarkStart w:id="896" w:name="_Toc152045602"/>
      <w:bookmarkStart w:id="897" w:name="_Toc281405530"/>
      <w:bookmarkStart w:id="898" w:name="_Toc15813"/>
      <w:bookmarkStart w:id="899" w:name="_Toc24558"/>
      <w:bookmarkStart w:id="900" w:name="_Toc21120"/>
      <w:bookmarkStart w:id="901" w:name="_Toc455867818"/>
      <w:bookmarkStart w:id="902" w:name="_Toc455080158"/>
      <w:bookmarkStart w:id="903" w:name="_Toc6711"/>
      <w:bookmarkStart w:id="904" w:name="_Toc490667877"/>
      <w:bookmarkStart w:id="905" w:name="_Toc11223"/>
      <w:bookmarkStart w:id="906" w:name="_Toc152042379"/>
      <w:bookmarkStart w:id="907" w:name="_Toc2867"/>
      <w:bookmarkStart w:id="908" w:name="_Toc31037"/>
      <w:bookmarkStart w:id="909" w:name="_Toc466298141"/>
    </w:p>
    <w:p w14:paraId="1EFE1077">
      <w:pPr>
        <w:pageBreakBefore w:val="0"/>
        <w:widowControl w:val="0"/>
        <w:numPr>
          <w:ilvl w:val="0"/>
          <w:numId w:val="0"/>
        </w:numPr>
        <w:kinsoku/>
        <w:wordWrap/>
        <w:overflowPunct/>
        <w:topLinePunct w:val="0"/>
        <w:autoSpaceDE/>
        <w:autoSpaceDN/>
        <w:bidi w:val="0"/>
        <w:spacing w:line="360" w:lineRule="auto"/>
        <w:ind w:firstLine="422"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2.1初步评审标准</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p w14:paraId="4958409E">
      <w:pPr>
        <w:pageBreakBefore w:val="0"/>
        <w:widowControl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2.1.1</w:t>
      </w:r>
      <w:r>
        <w:rPr>
          <w:rFonts w:hint="eastAsia" w:asciiTheme="minorEastAsia" w:hAnsiTheme="minorEastAsia" w:eastAsiaTheme="minorEastAsia" w:cstheme="minorEastAsia"/>
          <w:color w:val="auto"/>
          <w:sz w:val="21"/>
          <w:szCs w:val="21"/>
          <w:highlight w:val="none"/>
          <w:lang w:eastAsia="zh-CN"/>
        </w:rPr>
        <w:t>资格</w:t>
      </w:r>
      <w:r>
        <w:rPr>
          <w:rFonts w:hint="eastAsia" w:asciiTheme="minorEastAsia" w:hAnsiTheme="minorEastAsia" w:eastAsiaTheme="minorEastAsia" w:cstheme="minorEastAsia"/>
          <w:color w:val="auto"/>
          <w:sz w:val="21"/>
          <w:szCs w:val="21"/>
          <w:highlight w:val="none"/>
        </w:rPr>
        <w:t>评审标准：见评审办法前附表。</w:t>
      </w:r>
    </w:p>
    <w:p w14:paraId="4F2983F5">
      <w:pPr>
        <w:pageBreakBefore w:val="0"/>
        <w:widowControl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2.1.2</w:t>
      </w:r>
      <w:r>
        <w:rPr>
          <w:rFonts w:hint="eastAsia" w:asciiTheme="minorEastAsia" w:hAnsiTheme="minorEastAsia" w:eastAsiaTheme="minorEastAsia" w:cstheme="minorEastAsia"/>
          <w:color w:val="auto"/>
          <w:sz w:val="21"/>
          <w:szCs w:val="21"/>
          <w:highlight w:val="none"/>
          <w:lang w:eastAsia="zh-CN"/>
        </w:rPr>
        <w:t>符合性</w:t>
      </w:r>
      <w:r>
        <w:rPr>
          <w:rFonts w:hint="eastAsia" w:asciiTheme="minorEastAsia" w:hAnsiTheme="minorEastAsia" w:eastAsiaTheme="minorEastAsia" w:cstheme="minorEastAsia"/>
          <w:color w:val="auto"/>
          <w:sz w:val="21"/>
          <w:szCs w:val="21"/>
          <w:highlight w:val="none"/>
        </w:rPr>
        <w:t>评审标准：见评审办法前附表。</w:t>
      </w:r>
    </w:p>
    <w:p w14:paraId="17E08002">
      <w:pPr>
        <w:pageBreakBefore w:val="0"/>
        <w:widowControl w:val="0"/>
        <w:numPr>
          <w:ilvl w:val="0"/>
          <w:numId w:val="0"/>
        </w:numPr>
        <w:kinsoku/>
        <w:wordWrap/>
        <w:overflowPunct/>
        <w:topLinePunct w:val="0"/>
        <w:autoSpaceDE/>
        <w:autoSpaceDN/>
        <w:bidi w:val="0"/>
        <w:spacing w:line="360" w:lineRule="auto"/>
        <w:ind w:firstLine="422" w:firstLineChars="200"/>
        <w:textAlignment w:val="auto"/>
        <w:rPr>
          <w:rFonts w:hint="eastAsia" w:asciiTheme="minorEastAsia" w:hAnsiTheme="minorEastAsia" w:eastAsiaTheme="minorEastAsia" w:cstheme="minorEastAsia"/>
          <w:b/>
          <w:bCs/>
          <w:color w:val="auto"/>
          <w:sz w:val="21"/>
          <w:szCs w:val="21"/>
          <w:highlight w:val="none"/>
        </w:rPr>
      </w:pPr>
      <w:bookmarkStart w:id="910" w:name="_Toc17019"/>
      <w:bookmarkStart w:id="911" w:name="_Toc30189"/>
      <w:bookmarkStart w:id="912" w:name="_Toc13412"/>
      <w:bookmarkStart w:id="913" w:name="_Toc26179"/>
      <w:bookmarkStart w:id="914" w:name="_Toc152042380"/>
      <w:bookmarkStart w:id="915" w:name="_Toc7284"/>
      <w:bookmarkStart w:id="916" w:name="_Toc21970"/>
      <w:bookmarkStart w:id="917" w:name="_Toc281405531"/>
      <w:bookmarkStart w:id="918" w:name="_Toc318450725"/>
      <w:bookmarkStart w:id="919" w:name="_Toc455867819"/>
      <w:bookmarkStart w:id="920" w:name="_Toc152045603"/>
      <w:bookmarkStart w:id="921" w:name="_Toc144974570"/>
      <w:bookmarkStart w:id="922" w:name="_Toc12013"/>
      <w:bookmarkStart w:id="923" w:name="_Toc455080159"/>
      <w:bookmarkStart w:id="924" w:name="_Toc22439"/>
      <w:bookmarkStart w:id="925" w:name="_Toc5184"/>
      <w:bookmarkStart w:id="926" w:name="_Toc466298142"/>
      <w:bookmarkStart w:id="927" w:name="_Toc490667878"/>
      <w:bookmarkStart w:id="928" w:name="_Toc11061"/>
      <w:bookmarkStart w:id="929" w:name="_Toc25492"/>
      <w:bookmarkStart w:id="930" w:name="_Toc24825"/>
      <w:bookmarkStart w:id="931" w:name="_Toc466298143"/>
      <w:bookmarkStart w:id="932" w:name="_Toc455867820"/>
      <w:bookmarkStart w:id="933" w:name="_Toc318450726"/>
      <w:bookmarkStart w:id="934" w:name="_Toc490667879"/>
      <w:bookmarkStart w:id="935" w:name="_Toc16479"/>
      <w:bookmarkStart w:id="936" w:name="_Toc32314"/>
      <w:bookmarkStart w:id="937" w:name="_Toc18127"/>
      <w:bookmarkStart w:id="938" w:name="_Toc281405532"/>
      <w:bookmarkStart w:id="939" w:name="_Toc455080160"/>
      <w:bookmarkStart w:id="940" w:name="_Toc17308"/>
      <w:bookmarkStart w:id="941" w:name="_Toc29297"/>
      <w:r>
        <w:rPr>
          <w:rFonts w:hint="eastAsia" w:asciiTheme="minorEastAsia" w:hAnsiTheme="minorEastAsia" w:eastAsiaTheme="minorEastAsia" w:cstheme="minorEastAsia"/>
          <w:b/>
          <w:bCs/>
          <w:color w:val="auto"/>
          <w:sz w:val="21"/>
          <w:szCs w:val="21"/>
          <w:highlight w:val="none"/>
        </w:rPr>
        <w:t>2.2分值构成与评分标准</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p>
    <w:p w14:paraId="39487CD4">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2.2.1分值构成</w:t>
      </w:r>
    </w:p>
    <w:p w14:paraId="44AE9909">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（1）商务标：见评标办法前附表；</w:t>
      </w:r>
    </w:p>
    <w:p w14:paraId="4A01A906">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（2）技术标：见评标办法前附表；</w:t>
      </w:r>
    </w:p>
    <w:p w14:paraId="51378D89">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eastAsia="zh-CN"/>
        </w:rPr>
        <w:t>综合</w:t>
      </w:r>
      <w:r>
        <w:rPr>
          <w:rFonts w:hint="eastAsia" w:asciiTheme="minorEastAsia" w:hAnsiTheme="minorEastAsia" w:eastAsiaTheme="minorEastAsia" w:cstheme="minorEastAsia"/>
          <w:color w:val="auto"/>
          <w:sz w:val="21"/>
          <w:szCs w:val="21"/>
          <w:highlight w:val="none"/>
        </w:rPr>
        <w:t>标：见评标办法前附表</w:t>
      </w:r>
      <w:r>
        <w:rPr>
          <w:rFonts w:hint="eastAsia" w:asciiTheme="minorEastAsia" w:hAnsiTheme="minorEastAsia" w:eastAsiaTheme="minorEastAsia" w:cstheme="minorEastAsia"/>
          <w:color w:val="auto"/>
          <w:sz w:val="21"/>
          <w:szCs w:val="21"/>
          <w:highlight w:val="none"/>
          <w:lang w:eastAsia="zh-CN"/>
        </w:rPr>
        <w:t>。</w:t>
      </w:r>
    </w:p>
    <w:p w14:paraId="2664F158">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评分标准</w:t>
      </w:r>
    </w:p>
    <w:p w14:paraId="2CE24899">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.1商务标评分标准：见评标办法前附表；</w:t>
      </w:r>
    </w:p>
    <w:p w14:paraId="1AC3ACFC">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2.2</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.2技术标评分标准：见评标办法前附表</w:t>
      </w:r>
      <w:r>
        <w:rPr>
          <w:rFonts w:hint="eastAsia" w:asciiTheme="minorEastAsia" w:hAnsiTheme="minorEastAsia" w:eastAsiaTheme="minorEastAsia" w:cstheme="minorEastAsia"/>
          <w:color w:val="auto"/>
          <w:sz w:val="21"/>
          <w:szCs w:val="21"/>
          <w:highlight w:val="none"/>
          <w:lang w:eastAsia="zh-CN"/>
        </w:rPr>
        <w:t>；</w:t>
      </w:r>
    </w:p>
    <w:p w14:paraId="34DA92AC">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2.2.</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CN"/>
        </w:rPr>
        <w:t>综合</w:t>
      </w:r>
      <w:r>
        <w:rPr>
          <w:rFonts w:hint="eastAsia" w:asciiTheme="minorEastAsia" w:hAnsiTheme="minorEastAsia" w:eastAsiaTheme="minorEastAsia" w:cstheme="minorEastAsia"/>
          <w:color w:val="auto"/>
          <w:sz w:val="21"/>
          <w:szCs w:val="21"/>
          <w:highlight w:val="none"/>
        </w:rPr>
        <w:t>标评分标准：见评标办法前附表</w:t>
      </w:r>
      <w:r>
        <w:rPr>
          <w:rFonts w:hint="eastAsia" w:asciiTheme="minorEastAsia" w:hAnsiTheme="minorEastAsia" w:eastAsiaTheme="minorEastAsia" w:cstheme="minorEastAsia"/>
          <w:color w:val="auto"/>
          <w:sz w:val="21"/>
          <w:szCs w:val="21"/>
          <w:highlight w:val="none"/>
          <w:lang w:eastAsia="zh-CN"/>
        </w:rPr>
        <w:t>。</w:t>
      </w:r>
    </w:p>
    <w:p w14:paraId="4ADFB2B4">
      <w:pPr>
        <w:pStyle w:val="48"/>
        <w:keepNext/>
        <w:keepLines/>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0" w:firstLineChars="0"/>
        <w:jc w:val="both"/>
        <w:textAlignment w:val="auto"/>
        <w:outlineLvl w:val="9"/>
        <w:rPr>
          <w:rFonts w:hint="eastAsia" w:asciiTheme="minorEastAsia" w:hAnsiTheme="minorEastAsia" w:eastAsiaTheme="minorEastAsia" w:cstheme="minorEastAsia"/>
          <w:b/>
          <w:bCs/>
          <w:color w:val="auto"/>
          <w:sz w:val="21"/>
          <w:szCs w:val="21"/>
          <w:highlight w:val="none"/>
          <w:lang w:val="en-US" w:eastAsia="zh-CN"/>
        </w:rPr>
      </w:pPr>
      <w:bookmarkStart w:id="942" w:name="_Toc25451"/>
      <w:bookmarkStart w:id="943" w:name="_Toc7879"/>
      <w:r>
        <w:rPr>
          <w:rFonts w:hint="eastAsia" w:asciiTheme="minorEastAsia" w:hAnsiTheme="minorEastAsia" w:eastAsiaTheme="minorEastAsia" w:cstheme="minorEastAsia"/>
          <w:b/>
          <w:bCs/>
          <w:color w:val="auto"/>
          <w:sz w:val="21"/>
          <w:szCs w:val="21"/>
          <w:highlight w:val="none"/>
          <w:lang w:val="en-US" w:eastAsia="zh-CN"/>
        </w:rPr>
        <w:t>3.评审程序</w:t>
      </w:r>
      <w:bookmarkEnd w:id="931"/>
      <w:bookmarkEnd w:id="932"/>
      <w:bookmarkEnd w:id="933"/>
      <w:bookmarkEnd w:id="934"/>
      <w:bookmarkEnd w:id="935"/>
      <w:bookmarkEnd w:id="936"/>
      <w:bookmarkEnd w:id="937"/>
      <w:bookmarkEnd w:id="938"/>
      <w:bookmarkEnd w:id="939"/>
      <w:bookmarkEnd w:id="940"/>
      <w:bookmarkEnd w:id="941"/>
      <w:bookmarkEnd w:id="942"/>
      <w:bookmarkEnd w:id="943"/>
    </w:p>
    <w:p w14:paraId="56039170">
      <w:pPr>
        <w:pageBreakBefore w:val="0"/>
        <w:widowControl w:val="0"/>
        <w:numPr>
          <w:ilvl w:val="0"/>
          <w:numId w:val="0"/>
        </w:numPr>
        <w:kinsoku/>
        <w:wordWrap/>
        <w:overflowPunct/>
        <w:topLinePunct w:val="0"/>
        <w:autoSpaceDE/>
        <w:autoSpaceDN/>
        <w:bidi w:val="0"/>
        <w:spacing w:line="360" w:lineRule="auto"/>
        <w:ind w:firstLine="422" w:firstLineChars="200"/>
        <w:textAlignment w:val="auto"/>
        <w:rPr>
          <w:rFonts w:hint="eastAsia" w:asciiTheme="minorEastAsia" w:hAnsiTheme="minorEastAsia" w:eastAsiaTheme="minorEastAsia" w:cstheme="minorEastAsia"/>
          <w:b/>
          <w:bCs/>
          <w:color w:val="auto"/>
          <w:sz w:val="21"/>
          <w:szCs w:val="21"/>
          <w:highlight w:val="none"/>
        </w:rPr>
      </w:pPr>
      <w:bookmarkStart w:id="944" w:name="_Toc7272"/>
      <w:bookmarkStart w:id="945" w:name="_Toc14633"/>
      <w:bookmarkStart w:id="946" w:name="_Toc455867821"/>
      <w:bookmarkStart w:id="947" w:name="_Toc5427"/>
      <w:bookmarkStart w:id="948" w:name="_Toc32043"/>
      <w:bookmarkStart w:id="949" w:name="_Toc9433"/>
      <w:bookmarkStart w:id="950" w:name="_Toc18886"/>
      <w:bookmarkStart w:id="951" w:name="_Toc2410"/>
      <w:bookmarkStart w:id="952" w:name="_Toc466298144"/>
      <w:bookmarkStart w:id="953" w:name="_Toc490667880"/>
      <w:bookmarkStart w:id="954" w:name="_Toc20248"/>
      <w:bookmarkStart w:id="955" w:name="_Toc29092"/>
      <w:bookmarkStart w:id="956" w:name="_Toc29614"/>
      <w:bookmarkStart w:id="957" w:name="_Toc455080161"/>
      <w:bookmarkStart w:id="958" w:name="_Toc16892"/>
      <w:bookmarkStart w:id="959" w:name="_Toc281405533"/>
      <w:bookmarkStart w:id="960" w:name="_Toc318450727"/>
      <w:bookmarkStart w:id="961" w:name="_Toc29916"/>
      <w:bookmarkStart w:id="962" w:name="_Toc30986"/>
      <w:r>
        <w:rPr>
          <w:rFonts w:hint="eastAsia" w:asciiTheme="minorEastAsia" w:hAnsiTheme="minorEastAsia" w:eastAsiaTheme="minorEastAsia" w:cstheme="minorEastAsia"/>
          <w:b/>
          <w:bCs/>
          <w:color w:val="auto"/>
          <w:sz w:val="21"/>
          <w:szCs w:val="21"/>
          <w:highlight w:val="none"/>
        </w:rPr>
        <w:t>3.1初步评审</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p>
    <w:p w14:paraId="4D5F54C8">
      <w:pPr>
        <w:pageBreakBefore w:val="0"/>
        <w:widowControl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3.1.1磋商小组依据本章第2.1款规定的标准对响应文件进行初步评审。有一项不符合评审标准的，作废标处理。</w:t>
      </w:r>
    </w:p>
    <w:p w14:paraId="3BC3BECC">
      <w:pPr>
        <w:pageBreakBefore w:val="0"/>
        <w:widowControl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3.1.2供应商有以下情形之一的，其响应文件作无效处理：</w:t>
      </w:r>
    </w:p>
    <w:p w14:paraId="529BD108">
      <w:pPr>
        <w:pageBreakBefore w:val="0"/>
        <w:widowControl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（1）串通或弄虚作假或有其他违法行为的；</w:t>
      </w:r>
    </w:p>
    <w:p w14:paraId="7C12339F">
      <w:pPr>
        <w:pageBreakBefore w:val="0"/>
        <w:widowControl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（2）不按磋商小组要求澄清、说明或补正的；</w:t>
      </w:r>
    </w:p>
    <w:p w14:paraId="26E38781">
      <w:pPr>
        <w:pageBreakBefore w:val="0"/>
        <w:widowControl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（3）未按规定格式填写、内容不全或关键字迹模糊、无法辨认的；</w:t>
      </w:r>
    </w:p>
    <w:p w14:paraId="7955953A">
      <w:pPr>
        <w:pageBreakBefore w:val="0"/>
        <w:widowControl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（4）响应文件附有采购人不能接受的条件；</w:t>
      </w:r>
    </w:p>
    <w:p w14:paraId="510AF50C">
      <w:pPr>
        <w:pageBreakBefore w:val="0"/>
        <w:widowControl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（5）不符合磋商文件规定的其他实质性要求。</w:t>
      </w:r>
    </w:p>
    <w:p w14:paraId="35097D94">
      <w:pPr>
        <w:pageBreakBefore w:val="0"/>
        <w:widowControl w:val="0"/>
        <w:numPr>
          <w:ilvl w:val="0"/>
          <w:numId w:val="0"/>
        </w:numPr>
        <w:kinsoku/>
        <w:wordWrap/>
        <w:overflowPunct/>
        <w:topLinePunct w:val="0"/>
        <w:autoSpaceDE/>
        <w:autoSpaceDN/>
        <w:bidi w:val="0"/>
        <w:spacing w:line="360" w:lineRule="auto"/>
        <w:ind w:firstLine="422" w:firstLineChars="200"/>
        <w:textAlignment w:val="auto"/>
        <w:rPr>
          <w:rFonts w:hint="eastAsia" w:asciiTheme="minorEastAsia" w:hAnsiTheme="minorEastAsia" w:eastAsiaTheme="minorEastAsia" w:cstheme="minorEastAsia"/>
          <w:b/>
          <w:bCs/>
          <w:color w:val="auto"/>
          <w:sz w:val="21"/>
          <w:szCs w:val="21"/>
          <w:highlight w:val="none"/>
        </w:rPr>
      </w:pPr>
      <w:bookmarkStart w:id="963" w:name="_Toc16964"/>
      <w:bookmarkStart w:id="964" w:name="_Toc18594"/>
      <w:bookmarkStart w:id="965" w:name="_Toc26280"/>
      <w:bookmarkStart w:id="966" w:name="_Toc13386"/>
      <w:bookmarkStart w:id="967" w:name="_Toc318450728"/>
      <w:bookmarkStart w:id="968" w:name="_Toc466298145"/>
      <w:bookmarkStart w:id="969" w:name="_Toc26049"/>
      <w:bookmarkStart w:id="970" w:name="_Toc455867822"/>
      <w:bookmarkStart w:id="971" w:name="_Toc22101"/>
      <w:bookmarkStart w:id="972" w:name="_Toc281405534"/>
      <w:bookmarkStart w:id="973" w:name="_Toc21032"/>
      <w:bookmarkStart w:id="974" w:name="_Toc21570"/>
      <w:bookmarkStart w:id="975" w:name="_Toc12406"/>
      <w:bookmarkStart w:id="976" w:name="_Toc24788"/>
      <w:bookmarkStart w:id="977" w:name="_Toc455080162"/>
      <w:bookmarkStart w:id="978" w:name="_Toc31235"/>
      <w:bookmarkStart w:id="979" w:name="_Toc490667881"/>
      <w:bookmarkStart w:id="980" w:name="_Toc10692"/>
      <w:bookmarkStart w:id="981" w:name="_Toc7121"/>
      <w:r>
        <w:rPr>
          <w:rFonts w:hint="eastAsia" w:asciiTheme="minorEastAsia" w:hAnsiTheme="minorEastAsia" w:eastAsiaTheme="minorEastAsia" w:cstheme="minorEastAsia"/>
          <w:b/>
          <w:bCs/>
          <w:color w:val="auto"/>
          <w:sz w:val="21"/>
          <w:szCs w:val="21"/>
          <w:highlight w:val="none"/>
        </w:rPr>
        <w:t>3.2详细评审</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p>
    <w:p w14:paraId="3E07ABC1">
      <w:pPr>
        <w:pageBreakBefore w:val="0"/>
        <w:widowControl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3.2.1磋商小组按本章第2.2款规定的量化因素和分值进行打分，并计算出综合评分得分。</w:t>
      </w:r>
    </w:p>
    <w:p w14:paraId="03F3990B">
      <w:pPr>
        <w:pageBreakBefore w:val="0"/>
        <w:widowControl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3.2.2评分分值计算保留小数点后两位，小数点后第三位“四舍五入”。</w:t>
      </w:r>
    </w:p>
    <w:p w14:paraId="2C71A2F5">
      <w:pPr>
        <w:pageBreakBefore w:val="0"/>
        <w:widowControl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3.2.3</w:t>
      </w:r>
      <w:r>
        <w:rPr>
          <w:rFonts w:hint="eastAsia" w:asciiTheme="minorEastAsia" w:hAnsiTheme="minorEastAsia" w:eastAsiaTheme="minorEastAsia" w:cstheme="minorEastAsia"/>
          <w:color w:val="auto"/>
          <w:spacing w:val="-6"/>
          <w:sz w:val="21"/>
          <w:szCs w:val="21"/>
          <w:highlight w:val="none"/>
        </w:rPr>
        <w:t>供应商的最终得分以全部小组成员打分的算术平均值为准，作为该供应商的最终得分。</w:t>
      </w:r>
    </w:p>
    <w:p w14:paraId="7980BF81">
      <w:pPr>
        <w:pageBreakBefore w:val="0"/>
        <w:widowControl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3.2.4在磋商过程中，凡遇到磋商文件中无界定或界定不清、前后不一致使磋商小组意见有分歧且又难以协商一致的问题，均由磋商小组予以表决，获半数以上同意的即为通过，未获半数同意的即为否决。</w:t>
      </w:r>
    </w:p>
    <w:p w14:paraId="14620E96">
      <w:pPr>
        <w:pageBreakBefore w:val="0"/>
        <w:widowControl w:val="0"/>
        <w:numPr>
          <w:ilvl w:val="0"/>
          <w:numId w:val="0"/>
        </w:numPr>
        <w:kinsoku/>
        <w:wordWrap/>
        <w:overflowPunct/>
        <w:topLinePunct w:val="0"/>
        <w:autoSpaceDE/>
        <w:autoSpaceDN/>
        <w:bidi w:val="0"/>
        <w:spacing w:line="360" w:lineRule="auto"/>
        <w:ind w:firstLine="422" w:firstLineChars="200"/>
        <w:textAlignment w:val="auto"/>
        <w:rPr>
          <w:rFonts w:hint="eastAsia" w:asciiTheme="minorEastAsia" w:hAnsiTheme="minorEastAsia" w:eastAsiaTheme="minorEastAsia" w:cstheme="minorEastAsia"/>
          <w:b/>
          <w:bCs/>
          <w:color w:val="auto"/>
          <w:sz w:val="21"/>
          <w:szCs w:val="21"/>
          <w:highlight w:val="none"/>
        </w:rPr>
      </w:pPr>
      <w:bookmarkStart w:id="982" w:name="_Toc12374"/>
      <w:bookmarkStart w:id="983" w:name="_Toc11958"/>
      <w:bookmarkStart w:id="984" w:name="_Toc455867823"/>
      <w:bookmarkStart w:id="985" w:name="_Toc466298146"/>
      <w:bookmarkStart w:id="986" w:name="_Toc2657"/>
      <w:bookmarkStart w:id="987" w:name="_Toc24862"/>
      <w:bookmarkStart w:id="988" w:name="_Toc490667882"/>
      <w:bookmarkStart w:id="989" w:name="_Toc331"/>
      <w:bookmarkStart w:id="990" w:name="_Toc32291"/>
      <w:bookmarkStart w:id="991" w:name="_Toc281405535"/>
      <w:bookmarkStart w:id="992" w:name="_Toc10153"/>
      <w:bookmarkStart w:id="993" w:name="_Toc22084"/>
      <w:bookmarkStart w:id="994" w:name="_Toc3850"/>
      <w:bookmarkStart w:id="995" w:name="_Toc318450729"/>
      <w:bookmarkStart w:id="996" w:name="_Toc8813"/>
      <w:bookmarkStart w:id="997" w:name="_Toc455080163"/>
      <w:bookmarkStart w:id="998" w:name="_Toc8342"/>
      <w:bookmarkStart w:id="999" w:name="_Toc18031"/>
      <w:bookmarkStart w:id="1000" w:name="_Toc28633"/>
      <w:r>
        <w:rPr>
          <w:rFonts w:hint="eastAsia" w:asciiTheme="minorEastAsia" w:hAnsiTheme="minorEastAsia" w:eastAsiaTheme="minorEastAsia" w:cstheme="minorEastAsia"/>
          <w:b/>
          <w:bCs/>
          <w:color w:val="auto"/>
          <w:sz w:val="21"/>
          <w:szCs w:val="21"/>
          <w:highlight w:val="none"/>
        </w:rPr>
        <w:t>3.3响应文件的澄清和补正</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14:paraId="273AC5CC">
      <w:pPr>
        <w:pageBreakBefore w:val="0"/>
        <w:widowControl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3.3.1在磋商过程中，磋商小组可以通过电子平台澄清说明要求供应商对所提交的响应文件中不明确的内容进行书面澄清或说明，或者对细微偏离进行补正。磋商小组不接受供应商主动提出的澄清、说明或补正。</w:t>
      </w:r>
    </w:p>
    <w:p w14:paraId="3D9DD8F1">
      <w:pPr>
        <w:pageBreakBefore w:val="0"/>
        <w:widowControl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3.3.2澄清、说明和补正不得超出响应文件的范围或者改变响应文件的实质性内容（算术性错误修正的除外）。供应商的书面澄清、说明和补正属于响应文件的组成部分。</w:t>
      </w:r>
    </w:p>
    <w:p w14:paraId="3BA97D27">
      <w:pPr>
        <w:pageBreakBefore w:val="0"/>
        <w:widowControl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3.3.3磋商小组对供应商提交的澄清、说明或补正有疑问的，可以要求供应商进一步澄清、说明或补正，直至满足磋商小组的要求。</w:t>
      </w:r>
    </w:p>
    <w:p w14:paraId="43F0C6D0">
      <w:pPr>
        <w:pageBreakBefore w:val="0"/>
        <w:widowControl w:val="0"/>
        <w:numPr>
          <w:ilvl w:val="0"/>
          <w:numId w:val="0"/>
        </w:numPr>
        <w:kinsoku/>
        <w:wordWrap/>
        <w:overflowPunct/>
        <w:topLinePunct w:val="0"/>
        <w:autoSpaceDE/>
        <w:autoSpaceDN/>
        <w:bidi w:val="0"/>
        <w:spacing w:line="360" w:lineRule="auto"/>
        <w:ind w:firstLine="422" w:firstLineChars="200"/>
        <w:textAlignment w:val="auto"/>
        <w:rPr>
          <w:rFonts w:hint="eastAsia" w:asciiTheme="minorEastAsia" w:hAnsiTheme="minorEastAsia" w:eastAsiaTheme="minorEastAsia" w:cstheme="minorEastAsia"/>
          <w:b/>
          <w:bCs/>
          <w:color w:val="auto"/>
          <w:sz w:val="21"/>
          <w:szCs w:val="21"/>
          <w:highlight w:val="none"/>
        </w:rPr>
      </w:pPr>
      <w:bookmarkStart w:id="1001" w:name="_Toc29957"/>
      <w:bookmarkStart w:id="1002" w:name="_Toc455080164"/>
      <w:bookmarkStart w:id="1003" w:name="_Toc22682"/>
      <w:bookmarkStart w:id="1004" w:name="_Toc12311"/>
      <w:bookmarkStart w:id="1005" w:name="_Toc19453"/>
      <w:bookmarkStart w:id="1006" w:name="_Toc318450730"/>
      <w:bookmarkStart w:id="1007" w:name="_Toc22986"/>
      <w:bookmarkStart w:id="1008" w:name="_Toc455867824"/>
      <w:bookmarkStart w:id="1009" w:name="_Toc16718"/>
      <w:bookmarkStart w:id="1010" w:name="_Toc26894"/>
      <w:bookmarkStart w:id="1011" w:name="_Toc490667883"/>
      <w:bookmarkStart w:id="1012" w:name="_Toc5903"/>
      <w:bookmarkStart w:id="1013" w:name="_Toc32183"/>
      <w:bookmarkStart w:id="1014" w:name="_Toc22049"/>
      <w:bookmarkStart w:id="1015" w:name="_Toc30053"/>
      <w:bookmarkStart w:id="1016" w:name="_Toc281405536"/>
      <w:bookmarkStart w:id="1017" w:name="_Toc19938"/>
      <w:bookmarkStart w:id="1018" w:name="_Toc1857"/>
      <w:bookmarkStart w:id="1019" w:name="_Toc466298147"/>
      <w:r>
        <w:rPr>
          <w:rFonts w:hint="eastAsia" w:asciiTheme="minorEastAsia" w:hAnsiTheme="minorEastAsia" w:eastAsiaTheme="minorEastAsia" w:cstheme="minorEastAsia"/>
          <w:b/>
          <w:bCs/>
          <w:color w:val="auto"/>
          <w:sz w:val="21"/>
          <w:szCs w:val="21"/>
          <w:highlight w:val="none"/>
        </w:rPr>
        <w:t>3.4评审结果</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14:paraId="3BC986AE">
      <w:pPr>
        <w:pageBreakBefore w:val="0"/>
        <w:widowControl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3.4.1除第二章“供应商须知”前附表授权直接确定成交人外，磋商小组按照得分由高到低的顺序推荐成交候选人。</w:t>
      </w:r>
    </w:p>
    <w:p w14:paraId="50713BC1">
      <w:pPr>
        <w:pageBreakBefore w:val="0"/>
        <w:widowControl w:val="0"/>
        <w:kinsoku/>
        <w:wordWrap/>
        <w:overflowPunct/>
        <w:topLinePunct w:val="0"/>
        <w:autoSpaceDE/>
        <w:autoSpaceDN/>
        <w:bidi w:val="0"/>
        <w:spacing w:line="360" w:lineRule="auto"/>
        <w:ind w:firstLine="420" w:firstLineChars="200"/>
        <w:textAlignment w:val="auto"/>
        <w:rPr>
          <w:rFonts w:hint="eastAsia" w:asciiTheme="minorEastAsia" w:hAnsiTheme="minorEastAsia" w:eastAsiaTheme="minorEastAsia" w:cstheme="minorEastAsia"/>
          <w:b/>
          <w:bCs w:val="0"/>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3.4.2磋商小组完成评审后，应当向采购人提交书面评审报告。</w:t>
      </w:r>
      <w:bookmarkStart w:id="1020" w:name="_Toc11932"/>
      <w:bookmarkStart w:id="1021" w:name="_Toc7848"/>
    </w:p>
    <w:p w14:paraId="211FC95A">
      <w:pPr>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br w:type="page"/>
      </w:r>
    </w:p>
    <w:p w14:paraId="2AD1EF47">
      <w:pPr>
        <w:keepNext w:val="0"/>
        <w:keepLines w:val="0"/>
        <w:pageBreakBefore w:val="0"/>
        <w:widowControl w:val="0"/>
        <w:kinsoku/>
        <w:wordWrap/>
        <w:overflowPunct/>
        <w:topLinePunct w:val="0"/>
        <w:autoSpaceDE/>
        <w:autoSpaceDN/>
        <w:bidi w:val="0"/>
        <w:adjustRightInd/>
        <w:snapToGrid/>
        <w:spacing w:line="336" w:lineRule="auto"/>
        <w:textAlignment w:val="auto"/>
        <w:outlineLvl w:val="1"/>
        <w:rPr>
          <w:rFonts w:hint="eastAsia" w:asciiTheme="minorEastAsia" w:hAnsiTheme="minorEastAsia" w:eastAsiaTheme="minorEastAsia" w:cstheme="minorEastAsia"/>
          <w:b/>
          <w:bCs w:val="0"/>
          <w:color w:val="auto"/>
          <w:sz w:val="21"/>
          <w:szCs w:val="21"/>
          <w:highlight w:val="none"/>
          <w:lang w:val="en-US" w:eastAsia="zh-CN"/>
        </w:rPr>
      </w:pPr>
      <w:r>
        <w:rPr>
          <w:rFonts w:hint="eastAsia" w:asciiTheme="minorEastAsia" w:hAnsiTheme="minorEastAsia" w:eastAsiaTheme="minorEastAsia" w:cstheme="minorEastAsia"/>
          <w:b/>
          <w:bCs w:val="0"/>
          <w:color w:val="auto"/>
          <w:sz w:val="21"/>
          <w:szCs w:val="21"/>
          <w:highlight w:val="none"/>
          <w:lang w:val="en-US" w:eastAsia="zh-CN"/>
        </w:rPr>
        <w:t>附件：废标条件</w:t>
      </w:r>
      <w:bookmarkEnd w:id="1020"/>
      <w:bookmarkEnd w:id="1021"/>
    </w:p>
    <w:p w14:paraId="42451585">
      <w:pPr>
        <w:keepNext w:val="0"/>
        <w:keepLines w:val="0"/>
        <w:pageBreakBefore w:val="0"/>
        <w:widowControl w:val="0"/>
        <w:kinsoku/>
        <w:wordWrap/>
        <w:overflowPunct/>
        <w:topLinePunct w:val="0"/>
        <w:autoSpaceDE/>
        <w:autoSpaceDN/>
        <w:bidi w:val="0"/>
        <w:adjustRightInd/>
        <w:snapToGrid/>
        <w:spacing w:line="500" w:lineRule="exact"/>
        <w:ind w:firstLine="422" w:firstLineChars="200"/>
        <w:jc w:val="center"/>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废标条件</w:t>
      </w:r>
    </w:p>
    <w:p w14:paraId="3535CA0C">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本附件所集中列示的废标条件，是本章“评标办法”的组成部分，是对第二章“</w:t>
      </w:r>
      <w:r>
        <w:rPr>
          <w:rFonts w:hint="eastAsia" w:asciiTheme="minorEastAsia" w:hAnsiTheme="minorEastAsia" w:eastAsiaTheme="minorEastAsia" w:cstheme="minorEastAsia"/>
          <w:b/>
          <w:bCs w:val="0"/>
          <w:color w:val="auto"/>
          <w:sz w:val="21"/>
          <w:szCs w:val="21"/>
          <w:highlight w:val="none"/>
          <w:lang w:eastAsia="zh-CN"/>
        </w:rPr>
        <w:t>供应商</w:t>
      </w:r>
      <w:r>
        <w:rPr>
          <w:rFonts w:hint="eastAsia" w:asciiTheme="minorEastAsia" w:hAnsiTheme="minorEastAsia" w:eastAsiaTheme="minorEastAsia" w:cstheme="minorEastAsia"/>
          <w:b/>
          <w:bCs w:val="0"/>
          <w:color w:val="auto"/>
          <w:sz w:val="21"/>
          <w:szCs w:val="21"/>
          <w:highlight w:val="none"/>
        </w:rPr>
        <w:t>须知”和本章正文部分所规定的废标条件的总结和补充，如果出现相互矛盾的情况，以第二章“</w:t>
      </w:r>
      <w:r>
        <w:rPr>
          <w:rFonts w:hint="eastAsia" w:asciiTheme="minorEastAsia" w:hAnsiTheme="minorEastAsia" w:eastAsiaTheme="minorEastAsia" w:cstheme="minorEastAsia"/>
          <w:b/>
          <w:bCs w:val="0"/>
          <w:color w:val="auto"/>
          <w:sz w:val="21"/>
          <w:szCs w:val="21"/>
          <w:highlight w:val="none"/>
          <w:lang w:eastAsia="zh-CN"/>
        </w:rPr>
        <w:t>供应商</w:t>
      </w:r>
      <w:r>
        <w:rPr>
          <w:rFonts w:hint="eastAsia" w:asciiTheme="minorEastAsia" w:hAnsiTheme="minorEastAsia" w:eastAsiaTheme="minorEastAsia" w:cstheme="minorEastAsia"/>
          <w:b/>
          <w:bCs w:val="0"/>
          <w:color w:val="auto"/>
          <w:sz w:val="21"/>
          <w:szCs w:val="21"/>
          <w:highlight w:val="none"/>
        </w:rPr>
        <w:t>须知”和本章正文部分的规定为准。</w:t>
      </w:r>
    </w:p>
    <w:p w14:paraId="4F981449">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hint="eastAsia" w:asciiTheme="minorEastAsia" w:hAnsiTheme="minorEastAsia" w:eastAsiaTheme="minorEastAsia" w:cstheme="minorEastAsia"/>
          <w:b/>
          <w:bCs w:val="0"/>
          <w:color w:val="auto"/>
          <w:sz w:val="21"/>
          <w:szCs w:val="21"/>
          <w:highlight w:val="none"/>
          <w:lang w:eastAsia="zh-CN"/>
        </w:rPr>
      </w:pPr>
      <w:r>
        <w:rPr>
          <w:rFonts w:hint="eastAsia" w:asciiTheme="minorEastAsia" w:hAnsiTheme="minorEastAsia" w:eastAsiaTheme="minorEastAsia" w:cstheme="minorEastAsia"/>
          <w:b/>
          <w:bCs w:val="0"/>
          <w:color w:val="auto"/>
          <w:sz w:val="21"/>
          <w:szCs w:val="21"/>
          <w:highlight w:val="none"/>
        </w:rPr>
        <w:t>1.未通过第三章评标办法</w:t>
      </w:r>
      <w:r>
        <w:rPr>
          <w:rFonts w:hint="eastAsia" w:asciiTheme="minorEastAsia" w:hAnsiTheme="minorEastAsia" w:eastAsiaTheme="minorEastAsia" w:cstheme="minorEastAsia"/>
          <w:b/>
          <w:bCs w:val="0"/>
          <w:color w:val="auto"/>
          <w:sz w:val="21"/>
          <w:szCs w:val="21"/>
          <w:highlight w:val="none"/>
          <w:lang w:eastAsia="zh-CN"/>
        </w:rPr>
        <w:t>资格评审、符合性评审的</w:t>
      </w:r>
      <w:r>
        <w:rPr>
          <w:rFonts w:hint="eastAsia" w:asciiTheme="minorEastAsia" w:hAnsiTheme="minorEastAsia" w:eastAsiaTheme="minorEastAsia" w:cstheme="minorEastAsia"/>
          <w:b/>
          <w:bCs w:val="0"/>
          <w:color w:val="auto"/>
          <w:sz w:val="21"/>
          <w:szCs w:val="21"/>
          <w:highlight w:val="none"/>
        </w:rPr>
        <w:t>；</w:t>
      </w:r>
    </w:p>
    <w:p w14:paraId="7FB37355">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lang w:val="en-US" w:eastAsia="zh-CN"/>
        </w:rPr>
        <w:t>2</w:t>
      </w:r>
      <w:r>
        <w:rPr>
          <w:rFonts w:hint="eastAsia" w:asciiTheme="minorEastAsia" w:hAnsiTheme="minorEastAsia" w:eastAsiaTheme="minorEastAsia" w:cstheme="minorEastAsia"/>
          <w:b/>
          <w:bCs w:val="0"/>
          <w:color w:val="auto"/>
          <w:sz w:val="21"/>
          <w:szCs w:val="21"/>
          <w:highlight w:val="none"/>
        </w:rPr>
        <w:t>.不按</w:t>
      </w:r>
      <w:r>
        <w:rPr>
          <w:rFonts w:hint="eastAsia" w:asciiTheme="minorEastAsia" w:hAnsiTheme="minorEastAsia" w:eastAsiaTheme="minorEastAsia" w:cstheme="minorEastAsia"/>
          <w:b/>
          <w:bCs w:val="0"/>
          <w:color w:val="auto"/>
          <w:sz w:val="21"/>
          <w:szCs w:val="21"/>
          <w:highlight w:val="none"/>
          <w:lang w:eastAsia="zh-CN"/>
        </w:rPr>
        <w:t>磋商小组</w:t>
      </w:r>
      <w:r>
        <w:rPr>
          <w:rFonts w:hint="eastAsia" w:asciiTheme="minorEastAsia" w:hAnsiTheme="minorEastAsia" w:eastAsiaTheme="minorEastAsia" w:cstheme="minorEastAsia"/>
          <w:b/>
          <w:bCs w:val="0"/>
          <w:color w:val="auto"/>
          <w:sz w:val="21"/>
          <w:szCs w:val="21"/>
          <w:highlight w:val="none"/>
        </w:rPr>
        <w:t>要求澄清、说明或补正的；</w:t>
      </w:r>
    </w:p>
    <w:p w14:paraId="2B13313F">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lang w:val="en-US" w:eastAsia="zh-CN"/>
        </w:rPr>
        <w:t>3</w:t>
      </w:r>
      <w:r>
        <w:rPr>
          <w:rFonts w:hint="eastAsia" w:asciiTheme="minorEastAsia" w:hAnsiTheme="minorEastAsia" w:eastAsiaTheme="minorEastAsia" w:cstheme="minorEastAsia"/>
          <w:b/>
          <w:bCs w:val="0"/>
          <w:color w:val="auto"/>
          <w:sz w:val="21"/>
          <w:szCs w:val="21"/>
          <w:highlight w:val="none"/>
        </w:rPr>
        <w:t>.</w:t>
      </w:r>
      <w:r>
        <w:rPr>
          <w:rFonts w:hint="eastAsia" w:asciiTheme="minorEastAsia" w:hAnsiTheme="minorEastAsia" w:eastAsiaTheme="minorEastAsia" w:cstheme="minorEastAsia"/>
          <w:b/>
          <w:bCs w:val="0"/>
          <w:color w:val="auto"/>
          <w:sz w:val="21"/>
          <w:szCs w:val="21"/>
          <w:highlight w:val="none"/>
          <w:lang w:eastAsia="zh-CN"/>
        </w:rPr>
        <w:t>磋商</w:t>
      </w:r>
      <w:r>
        <w:rPr>
          <w:rFonts w:hint="eastAsia" w:asciiTheme="minorEastAsia" w:hAnsiTheme="minorEastAsia" w:eastAsiaTheme="minorEastAsia" w:cstheme="minorEastAsia"/>
          <w:b/>
          <w:bCs w:val="0"/>
          <w:color w:val="auto"/>
          <w:sz w:val="21"/>
          <w:szCs w:val="21"/>
          <w:highlight w:val="none"/>
        </w:rPr>
        <w:t>报价有算术性错误，</w:t>
      </w:r>
      <w:r>
        <w:rPr>
          <w:rFonts w:hint="eastAsia" w:asciiTheme="minorEastAsia" w:hAnsiTheme="minorEastAsia" w:eastAsiaTheme="minorEastAsia" w:cstheme="minorEastAsia"/>
          <w:b/>
          <w:bCs w:val="0"/>
          <w:color w:val="auto"/>
          <w:sz w:val="21"/>
          <w:szCs w:val="21"/>
          <w:highlight w:val="none"/>
          <w:lang w:val="en-US" w:eastAsia="zh-CN"/>
        </w:rPr>
        <w:t>供应商</w:t>
      </w:r>
      <w:r>
        <w:rPr>
          <w:rFonts w:hint="eastAsia" w:asciiTheme="minorEastAsia" w:hAnsiTheme="minorEastAsia" w:eastAsiaTheme="minorEastAsia" w:cstheme="minorEastAsia"/>
          <w:b/>
          <w:bCs w:val="0"/>
          <w:color w:val="auto"/>
          <w:sz w:val="21"/>
          <w:szCs w:val="21"/>
          <w:highlight w:val="none"/>
        </w:rPr>
        <w:t>不接受修正价格的；</w:t>
      </w:r>
    </w:p>
    <w:p w14:paraId="64ED40CC">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lang w:val="en-US" w:eastAsia="zh-CN"/>
        </w:rPr>
        <w:t>4</w:t>
      </w:r>
      <w:r>
        <w:rPr>
          <w:rFonts w:hint="eastAsia" w:asciiTheme="minorEastAsia" w:hAnsiTheme="minorEastAsia" w:eastAsiaTheme="minorEastAsia" w:cstheme="minorEastAsia"/>
          <w:b/>
          <w:bCs w:val="0"/>
          <w:color w:val="auto"/>
          <w:sz w:val="21"/>
          <w:szCs w:val="21"/>
          <w:highlight w:val="none"/>
        </w:rPr>
        <w:t>.以他人的名义投标、以行贿手段谋取中标或者以其他弄虚作假方式投标的；</w:t>
      </w:r>
    </w:p>
    <w:p w14:paraId="09DED75D">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lang w:val="en-US" w:eastAsia="zh-CN"/>
        </w:rPr>
        <w:t>5</w:t>
      </w:r>
      <w:r>
        <w:rPr>
          <w:rFonts w:hint="eastAsia" w:asciiTheme="minorEastAsia" w:hAnsiTheme="minorEastAsia" w:eastAsiaTheme="minorEastAsia" w:cstheme="minorEastAsia"/>
          <w:b/>
          <w:bCs w:val="0"/>
          <w:color w:val="auto"/>
          <w:sz w:val="21"/>
          <w:szCs w:val="21"/>
          <w:highlight w:val="none"/>
        </w:rPr>
        <w:t>.属于串（围）标行为的；</w:t>
      </w:r>
    </w:p>
    <w:p w14:paraId="76371E75">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lang w:val="en-US" w:eastAsia="zh-CN"/>
        </w:rPr>
        <w:t>6</w:t>
      </w:r>
      <w:r>
        <w:rPr>
          <w:rFonts w:hint="eastAsia" w:asciiTheme="minorEastAsia" w:hAnsiTheme="minorEastAsia" w:eastAsiaTheme="minorEastAsia" w:cstheme="minorEastAsia"/>
          <w:b/>
          <w:bCs w:val="0"/>
          <w:color w:val="auto"/>
          <w:sz w:val="21"/>
          <w:szCs w:val="21"/>
          <w:highlight w:val="none"/>
        </w:rPr>
        <w:t>.</w:t>
      </w:r>
      <w:r>
        <w:rPr>
          <w:rFonts w:hint="eastAsia" w:asciiTheme="minorEastAsia" w:hAnsiTheme="minorEastAsia" w:eastAsiaTheme="minorEastAsia" w:cstheme="minorEastAsia"/>
          <w:b/>
          <w:bCs w:val="0"/>
          <w:color w:val="auto"/>
          <w:sz w:val="21"/>
          <w:szCs w:val="21"/>
          <w:highlight w:val="none"/>
          <w:lang w:val="en-US" w:eastAsia="zh-CN"/>
        </w:rPr>
        <w:t>磋商小组</w:t>
      </w:r>
      <w:r>
        <w:rPr>
          <w:rFonts w:hint="eastAsia" w:asciiTheme="minorEastAsia" w:hAnsiTheme="minorEastAsia" w:eastAsiaTheme="minorEastAsia" w:cstheme="minorEastAsia"/>
          <w:b/>
          <w:bCs w:val="0"/>
          <w:color w:val="auto"/>
          <w:sz w:val="21"/>
          <w:szCs w:val="21"/>
          <w:highlight w:val="none"/>
        </w:rPr>
        <w:t>认定</w:t>
      </w:r>
      <w:r>
        <w:rPr>
          <w:rFonts w:hint="eastAsia" w:asciiTheme="minorEastAsia" w:hAnsiTheme="minorEastAsia" w:eastAsiaTheme="minorEastAsia" w:cstheme="minorEastAsia"/>
          <w:b/>
          <w:bCs w:val="0"/>
          <w:color w:val="auto"/>
          <w:sz w:val="21"/>
          <w:szCs w:val="21"/>
          <w:highlight w:val="none"/>
          <w:lang w:val="en-US" w:eastAsia="zh-CN"/>
        </w:rPr>
        <w:t>供应商</w:t>
      </w:r>
      <w:r>
        <w:rPr>
          <w:rFonts w:hint="eastAsia" w:asciiTheme="minorEastAsia" w:hAnsiTheme="minorEastAsia" w:eastAsiaTheme="minorEastAsia" w:cstheme="minorEastAsia"/>
          <w:b/>
          <w:bCs w:val="0"/>
          <w:color w:val="auto"/>
          <w:sz w:val="21"/>
          <w:szCs w:val="21"/>
          <w:highlight w:val="none"/>
        </w:rPr>
        <w:t>以低于成本报价竞标的；</w:t>
      </w:r>
    </w:p>
    <w:p w14:paraId="21704828">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hint="eastAsia" w:asciiTheme="minorEastAsia" w:hAnsiTheme="minorEastAsia" w:eastAsiaTheme="minorEastAsia" w:cstheme="minorEastAsia"/>
          <w:b/>
          <w:bCs w:val="0"/>
          <w:color w:val="auto"/>
          <w:sz w:val="21"/>
          <w:szCs w:val="21"/>
          <w:highlight w:val="none"/>
          <w:lang w:val="en-US" w:eastAsia="zh-CN"/>
        </w:rPr>
      </w:pPr>
      <w:r>
        <w:rPr>
          <w:rFonts w:hint="eastAsia" w:asciiTheme="minorEastAsia" w:hAnsiTheme="minorEastAsia" w:eastAsiaTheme="minorEastAsia" w:cstheme="minorEastAsia"/>
          <w:b/>
          <w:bCs w:val="0"/>
          <w:color w:val="auto"/>
          <w:sz w:val="21"/>
          <w:szCs w:val="21"/>
          <w:highlight w:val="none"/>
          <w:lang w:val="en-US" w:eastAsia="zh-CN"/>
        </w:rPr>
        <w:t>7.文件制作机器码、文件创建标识码有相同的；</w:t>
      </w:r>
    </w:p>
    <w:p w14:paraId="54D180EB">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lang w:val="en-US" w:eastAsia="zh-CN"/>
        </w:rPr>
        <w:t>8.</w:t>
      </w:r>
      <w:r>
        <w:rPr>
          <w:rFonts w:hint="eastAsia" w:asciiTheme="minorEastAsia" w:hAnsiTheme="minorEastAsia" w:eastAsiaTheme="minorEastAsia" w:cstheme="minorEastAsia"/>
          <w:b/>
          <w:bCs w:val="0"/>
          <w:color w:val="auto"/>
          <w:sz w:val="21"/>
          <w:szCs w:val="21"/>
          <w:highlight w:val="none"/>
        </w:rPr>
        <w:t>不符合</w:t>
      </w:r>
      <w:r>
        <w:rPr>
          <w:rFonts w:hint="eastAsia" w:asciiTheme="minorEastAsia" w:hAnsiTheme="minorEastAsia" w:eastAsiaTheme="minorEastAsia" w:cstheme="minorEastAsia"/>
          <w:b/>
          <w:bCs w:val="0"/>
          <w:color w:val="auto"/>
          <w:sz w:val="21"/>
          <w:szCs w:val="21"/>
          <w:highlight w:val="none"/>
          <w:lang w:eastAsia="zh-CN"/>
        </w:rPr>
        <w:t>竞争性磋商</w:t>
      </w:r>
      <w:r>
        <w:rPr>
          <w:rFonts w:hint="eastAsia" w:asciiTheme="minorEastAsia" w:hAnsiTheme="minorEastAsia" w:eastAsiaTheme="minorEastAsia" w:cstheme="minorEastAsia"/>
          <w:b/>
          <w:bCs w:val="0"/>
          <w:color w:val="auto"/>
          <w:sz w:val="21"/>
          <w:szCs w:val="21"/>
          <w:highlight w:val="none"/>
        </w:rPr>
        <w:t>文件规定的其他实质性要求及相关法律、法规或规章规定可以废标的其他情形。</w:t>
      </w:r>
    </w:p>
    <w:bookmarkEnd w:id="850"/>
    <w:bookmarkEnd w:id="851"/>
    <w:bookmarkEnd w:id="852"/>
    <w:bookmarkEnd w:id="853"/>
    <w:p w14:paraId="6388888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Theme="minorEastAsia" w:hAnsiTheme="minorEastAsia" w:eastAsiaTheme="minorEastAsia" w:cstheme="minorEastAsia"/>
          <w:b w:val="0"/>
          <w:bCs/>
          <w:color w:val="auto"/>
          <w:sz w:val="21"/>
          <w:szCs w:val="21"/>
          <w:highlight w:val="none"/>
          <w:lang w:val="en-US" w:eastAsia="zh-CN"/>
        </w:rPr>
      </w:pPr>
      <w:bookmarkStart w:id="1022" w:name="_Toc30627"/>
      <w:bookmarkStart w:id="1023" w:name="_Toc31782"/>
      <w:bookmarkStart w:id="1024" w:name="_Toc144974855"/>
      <w:bookmarkStart w:id="1025" w:name="_Toc152045786"/>
      <w:bookmarkStart w:id="1026" w:name="_Toc152042575"/>
    </w:p>
    <w:p w14:paraId="5617C75E">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hint="eastAsia" w:asciiTheme="minorEastAsia" w:hAnsiTheme="minorEastAsia" w:eastAsiaTheme="minorEastAsia" w:cstheme="minorEastAsia"/>
          <w:bCs w:val="0"/>
          <w:color w:val="auto"/>
          <w:sz w:val="21"/>
          <w:szCs w:val="21"/>
          <w:highlight w:val="none"/>
          <w:lang w:eastAsia="zh-CN"/>
        </w:rPr>
      </w:pPr>
      <w:r>
        <w:rPr>
          <w:rFonts w:hint="eastAsia" w:asciiTheme="minorEastAsia" w:hAnsiTheme="minorEastAsia" w:eastAsiaTheme="minorEastAsia" w:cstheme="minorEastAsia"/>
          <w:b/>
          <w:bCs w:val="0"/>
          <w:color w:val="auto"/>
          <w:sz w:val="21"/>
          <w:szCs w:val="21"/>
          <w:highlight w:val="none"/>
          <w:lang w:val="en-US" w:eastAsia="zh-CN"/>
        </w:rPr>
        <w:t>备注：按照《信阳市财政局关于印发信阳市政府采购行为规范的通知》（信财购〔2018〕2号）第五十八条“对于投标文件中非实质性响应条款或不影响采购项目实质性履行的投标文件缺陷，经过采购人认定不影响项目实施的，可以澄清后继续评审的，评审专家不得随意废标”，</w:t>
      </w:r>
      <w:r>
        <w:rPr>
          <w:rFonts w:hint="eastAsia" w:asciiTheme="minorEastAsia" w:hAnsiTheme="minorEastAsia" w:eastAsiaTheme="minorEastAsia" w:cstheme="minorEastAsia"/>
          <w:b/>
          <w:bCs w:val="0"/>
          <w:color w:val="auto"/>
          <w:sz w:val="21"/>
          <w:szCs w:val="21"/>
          <w:highlight w:val="none"/>
        </w:rPr>
        <w:t>采购人和代理机构认为不影响实质性响应和公平公正的，可以要求评审小组对该项目继续评审，并由采购人和代理机构做好相关事实、依据记录，采购人和代理机构对继续评审的决定负责</w:t>
      </w:r>
      <w:r>
        <w:rPr>
          <w:rFonts w:hint="eastAsia" w:asciiTheme="minorEastAsia" w:hAnsiTheme="minorEastAsia" w:eastAsiaTheme="minorEastAsia" w:cstheme="minorEastAsia"/>
          <w:b/>
          <w:bCs w:val="0"/>
          <w:color w:val="auto"/>
          <w:sz w:val="21"/>
          <w:szCs w:val="21"/>
          <w:highlight w:val="none"/>
          <w:lang w:eastAsia="zh-CN"/>
        </w:rPr>
        <w:t>。</w:t>
      </w:r>
      <w:r>
        <w:rPr>
          <w:rFonts w:hint="eastAsia" w:asciiTheme="minorEastAsia" w:hAnsiTheme="minorEastAsia" w:eastAsiaTheme="minorEastAsia" w:cstheme="minorEastAsia"/>
          <w:bCs w:val="0"/>
          <w:color w:val="auto"/>
          <w:sz w:val="21"/>
          <w:szCs w:val="21"/>
          <w:highlight w:val="none"/>
        </w:rPr>
        <w:br w:type="page"/>
      </w:r>
    </w:p>
    <w:p w14:paraId="60611A15">
      <w:pPr>
        <w:pStyle w:val="5"/>
        <w:numPr>
          <w:ilvl w:val="0"/>
          <w:numId w:val="0"/>
        </w:numPr>
        <w:bidi w:val="0"/>
        <w:rPr>
          <w:rFonts w:hint="eastAsia" w:ascii="宋体" w:hAnsi="宋体" w:eastAsia="宋体" w:cs="宋体"/>
          <w:color w:val="auto"/>
          <w:sz w:val="32"/>
          <w:szCs w:val="32"/>
          <w:highlight w:val="none"/>
        </w:rPr>
      </w:pPr>
      <w:bookmarkStart w:id="1027" w:name="_Toc10470"/>
      <w:bookmarkStart w:id="1028" w:name="_Toc4592"/>
      <w:bookmarkStart w:id="1029" w:name="_Toc4684"/>
      <w:r>
        <w:rPr>
          <w:rFonts w:hint="eastAsia" w:ascii="宋体" w:hAnsi="宋体" w:eastAsia="宋体" w:cs="宋体"/>
          <w:b/>
          <w:bCs/>
          <w:color w:val="auto"/>
          <w:kern w:val="44"/>
          <w:sz w:val="32"/>
          <w:szCs w:val="32"/>
          <w:lang w:val="en-US" w:eastAsia="zh-CN" w:bidi="ar-SA"/>
        </w:rPr>
        <w:t xml:space="preserve">第四章 </w:t>
      </w:r>
      <w:r>
        <w:rPr>
          <w:rFonts w:hint="eastAsia" w:ascii="宋体" w:hAnsi="宋体" w:eastAsia="宋体" w:cs="宋体"/>
          <w:color w:val="auto"/>
          <w:sz w:val="32"/>
          <w:szCs w:val="32"/>
          <w:highlight w:val="none"/>
        </w:rPr>
        <w:t>合同文本</w:t>
      </w:r>
    </w:p>
    <w:p w14:paraId="7D8FF7F9">
      <w:pPr>
        <w:pStyle w:val="5"/>
        <w:numPr>
          <w:ilvl w:val="0"/>
          <w:numId w:val="0"/>
        </w:numPr>
        <w:bidi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本合同</w:t>
      </w:r>
      <w:r>
        <w:rPr>
          <w:rFonts w:hint="eastAsia" w:ascii="宋体" w:hAnsi="宋体" w:eastAsia="宋体" w:cs="宋体"/>
          <w:color w:val="auto"/>
          <w:sz w:val="24"/>
          <w:szCs w:val="24"/>
          <w:highlight w:val="none"/>
          <w:lang w:eastAsia="zh-CN"/>
        </w:rPr>
        <w:t>仅供参考，</w:t>
      </w:r>
      <w:r>
        <w:rPr>
          <w:rFonts w:hint="eastAsia" w:ascii="宋体" w:hAnsi="宋体" w:eastAsia="宋体" w:cs="宋体"/>
          <w:color w:val="auto"/>
          <w:sz w:val="24"/>
          <w:szCs w:val="24"/>
          <w:highlight w:val="none"/>
          <w:lang w:val="en-US" w:eastAsia="zh-CN"/>
        </w:rPr>
        <w:t>以实际签订为准</w:t>
      </w:r>
      <w:r>
        <w:rPr>
          <w:rFonts w:hint="eastAsia" w:ascii="宋体" w:hAnsi="宋体" w:eastAsia="宋体" w:cs="宋体"/>
          <w:color w:val="auto"/>
          <w:sz w:val="24"/>
          <w:szCs w:val="24"/>
          <w:highlight w:val="none"/>
          <w:lang w:eastAsia="zh-CN"/>
        </w:rPr>
        <w:t>）</w:t>
      </w:r>
      <w:bookmarkEnd w:id="1027"/>
      <w:bookmarkEnd w:id="1028"/>
      <w:bookmarkEnd w:id="1029"/>
    </w:p>
    <w:bookmarkEnd w:id="1022"/>
    <w:bookmarkEnd w:id="1023"/>
    <w:p w14:paraId="58D7A172">
      <w:pPr>
        <w:kinsoku w:val="0"/>
        <w:autoSpaceDE w:val="0"/>
        <w:autoSpaceDN w:val="0"/>
        <w:adjustRightInd w:val="0"/>
        <w:snapToGrid w:val="0"/>
        <w:spacing w:before="140" w:line="226" w:lineRule="auto"/>
        <w:ind w:left="2188"/>
        <w:jc w:val="left"/>
        <w:textAlignment w:val="baseline"/>
        <w:rPr>
          <w:rFonts w:hint="eastAsia" w:ascii="宋体" w:hAnsi="宋体" w:eastAsia="宋体" w:cs="宋体"/>
          <w:b/>
          <w:bCs/>
          <w:snapToGrid w:val="0"/>
          <w:color w:val="000000"/>
          <w:spacing w:val="-30"/>
          <w:kern w:val="0"/>
          <w:sz w:val="43"/>
          <w:szCs w:val="43"/>
          <w:lang w:val="en-US" w:eastAsia="en-US" w:bidi="ar-SA"/>
        </w:rPr>
      </w:pPr>
      <w:bookmarkStart w:id="1030" w:name="_Toc14118"/>
      <w:bookmarkStart w:id="1031" w:name="_Toc22728"/>
      <w:bookmarkStart w:id="1032" w:name="_Toc7348"/>
    </w:p>
    <w:p w14:paraId="2818B327">
      <w:pPr>
        <w:kinsoku w:val="0"/>
        <w:autoSpaceDE w:val="0"/>
        <w:autoSpaceDN w:val="0"/>
        <w:adjustRightInd w:val="0"/>
        <w:snapToGrid w:val="0"/>
        <w:spacing w:before="140" w:line="226" w:lineRule="auto"/>
        <w:ind w:left="2188"/>
        <w:jc w:val="left"/>
        <w:textAlignment w:val="baseline"/>
        <w:rPr>
          <w:rFonts w:hint="eastAsia" w:ascii="宋体" w:hAnsi="宋体" w:eastAsia="宋体" w:cs="宋体"/>
          <w:b/>
          <w:bCs/>
          <w:snapToGrid w:val="0"/>
          <w:color w:val="000000"/>
          <w:spacing w:val="-30"/>
          <w:kern w:val="0"/>
          <w:sz w:val="43"/>
          <w:szCs w:val="43"/>
          <w:lang w:val="en-US" w:eastAsia="en-US" w:bidi="ar-SA"/>
        </w:rPr>
      </w:pPr>
    </w:p>
    <w:p w14:paraId="10061557">
      <w:pPr>
        <w:kinsoku w:val="0"/>
        <w:autoSpaceDE w:val="0"/>
        <w:autoSpaceDN w:val="0"/>
        <w:adjustRightInd w:val="0"/>
        <w:snapToGrid w:val="0"/>
        <w:spacing w:before="140" w:line="226" w:lineRule="auto"/>
        <w:ind w:left="2188"/>
        <w:jc w:val="left"/>
        <w:textAlignment w:val="baseline"/>
        <w:rPr>
          <w:rFonts w:hint="eastAsia" w:ascii="宋体" w:hAnsi="宋体" w:eastAsia="宋体" w:cs="宋体"/>
          <w:snapToGrid w:val="0"/>
          <w:color w:val="000000"/>
          <w:kern w:val="0"/>
          <w:sz w:val="43"/>
          <w:szCs w:val="43"/>
          <w:lang w:val="en-US" w:eastAsia="en-US" w:bidi="ar-SA"/>
        </w:rPr>
      </w:pPr>
      <w:r>
        <w:rPr>
          <w:rFonts w:hint="eastAsia" w:ascii="宋体" w:hAnsi="宋体" w:eastAsia="宋体" w:cs="宋体"/>
          <w:b/>
          <w:bCs/>
          <w:snapToGrid w:val="0"/>
          <w:color w:val="000000"/>
          <w:spacing w:val="-30"/>
          <w:kern w:val="0"/>
          <w:sz w:val="43"/>
          <w:szCs w:val="43"/>
          <w:lang w:val="en-US" w:eastAsia="en-US" w:bidi="ar-SA"/>
        </w:rPr>
        <w:t>政府采购服务买卖合同</w:t>
      </w:r>
    </w:p>
    <w:p w14:paraId="19C96AFF">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kern w:val="0"/>
          <w:sz w:val="21"/>
          <w:szCs w:val="21"/>
          <w:lang w:eastAsia="en-US"/>
        </w:rPr>
      </w:pPr>
    </w:p>
    <w:p w14:paraId="79DC0C60">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kern w:val="0"/>
          <w:sz w:val="21"/>
          <w:szCs w:val="21"/>
          <w:lang w:eastAsia="en-US"/>
        </w:rPr>
      </w:pPr>
    </w:p>
    <w:p w14:paraId="3B3EC8D7">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kern w:val="0"/>
          <w:sz w:val="21"/>
          <w:szCs w:val="21"/>
          <w:lang w:eastAsia="en-US"/>
        </w:rPr>
      </w:pPr>
    </w:p>
    <w:p w14:paraId="15DDB457">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kern w:val="0"/>
          <w:sz w:val="21"/>
          <w:szCs w:val="21"/>
          <w:lang w:eastAsia="en-US"/>
        </w:rPr>
      </w:pPr>
    </w:p>
    <w:p w14:paraId="1482696D">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kern w:val="0"/>
          <w:sz w:val="21"/>
          <w:szCs w:val="21"/>
          <w:lang w:eastAsia="en-US"/>
        </w:rPr>
      </w:pPr>
    </w:p>
    <w:p w14:paraId="14854A9C">
      <w:pPr>
        <w:pStyle w:val="54"/>
        <w:rPr>
          <w:rFonts w:ascii="Arial" w:hAnsi="Arial" w:eastAsia="Arial" w:cs="Arial"/>
          <w:snapToGrid w:val="0"/>
          <w:color w:val="000000"/>
          <w:kern w:val="0"/>
          <w:sz w:val="21"/>
          <w:szCs w:val="21"/>
          <w:lang w:eastAsia="en-US"/>
        </w:rPr>
      </w:pPr>
    </w:p>
    <w:p w14:paraId="7B4557FD">
      <w:pPr>
        <w:pStyle w:val="54"/>
        <w:rPr>
          <w:rFonts w:ascii="Arial" w:hAnsi="Arial" w:eastAsia="Arial" w:cs="Arial"/>
          <w:snapToGrid w:val="0"/>
          <w:color w:val="000000"/>
          <w:kern w:val="0"/>
          <w:sz w:val="21"/>
          <w:szCs w:val="21"/>
          <w:lang w:eastAsia="en-US"/>
        </w:rPr>
      </w:pPr>
    </w:p>
    <w:p w14:paraId="625E1A87">
      <w:pPr>
        <w:pStyle w:val="54"/>
        <w:rPr>
          <w:rFonts w:ascii="Arial" w:hAnsi="Arial" w:eastAsia="Arial" w:cs="Arial"/>
          <w:snapToGrid w:val="0"/>
          <w:color w:val="000000"/>
          <w:kern w:val="0"/>
          <w:sz w:val="21"/>
          <w:szCs w:val="21"/>
          <w:lang w:eastAsia="en-US"/>
        </w:rPr>
      </w:pPr>
    </w:p>
    <w:p w14:paraId="168B8F59">
      <w:pPr>
        <w:pStyle w:val="54"/>
        <w:rPr>
          <w:rFonts w:ascii="Arial" w:hAnsi="Arial" w:eastAsia="Arial" w:cs="Arial"/>
          <w:snapToGrid w:val="0"/>
          <w:color w:val="000000"/>
          <w:kern w:val="0"/>
          <w:sz w:val="21"/>
          <w:szCs w:val="21"/>
          <w:lang w:eastAsia="en-US"/>
        </w:rPr>
      </w:pPr>
    </w:p>
    <w:p w14:paraId="34453BE7">
      <w:pPr>
        <w:pStyle w:val="54"/>
        <w:rPr>
          <w:rFonts w:ascii="Arial" w:hAnsi="Arial" w:eastAsia="Arial" w:cs="Arial"/>
          <w:snapToGrid w:val="0"/>
          <w:color w:val="000000"/>
          <w:kern w:val="0"/>
          <w:sz w:val="21"/>
          <w:szCs w:val="21"/>
          <w:lang w:eastAsia="en-US"/>
        </w:rPr>
      </w:pPr>
    </w:p>
    <w:p w14:paraId="5ED1F94A">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kern w:val="0"/>
          <w:sz w:val="21"/>
          <w:szCs w:val="21"/>
          <w:lang w:eastAsia="en-US"/>
        </w:rPr>
      </w:pPr>
    </w:p>
    <w:p w14:paraId="44BCC3B2">
      <w:pPr>
        <w:widowControl/>
        <w:kinsoku w:val="0"/>
        <w:autoSpaceDE w:val="0"/>
        <w:autoSpaceDN w:val="0"/>
        <w:adjustRightInd w:val="0"/>
        <w:snapToGrid w:val="0"/>
        <w:spacing w:line="274" w:lineRule="auto"/>
        <w:jc w:val="left"/>
        <w:textAlignment w:val="baseline"/>
        <w:rPr>
          <w:rFonts w:hint="eastAsia" w:ascii="宋体" w:hAnsi="宋体" w:eastAsia="宋体" w:cs="宋体"/>
          <w:snapToGrid w:val="0"/>
          <w:color w:val="000000"/>
          <w:kern w:val="0"/>
          <w:sz w:val="21"/>
          <w:szCs w:val="21"/>
          <w:lang w:eastAsia="en-US"/>
        </w:rPr>
      </w:pPr>
    </w:p>
    <w:p w14:paraId="05CD3875">
      <w:pPr>
        <w:tabs>
          <w:tab w:val="left" w:pos="6674"/>
        </w:tabs>
        <w:kinsoku w:val="0"/>
        <w:autoSpaceDE w:val="0"/>
        <w:autoSpaceDN w:val="0"/>
        <w:adjustRightInd w:val="0"/>
        <w:snapToGrid w:val="0"/>
        <w:spacing w:before="101" w:line="372" w:lineRule="auto"/>
        <w:ind w:left="462" w:right="1660" w:hanging="6"/>
        <w:jc w:val="both"/>
        <w:textAlignment w:val="baseline"/>
        <w:rPr>
          <w:rFonts w:hint="eastAsia" w:ascii="宋体" w:hAnsi="宋体" w:eastAsia="宋体" w:cs="宋体"/>
          <w:snapToGrid w:val="0"/>
          <w:color w:val="000000"/>
          <w:kern w:val="0"/>
          <w:sz w:val="31"/>
          <w:szCs w:val="31"/>
          <w:lang w:val="en-US" w:eastAsia="en-US" w:bidi="ar-SA"/>
        </w:rPr>
      </w:pPr>
      <w:r>
        <w:rPr>
          <w:rFonts w:hint="eastAsia" w:ascii="宋体" w:hAnsi="宋体" w:eastAsia="宋体" w:cs="宋体"/>
          <w:snapToGrid w:val="0"/>
          <w:color w:val="000000"/>
          <w:spacing w:val="5"/>
          <w:kern w:val="0"/>
          <w:sz w:val="31"/>
          <w:szCs w:val="31"/>
          <w:lang w:val="en-US" w:eastAsia="en-US" w:bidi="ar-SA"/>
        </w:rPr>
        <w:t>项目名称：</w:t>
      </w:r>
      <w:r>
        <w:rPr>
          <w:rFonts w:hint="eastAsia" w:ascii="宋体" w:hAnsi="宋体" w:eastAsia="宋体" w:cs="宋体"/>
          <w:snapToGrid w:val="0"/>
          <w:color w:val="000000"/>
          <w:kern w:val="0"/>
          <w:sz w:val="31"/>
          <w:szCs w:val="31"/>
          <w:u w:val="single" w:color="auto"/>
          <w:lang w:val="en-US" w:eastAsia="en-US" w:bidi="ar-SA"/>
        </w:rPr>
        <w:tab/>
      </w:r>
      <w:r>
        <w:rPr>
          <w:rFonts w:hint="eastAsia" w:ascii="宋体" w:hAnsi="宋体" w:eastAsia="宋体" w:cs="宋体"/>
          <w:snapToGrid w:val="0"/>
          <w:color w:val="000000"/>
          <w:kern w:val="0"/>
          <w:sz w:val="31"/>
          <w:szCs w:val="31"/>
          <w:lang w:val="en-US" w:eastAsia="en-US" w:bidi="ar-SA"/>
        </w:rPr>
        <w:t xml:space="preserve"> </w:t>
      </w:r>
      <w:r>
        <w:rPr>
          <w:rFonts w:hint="eastAsia" w:ascii="宋体" w:hAnsi="宋体" w:eastAsia="宋体" w:cs="宋体"/>
          <w:snapToGrid w:val="0"/>
          <w:color w:val="000000"/>
          <w:spacing w:val="4"/>
          <w:kern w:val="0"/>
          <w:sz w:val="31"/>
          <w:szCs w:val="31"/>
          <w:lang w:val="en-US" w:eastAsia="en-US" w:bidi="ar-SA"/>
        </w:rPr>
        <w:t>合同编号：</w:t>
      </w:r>
      <w:r>
        <w:rPr>
          <w:rFonts w:hint="eastAsia" w:ascii="宋体" w:hAnsi="宋体" w:eastAsia="宋体" w:cs="宋体"/>
          <w:snapToGrid w:val="0"/>
          <w:color w:val="000000"/>
          <w:kern w:val="0"/>
          <w:sz w:val="31"/>
          <w:szCs w:val="31"/>
          <w:u w:val="single" w:color="auto"/>
          <w:lang w:val="en-US" w:eastAsia="en-US" w:bidi="ar-SA"/>
        </w:rPr>
        <w:tab/>
      </w:r>
      <w:r>
        <w:rPr>
          <w:rFonts w:hint="eastAsia" w:ascii="宋体" w:hAnsi="宋体" w:eastAsia="宋体" w:cs="宋体"/>
          <w:snapToGrid w:val="0"/>
          <w:color w:val="000000"/>
          <w:kern w:val="0"/>
          <w:sz w:val="31"/>
          <w:szCs w:val="31"/>
          <w:lang w:val="en-US" w:eastAsia="en-US" w:bidi="ar-SA"/>
        </w:rPr>
        <w:t xml:space="preserve"> </w:t>
      </w:r>
      <w:r>
        <w:rPr>
          <w:rFonts w:hint="eastAsia" w:ascii="宋体" w:hAnsi="宋体" w:eastAsia="宋体" w:cs="宋体"/>
          <w:snapToGrid w:val="0"/>
          <w:color w:val="000000"/>
          <w:spacing w:val="-25"/>
          <w:kern w:val="0"/>
          <w:sz w:val="31"/>
          <w:szCs w:val="31"/>
          <w:lang w:val="en-US" w:eastAsia="en-US" w:bidi="ar-SA"/>
        </w:rPr>
        <w:t>甲</w:t>
      </w:r>
      <w:r>
        <w:rPr>
          <w:rFonts w:hint="eastAsia" w:ascii="宋体" w:hAnsi="宋体" w:eastAsia="宋体" w:cs="宋体"/>
          <w:snapToGrid w:val="0"/>
          <w:color w:val="000000"/>
          <w:spacing w:val="12"/>
          <w:kern w:val="0"/>
          <w:sz w:val="31"/>
          <w:szCs w:val="31"/>
          <w:lang w:val="en-US" w:eastAsia="en-US" w:bidi="ar-SA"/>
        </w:rPr>
        <w:t xml:space="preserve">    </w:t>
      </w:r>
      <w:r>
        <w:rPr>
          <w:rFonts w:hint="eastAsia" w:ascii="宋体" w:hAnsi="宋体" w:eastAsia="宋体" w:cs="宋体"/>
          <w:snapToGrid w:val="0"/>
          <w:color w:val="000000"/>
          <w:spacing w:val="-25"/>
          <w:kern w:val="0"/>
          <w:sz w:val="31"/>
          <w:szCs w:val="31"/>
          <w:lang w:val="en-US" w:eastAsia="en-US" w:bidi="ar-SA"/>
        </w:rPr>
        <w:t>方</w:t>
      </w:r>
      <w:r>
        <w:rPr>
          <w:rFonts w:hint="eastAsia" w:ascii="宋体" w:hAnsi="宋体" w:eastAsia="宋体" w:cs="宋体"/>
          <w:snapToGrid w:val="0"/>
          <w:color w:val="000000"/>
          <w:spacing w:val="-108"/>
          <w:kern w:val="0"/>
          <w:sz w:val="31"/>
          <w:szCs w:val="31"/>
          <w:lang w:val="en-US" w:eastAsia="en-US" w:bidi="ar-SA"/>
        </w:rPr>
        <w:t xml:space="preserve"> </w:t>
      </w:r>
      <w:r>
        <w:rPr>
          <w:rFonts w:hint="eastAsia" w:ascii="宋体" w:hAnsi="宋体" w:eastAsia="宋体" w:cs="宋体"/>
          <w:snapToGrid w:val="0"/>
          <w:color w:val="000000"/>
          <w:spacing w:val="-25"/>
          <w:kern w:val="0"/>
          <w:sz w:val="31"/>
          <w:szCs w:val="31"/>
          <w:lang w:val="en-US" w:eastAsia="en-US" w:bidi="ar-SA"/>
        </w:rPr>
        <w:t>：</w:t>
      </w:r>
      <w:r>
        <w:rPr>
          <w:rFonts w:hint="eastAsia" w:ascii="宋体" w:hAnsi="宋体" w:eastAsia="宋体" w:cs="宋体"/>
          <w:snapToGrid w:val="0"/>
          <w:color w:val="000000"/>
          <w:kern w:val="0"/>
          <w:sz w:val="31"/>
          <w:szCs w:val="31"/>
          <w:u w:val="single" w:color="auto"/>
          <w:lang w:val="en-US" w:eastAsia="en-US" w:bidi="ar-SA"/>
        </w:rPr>
        <w:tab/>
      </w:r>
      <w:r>
        <w:rPr>
          <w:rFonts w:hint="eastAsia" w:ascii="宋体" w:hAnsi="宋体" w:eastAsia="宋体" w:cs="宋体"/>
          <w:snapToGrid w:val="0"/>
          <w:color w:val="000000"/>
          <w:kern w:val="0"/>
          <w:sz w:val="31"/>
          <w:szCs w:val="31"/>
          <w:lang w:val="en-US" w:eastAsia="en-US" w:bidi="ar-SA"/>
        </w:rPr>
        <w:t xml:space="preserve"> </w:t>
      </w:r>
      <w:r>
        <w:rPr>
          <w:rFonts w:hint="eastAsia" w:ascii="宋体" w:hAnsi="宋体" w:eastAsia="宋体" w:cs="宋体"/>
          <w:snapToGrid w:val="0"/>
          <w:color w:val="000000"/>
          <w:spacing w:val="-25"/>
          <w:kern w:val="0"/>
          <w:sz w:val="31"/>
          <w:szCs w:val="31"/>
          <w:lang w:val="en-US" w:eastAsia="en-US" w:bidi="ar-SA"/>
        </w:rPr>
        <w:t>乙</w:t>
      </w:r>
      <w:r>
        <w:rPr>
          <w:rFonts w:hint="eastAsia" w:ascii="宋体" w:hAnsi="宋体" w:eastAsia="宋体" w:cs="宋体"/>
          <w:snapToGrid w:val="0"/>
          <w:color w:val="000000"/>
          <w:spacing w:val="12"/>
          <w:kern w:val="0"/>
          <w:sz w:val="31"/>
          <w:szCs w:val="31"/>
          <w:lang w:val="en-US" w:eastAsia="en-US" w:bidi="ar-SA"/>
        </w:rPr>
        <w:t xml:space="preserve">    </w:t>
      </w:r>
      <w:r>
        <w:rPr>
          <w:rFonts w:hint="eastAsia" w:ascii="宋体" w:hAnsi="宋体" w:eastAsia="宋体" w:cs="宋体"/>
          <w:snapToGrid w:val="0"/>
          <w:color w:val="000000"/>
          <w:spacing w:val="-25"/>
          <w:kern w:val="0"/>
          <w:sz w:val="31"/>
          <w:szCs w:val="31"/>
          <w:lang w:val="en-US" w:eastAsia="en-US" w:bidi="ar-SA"/>
        </w:rPr>
        <w:t>方</w:t>
      </w:r>
      <w:r>
        <w:rPr>
          <w:rFonts w:hint="eastAsia" w:ascii="宋体" w:hAnsi="宋体" w:eastAsia="宋体" w:cs="宋体"/>
          <w:snapToGrid w:val="0"/>
          <w:color w:val="000000"/>
          <w:spacing w:val="-108"/>
          <w:kern w:val="0"/>
          <w:sz w:val="31"/>
          <w:szCs w:val="31"/>
          <w:lang w:val="en-US" w:eastAsia="en-US" w:bidi="ar-SA"/>
        </w:rPr>
        <w:t xml:space="preserve"> </w:t>
      </w:r>
      <w:r>
        <w:rPr>
          <w:rFonts w:hint="eastAsia" w:ascii="宋体" w:hAnsi="宋体" w:eastAsia="宋体" w:cs="宋体"/>
          <w:snapToGrid w:val="0"/>
          <w:color w:val="000000"/>
          <w:spacing w:val="-25"/>
          <w:kern w:val="0"/>
          <w:sz w:val="31"/>
          <w:szCs w:val="31"/>
          <w:lang w:val="en-US" w:eastAsia="en-US" w:bidi="ar-SA"/>
        </w:rPr>
        <w:t>：</w:t>
      </w:r>
      <w:r>
        <w:rPr>
          <w:rFonts w:hint="eastAsia" w:ascii="宋体" w:hAnsi="宋体" w:eastAsia="宋体" w:cs="宋体"/>
          <w:snapToGrid w:val="0"/>
          <w:color w:val="000000"/>
          <w:kern w:val="0"/>
          <w:sz w:val="31"/>
          <w:szCs w:val="31"/>
          <w:u w:val="single" w:color="auto"/>
          <w:lang w:val="en-US" w:eastAsia="en-US" w:bidi="ar-SA"/>
        </w:rPr>
        <w:tab/>
      </w:r>
      <w:r>
        <w:rPr>
          <w:rFonts w:hint="eastAsia" w:ascii="宋体" w:hAnsi="宋体" w:eastAsia="宋体" w:cs="宋体"/>
          <w:snapToGrid w:val="0"/>
          <w:color w:val="000000"/>
          <w:kern w:val="0"/>
          <w:sz w:val="31"/>
          <w:szCs w:val="31"/>
          <w:lang w:val="en-US" w:eastAsia="en-US" w:bidi="ar-SA"/>
        </w:rPr>
        <w:t xml:space="preserve"> </w:t>
      </w:r>
      <w:r>
        <w:rPr>
          <w:rFonts w:hint="eastAsia" w:ascii="宋体" w:hAnsi="宋体" w:eastAsia="宋体" w:cs="宋体"/>
          <w:snapToGrid w:val="0"/>
          <w:color w:val="000000"/>
          <w:spacing w:val="4"/>
          <w:kern w:val="0"/>
          <w:sz w:val="31"/>
          <w:szCs w:val="31"/>
          <w:lang w:val="en-US" w:eastAsia="en-US" w:bidi="ar-SA"/>
        </w:rPr>
        <w:t>签订时间：</w:t>
      </w:r>
      <w:r>
        <w:rPr>
          <w:rFonts w:hint="eastAsia" w:ascii="宋体" w:hAnsi="宋体" w:eastAsia="宋体" w:cs="宋体"/>
          <w:snapToGrid w:val="0"/>
          <w:color w:val="000000"/>
          <w:kern w:val="0"/>
          <w:sz w:val="31"/>
          <w:szCs w:val="31"/>
          <w:u w:val="single" w:color="auto"/>
          <w:lang w:val="en-US" w:eastAsia="en-US" w:bidi="ar-SA"/>
        </w:rPr>
        <w:t xml:space="preserve">                              </w:t>
      </w:r>
    </w:p>
    <w:p w14:paraId="784DB860">
      <w:pPr>
        <w:spacing w:line="372" w:lineRule="auto"/>
        <w:rPr>
          <w:rFonts w:hint="eastAsia" w:ascii="宋体" w:hAnsi="宋体" w:eastAsia="宋体" w:cs="宋体"/>
          <w:sz w:val="31"/>
          <w:szCs w:val="31"/>
        </w:rPr>
        <w:sectPr>
          <w:pgSz w:w="11906" w:h="16839"/>
          <w:pgMar w:top="1431" w:right="1785" w:bottom="1156" w:left="1785" w:header="0" w:footer="994" w:gutter="0"/>
          <w:pgNumType w:fmt="decimal"/>
          <w:cols w:space="720" w:num="1"/>
        </w:sectPr>
      </w:pPr>
    </w:p>
    <w:p w14:paraId="64C145BA">
      <w:pPr>
        <w:keepNext/>
        <w:keepLines w:val="0"/>
        <w:pageBreakBefore w:val="0"/>
        <w:widowControl w:val="0"/>
        <w:kinsoku w:val="0"/>
        <w:wordWrap/>
        <w:overflowPunct/>
        <w:topLinePunct w:val="0"/>
        <w:autoSpaceDE w:val="0"/>
        <w:autoSpaceDN w:val="0"/>
        <w:bidi w:val="0"/>
        <w:adjustRightInd w:val="0"/>
        <w:snapToGrid w:val="0"/>
        <w:spacing w:before="0" w:line="228" w:lineRule="auto"/>
        <w:ind w:left="0" w:right="0"/>
        <w:jc w:val="center"/>
        <w:textAlignment w:val="baseline"/>
        <w:outlineLvl w:val="9"/>
        <w:rPr>
          <w:rFonts w:hint="eastAsia" w:ascii="宋体" w:hAnsi="宋体" w:eastAsia="宋体" w:cs="宋体"/>
          <w:snapToGrid w:val="0"/>
          <w:color w:val="000000"/>
          <w:kern w:val="0"/>
          <w:sz w:val="30"/>
          <w:szCs w:val="30"/>
          <w:lang w:val="en-US" w:eastAsia="en-US" w:bidi="ar-SA"/>
        </w:rPr>
      </w:pPr>
      <w:r>
        <w:rPr>
          <w:rFonts w:hint="eastAsia" w:ascii="宋体" w:hAnsi="宋体" w:eastAsia="宋体" w:cs="宋体"/>
          <w:b/>
          <w:bCs/>
          <w:snapToGrid w:val="0"/>
          <w:color w:val="000000"/>
          <w:spacing w:val="4"/>
          <w:kern w:val="0"/>
          <w:sz w:val="30"/>
          <w:szCs w:val="30"/>
          <w:lang w:val="en-US" w:eastAsia="en-US" w:bidi="ar-SA"/>
        </w:rPr>
        <w:t>第一节</w:t>
      </w:r>
      <w:r>
        <w:rPr>
          <w:rFonts w:hint="eastAsia" w:ascii="宋体" w:hAnsi="宋体" w:eastAsia="宋体" w:cs="宋体"/>
          <w:snapToGrid w:val="0"/>
          <w:color w:val="000000"/>
          <w:spacing w:val="4"/>
          <w:kern w:val="0"/>
          <w:sz w:val="30"/>
          <w:szCs w:val="30"/>
          <w:lang w:val="en-US" w:eastAsia="en-US" w:bidi="ar-SA"/>
        </w:rPr>
        <w:t xml:space="preserve"> </w:t>
      </w:r>
      <w:r>
        <w:rPr>
          <w:rFonts w:hint="eastAsia" w:ascii="宋体" w:hAnsi="宋体" w:eastAsia="宋体" w:cs="宋体"/>
          <w:b/>
          <w:bCs/>
          <w:snapToGrid w:val="0"/>
          <w:color w:val="000000"/>
          <w:spacing w:val="4"/>
          <w:kern w:val="0"/>
          <w:sz w:val="30"/>
          <w:szCs w:val="30"/>
          <w:lang w:val="en-US" w:eastAsia="en-US" w:bidi="ar-SA"/>
        </w:rPr>
        <w:t>政府采购合同协议书</w:t>
      </w:r>
    </w:p>
    <w:p w14:paraId="16C1C017">
      <w:pPr>
        <w:keepNext/>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rPr>
          <w:rFonts w:hint="eastAsia" w:ascii="宋体" w:hAnsi="宋体" w:eastAsia="宋体" w:cs="宋体"/>
          <w:snapToGrid w:val="0"/>
          <w:color w:val="000000"/>
          <w:kern w:val="0"/>
          <w:sz w:val="21"/>
          <w:szCs w:val="21"/>
          <w:lang w:eastAsia="en-US"/>
        </w:rPr>
      </w:pPr>
    </w:p>
    <w:p w14:paraId="2EB1E1D4">
      <w:pPr>
        <w:keepNext/>
        <w:keepLines w:val="0"/>
        <w:pageBreakBefore w:val="0"/>
        <w:widowControl w:val="0"/>
        <w:kinsoku w:val="0"/>
        <w:wordWrap/>
        <w:overflowPunct/>
        <w:topLinePunct w:val="0"/>
        <w:autoSpaceDE w:val="0"/>
        <w:autoSpaceDN w:val="0"/>
        <w:bidi w:val="0"/>
        <w:adjustRightInd/>
        <w:snapToGrid w:val="0"/>
        <w:spacing w:before="0" w:line="360" w:lineRule="auto"/>
        <w:ind w:left="0" w:right="0" w:firstLine="456"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甲方（全称</w:t>
      </w:r>
      <w:r>
        <w:rPr>
          <w:rFonts w:hint="eastAsia" w:ascii="宋体" w:hAnsi="宋体" w:eastAsia="宋体" w:cs="宋体"/>
          <w:snapToGrid w:val="0"/>
          <w:color w:val="000000"/>
          <w:spacing w:val="-11"/>
          <w:kern w:val="0"/>
          <w:sz w:val="21"/>
          <w:szCs w:val="21"/>
          <w:lang w:val="en-US" w:eastAsia="en-US" w:bidi="ar-SA"/>
        </w:rPr>
        <w:t>）</w:t>
      </w:r>
      <w:r>
        <w:rPr>
          <w:rFonts w:hint="eastAsia" w:ascii="宋体" w:hAnsi="宋体" w:eastAsia="宋体" w:cs="宋体"/>
          <w:snapToGrid w:val="0"/>
          <w:color w:val="000000"/>
          <w:spacing w:val="-57"/>
          <w:kern w:val="0"/>
          <w:sz w:val="21"/>
          <w:szCs w:val="21"/>
          <w:lang w:val="en-US" w:eastAsia="en-US" w:bidi="ar-SA"/>
        </w:rPr>
        <w:t xml:space="preserve"> </w:t>
      </w:r>
      <w:r>
        <w:rPr>
          <w:rFonts w:hint="eastAsia" w:ascii="宋体" w:hAnsi="宋体" w:eastAsia="宋体" w:cs="宋体"/>
          <w:snapToGrid w:val="0"/>
          <w:color w:val="000000"/>
          <w:spacing w:val="-11"/>
          <w:kern w:val="0"/>
          <w:sz w:val="21"/>
          <w:szCs w:val="21"/>
          <w:lang w:val="en-US" w:eastAsia="en-US" w:bidi="ar-SA"/>
        </w:rPr>
        <w:t>：</w:t>
      </w:r>
      <w:r>
        <w:rPr>
          <w:rFonts w:hint="eastAsia" w:ascii="宋体" w:hAnsi="宋体" w:eastAsia="宋体" w:cs="宋体"/>
          <w:snapToGrid w:val="0"/>
          <w:color w:val="000000"/>
          <w:spacing w:val="1"/>
          <w:kern w:val="0"/>
          <w:sz w:val="21"/>
          <w:szCs w:val="21"/>
          <w:u w:val="single" w:color="auto"/>
          <w:lang w:val="en-US" w:eastAsia="en-US" w:bidi="ar-SA"/>
        </w:rPr>
        <w:t xml:space="preserve">                   </w:t>
      </w:r>
      <w:r>
        <w:rPr>
          <w:rFonts w:hint="eastAsia" w:ascii="宋体" w:hAnsi="宋体" w:eastAsia="宋体" w:cs="宋体"/>
          <w:snapToGrid w:val="0"/>
          <w:color w:val="000000"/>
          <w:kern w:val="0"/>
          <w:sz w:val="21"/>
          <w:szCs w:val="21"/>
          <w:u w:val="single" w:color="auto"/>
          <w:lang w:val="en-US" w:eastAsia="en-US" w:bidi="ar-SA"/>
        </w:rPr>
        <w:t xml:space="preserve">      </w:t>
      </w:r>
      <w:r>
        <w:rPr>
          <w:rFonts w:hint="eastAsia" w:ascii="宋体" w:hAnsi="宋体" w:eastAsia="宋体" w:cs="宋体"/>
          <w:snapToGrid w:val="0"/>
          <w:color w:val="000000"/>
          <w:spacing w:val="-11"/>
          <w:kern w:val="0"/>
          <w:sz w:val="21"/>
          <w:szCs w:val="21"/>
          <w:lang w:val="en-US" w:eastAsia="en-US" w:bidi="ar-SA"/>
        </w:rPr>
        <w:t>（</w:t>
      </w:r>
      <w:r>
        <w:rPr>
          <w:rFonts w:hint="eastAsia" w:ascii="宋体" w:hAnsi="宋体" w:eastAsia="宋体" w:cs="宋体"/>
          <w:snapToGrid w:val="0"/>
          <w:color w:val="000000"/>
          <w:spacing w:val="9"/>
          <w:kern w:val="0"/>
          <w:sz w:val="21"/>
          <w:szCs w:val="21"/>
          <w:lang w:val="en-US" w:eastAsia="en-US" w:bidi="ar-SA"/>
        </w:rPr>
        <w:t>采购人、受采购人委托签订合同的单位或采购</w:t>
      </w:r>
      <w:r>
        <w:rPr>
          <w:rFonts w:hint="eastAsia" w:ascii="宋体" w:hAnsi="宋体" w:eastAsia="宋体" w:cs="宋体"/>
          <w:snapToGrid w:val="0"/>
          <w:color w:val="000000"/>
          <w:spacing w:val="7"/>
          <w:kern w:val="0"/>
          <w:sz w:val="21"/>
          <w:szCs w:val="21"/>
          <w:lang w:val="en-US" w:eastAsia="en-US" w:bidi="ar-SA"/>
        </w:rPr>
        <w:t>文件约定的合同甲方）</w:t>
      </w:r>
    </w:p>
    <w:p w14:paraId="52B80185">
      <w:pPr>
        <w:keepNext/>
        <w:keepLines w:val="0"/>
        <w:pageBreakBefore w:val="0"/>
        <w:widowControl w:val="0"/>
        <w:kinsoku w:val="0"/>
        <w:wordWrap/>
        <w:overflowPunct/>
        <w:topLinePunct w:val="0"/>
        <w:autoSpaceDE w:val="0"/>
        <w:autoSpaceDN w:val="0"/>
        <w:bidi w:val="0"/>
        <w:adjustRightInd/>
        <w:snapToGrid w:val="0"/>
        <w:spacing w:before="0" w:line="360" w:lineRule="auto"/>
        <w:ind w:left="0" w:leftChars="0" w:right="0" w:firstLine="444"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乙方</w:t>
      </w:r>
      <w:r>
        <w:rPr>
          <w:rFonts w:hint="eastAsia" w:ascii="宋体" w:hAnsi="宋体" w:eastAsia="宋体" w:cs="宋体"/>
          <w:snapToGrid w:val="0"/>
          <w:color w:val="000000"/>
          <w:spacing w:val="-24"/>
          <w:kern w:val="0"/>
          <w:sz w:val="21"/>
          <w:szCs w:val="21"/>
          <w:lang w:val="en-US" w:eastAsia="en-US" w:bidi="ar-SA"/>
        </w:rPr>
        <w:t xml:space="preserve"> </w:t>
      </w:r>
      <w:r>
        <w:rPr>
          <w:rFonts w:hint="eastAsia" w:ascii="宋体" w:hAnsi="宋体" w:eastAsia="宋体" w:cs="宋体"/>
          <w:snapToGrid w:val="0"/>
          <w:color w:val="000000"/>
          <w:spacing w:val="6"/>
          <w:kern w:val="0"/>
          <w:sz w:val="21"/>
          <w:szCs w:val="21"/>
          <w:lang w:val="en-US" w:eastAsia="en-US" w:bidi="ar-SA"/>
        </w:rPr>
        <w:t>1（全称</w:t>
      </w:r>
      <w:r>
        <w:rPr>
          <w:rFonts w:hint="eastAsia" w:ascii="宋体" w:hAnsi="宋体" w:eastAsia="宋体" w:cs="宋体"/>
          <w:snapToGrid w:val="0"/>
          <w:color w:val="000000"/>
          <w:spacing w:val="-14"/>
          <w:kern w:val="0"/>
          <w:sz w:val="21"/>
          <w:szCs w:val="21"/>
          <w:lang w:val="en-US" w:eastAsia="en-US" w:bidi="ar-SA"/>
        </w:rPr>
        <w:t>）</w:t>
      </w:r>
      <w:r>
        <w:rPr>
          <w:rFonts w:hint="eastAsia" w:ascii="宋体" w:hAnsi="宋体" w:eastAsia="宋体" w:cs="宋体"/>
          <w:snapToGrid w:val="0"/>
          <w:color w:val="000000"/>
          <w:spacing w:val="-60"/>
          <w:kern w:val="0"/>
          <w:sz w:val="21"/>
          <w:szCs w:val="21"/>
          <w:lang w:val="en-US" w:eastAsia="en-US" w:bidi="ar-SA"/>
        </w:rPr>
        <w:t xml:space="preserve"> </w:t>
      </w:r>
      <w:r>
        <w:rPr>
          <w:rFonts w:hint="eastAsia" w:ascii="宋体" w:hAnsi="宋体" w:eastAsia="宋体" w:cs="宋体"/>
          <w:snapToGrid w:val="0"/>
          <w:color w:val="000000"/>
          <w:spacing w:val="-14"/>
          <w:kern w:val="0"/>
          <w:sz w:val="21"/>
          <w:szCs w:val="21"/>
          <w:lang w:val="en-US" w:eastAsia="en-US" w:bidi="ar-SA"/>
        </w:rPr>
        <w:t>：</w:t>
      </w:r>
      <w:r>
        <w:rPr>
          <w:rFonts w:hint="eastAsia" w:ascii="宋体" w:hAnsi="宋体" w:eastAsia="宋体" w:cs="宋体"/>
          <w:snapToGrid w:val="0"/>
          <w:color w:val="000000"/>
          <w:kern w:val="0"/>
          <w:sz w:val="21"/>
          <w:szCs w:val="21"/>
          <w:u w:val="single" w:color="auto"/>
          <w:lang w:val="en-US" w:eastAsia="en-US" w:bidi="ar-SA"/>
        </w:rPr>
        <w:t xml:space="preserve">                        </w:t>
      </w:r>
      <w:r>
        <w:rPr>
          <w:rFonts w:hint="eastAsia" w:ascii="宋体" w:hAnsi="宋体" w:eastAsia="宋体" w:cs="宋体"/>
          <w:snapToGrid w:val="0"/>
          <w:color w:val="000000"/>
          <w:spacing w:val="-14"/>
          <w:kern w:val="0"/>
          <w:sz w:val="21"/>
          <w:szCs w:val="21"/>
          <w:lang w:val="en-US" w:eastAsia="en-US" w:bidi="ar-SA"/>
        </w:rPr>
        <w:t>（</w:t>
      </w:r>
      <w:r>
        <w:rPr>
          <w:rFonts w:hint="eastAsia" w:ascii="宋体" w:hAnsi="宋体" w:eastAsia="宋体" w:cs="宋体"/>
          <w:snapToGrid w:val="0"/>
          <w:color w:val="000000"/>
          <w:spacing w:val="6"/>
          <w:kern w:val="0"/>
          <w:sz w:val="21"/>
          <w:szCs w:val="21"/>
          <w:lang w:val="en-US" w:eastAsia="en-US" w:bidi="ar-SA"/>
        </w:rPr>
        <w:t>供应商）</w:t>
      </w:r>
    </w:p>
    <w:p w14:paraId="3A8FF94E">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根据《中华人民共和国政府采购法</w:t>
      </w:r>
      <w:r>
        <w:rPr>
          <w:rFonts w:hint="eastAsia" w:ascii="宋体" w:hAnsi="宋体" w:cs="宋体"/>
          <w:snapToGrid w:val="0"/>
          <w:color w:val="000000"/>
          <w:spacing w:val="7"/>
          <w:kern w:val="0"/>
          <w:sz w:val="21"/>
          <w:szCs w:val="21"/>
          <w:lang w:val="en-US" w:eastAsia="zh-CN" w:bidi="ar-SA"/>
        </w:rPr>
        <w:t>》《</w:t>
      </w:r>
      <w:r>
        <w:rPr>
          <w:rFonts w:hint="eastAsia" w:ascii="宋体" w:hAnsi="宋体" w:eastAsia="宋体" w:cs="宋体"/>
          <w:snapToGrid w:val="0"/>
          <w:color w:val="000000"/>
          <w:spacing w:val="7"/>
          <w:kern w:val="0"/>
          <w:sz w:val="21"/>
          <w:szCs w:val="21"/>
          <w:lang w:val="en-US" w:eastAsia="en-US" w:bidi="ar-SA"/>
        </w:rPr>
        <w:t>中华人民共和国民法典》及其他有关法律法规之规定，本合同当事人遵循平等、自愿、公平和诚实信用原则，在本项目经过政府采购的基础上，经协商一致，同意按下述条款和条件签署本合同：</w:t>
      </w:r>
    </w:p>
    <w:p w14:paraId="18DE0B1B">
      <w:pPr>
        <w:keepNext/>
        <w:keepLines w:val="0"/>
        <w:pageBreakBefore w:val="0"/>
        <w:widowControl w:val="0"/>
        <w:kinsoku w:val="0"/>
        <w:wordWrap/>
        <w:overflowPunct/>
        <w:topLinePunct/>
        <w:autoSpaceDE w:val="0"/>
        <w:autoSpaceDN w:val="0"/>
        <w:bidi w:val="0"/>
        <w:adjustRightInd/>
        <w:snapToGrid w:val="0"/>
        <w:spacing w:before="0" w:line="360" w:lineRule="auto"/>
        <w:ind w:right="0"/>
        <w:jc w:val="both"/>
        <w:textAlignment w:val="baseline"/>
        <w:rPr>
          <w:rFonts w:hint="eastAsia" w:ascii="宋体" w:hAnsi="宋体" w:eastAsia="宋体" w:cs="宋体"/>
          <w:b/>
          <w:bCs/>
          <w:snapToGrid w:val="0"/>
          <w:color w:val="000000"/>
          <w:kern w:val="0"/>
          <w:sz w:val="21"/>
          <w:szCs w:val="21"/>
          <w:lang w:val="en-US" w:eastAsia="en-US" w:bidi="ar-SA"/>
        </w:rPr>
      </w:pPr>
      <w:r>
        <w:rPr>
          <w:rFonts w:hint="eastAsia" w:ascii="宋体" w:hAnsi="宋体" w:eastAsia="宋体" w:cs="宋体"/>
          <w:b/>
          <w:bCs/>
          <w:snapToGrid w:val="0"/>
          <w:color w:val="000000"/>
          <w:spacing w:val="-1"/>
          <w:kern w:val="0"/>
          <w:sz w:val="21"/>
          <w:szCs w:val="21"/>
          <w:lang w:val="en-US" w:eastAsia="zh-CN" w:bidi="ar-SA"/>
        </w:rPr>
        <w:t>一、</w:t>
      </w:r>
      <w:r>
        <w:rPr>
          <w:rFonts w:hint="eastAsia" w:ascii="宋体" w:hAnsi="宋体" w:eastAsia="宋体" w:cs="宋体"/>
          <w:b/>
          <w:bCs/>
          <w:snapToGrid w:val="0"/>
          <w:color w:val="000000"/>
          <w:spacing w:val="-1"/>
          <w:kern w:val="0"/>
          <w:sz w:val="21"/>
          <w:szCs w:val="21"/>
          <w:lang w:val="en-US" w:eastAsia="en-US" w:bidi="ar-SA"/>
        </w:rPr>
        <w:t>定义</w:t>
      </w:r>
    </w:p>
    <w:p w14:paraId="7BC6EBEC">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本合同中的下列词语应按以下内容进行解释：</w:t>
      </w:r>
    </w:p>
    <w:p w14:paraId="0749413D">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4"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1.1 “合同</w:t>
      </w:r>
      <w:r>
        <w:rPr>
          <w:rFonts w:hint="eastAsia" w:ascii="宋体" w:hAnsi="宋体" w:eastAsia="宋体" w:cs="宋体"/>
          <w:snapToGrid w:val="0"/>
          <w:color w:val="000000"/>
          <w:spacing w:val="-64"/>
          <w:kern w:val="0"/>
          <w:sz w:val="21"/>
          <w:szCs w:val="21"/>
          <w:lang w:val="en-US" w:eastAsia="en-US" w:bidi="ar-SA"/>
        </w:rPr>
        <w:t xml:space="preserve"> </w:t>
      </w:r>
      <w:r>
        <w:rPr>
          <w:rFonts w:hint="eastAsia" w:ascii="宋体" w:hAnsi="宋体" w:eastAsia="宋体" w:cs="宋体"/>
          <w:snapToGrid w:val="0"/>
          <w:color w:val="000000"/>
          <w:spacing w:val="6"/>
          <w:kern w:val="0"/>
          <w:sz w:val="21"/>
          <w:szCs w:val="21"/>
          <w:lang w:val="en-US" w:eastAsia="en-US" w:bidi="ar-SA"/>
        </w:rPr>
        <w:t>”系指采购人和中标（成交）供应商签订的载明双方当事人所达成的协议，并包括所有</w:t>
      </w:r>
      <w:r>
        <w:rPr>
          <w:rFonts w:hint="eastAsia" w:ascii="宋体" w:hAnsi="宋体" w:eastAsia="宋体" w:cs="宋体"/>
          <w:snapToGrid w:val="0"/>
          <w:color w:val="000000"/>
          <w:spacing w:val="7"/>
          <w:kern w:val="0"/>
          <w:sz w:val="21"/>
          <w:szCs w:val="21"/>
          <w:lang w:val="en-US" w:eastAsia="en-US" w:bidi="ar-SA"/>
        </w:rPr>
        <w:t>的附件、附录和构成合同的其他文件。</w:t>
      </w:r>
    </w:p>
    <w:p w14:paraId="79684BDE">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4"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1.</w:t>
      </w:r>
      <w:r>
        <w:rPr>
          <w:rFonts w:hint="eastAsia" w:ascii="宋体" w:hAnsi="宋体" w:eastAsia="宋体" w:cs="宋体"/>
          <w:snapToGrid w:val="0"/>
          <w:color w:val="000000"/>
          <w:spacing w:val="6"/>
          <w:kern w:val="0"/>
          <w:sz w:val="21"/>
          <w:szCs w:val="21"/>
          <w:lang w:val="en-US" w:eastAsia="zh-CN" w:bidi="ar-SA"/>
        </w:rPr>
        <w:t>2</w:t>
      </w:r>
      <w:r>
        <w:rPr>
          <w:rFonts w:hint="eastAsia" w:ascii="宋体" w:hAnsi="宋体" w:eastAsia="宋体" w:cs="宋体"/>
          <w:snapToGrid w:val="0"/>
          <w:color w:val="000000"/>
          <w:spacing w:val="6"/>
          <w:kern w:val="0"/>
          <w:sz w:val="21"/>
          <w:szCs w:val="21"/>
          <w:lang w:val="en-US" w:eastAsia="en-US" w:bidi="ar-SA"/>
        </w:rPr>
        <w:t xml:space="preserve"> “服务</w:t>
      </w:r>
      <w:r>
        <w:rPr>
          <w:rFonts w:hint="eastAsia" w:ascii="宋体" w:hAnsi="宋体" w:eastAsia="宋体" w:cs="宋体"/>
          <w:snapToGrid w:val="0"/>
          <w:color w:val="000000"/>
          <w:spacing w:val="-61"/>
          <w:kern w:val="0"/>
          <w:sz w:val="21"/>
          <w:szCs w:val="21"/>
          <w:lang w:val="en-US" w:eastAsia="en-US" w:bidi="ar-SA"/>
        </w:rPr>
        <w:t xml:space="preserve"> </w:t>
      </w:r>
      <w:r>
        <w:rPr>
          <w:rFonts w:hint="eastAsia" w:ascii="宋体" w:hAnsi="宋体" w:eastAsia="宋体" w:cs="宋体"/>
          <w:snapToGrid w:val="0"/>
          <w:color w:val="000000"/>
          <w:spacing w:val="6"/>
          <w:kern w:val="0"/>
          <w:sz w:val="21"/>
          <w:szCs w:val="21"/>
          <w:lang w:val="en-US" w:eastAsia="en-US" w:bidi="ar-SA"/>
        </w:rPr>
        <w:t>”系指中标（成交）供应商根据合同约定应向采购人履行的除货物和工程以外的其他政</w:t>
      </w:r>
      <w:r>
        <w:rPr>
          <w:rFonts w:hint="eastAsia" w:ascii="宋体" w:hAnsi="宋体" w:eastAsia="宋体" w:cs="宋体"/>
          <w:snapToGrid w:val="0"/>
          <w:color w:val="000000"/>
          <w:spacing w:val="9"/>
          <w:kern w:val="0"/>
          <w:sz w:val="21"/>
          <w:szCs w:val="21"/>
          <w:lang w:val="en-US" w:eastAsia="en-US" w:bidi="ar-SA"/>
        </w:rPr>
        <w:t>府采购对象，包括采购人自身需要的服务和向社会公众提供的公共服务。</w:t>
      </w:r>
    </w:p>
    <w:p w14:paraId="1B39BFFC">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0"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5"/>
          <w:kern w:val="0"/>
          <w:sz w:val="21"/>
          <w:szCs w:val="21"/>
          <w:lang w:val="en-US" w:eastAsia="en-US" w:bidi="ar-SA"/>
        </w:rPr>
        <w:t>1.</w:t>
      </w:r>
      <w:r>
        <w:rPr>
          <w:rFonts w:hint="eastAsia" w:ascii="宋体" w:hAnsi="宋体" w:eastAsia="宋体" w:cs="宋体"/>
          <w:snapToGrid w:val="0"/>
          <w:color w:val="000000"/>
          <w:spacing w:val="5"/>
          <w:kern w:val="0"/>
          <w:sz w:val="21"/>
          <w:szCs w:val="21"/>
          <w:lang w:val="en-US" w:eastAsia="zh-CN" w:bidi="ar-SA"/>
        </w:rPr>
        <w:t>3</w:t>
      </w:r>
      <w:r>
        <w:rPr>
          <w:rFonts w:hint="eastAsia" w:ascii="宋体" w:hAnsi="宋体" w:eastAsia="宋体" w:cs="宋体"/>
          <w:snapToGrid w:val="0"/>
          <w:color w:val="000000"/>
          <w:spacing w:val="5"/>
          <w:kern w:val="0"/>
          <w:sz w:val="21"/>
          <w:szCs w:val="21"/>
          <w:lang w:val="en-US" w:eastAsia="en-US" w:bidi="ar-SA"/>
        </w:rPr>
        <w:t>“</w:t>
      </w:r>
      <w:r>
        <w:rPr>
          <w:rFonts w:hint="eastAsia" w:ascii="宋体" w:hAnsi="宋体" w:eastAsia="宋体" w:cs="宋体"/>
          <w:snapToGrid w:val="0"/>
          <w:color w:val="000000"/>
          <w:spacing w:val="-42"/>
          <w:kern w:val="0"/>
          <w:sz w:val="21"/>
          <w:szCs w:val="21"/>
          <w:lang w:val="en-US" w:eastAsia="en-US" w:bidi="ar-SA"/>
        </w:rPr>
        <w:t xml:space="preserve"> </w:t>
      </w:r>
      <w:r>
        <w:rPr>
          <w:rFonts w:hint="eastAsia" w:ascii="宋体" w:hAnsi="宋体" w:eastAsia="宋体" w:cs="宋体"/>
          <w:snapToGrid w:val="0"/>
          <w:color w:val="000000"/>
          <w:spacing w:val="5"/>
          <w:kern w:val="0"/>
          <w:sz w:val="21"/>
          <w:szCs w:val="21"/>
          <w:lang w:val="en-US" w:eastAsia="en-US" w:bidi="ar-SA"/>
        </w:rPr>
        <w:t>甲方</w:t>
      </w:r>
      <w:r>
        <w:rPr>
          <w:rFonts w:hint="eastAsia" w:ascii="宋体" w:hAnsi="宋体" w:eastAsia="宋体" w:cs="宋体"/>
          <w:snapToGrid w:val="0"/>
          <w:color w:val="000000"/>
          <w:spacing w:val="-70"/>
          <w:kern w:val="0"/>
          <w:sz w:val="21"/>
          <w:szCs w:val="21"/>
          <w:lang w:val="en-US" w:eastAsia="en-US" w:bidi="ar-SA"/>
        </w:rPr>
        <w:t xml:space="preserve"> </w:t>
      </w:r>
      <w:r>
        <w:rPr>
          <w:rFonts w:hint="eastAsia" w:ascii="宋体" w:hAnsi="宋体" w:eastAsia="宋体" w:cs="宋体"/>
          <w:snapToGrid w:val="0"/>
          <w:color w:val="000000"/>
          <w:spacing w:val="5"/>
          <w:kern w:val="0"/>
          <w:sz w:val="21"/>
          <w:szCs w:val="21"/>
          <w:lang w:val="en-US" w:eastAsia="en-US" w:bidi="ar-SA"/>
        </w:rPr>
        <w:t>”系指与中标（成交）供应商签署合同的采购人。</w:t>
      </w:r>
    </w:p>
    <w:p w14:paraId="0E68916E">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4"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1.</w:t>
      </w:r>
      <w:r>
        <w:rPr>
          <w:rFonts w:hint="eastAsia" w:ascii="宋体" w:hAnsi="宋体" w:eastAsia="宋体" w:cs="宋体"/>
          <w:snapToGrid w:val="0"/>
          <w:color w:val="000000"/>
          <w:spacing w:val="6"/>
          <w:kern w:val="0"/>
          <w:sz w:val="21"/>
          <w:szCs w:val="21"/>
          <w:lang w:val="en-US" w:eastAsia="zh-CN" w:bidi="ar-SA"/>
        </w:rPr>
        <w:t>4</w:t>
      </w:r>
      <w:r>
        <w:rPr>
          <w:rFonts w:hint="eastAsia" w:ascii="宋体" w:hAnsi="宋体" w:eastAsia="宋体" w:cs="宋体"/>
          <w:snapToGrid w:val="0"/>
          <w:color w:val="000000"/>
          <w:spacing w:val="6"/>
          <w:kern w:val="0"/>
          <w:sz w:val="21"/>
          <w:szCs w:val="21"/>
          <w:lang w:val="en-US" w:eastAsia="en-US" w:bidi="ar-SA"/>
        </w:rPr>
        <w:t>“</w:t>
      </w:r>
      <w:r>
        <w:rPr>
          <w:rFonts w:hint="eastAsia" w:ascii="宋体" w:hAnsi="宋体" w:eastAsia="宋体" w:cs="宋体"/>
          <w:snapToGrid w:val="0"/>
          <w:color w:val="000000"/>
          <w:spacing w:val="-69"/>
          <w:kern w:val="0"/>
          <w:sz w:val="21"/>
          <w:szCs w:val="21"/>
          <w:lang w:val="en-US" w:eastAsia="en-US" w:bidi="ar-SA"/>
        </w:rPr>
        <w:t xml:space="preserve"> </w:t>
      </w:r>
      <w:r>
        <w:rPr>
          <w:rFonts w:hint="eastAsia" w:ascii="宋体" w:hAnsi="宋体" w:eastAsia="宋体" w:cs="宋体"/>
          <w:snapToGrid w:val="0"/>
          <w:color w:val="000000"/>
          <w:spacing w:val="6"/>
          <w:kern w:val="0"/>
          <w:sz w:val="21"/>
          <w:szCs w:val="21"/>
          <w:lang w:val="en-US" w:eastAsia="en-US" w:bidi="ar-SA"/>
        </w:rPr>
        <w:t>乙方</w:t>
      </w:r>
      <w:r>
        <w:rPr>
          <w:rFonts w:hint="eastAsia" w:ascii="宋体" w:hAnsi="宋体" w:eastAsia="宋体" w:cs="宋体"/>
          <w:snapToGrid w:val="0"/>
          <w:color w:val="000000"/>
          <w:spacing w:val="-70"/>
          <w:kern w:val="0"/>
          <w:sz w:val="21"/>
          <w:szCs w:val="21"/>
          <w:lang w:val="en-US" w:eastAsia="en-US" w:bidi="ar-SA"/>
        </w:rPr>
        <w:t xml:space="preserve"> </w:t>
      </w:r>
      <w:r>
        <w:rPr>
          <w:rFonts w:hint="eastAsia" w:ascii="宋体" w:hAnsi="宋体" w:eastAsia="宋体" w:cs="宋体"/>
          <w:snapToGrid w:val="0"/>
          <w:color w:val="000000"/>
          <w:spacing w:val="6"/>
          <w:kern w:val="0"/>
          <w:sz w:val="21"/>
          <w:szCs w:val="21"/>
          <w:lang w:val="en-US" w:eastAsia="en-US" w:bidi="ar-SA"/>
        </w:rPr>
        <w:t>”系指根据合同约定提供服务的中标</w:t>
      </w:r>
      <w:r>
        <w:rPr>
          <w:rFonts w:hint="eastAsia" w:ascii="宋体" w:hAnsi="宋体" w:eastAsia="宋体" w:cs="宋体"/>
          <w:snapToGrid w:val="0"/>
          <w:color w:val="000000"/>
          <w:spacing w:val="5"/>
          <w:kern w:val="0"/>
          <w:sz w:val="21"/>
          <w:szCs w:val="21"/>
          <w:lang w:val="en-US" w:eastAsia="en-US" w:bidi="ar-SA"/>
        </w:rPr>
        <w:t>（成交）供应商；两个以上的自然人、法人或者其</w:t>
      </w:r>
      <w:r>
        <w:rPr>
          <w:rFonts w:hint="eastAsia" w:ascii="宋体" w:hAnsi="宋体" w:eastAsia="宋体" w:cs="宋体"/>
          <w:snapToGrid w:val="0"/>
          <w:color w:val="000000"/>
          <w:spacing w:val="8"/>
          <w:kern w:val="0"/>
          <w:sz w:val="21"/>
          <w:szCs w:val="21"/>
          <w:lang w:val="en-US" w:eastAsia="en-US" w:bidi="ar-SA"/>
        </w:rPr>
        <w:t>他组织组成一个联合体，以一个供应商的身份共同</w:t>
      </w:r>
      <w:r>
        <w:rPr>
          <w:rFonts w:hint="eastAsia" w:ascii="宋体" w:hAnsi="宋体" w:eastAsia="宋体" w:cs="宋体"/>
          <w:snapToGrid w:val="0"/>
          <w:color w:val="000000"/>
          <w:spacing w:val="7"/>
          <w:kern w:val="0"/>
          <w:sz w:val="21"/>
          <w:szCs w:val="21"/>
          <w:lang w:val="en-US" w:eastAsia="en-US" w:bidi="ar-SA"/>
        </w:rPr>
        <w:t>参加政府采购的联合体各方均应为乙方或者与乙方</w:t>
      </w:r>
      <w:r>
        <w:rPr>
          <w:rFonts w:hint="eastAsia" w:ascii="宋体" w:hAnsi="宋体" w:eastAsia="宋体" w:cs="宋体"/>
          <w:snapToGrid w:val="0"/>
          <w:color w:val="000000"/>
          <w:spacing w:val="9"/>
          <w:kern w:val="0"/>
          <w:sz w:val="21"/>
          <w:szCs w:val="21"/>
          <w:lang w:val="en-US" w:eastAsia="en-US" w:bidi="ar-SA"/>
        </w:rPr>
        <w:t>相同地位的合同当事人，并就合同约定的事项对甲方承担连带责任。</w:t>
      </w:r>
    </w:p>
    <w:p w14:paraId="20045695">
      <w:pPr>
        <w:keepNext/>
        <w:keepLines w:val="0"/>
        <w:pageBreakBefore w:val="0"/>
        <w:widowControl w:val="0"/>
        <w:kinsoku w:val="0"/>
        <w:wordWrap/>
        <w:overflowPunct/>
        <w:topLinePunct/>
        <w:autoSpaceDE w:val="0"/>
        <w:autoSpaceDN w:val="0"/>
        <w:bidi w:val="0"/>
        <w:adjustRightInd/>
        <w:snapToGrid w:val="0"/>
        <w:spacing w:before="0" w:line="360" w:lineRule="auto"/>
        <w:ind w:right="0"/>
        <w:jc w:val="both"/>
        <w:textAlignment w:val="baseline"/>
        <w:rPr>
          <w:rFonts w:hint="eastAsia" w:ascii="宋体" w:hAnsi="宋体" w:eastAsia="宋体" w:cs="宋体"/>
          <w:b/>
          <w:bCs/>
          <w:snapToGrid w:val="0"/>
          <w:color w:val="000000"/>
          <w:kern w:val="0"/>
          <w:sz w:val="21"/>
          <w:szCs w:val="21"/>
          <w:lang w:val="en-US" w:eastAsia="en-US" w:bidi="ar-SA"/>
        </w:rPr>
      </w:pPr>
      <w:r>
        <w:rPr>
          <w:rFonts w:hint="eastAsia" w:ascii="宋体" w:hAnsi="宋体" w:eastAsia="宋体" w:cs="宋体"/>
          <w:b/>
          <w:bCs/>
          <w:snapToGrid w:val="0"/>
          <w:color w:val="000000"/>
          <w:spacing w:val="7"/>
          <w:kern w:val="0"/>
          <w:sz w:val="21"/>
          <w:szCs w:val="21"/>
          <w:lang w:val="en-US" w:eastAsia="en-US" w:bidi="ar-SA"/>
        </w:rPr>
        <w:t>二、合同主要要素</w:t>
      </w:r>
    </w:p>
    <w:p w14:paraId="4EFC2D2F">
      <w:pPr>
        <w:keepNext/>
        <w:keepLines w:val="0"/>
        <w:pageBreakBefore w:val="0"/>
        <w:widowControl w:val="0"/>
        <w:kinsoku w:val="0"/>
        <w:wordWrap/>
        <w:overflowPunct/>
        <w:topLinePunct/>
        <w:autoSpaceDE w:val="0"/>
        <w:autoSpaceDN w:val="0"/>
        <w:bidi w:val="0"/>
        <w:adjustRightInd/>
        <w:snapToGrid w:val="0"/>
        <w:spacing w:before="0" w:line="360" w:lineRule="auto"/>
        <w:ind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2.1 项目服务内容及范围</w:t>
      </w:r>
    </w:p>
    <w:p w14:paraId="3CAA4FC7">
      <w:pPr>
        <w:keepNext/>
        <w:keepLines w:val="0"/>
        <w:pageBreakBefore w:val="0"/>
        <w:widowControl w:val="0"/>
        <w:kinsoku w:val="0"/>
        <w:wordWrap/>
        <w:overflowPunct/>
        <w:topLinePunct/>
        <w:autoSpaceDE w:val="0"/>
        <w:autoSpaceDN w:val="0"/>
        <w:bidi w:val="0"/>
        <w:adjustRightInd/>
        <w:snapToGrid w:val="0"/>
        <w:spacing w:before="0" w:line="360" w:lineRule="auto"/>
        <w:ind w:right="0" w:firstLine="43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2.2 合同金额：人民币</w:t>
      </w:r>
      <w:r>
        <w:rPr>
          <w:rFonts w:hint="eastAsia" w:ascii="宋体" w:hAnsi="宋体" w:eastAsia="宋体" w:cs="宋体"/>
          <w:snapToGrid w:val="0"/>
          <w:color w:val="000000"/>
          <w:spacing w:val="11"/>
          <w:kern w:val="0"/>
          <w:sz w:val="21"/>
          <w:szCs w:val="21"/>
          <w:lang w:val="en-US" w:eastAsia="en-US" w:bidi="ar-SA"/>
        </w:rPr>
        <w:t xml:space="preserve">   </w:t>
      </w:r>
      <w:r>
        <w:rPr>
          <w:rFonts w:hint="eastAsia" w:ascii="宋体" w:hAnsi="宋体" w:eastAsia="宋体" w:cs="宋体"/>
          <w:snapToGrid w:val="0"/>
          <w:color w:val="000000"/>
          <w:spacing w:val="3"/>
          <w:kern w:val="0"/>
          <w:sz w:val="21"/>
          <w:szCs w:val="21"/>
          <w:lang w:val="en-US" w:eastAsia="en-US" w:bidi="ar-SA"/>
        </w:rPr>
        <w:t>元整</w:t>
      </w:r>
      <w:r>
        <w:rPr>
          <w:rFonts w:hint="eastAsia" w:ascii="宋体" w:hAnsi="宋体" w:eastAsia="宋体" w:cs="宋体"/>
          <w:snapToGrid w:val="0"/>
          <w:color w:val="000000"/>
          <w:spacing w:val="22"/>
          <w:kern w:val="0"/>
          <w:sz w:val="21"/>
          <w:szCs w:val="21"/>
          <w:lang w:val="en-US" w:eastAsia="en-US" w:bidi="ar-SA"/>
        </w:rPr>
        <w:t xml:space="preserve"> </w:t>
      </w:r>
      <w:r>
        <w:rPr>
          <w:rFonts w:hint="eastAsia" w:ascii="宋体" w:hAnsi="宋体" w:eastAsia="宋体" w:cs="宋体"/>
          <w:snapToGrid w:val="0"/>
          <w:color w:val="000000"/>
          <w:spacing w:val="3"/>
          <w:kern w:val="0"/>
          <w:sz w:val="21"/>
          <w:szCs w:val="21"/>
          <w:lang w:val="en-US" w:eastAsia="en-US" w:bidi="ar-SA"/>
        </w:rPr>
        <w:t>(￥</w:t>
      </w:r>
      <w:r>
        <w:rPr>
          <w:rFonts w:hint="eastAsia" w:ascii="宋体" w:hAnsi="宋体" w:eastAsia="宋体" w:cs="宋体"/>
          <w:snapToGrid w:val="0"/>
          <w:color w:val="000000"/>
          <w:spacing w:val="51"/>
          <w:kern w:val="0"/>
          <w:sz w:val="21"/>
          <w:szCs w:val="21"/>
          <w:lang w:val="en-US" w:eastAsia="en-US" w:bidi="ar-SA"/>
        </w:rPr>
        <w:t xml:space="preserve"> </w:t>
      </w:r>
      <w:r>
        <w:rPr>
          <w:rFonts w:hint="eastAsia" w:ascii="宋体" w:hAnsi="宋体" w:eastAsia="宋体" w:cs="宋体"/>
          <w:snapToGrid w:val="0"/>
          <w:color w:val="000000"/>
          <w:spacing w:val="3"/>
          <w:kern w:val="0"/>
          <w:sz w:val="21"/>
          <w:szCs w:val="21"/>
          <w:lang w:val="en-US" w:eastAsia="en-US" w:bidi="ar-SA"/>
        </w:rPr>
        <w:t>元整）。</w:t>
      </w:r>
    </w:p>
    <w:p w14:paraId="2AE28A20">
      <w:pPr>
        <w:keepNext/>
        <w:keepLines w:val="0"/>
        <w:pageBreakBefore w:val="0"/>
        <w:widowControl w:val="0"/>
        <w:kinsoku w:val="0"/>
        <w:wordWrap/>
        <w:overflowPunct/>
        <w:topLinePunct/>
        <w:autoSpaceDE w:val="0"/>
        <w:autoSpaceDN w:val="0"/>
        <w:bidi w:val="0"/>
        <w:adjustRightInd/>
        <w:snapToGrid w:val="0"/>
        <w:spacing w:before="0" w:line="360" w:lineRule="auto"/>
        <w:ind w:right="0" w:firstLine="436" w:firstLineChars="200"/>
        <w:jc w:val="both"/>
        <w:textAlignment w:val="baseline"/>
        <w:rPr>
          <w:rFonts w:hint="default" w:ascii="宋体" w:hAnsi="宋体" w:eastAsia="宋体" w:cs="宋体"/>
          <w:snapToGrid w:val="0"/>
          <w:color w:val="000000"/>
          <w:kern w:val="0"/>
          <w:sz w:val="21"/>
          <w:szCs w:val="21"/>
          <w:u w:val="single"/>
          <w:lang w:val="en-US" w:eastAsia="zh-CN" w:bidi="ar-SA"/>
        </w:rPr>
      </w:pPr>
      <w:r>
        <w:rPr>
          <w:rFonts w:hint="eastAsia" w:ascii="宋体" w:hAnsi="宋体" w:eastAsia="宋体" w:cs="宋体"/>
          <w:snapToGrid w:val="0"/>
          <w:color w:val="000000"/>
          <w:spacing w:val="4"/>
          <w:kern w:val="0"/>
          <w:sz w:val="21"/>
          <w:szCs w:val="21"/>
          <w:lang w:val="en-US" w:eastAsia="en-US" w:bidi="ar-SA"/>
        </w:rPr>
        <w:t>2.3 服务期限：</w:t>
      </w:r>
      <w:r>
        <w:rPr>
          <w:rFonts w:hint="eastAsia" w:ascii="宋体" w:hAnsi="宋体" w:eastAsia="宋体" w:cs="宋体"/>
          <w:snapToGrid w:val="0"/>
          <w:color w:val="000000"/>
          <w:spacing w:val="4"/>
          <w:kern w:val="0"/>
          <w:sz w:val="21"/>
          <w:szCs w:val="21"/>
          <w:u w:val="single"/>
          <w:lang w:val="en-US" w:eastAsia="zh-CN" w:bidi="ar-SA"/>
        </w:rPr>
        <w:t xml:space="preserve">      </w:t>
      </w:r>
    </w:p>
    <w:p w14:paraId="010B2DA1">
      <w:pPr>
        <w:keepNext/>
        <w:keepLines w:val="0"/>
        <w:pageBreakBefore w:val="0"/>
        <w:widowControl w:val="0"/>
        <w:kinsoku w:val="0"/>
        <w:wordWrap/>
        <w:overflowPunct/>
        <w:topLinePunct/>
        <w:autoSpaceDE w:val="0"/>
        <w:autoSpaceDN w:val="0"/>
        <w:bidi w:val="0"/>
        <w:adjustRightInd/>
        <w:snapToGrid w:val="0"/>
        <w:spacing w:before="0" w:line="360" w:lineRule="auto"/>
        <w:ind w:right="0" w:firstLine="436" w:firstLineChars="200"/>
        <w:jc w:val="both"/>
        <w:textAlignment w:val="baseline"/>
        <w:rPr>
          <w:rFonts w:hint="default"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spacing w:val="4"/>
          <w:kern w:val="0"/>
          <w:sz w:val="21"/>
          <w:szCs w:val="21"/>
          <w:lang w:val="en-US" w:eastAsia="en-US" w:bidi="ar-SA"/>
        </w:rPr>
        <w:t>2.4 服务地点：</w:t>
      </w:r>
      <w:r>
        <w:rPr>
          <w:rFonts w:hint="eastAsia" w:ascii="宋体" w:hAnsi="宋体" w:eastAsia="宋体" w:cs="宋体"/>
          <w:snapToGrid w:val="0"/>
          <w:color w:val="000000"/>
          <w:spacing w:val="-42"/>
          <w:kern w:val="0"/>
          <w:sz w:val="21"/>
          <w:szCs w:val="21"/>
          <w:lang w:val="en-US" w:eastAsia="zh-CN" w:bidi="ar-SA"/>
        </w:rPr>
        <w:t xml:space="preserve"> </w:t>
      </w:r>
      <w:r>
        <w:rPr>
          <w:rFonts w:hint="eastAsia" w:ascii="宋体" w:hAnsi="宋体" w:eastAsia="宋体" w:cs="宋体"/>
          <w:snapToGrid w:val="0"/>
          <w:color w:val="000000"/>
          <w:spacing w:val="4"/>
          <w:kern w:val="0"/>
          <w:sz w:val="21"/>
          <w:szCs w:val="21"/>
          <w:lang w:val="en-US" w:eastAsia="zh-CN" w:bidi="ar-SA"/>
        </w:rPr>
        <w:t xml:space="preserve"> </w:t>
      </w:r>
      <w:r>
        <w:rPr>
          <w:rFonts w:hint="eastAsia" w:ascii="宋体" w:hAnsi="宋体" w:eastAsia="宋体" w:cs="宋体"/>
          <w:snapToGrid w:val="0"/>
          <w:color w:val="000000"/>
          <w:spacing w:val="4"/>
          <w:kern w:val="0"/>
          <w:sz w:val="21"/>
          <w:szCs w:val="21"/>
          <w:u w:val="single"/>
          <w:lang w:val="en-US" w:eastAsia="zh-CN" w:bidi="ar-SA"/>
        </w:rPr>
        <w:t xml:space="preserve">      </w:t>
      </w:r>
      <w:r>
        <w:rPr>
          <w:rFonts w:hint="eastAsia" w:ascii="宋体" w:hAnsi="宋体" w:eastAsia="宋体" w:cs="宋体"/>
          <w:snapToGrid w:val="0"/>
          <w:color w:val="000000"/>
          <w:spacing w:val="-42"/>
          <w:kern w:val="0"/>
          <w:sz w:val="21"/>
          <w:szCs w:val="21"/>
          <w:lang w:val="en-US" w:eastAsia="zh-CN" w:bidi="ar-SA"/>
        </w:rPr>
        <w:t xml:space="preserve">         </w:t>
      </w:r>
    </w:p>
    <w:p w14:paraId="40DB9180">
      <w:pPr>
        <w:keepNext/>
        <w:keepLines w:val="0"/>
        <w:pageBreakBefore w:val="0"/>
        <w:widowControl w:val="0"/>
        <w:kinsoku w:val="0"/>
        <w:wordWrap/>
        <w:overflowPunct/>
        <w:topLinePunct/>
        <w:autoSpaceDE w:val="0"/>
        <w:autoSpaceDN w:val="0"/>
        <w:bidi w:val="0"/>
        <w:adjustRightInd/>
        <w:snapToGrid w:val="0"/>
        <w:spacing w:before="0" w:line="360" w:lineRule="auto"/>
        <w:ind w:right="0" w:firstLine="440"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5"/>
          <w:kern w:val="0"/>
          <w:sz w:val="21"/>
          <w:szCs w:val="21"/>
          <w:lang w:val="en-US" w:eastAsia="en-US" w:bidi="ar-SA"/>
        </w:rPr>
        <w:t>2.5 履约保证金：</w:t>
      </w:r>
      <w:r>
        <w:rPr>
          <w:rFonts w:hint="eastAsia" w:ascii="宋体" w:hAnsi="宋体" w:eastAsia="宋体" w:cs="宋体"/>
          <w:snapToGrid w:val="0"/>
          <w:color w:val="000000"/>
          <w:spacing w:val="4"/>
          <w:kern w:val="0"/>
          <w:sz w:val="21"/>
          <w:szCs w:val="21"/>
          <w:lang w:val="en-US" w:eastAsia="zh-CN" w:bidi="ar-SA"/>
        </w:rPr>
        <w:t xml:space="preserve"> </w:t>
      </w:r>
      <w:r>
        <w:rPr>
          <w:rFonts w:hint="eastAsia" w:ascii="宋体" w:hAnsi="宋体" w:eastAsia="宋体" w:cs="宋体"/>
          <w:snapToGrid w:val="0"/>
          <w:color w:val="000000"/>
          <w:spacing w:val="4"/>
          <w:kern w:val="0"/>
          <w:sz w:val="21"/>
          <w:szCs w:val="21"/>
          <w:u w:val="single"/>
          <w:lang w:val="en-US" w:eastAsia="zh-CN" w:bidi="ar-SA"/>
        </w:rPr>
        <w:t xml:space="preserve">      </w:t>
      </w:r>
      <w:r>
        <w:rPr>
          <w:rFonts w:hint="eastAsia" w:ascii="宋体" w:hAnsi="宋体" w:eastAsia="宋体" w:cs="宋体"/>
          <w:snapToGrid w:val="0"/>
          <w:color w:val="000000"/>
          <w:spacing w:val="-42"/>
          <w:kern w:val="0"/>
          <w:sz w:val="21"/>
          <w:szCs w:val="21"/>
          <w:lang w:val="en-US" w:eastAsia="zh-CN" w:bidi="ar-SA"/>
        </w:rPr>
        <w:t xml:space="preserve">         </w:t>
      </w:r>
    </w:p>
    <w:p w14:paraId="701688DD">
      <w:pPr>
        <w:keepNext/>
        <w:keepLines w:val="0"/>
        <w:pageBreakBefore w:val="0"/>
        <w:widowControl w:val="0"/>
        <w:kinsoku w:val="0"/>
        <w:wordWrap/>
        <w:overflowPunct/>
        <w:topLinePunct/>
        <w:autoSpaceDE w:val="0"/>
        <w:autoSpaceDN w:val="0"/>
        <w:bidi w:val="0"/>
        <w:adjustRightInd/>
        <w:snapToGrid w:val="0"/>
        <w:spacing w:before="0" w:line="360" w:lineRule="auto"/>
        <w:ind w:right="0" w:firstLine="424"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2.6</w:t>
      </w:r>
      <w:r>
        <w:rPr>
          <w:rFonts w:hint="eastAsia" w:ascii="宋体" w:hAnsi="宋体" w:eastAsia="宋体" w:cs="宋体"/>
          <w:snapToGrid w:val="0"/>
          <w:color w:val="000000"/>
          <w:spacing w:val="20"/>
          <w:kern w:val="0"/>
          <w:sz w:val="21"/>
          <w:szCs w:val="21"/>
          <w:lang w:val="en-US" w:eastAsia="en-US" w:bidi="ar-SA"/>
        </w:rPr>
        <w:t xml:space="preserve"> </w:t>
      </w:r>
      <w:r>
        <w:rPr>
          <w:rFonts w:hint="eastAsia" w:ascii="宋体" w:hAnsi="宋体" w:cs="宋体"/>
          <w:snapToGrid w:val="0"/>
          <w:color w:val="000000"/>
          <w:spacing w:val="20"/>
          <w:kern w:val="0"/>
          <w:sz w:val="21"/>
          <w:szCs w:val="21"/>
          <w:lang w:val="en-US" w:eastAsia="zh-CN" w:bidi="ar-SA"/>
        </w:rPr>
        <w:t>其他</w:t>
      </w:r>
      <w:r>
        <w:rPr>
          <w:rFonts w:hint="eastAsia" w:ascii="宋体" w:hAnsi="宋体" w:eastAsia="宋体" w:cs="宋体"/>
          <w:snapToGrid w:val="0"/>
          <w:color w:val="000000"/>
          <w:spacing w:val="1"/>
          <w:kern w:val="0"/>
          <w:sz w:val="21"/>
          <w:szCs w:val="21"/>
          <w:lang w:val="en-US" w:eastAsia="en-US" w:bidi="ar-SA"/>
        </w:rPr>
        <w:t>：</w:t>
      </w:r>
      <w:r>
        <w:rPr>
          <w:rFonts w:hint="eastAsia" w:ascii="宋体" w:hAnsi="宋体" w:eastAsia="宋体" w:cs="宋体"/>
          <w:snapToGrid w:val="0"/>
          <w:color w:val="000000"/>
          <w:spacing w:val="4"/>
          <w:kern w:val="0"/>
          <w:sz w:val="21"/>
          <w:szCs w:val="21"/>
          <w:lang w:val="en-US" w:eastAsia="zh-CN" w:bidi="ar-SA"/>
        </w:rPr>
        <w:t xml:space="preserve"> </w:t>
      </w:r>
      <w:r>
        <w:rPr>
          <w:rFonts w:hint="eastAsia" w:ascii="宋体" w:hAnsi="宋体" w:eastAsia="宋体" w:cs="宋体"/>
          <w:snapToGrid w:val="0"/>
          <w:color w:val="000000"/>
          <w:spacing w:val="4"/>
          <w:kern w:val="0"/>
          <w:sz w:val="21"/>
          <w:szCs w:val="21"/>
          <w:u w:val="single"/>
          <w:lang w:val="en-US" w:eastAsia="zh-CN" w:bidi="ar-SA"/>
        </w:rPr>
        <w:t xml:space="preserve">      </w:t>
      </w:r>
      <w:r>
        <w:rPr>
          <w:rFonts w:hint="eastAsia" w:ascii="宋体" w:hAnsi="宋体" w:eastAsia="宋体" w:cs="宋体"/>
          <w:snapToGrid w:val="0"/>
          <w:color w:val="000000"/>
          <w:spacing w:val="-42"/>
          <w:kern w:val="0"/>
          <w:sz w:val="21"/>
          <w:szCs w:val="21"/>
          <w:lang w:val="en-US" w:eastAsia="zh-CN" w:bidi="ar-SA"/>
        </w:rPr>
        <w:t xml:space="preserve">         </w:t>
      </w:r>
    </w:p>
    <w:p w14:paraId="3A6386AB">
      <w:pPr>
        <w:keepNext/>
        <w:keepLines w:val="0"/>
        <w:pageBreakBefore w:val="0"/>
        <w:widowControl w:val="0"/>
        <w:kinsoku w:val="0"/>
        <w:wordWrap/>
        <w:overflowPunct/>
        <w:topLinePunct/>
        <w:autoSpaceDE w:val="0"/>
        <w:autoSpaceDN w:val="0"/>
        <w:bidi w:val="0"/>
        <w:adjustRightInd/>
        <w:snapToGrid w:val="0"/>
        <w:spacing w:before="0" w:line="360" w:lineRule="auto"/>
        <w:ind w:right="0" w:firstLine="454" w:firstLineChars="200"/>
        <w:jc w:val="both"/>
        <w:textAlignment w:val="baseline"/>
        <w:rPr>
          <w:rFonts w:hint="eastAsia" w:ascii="宋体" w:hAnsi="宋体" w:eastAsia="宋体" w:cs="宋体"/>
          <w:b/>
          <w:bCs/>
          <w:snapToGrid w:val="0"/>
          <w:color w:val="000000"/>
          <w:kern w:val="0"/>
          <w:sz w:val="21"/>
          <w:szCs w:val="21"/>
          <w:lang w:val="en-US" w:eastAsia="en-US" w:bidi="ar-SA"/>
        </w:rPr>
      </w:pPr>
      <w:r>
        <w:rPr>
          <w:rFonts w:hint="eastAsia" w:ascii="宋体" w:hAnsi="宋体" w:eastAsia="宋体" w:cs="宋体"/>
          <w:b/>
          <w:bCs/>
          <w:snapToGrid w:val="0"/>
          <w:color w:val="000000"/>
          <w:spacing w:val="8"/>
          <w:kern w:val="0"/>
          <w:sz w:val="21"/>
          <w:szCs w:val="21"/>
          <w:lang w:val="en-US" w:eastAsia="en-US" w:bidi="ar-SA"/>
        </w:rPr>
        <w:t>三、合同文件的组成和解释顺序如下</w:t>
      </w:r>
    </w:p>
    <w:p w14:paraId="19165839">
      <w:pPr>
        <w:keepNext/>
        <w:keepLines w:val="0"/>
        <w:pageBreakBefore w:val="0"/>
        <w:widowControl w:val="0"/>
        <w:kinsoku w:val="0"/>
        <w:wordWrap/>
        <w:overflowPunct/>
        <w:topLinePunct/>
        <w:autoSpaceDE w:val="0"/>
        <w:autoSpaceDN w:val="0"/>
        <w:bidi w:val="0"/>
        <w:adjustRightInd/>
        <w:snapToGrid/>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spacing w:val="8"/>
          <w:kern w:val="0"/>
          <w:sz w:val="21"/>
          <w:szCs w:val="21"/>
          <w:lang w:val="en-US" w:eastAsia="en-US" w:bidi="ar-SA"/>
        </w:rPr>
        <w:t>3.1 本合同执行中双方共同签署的补充与修正文件及双方确认的明确双方权利、义务的会谈纪</w:t>
      </w:r>
      <w:r>
        <w:rPr>
          <w:rFonts w:hint="eastAsia" w:ascii="宋体" w:hAnsi="宋体" w:eastAsia="宋体" w:cs="宋体"/>
          <w:snapToGrid w:val="0"/>
          <w:color w:val="000000"/>
          <w:spacing w:val="8"/>
          <w:kern w:val="0"/>
          <w:sz w:val="21"/>
          <w:szCs w:val="21"/>
          <w:lang w:val="en-US" w:eastAsia="zh-CN" w:bidi="ar-SA"/>
        </w:rPr>
        <w:t>；</w:t>
      </w:r>
    </w:p>
    <w:p w14:paraId="647AB5B0">
      <w:pPr>
        <w:keepNext/>
        <w:keepLines w:val="0"/>
        <w:pageBreakBefore w:val="0"/>
        <w:widowControl w:val="0"/>
        <w:kinsoku w:val="0"/>
        <w:wordWrap/>
        <w:overflowPunct/>
        <w:topLinePunct/>
        <w:autoSpaceDE w:val="0"/>
        <w:autoSpaceDN w:val="0"/>
        <w:bidi w:val="0"/>
        <w:adjustRightInd/>
        <w:snapToGrid w:val="0"/>
        <w:spacing w:before="0" w:line="360" w:lineRule="auto"/>
        <w:ind w:right="0" w:firstLine="43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3.2</w:t>
      </w:r>
      <w:r>
        <w:rPr>
          <w:rFonts w:hint="eastAsia" w:ascii="宋体" w:hAnsi="宋体" w:eastAsia="宋体" w:cs="宋体"/>
          <w:snapToGrid w:val="0"/>
          <w:color w:val="000000"/>
          <w:spacing w:val="21"/>
          <w:kern w:val="0"/>
          <w:sz w:val="21"/>
          <w:szCs w:val="21"/>
          <w:lang w:val="en-US" w:eastAsia="en-US" w:bidi="ar-SA"/>
        </w:rPr>
        <w:t xml:space="preserve"> </w:t>
      </w:r>
      <w:r>
        <w:rPr>
          <w:rFonts w:hint="eastAsia" w:ascii="宋体" w:hAnsi="宋体" w:eastAsia="宋体" w:cs="宋体"/>
          <w:snapToGrid w:val="0"/>
          <w:color w:val="000000"/>
          <w:spacing w:val="3"/>
          <w:kern w:val="0"/>
          <w:sz w:val="21"/>
          <w:szCs w:val="21"/>
          <w:lang w:val="en-US" w:eastAsia="en-US" w:bidi="ar-SA"/>
        </w:rPr>
        <w:t>本合同书；</w:t>
      </w:r>
    </w:p>
    <w:p w14:paraId="47D71961">
      <w:pPr>
        <w:keepNext/>
        <w:keepLines w:val="0"/>
        <w:pageBreakBefore w:val="0"/>
        <w:widowControl w:val="0"/>
        <w:kinsoku w:val="0"/>
        <w:wordWrap/>
        <w:overflowPunct/>
        <w:topLinePunct/>
        <w:autoSpaceDE w:val="0"/>
        <w:autoSpaceDN w:val="0"/>
        <w:bidi w:val="0"/>
        <w:adjustRightInd/>
        <w:snapToGrid w:val="0"/>
        <w:spacing w:before="0" w:line="360" w:lineRule="auto"/>
        <w:ind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3.3 本项目中标或成交通知书；</w:t>
      </w:r>
    </w:p>
    <w:p w14:paraId="1B331D39">
      <w:pPr>
        <w:keepNext/>
        <w:keepLines w:val="0"/>
        <w:pageBreakBefore w:val="0"/>
        <w:widowControl w:val="0"/>
        <w:kinsoku w:val="0"/>
        <w:wordWrap/>
        <w:overflowPunct/>
        <w:topLinePunct/>
        <w:autoSpaceDE w:val="0"/>
        <w:autoSpaceDN w:val="0"/>
        <w:bidi w:val="0"/>
        <w:adjustRightInd/>
        <w:snapToGrid w:val="0"/>
        <w:spacing w:before="0" w:line="360" w:lineRule="auto"/>
        <w:ind w:right="0" w:firstLine="444"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3.4</w:t>
      </w:r>
      <w:r>
        <w:rPr>
          <w:rFonts w:hint="eastAsia" w:ascii="宋体" w:hAnsi="宋体" w:eastAsia="宋体" w:cs="宋体"/>
          <w:snapToGrid w:val="0"/>
          <w:color w:val="000000"/>
          <w:spacing w:val="42"/>
          <w:kern w:val="0"/>
          <w:sz w:val="21"/>
          <w:szCs w:val="21"/>
          <w:lang w:val="en-US" w:eastAsia="en-US" w:bidi="ar-SA"/>
        </w:rPr>
        <w:t xml:space="preserve"> </w:t>
      </w:r>
      <w:r>
        <w:rPr>
          <w:rFonts w:hint="eastAsia" w:ascii="宋体" w:hAnsi="宋体" w:eastAsia="宋体" w:cs="宋体"/>
          <w:snapToGrid w:val="0"/>
          <w:color w:val="000000"/>
          <w:spacing w:val="6"/>
          <w:kern w:val="0"/>
          <w:sz w:val="21"/>
          <w:szCs w:val="21"/>
          <w:lang w:val="en-US" w:eastAsia="en-US" w:bidi="ar-SA"/>
        </w:rPr>
        <w:t>乙方的本项目投标文件或响应文件；</w:t>
      </w:r>
    </w:p>
    <w:p w14:paraId="6C51E041">
      <w:pPr>
        <w:keepNext/>
        <w:keepLines w:val="0"/>
        <w:pageBreakBefore w:val="0"/>
        <w:widowControl w:val="0"/>
        <w:kinsoku w:val="0"/>
        <w:wordWrap/>
        <w:overflowPunct/>
        <w:topLinePunct/>
        <w:autoSpaceDE w:val="0"/>
        <w:autoSpaceDN w:val="0"/>
        <w:bidi w:val="0"/>
        <w:adjustRightInd/>
        <w:snapToGrid w:val="0"/>
        <w:spacing w:before="0" w:line="360" w:lineRule="auto"/>
        <w:ind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3.5 本项目招标文件或采购文件中的合同条款；</w:t>
      </w:r>
    </w:p>
    <w:p w14:paraId="1BB1DC39">
      <w:pPr>
        <w:keepNext/>
        <w:keepLines w:val="0"/>
        <w:pageBreakBefore w:val="0"/>
        <w:widowControl w:val="0"/>
        <w:kinsoku w:val="0"/>
        <w:wordWrap/>
        <w:overflowPunct/>
        <w:topLinePunct/>
        <w:autoSpaceDE w:val="0"/>
        <w:autoSpaceDN w:val="0"/>
        <w:bidi w:val="0"/>
        <w:adjustRightInd/>
        <w:snapToGrid w:val="0"/>
        <w:spacing w:before="0" w:line="360" w:lineRule="auto"/>
        <w:ind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3.6 本项目招标文件或采购文件中的采购需求；</w:t>
      </w:r>
    </w:p>
    <w:p w14:paraId="497255CE">
      <w:pPr>
        <w:keepNext/>
        <w:keepLines w:val="0"/>
        <w:pageBreakBefore w:val="0"/>
        <w:widowControl w:val="0"/>
        <w:kinsoku w:val="0"/>
        <w:wordWrap/>
        <w:overflowPunct/>
        <w:topLinePunct/>
        <w:autoSpaceDE w:val="0"/>
        <w:autoSpaceDN w:val="0"/>
        <w:bidi w:val="0"/>
        <w:adjustRightInd/>
        <w:snapToGrid w:val="0"/>
        <w:spacing w:before="0" w:line="360" w:lineRule="auto"/>
        <w:ind w:right="0" w:firstLine="444"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3.7 其他合同文件（需列明）。</w:t>
      </w:r>
    </w:p>
    <w:p w14:paraId="4AB482A7">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上述文件互相补充和解释，如有不明确或不一致之处，按照上述文件次序在先者为准。同一层次合</w:t>
      </w:r>
      <w:r>
        <w:rPr>
          <w:rFonts w:hint="eastAsia" w:ascii="宋体" w:hAnsi="宋体" w:eastAsia="宋体" w:cs="宋体"/>
          <w:snapToGrid w:val="0"/>
          <w:color w:val="000000"/>
          <w:spacing w:val="4"/>
          <w:kern w:val="0"/>
          <w:sz w:val="21"/>
          <w:szCs w:val="21"/>
          <w:lang w:val="en-US" w:eastAsia="en-US" w:bidi="ar-SA"/>
        </w:rPr>
        <w:t>同文件有矛盾的，</w:t>
      </w:r>
      <w:r>
        <w:rPr>
          <w:rFonts w:hint="eastAsia" w:ascii="宋体" w:hAnsi="宋体" w:eastAsia="宋体" w:cs="宋体"/>
          <w:snapToGrid w:val="0"/>
          <w:color w:val="000000"/>
          <w:spacing w:val="-50"/>
          <w:kern w:val="0"/>
          <w:sz w:val="21"/>
          <w:szCs w:val="21"/>
          <w:lang w:val="en-US" w:eastAsia="en-US" w:bidi="ar-SA"/>
        </w:rPr>
        <w:t xml:space="preserve"> </w:t>
      </w:r>
      <w:r>
        <w:rPr>
          <w:rFonts w:hint="eastAsia" w:ascii="宋体" w:hAnsi="宋体" w:eastAsia="宋体" w:cs="宋体"/>
          <w:snapToGrid w:val="0"/>
          <w:color w:val="000000"/>
          <w:spacing w:val="4"/>
          <w:kern w:val="0"/>
          <w:sz w:val="21"/>
          <w:szCs w:val="21"/>
          <w:lang w:val="en-US" w:eastAsia="en-US" w:bidi="ar-SA"/>
        </w:rPr>
        <w:t>以时间较后的为准。</w:t>
      </w:r>
    </w:p>
    <w:p w14:paraId="61C5C95B">
      <w:pPr>
        <w:keepNext/>
        <w:keepLines w:val="0"/>
        <w:pageBreakBefore w:val="0"/>
        <w:widowControl w:val="0"/>
        <w:kinsoku w:val="0"/>
        <w:wordWrap/>
        <w:overflowPunct/>
        <w:topLinePunct/>
        <w:autoSpaceDE w:val="0"/>
        <w:autoSpaceDN w:val="0"/>
        <w:bidi w:val="0"/>
        <w:adjustRightInd/>
        <w:snapToGrid w:val="0"/>
        <w:spacing w:before="0" w:line="360" w:lineRule="auto"/>
        <w:ind w:right="0"/>
        <w:jc w:val="both"/>
        <w:textAlignment w:val="baseline"/>
        <w:rPr>
          <w:rFonts w:hint="eastAsia" w:ascii="宋体" w:hAnsi="宋体" w:eastAsia="宋体" w:cs="宋体"/>
          <w:b/>
          <w:bCs/>
          <w:snapToGrid w:val="0"/>
          <w:color w:val="000000"/>
          <w:kern w:val="0"/>
          <w:sz w:val="21"/>
          <w:szCs w:val="21"/>
          <w:lang w:val="en-US" w:eastAsia="en-US" w:bidi="ar-SA"/>
        </w:rPr>
      </w:pPr>
      <w:r>
        <w:rPr>
          <w:rFonts w:hint="eastAsia" w:ascii="宋体" w:hAnsi="宋体" w:eastAsia="宋体" w:cs="宋体"/>
          <w:b/>
          <w:bCs/>
          <w:snapToGrid w:val="0"/>
          <w:color w:val="000000"/>
          <w:spacing w:val="7"/>
          <w:kern w:val="0"/>
          <w:sz w:val="21"/>
          <w:szCs w:val="21"/>
          <w:lang w:val="en-US" w:eastAsia="en-US" w:bidi="ar-SA"/>
        </w:rPr>
        <w:t>四、服务质量、权利瑕疵担保及验收</w:t>
      </w:r>
    </w:p>
    <w:p w14:paraId="1D7332C8">
      <w:pPr>
        <w:keepNext/>
        <w:keepLines w:val="0"/>
        <w:pageBreakBefore w:val="0"/>
        <w:widowControl w:val="0"/>
        <w:kinsoku w:val="0"/>
        <w:wordWrap/>
        <w:overflowPunct/>
        <w:topLinePunct/>
        <w:autoSpaceDE w:val="0"/>
        <w:autoSpaceDN w:val="0"/>
        <w:bidi w:val="0"/>
        <w:adjustRightInd/>
        <w:snapToGrid w:val="0"/>
        <w:spacing w:before="0" w:line="360" w:lineRule="auto"/>
        <w:ind w:left="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4.1 服务质量标准和要求</w:t>
      </w:r>
    </w:p>
    <w:p w14:paraId="52330864">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4.1.1</w:t>
      </w:r>
      <w:r>
        <w:rPr>
          <w:rFonts w:hint="eastAsia" w:ascii="宋体" w:hAnsi="宋体" w:eastAsia="宋体" w:cs="宋体"/>
          <w:snapToGrid w:val="0"/>
          <w:color w:val="000000"/>
          <w:spacing w:val="-36"/>
          <w:kern w:val="0"/>
          <w:sz w:val="21"/>
          <w:szCs w:val="21"/>
          <w:lang w:val="en-US" w:eastAsia="en-US" w:bidi="ar-SA"/>
        </w:rPr>
        <w:t xml:space="preserve"> </w:t>
      </w:r>
      <w:r>
        <w:rPr>
          <w:rFonts w:hint="eastAsia" w:ascii="宋体" w:hAnsi="宋体" w:eastAsia="宋体" w:cs="宋体"/>
          <w:snapToGrid w:val="0"/>
          <w:color w:val="000000"/>
          <w:spacing w:val="8"/>
          <w:kern w:val="0"/>
          <w:sz w:val="21"/>
          <w:szCs w:val="21"/>
          <w:lang w:val="en-US" w:eastAsia="en-US" w:bidi="ar-SA"/>
        </w:rPr>
        <w:t>招标文件（采购文件）规定的规范及要求明确的，乙方所提供的服务标准及质量要求应</w:t>
      </w:r>
      <w:r>
        <w:rPr>
          <w:rFonts w:hint="eastAsia" w:ascii="宋体" w:hAnsi="宋体" w:eastAsia="宋体" w:cs="宋体"/>
          <w:snapToGrid w:val="0"/>
          <w:color w:val="000000"/>
          <w:spacing w:val="7"/>
          <w:kern w:val="0"/>
          <w:sz w:val="21"/>
          <w:szCs w:val="21"/>
          <w:lang w:val="en-US" w:eastAsia="en-US" w:bidi="ar-SA"/>
        </w:rPr>
        <w:t>当符</w:t>
      </w:r>
      <w:r>
        <w:rPr>
          <w:rFonts w:hint="eastAsia" w:ascii="宋体" w:hAnsi="宋体" w:eastAsia="宋体" w:cs="宋体"/>
          <w:snapToGrid w:val="0"/>
          <w:color w:val="000000"/>
          <w:spacing w:val="9"/>
          <w:kern w:val="0"/>
          <w:sz w:val="21"/>
          <w:szCs w:val="21"/>
          <w:lang w:val="en-US" w:eastAsia="en-US" w:bidi="ar-SA"/>
        </w:rPr>
        <w:t>合招标文件（采购文件）规定的规范及要求，且应不低于国家强制性标准。</w:t>
      </w:r>
    </w:p>
    <w:p w14:paraId="3B2C7727">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4.1.2 招标文件（采购文件）规定的规范及要求不明确的，乙方的服务标准及质量要求应按照最新</w:t>
      </w:r>
      <w:r>
        <w:rPr>
          <w:rFonts w:hint="eastAsia" w:ascii="宋体" w:hAnsi="宋体" w:eastAsia="宋体" w:cs="宋体"/>
          <w:snapToGrid w:val="0"/>
          <w:color w:val="000000"/>
          <w:spacing w:val="8"/>
          <w:kern w:val="0"/>
          <w:sz w:val="21"/>
          <w:szCs w:val="21"/>
          <w:lang w:val="en-US" w:eastAsia="en-US" w:bidi="ar-SA"/>
        </w:rPr>
        <w:t>的国家、地方标准或行业标准或企业标准确定</w:t>
      </w:r>
      <w:r>
        <w:rPr>
          <w:rFonts w:hint="eastAsia" w:ascii="宋体" w:hAnsi="宋体" w:eastAsia="宋体" w:cs="宋体"/>
          <w:snapToGrid w:val="0"/>
          <w:color w:val="000000"/>
          <w:spacing w:val="7"/>
          <w:kern w:val="0"/>
          <w:sz w:val="21"/>
          <w:szCs w:val="21"/>
          <w:lang w:val="en-US" w:eastAsia="en-US" w:bidi="ar-SA"/>
        </w:rPr>
        <w:t>，均有标准的以高者（严格者）为准。没有国家、地方标</w:t>
      </w:r>
      <w:r>
        <w:rPr>
          <w:rFonts w:hint="eastAsia" w:ascii="宋体" w:hAnsi="宋体" w:eastAsia="宋体" w:cs="宋体"/>
          <w:snapToGrid w:val="0"/>
          <w:color w:val="000000"/>
          <w:spacing w:val="9"/>
          <w:kern w:val="0"/>
          <w:sz w:val="21"/>
          <w:szCs w:val="21"/>
          <w:lang w:val="en-US" w:eastAsia="en-US" w:bidi="ar-SA"/>
        </w:rPr>
        <w:t>准、行业标准或企业标准的，按照通常标准或者符合合同目的的特定标准确定。</w:t>
      </w:r>
    </w:p>
    <w:p w14:paraId="636E33EF">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4.1.3</w:t>
      </w:r>
      <w:r>
        <w:rPr>
          <w:rFonts w:hint="eastAsia" w:ascii="宋体" w:hAnsi="宋体" w:eastAsia="宋体" w:cs="宋体"/>
          <w:snapToGrid w:val="0"/>
          <w:color w:val="000000"/>
          <w:spacing w:val="33"/>
          <w:kern w:val="0"/>
          <w:sz w:val="21"/>
          <w:szCs w:val="21"/>
          <w:lang w:val="en-US" w:eastAsia="en-US" w:bidi="ar-SA"/>
        </w:rPr>
        <w:t xml:space="preserve"> </w:t>
      </w:r>
      <w:r>
        <w:rPr>
          <w:rFonts w:hint="eastAsia" w:ascii="宋体" w:hAnsi="宋体" w:eastAsia="宋体" w:cs="宋体"/>
          <w:snapToGrid w:val="0"/>
          <w:color w:val="000000"/>
          <w:spacing w:val="8"/>
          <w:kern w:val="0"/>
          <w:sz w:val="21"/>
          <w:szCs w:val="21"/>
          <w:lang w:val="en-US" w:eastAsia="en-US" w:bidi="ar-SA"/>
        </w:rPr>
        <w:t>乙方所提供的服务还应符</w:t>
      </w:r>
      <w:r>
        <w:rPr>
          <w:rFonts w:hint="eastAsia" w:ascii="宋体" w:hAnsi="宋体" w:eastAsia="宋体" w:cs="宋体"/>
          <w:snapToGrid w:val="0"/>
          <w:color w:val="auto"/>
          <w:spacing w:val="8"/>
          <w:kern w:val="0"/>
          <w:sz w:val="21"/>
          <w:szCs w:val="21"/>
          <w:lang w:val="en-US" w:eastAsia="en-US" w:bidi="ar-SA"/>
        </w:rPr>
        <w:t>合国家、河南省和</w:t>
      </w:r>
      <w:r>
        <w:rPr>
          <w:rFonts w:hint="eastAsia" w:ascii="宋体" w:hAnsi="宋体" w:eastAsia="宋体" w:cs="宋体"/>
          <w:snapToGrid w:val="0"/>
          <w:color w:val="auto"/>
          <w:spacing w:val="7"/>
          <w:kern w:val="0"/>
          <w:sz w:val="21"/>
          <w:szCs w:val="21"/>
          <w:lang w:val="en-US" w:eastAsia="zh-CN" w:bidi="ar-SA"/>
        </w:rPr>
        <w:t>信阳</w:t>
      </w:r>
      <w:r>
        <w:rPr>
          <w:rFonts w:hint="eastAsia" w:ascii="宋体" w:hAnsi="宋体" w:eastAsia="宋体" w:cs="宋体"/>
          <w:snapToGrid w:val="0"/>
          <w:color w:val="auto"/>
          <w:spacing w:val="7"/>
          <w:kern w:val="0"/>
          <w:sz w:val="21"/>
          <w:szCs w:val="21"/>
          <w:lang w:val="en-US" w:eastAsia="en-US" w:bidi="ar-SA"/>
        </w:rPr>
        <w:t>市有关规</w:t>
      </w:r>
      <w:r>
        <w:rPr>
          <w:rFonts w:hint="eastAsia" w:ascii="宋体" w:hAnsi="宋体" w:eastAsia="宋体" w:cs="宋体"/>
          <w:snapToGrid w:val="0"/>
          <w:color w:val="000000"/>
          <w:spacing w:val="7"/>
          <w:kern w:val="0"/>
          <w:sz w:val="21"/>
          <w:szCs w:val="21"/>
          <w:lang w:val="en-US" w:eastAsia="en-US" w:bidi="ar-SA"/>
        </w:rPr>
        <w:t>定</w:t>
      </w:r>
      <w:r>
        <w:rPr>
          <w:rFonts w:hint="eastAsia" w:ascii="宋体" w:hAnsi="宋体" w:eastAsia="宋体" w:cs="宋体"/>
          <w:snapToGrid w:val="0"/>
          <w:color w:val="000000"/>
          <w:spacing w:val="7"/>
          <w:kern w:val="0"/>
          <w:sz w:val="21"/>
          <w:szCs w:val="21"/>
          <w:lang w:val="en-US" w:eastAsia="zh-CN" w:bidi="ar-SA"/>
        </w:rPr>
        <w:t>，符合安全操作规范和有关环保法规</w:t>
      </w:r>
      <w:r>
        <w:rPr>
          <w:rFonts w:hint="eastAsia" w:ascii="宋体" w:hAnsi="宋体" w:eastAsia="宋体" w:cs="宋体"/>
          <w:snapToGrid w:val="0"/>
          <w:color w:val="000000"/>
          <w:spacing w:val="7"/>
          <w:kern w:val="0"/>
          <w:sz w:val="21"/>
          <w:szCs w:val="21"/>
          <w:lang w:val="en-US" w:eastAsia="en-US" w:bidi="ar-SA"/>
        </w:rPr>
        <w:t>。</w:t>
      </w:r>
    </w:p>
    <w:p w14:paraId="0924F9F9">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64"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4.1.4</w:t>
      </w:r>
      <w:r>
        <w:rPr>
          <w:rFonts w:hint="eastAsia" w:ascii="宋体" w:hAnsi="宋体" w:eastAsia="宋体" w:cs="宋体"/>
          <w:snapToGrid w:val="0"/>
          <w:color w:val="000000"/>
          <w:spacing w:val="38"/>
          <w:kern w:val="0"/>
          <w:sz w:val="21"/>
          <w:szCs w:val="21"/>
          <w:lang w:val="en-US" w:eastAsia="en-US" w:bidi="ar-SA"/>
        </w:rPr>
        <w:t xml:space="preserve"> </w:t>
      </w:r>
      <w:r>
        <w:rPr>
          <w:rFonts w:hint="eastAsia" w:ascii="宋体" w:hAnsi="宋体" w:eastAsia="宋体" w:cs="宋体"/>
          <w:snapToGrid w:val="0"/>
          <w:color w:val="000000"/>
          <w:spacing w:val="11"/>
          <w:kern w:val="0"/>
          <w:sz w:val="21"/>
          <w:szCs w:val="21"/>
          <w:lang w:val="en-US" w:eastAsia="en-US" w:bidi="ar-SA"/>
        </w:rPr>
        <w:t>乙方应建立和完善履行合同的内部质量保证体系，并依照甲方要求提供其相关内部规章制</w:t>
      </w:r>
      <w:r>
        <w:rPr>
          <w:rFonts w:hint="eastAsia" w:ascii="宋体" w:hAnsi="宋体" w:eastAsia="宋体" w:cs="宋体"/>
          <w:snapToGrid w:val="0"/>
          <w:color w:val="000000"/>
          <w:spacing w:val="7"/>
          <w:kern w:val="0"/>
          <w:sz w:val="21"/>
          <w:szCs w:val="21"/>
          <w:lang w:val="en-US" w:eastAsia="en-US" w:bidi="ar-SA"/>
        </w:rPr>
        <w:t>度，便于甲方的监督检查。</w:t>
      </w:r>
    </w:p>
    <w:p w14:paraId="3BB6D350">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4.1.5</w:t>
      </w:r>
      <w:r>
        <w:rPr>
          <w:rFonts w:hint="eastAsia" w:ascii="宋体" w:hAnsi="宋体" w:eastAsia="宋体" w:cs="宋体"/>
          <w:snapToGrid w:val="0"/>
          <w:color w:val="000000"/>
          <w:spacing w:val="-19"/>
          <w:kern w:val="0"/>
          <w:sz w:val="21"/>
          <w:szCs w:val="21"/>
          <w:lang w:val="en-US" w:eastAsia="en-US" w:bidi="ar-SA"/>
        </w:rPr>
        <w:t xml:space="preserve"> </w:t>
      </w:r>
      <w:r>
        <w:rPr>
          <w:rFonts w:hint="eastAsia" w:ascii="宋体" w:hAnsi="宋体" w:eastAsia="宋体" w:cs="宋体"/>
          <w:snapToGrid w:val="0"/>
          <w:color w:val="000000"/>
          <w:spacing w:val="8"/>
          <w:kern w:val="0"/>
          <w:sz w:val="21"/>
          <w:szCs w:val="21"/>
          <w:lang w:val="en-US" w:eastAsia="en-US" w:bidi="ar-SA"/>
        </w:rPr>
        <w:t>乙方应保证履行合同的人员数量和素质、软件和硬</w:t>
      </w:r>
      <w:r>
        <w:rPr>
          <w:rFonts w:hint="eastAsia" w:ascii="宋体" w:hAnsi="宋体" w:eastAsia="宋体" w:cs="宋体"/>
          <w:snapToGrid w:val="0"/>
          <w:color w:val="000000"/>
          <w:spacing w:val="7"/>
          <w:kern w:val="0"/>
          <w:sz w:val="21"/>
          <w:szCs w:val="21"/>
          <w:lang w:val="en-US" w:eastAsia="en-US" w:bidi="ar-SA"/>
        </w:rPr>
        <w:t>件设备的配置、场地、环境和设施等符合</w:t>
      </w:r>
      <w:r>
        <w:rPr>
          <w:rFonts w:hint="eastAsia" w:ascii="宋体" w:hAnsi="宋体" w:eastAsia="宋体" w:cs="宋体"/>
          <w:snapToGrid w:val="0"/>
          <w:color w:val="000000"/>
          <w:spacing w:val="8"/>
          <w:kern w:val="0"/>
          <w:sz w:val="21"/>
          <w:szCs w:val="21"/>
          <w:lang w:val="en-US" w:eastAsia="en-US" w:bidi="ar-SA"/>
        </w:rPr>
        <w:t>其在投标文件（响应文件）</w:t>
      </w:r>
      <w:r>
        <w:rPr>
          <w:rFonts w:hint="eastAsia" w:ascii="宋体" w:hAnsi="宋体" w:eastAsia="宋体" w:cs="宋体"/>
          <w:snapToGrid w:val="0"/>
          <w:color w:val="000000"/>
          <w:spacing w:val="-48"/>
          <w:kern w:val="0"/>
          <w:sz w:val="21"/>
          <w:szCs w:val="21"/>
          <w:lang w:val="en-US" w:eastAsia="en-US" w:bidi="ar-SA"/>
        </w:rPr>
        <w:t xml:space="preserve"> </w:t>
      </w:r>
      <w:r>
        <w:rPr>
          <w:rFonts w:hint="eastAsia" w:ascii="宋体" w:hAnsi="宋体" w:eastAsia="宋体" w:cs="宋体"/>
          <w:snapToGrid w:val="0"/>
          <w:color w:val="000000"/>
          <w:spacing w:val="8"/>
          <w:kern w:val="0"/>
          <w:sz w:val="21"/>
          <w:szCs w:val="21"/>
          <w:lang w:val="en-US" w:eastAsia="en-US" w:bidi="ar-SA"/>
        </w:rPr>
        <w:t>中所作的响应及承诺，</w:t>
      </w:r>
      <w:r>
        <w:rPr>
          <w:rFonts w:hint="eastAsia" w:ascii="宋体" w:hAnsi="宋体" w:eastAsia="宋体" w:cs="宋体"/>
          <w:snapToGrid w:val="0"/>
          <w:color w:val="000000"/>
          <w:spacing w:val="7"/>
          <w:kern w:val="0"/>
          <w:sz w:val="21"/>
          <w:szCs w:val="21"/>
          <w:lang w:val="en-US" w:eastAsia="en-US" w:bidi="ar-SA"/>
        </w:rPr>
        <w:t>并应接受甲方的监督检查。</w:t>
      </w:r>
    </w:p>
    <w:p w14:paraId="64A1A4F1">
      <w:pPr>
        <w:keepNext/>
        <w:keepLines w:val="0"/>
        <w:pageBreakBefore w:val="0"/>
        <w:widowControl w:val="0"/>
        <w:kinsoku w:val="0"/>
        <w:wordWrap/>
        <w:overflowPunct/>
        <w:topLinePunct/>
        <w:autoSpaceDE w:val="0"/>
        <w:autoSpaceDN w:val="0"/>
        <w:bidi w:val="0"/>
        <w:adjustRightInd/>
        <w:snapToGrid w:val="0"/>
        <w:spacing w:before="0" w:line="360" w:lineRule="auto"/>
        <w:ind w:left="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4.2 权利瑕疵担保</w:t>
      </w:r>
    </w:p>
    <w:p w14:paraId="64F554AC">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4.2.1</w:t>
      </w:r>
      <w:r>
        <w:rPr>
          <w:rFonts w:hint="eastAsia" w:ascii="宋体" w:hAnsi="宋体" w:eastAsia="宋体" w:cs="宋体"/>
          <w:snapToGrid w:val="0"/>
          <w:color w:val="000000"/>
          <w:spacing w:val="33"/>
          <w:kern w:val="0"/>
          <w:sz w:val="21"/>
          <w:szCs w:val="21"/>
          <w:lang w:val="en-US" w:eastAsia="en-US" w:bidi="ar-SA"/>
        </w:rPr>
        <w:t xml:space="preserve"> </w:t>
      </w:r>
      <w:r>
        <w:rPr>
          <w:rFonts w:hint="eastAsia" w:ascii="宋体" w:hAnsi="宋体" w:eastAsia="宋体" w:cs="宋体"/>
          <w:snapToGrid w:val="0"/>
          <w:color w:val="000000"/>
          <w:spacing w:val="7"/>
          <w:kern w:val="0"/>
          <w:sz w:val="21"/>
          <w:szCs w:val="21"/>
          <w:lang w:val="en-US" w:eastAsia="en-US" w:bidi="ar-SA"/>
        </w:rPr>
        <w:t>乙方保证对其提供的服务享有合法的权</w:t>
      </w:r>
      <w:r>
        <w:rPr>
          <w:rFonts w:hint="eastAsia" w:ascii="宋体" w:hAnsi="宋体" w:eastAsia="宋体" w:cs="宋体"/>
          <w:snapToGrid w:val="0"/>
          <w:color w:val="000000"/>
          <w:spacing w:val="6"/>
          <w:kern w:val="0"/>
          <w:sz w:val="21"/>
          <w:szCs w:val="21"/>
          <w:lang w:val="en-US" w:eastAsia="en-US" w:bidi="ar-SA"/>
        </w:rPr>
        <w:t>利，甲方接受乙方服务不会因此而侵犯任何人的合法</w:t>
      </w:r>
      <w:r>
        <w:rPr>
          <w:rFonts w:hint="eastAsia" w:ascii="宋体" w:hAnsi="宋体" w:eastAsia="宋体" w:cs="宋体"/>
          <w:snapToGrid w:val="0"/>
          <w:color w:val="000000"/>
          <w:spacing w:val="1"/>
          <w:kern w:val="0"/>
          <w:sz w:val="21"/>
          <w:szCs w:val="21"/>
          <w:lang w:val="en-US" w:eastAsia="en-US" w:bidi="ar-SA"/>
        </w:rPr>
        <w:t>权益。</w:t>
      </w:r>
    </w:p>
    <w:p w14:paraId="58DAD037">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4.2.2</w:t>
      </w:r>
      <w:r>
        <w:rPr>
          <w:rFonts w:hint="eastAsia" w:ascii="宋体" w:hAnsi="宋体" w:eastAsia="宋体" w:cs="宋体"/>
          <w:snapToGrid w:val="0"/>
          <w:color w:val="000000"/>
          <w:spacing w:val="33"/>
          <w:kern w:val="0"/>
          <w:sz w:val="21"/>
          <w:szCs w:val="21"/>
          <w:lang w:val="en-US" w:eastAsia="en-US" w:bidi="ar-SA"/>
        </w:rPr>
        <w:t xml:space="preserve"> </w:t>
      </w:r>
      <w:r>
        <w:rPr>
          <w:rFonts w:hint="eastAsia" w:ascii="宋体" w:hAnsi="宋体" w:eastAsia="宋体" w:cs="宋体"/>
          <w:snapToGrid w:val="0"/>
          <w:color w:val="000000"/>
          <w:spacing w:val="7"/>
          <w:kern w:val="0"/>
          <w:sz w:val="21"/>
          <w:szCs w:val="21"/>
          <w:lang w:val="en-US" w:eastAsia="en-US" w:bidi="ar-SA"/>
        </w:rPr>
        <w:t>乙方保证在提供服务上不存在任何未曾</w:t>
      </w:r>
      <w:r>
        <w:rPr>
          <w:rFonts w:hint="eastAsia" w:ascii="宋体" w:hAnsi="宋体" w:eastAsia="宋体" w:cs="宋体"/>
          <w:snapToGrid w:val="0"/>
          <w:color w:val="000000"/>
          <w:spacing w:val="6"/>
          <w:kern w:val="0"/>
          <w:sz w:val="21"/>
          <w:szCs w:val="21"/>
          <w:lang w:val="en-US" w:eastAsia="en-US" w:bidi="ar-SA"/>
        </w:rPr>
        <w:t>向甲方透露的担保物权，如抵押权、质押权、留置权</w:t>
      </w:r>
      <w:r>
        <w:rPr>
          <w:rFonts w:hint="eastAsia" w:ascii="宋体" w:hAnsi="宋体" w:eastAsia="宋体" w:cs="宋体"/>
          <w:snapToGrid w:val="0"/>
          <w:color w:val="000000"/>
          <w:spacing w:val="7"/>
          <w:kern w:val="0"/>
          <w:sz w:val="21"/>
          <w:szCs w:val="21"/>
          <w:lang w:val="en-US" w:eastAsia="en-US" w:bidi="ar-SA"/>
        </w:rPr>
        <w:t>等。</w:t>
      </w:r>
      <w:r>
        <w:rPr>
          <w:rFonts w:hint="eastAsia" w:ascii="宋体" w:hAnsi="宋体" w:eastAsia="宋体" w:cs="宋体"/>
          <w:snapToGrid w:val="0"/>
          <w:color w:val="000000"/>
          <w:spacing w:val="-50"/>
          <w:kern w:val="0"/>
          <w:sz w:val="21"/>
          <w:szCs w:val="21"/>
          <w:lang w:val="en-US" w:eastAsia="en-US" w:bidi="ar-SA"/>
        </w:rPr>
        <w:t xml:space="preserve"> </w:t>
      </w:r>
      <w:r>
        <w:rPr>
          <w:rFonts w:hint="eastAsia" w:ascii="宋体" w:hAnsi="宋体" w:eastAsia="宋体" w:cs="宋体"/>
          <w:snapToGrid w:val="0"/>
          <w:color w:val="000000"/>
          <w:spacing w:val="7"/>
          <w:kern w:val="0"/>
          <w:sz w:val="21"/>
          <w:szCs w:val="21"/>
          <w:lang w:val="en-US" w:eastAsia="en-US" w:bidi="ar-SA"/>
        </w:rPr>
        <w:t>甲方接受乙方服务不会因此而存在合同外</w:t>
      </w:r>
      <w:r>
        <w:rPr>
          <w:rFonts w:hint="eastAsia" w:ascii="宋体" w:hAnsi="宋体" w:eastAsia="宋体" w:cs="宋体"/>
          <w:snapToGrid w:val="0"/>
          <w:color w:val="000000"/>
          <w:spacing w:val="6"/>
          <w:kern w:val="0"/>
          <w:sz w:val="21"/>
          <w:szCs w:val="21"/>
          <w:lang w:val="en-US" w:eastAsia="en-US" w:bidi="ar-SA"/>
        </w:rPr>
        <w:t>义务的负担。</w:t>
      </w:r>
    </w:p>
    <w:p w14:paraId="2E968956">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4.2.3</w:t>
      </w:r>
      <w:r>
        <w:rPr>
          <w:rFonts w:hint="eastAsia" w:ascii="宋体" w:hAnsi="宋体" w:eastAsia="宋体" w:cs="宋体"/>
          <w:snapToGrid w:val="0"/>
          <w:color w:val="000000"/>
          <w:spacing w:val="38"/>
          <w:kern w:val="0"/>
          <w:sz w:val="21"/>
          <w:szCs w:val="21"/>
          <w:lang w:val="en-US" w:eastAsia="en-US" w:bidi="ar-SA"/>
        </w:rPr>
        <w:t xml:space="preserve"> </w:t>
      </w:r>
      <w:r>
        <w:rPr>
          <w:rFonts w:hint="eastAsia" w:ascii="宋体" w:hAnsi="宋体" w:eastAsia="宋体" w:cs="宋体"/>
          <w:snapToGrid w:val="0"/>
          <w:color w:val="000000"/>
          <w:spacing w:val="8"/>
          <w:kern w:val="0"/>
          <w:sz w:val="21"/>
          <w:szCs w:val="21"/>
          <w:lang w:val="en-US" w:eastAsia="en-US" w:bidi="ar-SA"/>
        </w:rPr>
        <w:t>乙方保证其提供服务没有侵犯任何第三人的物权、知识产权和商业秘密等权利。</w:t>
      </w:r>
    </w:p>
    <w:p w14:paraId="7075DA6D">
      <w:pPr>
        <w:keepNext/>
        <w:keepLines w:val="0"/>
        <w:pageBreakBefore w:val="0"/>
        <w:widowControl w:val="0"/>
        <w:kinsoku w:val="0"/>
        <w:wordWrap/>
        <w:overflowPunct/>
        <w:topLinePunct/>
        <w:autoSpaceDE w:val="0"/>
        <w:autoSpaceDN w:val="0"/>
        <w:bidi w:val="0"/>
        <w:adjustRightInd/>
        <w:snapToGrid w:val="0"/>
        <w:spacing w:before="0" w:line="360" w:lineRule="auto"/>
        <w:ind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4.2.4 如所提供服务构成上述侵权的，则由乙方承担全部责任。</w:t>
      </w:r>
    </w:p>
    <w:p w14:paraId="3F34752D">
      <w:pPr>
        <w:keepNext/>
        <w:keepLines w:val="0"/>
        <w:pageBreakBefore w:val="0"/>
        <w:widowControl w:val="0"/>
        <w:kinsoku w:val="0"/>
        <w:wordWrap/>
        <w:overflowPunct/>
        <w:topLinePunct/>
        <w:autoSpaceDE w:val="0"/>
        <w:autoSpaceDN w:val="0"/>
        <w:bidi w:val="0"/>
        <w:adjustRightInd/>
        <w:snapToGrid w:val="0"/>
        <w:spacing w:before="0" w:line="360" w:lineRule="auto"/>
        <w:ind w:right="0" w:firstLine="440"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5"/>
          <w:kern w:val="0"/>
          <w:sz w:val="21"/>
          <w:szCs w:val="21"/>
          <w:lang w:val="en-US" w:eastAsia="en-US" w:bidi="ar-SA"/>
        </w:rPr>
        <w:t>4.3</w:t>
      </w:r>
      <w:r>
        <w:rPr>
          <w:rFonts w:hint="eastAsia" w:ascii="宋体" w:hAnsi="宋体" w:eastAsia="宋体" w:cs="宋体"/>
          <w:snapToGrid w:val="0"/>
          <w:color w:val="000000"/>
          <w:spacing w:val="13"/>
          <w:kern w:val="0"/>
          <w:sz w:val="21"/>
          <w:szCs w:val="21"/>
          <w:lang w:val="en-US" w:eastAsia="en-US" w:bidi="ar-SA"/>
        </w:rPr>
        <w:t xml:space="preserve">  </w:t>
      </w:r>
      <w:r>
        <w:rPr>
          <w:rFonts w:hint="eastAsia" w:ascii="宋体" w:hAnsi="宋体" w:eastAsia="宋体" w:cs="宋体"/>
          <w:snapToGrid w:val="0"/>
          <w:color w:val="000000"/>
          <w:spacing w:val="5"/>
          <w:kern w:val="0"/>
          <w:sz w:val="21"/>
          <w:szCs w:val="21"/>
          <w:lang w:val="en-US" w:eastAsia="en-US" w:bidi="ar-SA"/>
        </w:rPr>
        <w:t>验收与检验</w:t>
      </w:r>
    </w:p>
    <w:p w14:paraId="4919AB18">
      <w:pPr>
        <w:keepNext/>
        <w:keepLines w:val="0"/>
        <w:pageBreakBefore w:val="0"/>
        <w:widowControl w:val="0"/>
        <w:kinsoku w:val="0"/>
        <w:wordWrap/>
        <w:overflowPunct/>
        <w:topLinePunct/>
        <w:autoSpaceDE w:val="0"/>
        <w:autoSpaceDN w:val="0"/>
        <w:bidi w:val="0"/>
        <w:adjustRightInd/>
        <w:snapToGrid w:val="0"/>
        <w:spacing w:before="0" w:line="360" w:lineRule="auto"/>
        <w:ind w:right="0" w:firstLine="444"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4.3.1</w:t>
      </w:r>
      <w:r>
        <w:rPr>
          <w:rFonts w:hint="eastAsia" w:ascii="宋体" w:hAnsi="宋体" w:eastAsia="宋体" w:cs="宋体"/>
          <w:snapToGrid w:val="0"/>
          <w:color w:val="000000"/>
          <w:spacing w:val="53"/>
          <w:kern w:val="0"/>
          <w:sz w:val="21"/>
          <w:szCs w:val="21"/>
          <w:lang w:val="en-US" w:eastAsia="en-US" w:bidi="ar-SA"/>
        </w:rPr>
        <w:t xml:space="preserve"> </w:t>
      </w:r>
      <w:r>
        <w:rPr>
          <w:rFonts w:hint="eastAsia" w:ascii="宋体" w:hAnsi="宋体" w:eastAsia="宋体" w:cs="宋体"/>
          <w:snapToGrid w:val="0"/>
          <w:color w:val="000000"/>
          <w:spacing w:val="6"/>
          <w:kern w:val="0"/>
          <w:sz w:val="21"/>
          <w:szCs w:val="21"/>
          <w:lang w:val="en-US" w:eastAsia="en-US" w:bidi="ar-SA"/>
        </w:rPr>
        <w:t>甲方有权在其认为必要时，对乙方是否能够按照合同约定提供服务进行履约检查，以确保乙</w:t>
      </w:r>
      <w:r>
        <w:rPr>
          <w:rFonts w:hint="eastAsia" w:ascii="宋体" w:hAnsi="宋体" w:eastAsia="宋体" w:cs="宋体"/>
          <w:snapToGrid w:val="0"/>
          <w:color w:val="000000"/>
          <w:spacing w:val="7"/>
          <w:kern w:val="0"/>
          <w:sz w:val="21"/>
          <w:szCs w:val="21"/>
          <w:lang w:val="en-US" w:eastAsia="en-US" w:bidi="ar-SA"/>
        </w:rPr>
        <w:t>方所提供的服务能够依约满足甲方之项目需求，但不得因履约检查妨碍乙方的正常工作，乙方应予积极</w:t>
      </w:r>
      <w:r>
        <w:rPr>
          <w:rFonts w:hint="eastAsia" w:ascii="宋体" w:hAnsi="宋体" w:eastAsia="宋体" w:cs="宋体"/>
          <w:snapToGrid w:val="0"/>
          <w:color w:val="000000"/>
          <w:kern w:val="0"/>
          <w:sz w:val="21"/>
          <w:szCs w:val="21"/>
          <w:lang w:val="en-US" w:eastAsia="en-US" w:bidi="ar-SA"/>
        </w:rPr>
        <w:t>配合。</w:t>
      </w:r>
    </w:p>
    <w:p w14:paraId="7599A531">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4.3.2</w:t>
      </w:r>
      <w:r>
        <w:rPr>
          <w:rFonts w:hint="eastAsia" w:ascii="宋体" w:hAnsi="宋体" w:eastAsia="宋体" w:cs="宋体"/>
          <w:snapToGrid w:val="0"/>
          <w:color w:val="000000"/>
          <w:spacing w:val="33"/>
          <w:kern w:val="0"/>
          <w:sz w:val="21"/>
          <w:szCs w:val="21"/>
          <w:lang w:val="en-US" w:eastAsia="en-US" w:bidi="ar-SA"/>
        </w:rPr>
        <w:t xml:space="preserve"> </w:t>
      </w:r>
      <w:r>
        <w:rPr>
          <w:rFonts w:hint="eastAsia" w:ascii="宋体" w:hAnsi="宋体" w:eastAsia="宋体" w:cs="宋体"/>
          <w:snapToGrid w:val="0"/>
          <w:color w:val="000000"/>
          <w:spacing w:val="7"/>
          <w:kern w:val="0"/>
          <w:sz w:val="21"/>
          <w:szCs w:val="21"/>
          <w:lang w:val="en-US" w:eastAsia="en-US" w:bidi="ar-SA"/>
        </w:rPr>
        <w:t>乙方按照合同文件中的约定，定期向甲</w:t>
      </w:r>
      <w:r>
        <w:rPr>
          <w:rFonts w:hint="eastAsia" w:ascii="宋体" w:hAnsi="宋体" w:eastAsia="宋体" w:cs="宋体"/>
          <w:snapToGrid w:val="0"/>
          <w:color w:val="000000"/>
          <w:spacing w:val="6"/>
          <w:kern w:val="0"/>
          <w:sz w:val="21"/>
          <w:szCs w:val="21"/>
          <w:lang w:val="en-US" w:eastAsia="en-US" w:bidi="ar-SA"/>
        </w:rPr>
        <w:t>方提交服务报告，甲方按照合同文件中的相关约定进</w:t>
      </w:r>
      <w:r>
        <w:rPr>
          <w:rFonts w:hint="eastAsia" w:ascii="宋体" w:hAnsi="宋体" w:eastAsia="宋体" w:cs="宋体"/>
          <w:snapToGrid w:val="0"/>
          <w:color w:val="000000"/>
          <w:spacing w:val="5"/>
          <w:kern w:val="0"/>
          <w:sz w:val="21"/>
          <w:szCs w:val="21"/>
          <w:lang w:val="en-US" w:eastAsia="en-US" w:bidi="ar-SA"/>
        </w:rPr>
        <w:t>行定期验收。</w:t>
      </w:r>
    </w:p>
    <w:p w14:paraId="0E9ABDA5">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4.3.3</w:t>
      </w:r>
      <w:r>
        <w:rPr>
          <w:rFonts w:hint="eastAsia" w:ascii="宋体" w:hAnsi="宋体" w:eastAsia="宋体" w:cs="宋体"/>
          <w:snapToGrid w:val="0"/>
          <w:color w:val="000000"/>
          <w:spacing w:val="-28"/>
          <w:kern w:val="0"/>
          <w:sz w:val="21"/>
          <w:szCs w:val="21"/>
          <w:lang w:val="en-US" w:eastAsia="en-US" w:bidi="ar-SA"/>
        </w:rPr>
        <w:t xml:space="preserve"> </w:t>
      </w:r>
      <w:r>
        <w:rPr>
          <w:rFonts w:hint="eastAsia" w:ascii="宋体" w:hAnsi="宋体" w:eastAsia="宋体" w:cs="宋体"/>
          <w:snapToGrid w:val="0"/>
          <w:color w:val="000000"/>
          <w:spacing w:val="8"/>
          <w:kern w:val="0"/>
          <w:sz w:val="21"/>
          <w:szCs w:val="21"/>
          <w:lang w:val="en-US" w:eastAsia="en-US" w:bidi="ar-SA"/>
        </w:rPr>
        <w:t>合同履行期间，甲方有权将履行过程中出现的问题反馈给乙方，双方当</w:t>
      </w:r>
      <w:r>
        <w:rPr>
          <w:rFonts w:hint="eastAsia" w:ascii="宋体" w:hAnsi="宋体" w:eastAsia="宋体" w:cs="宋体"/>
          <w:snapToGrid w:val="0"/>
          <w:color w:val="000000"/>
          <w:spacing w:val="7"/>
          <w:kern w:val="0"/>
          <w:sz w:val="21"/>
          <w:szCs w:val="21"/>
          <w:lang w:val="en-US" w:eastAsia="en-US" w:bidi="ar-SA"/>
        </w:rPr>
        <w:t>事人应以书面形式约定需要完善和改进的内容。</w:t>
      </w:r>
    </w:p>
    <w:p w14:paraId="06B4D375">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4.3.4 合同期满或者履行完毕后，甲方有权（包括依法邀请国家认可的质量检测机构参加）按照合同约定的标准，组织对乙方履约情况的验收；向社会公众提供的公共服务项目，验收时将邀请服务对象</w:t>
      </w:r>
      <w:r>
        <w:rPr>
          <w:rFonts w:hint="eastAsia" w:ascii="宋体" w:hAnsi="宋体" w:eastAsia="宋体" w:cs="宋体"/>
          <w:snapToGrid w:val="0"/>
          <w:color w:val="000000"/>
          <w:spacing w:val="8"/>
          <w:kern w:val="0"/>
          <w:sz w:val="21"/>
          <w:szCs w:val="21"/>
          <w:lang w:val="en-US" w:eastAsia="en-US" w:bidi="ar-SA"/>
        </w:rPr>
        <w:t>参与并出具意见，验收结果将向社会公告。</w:t>
      </w:r>
    </w:p>
    <w:p w14:paraId="15F992FB">
      <w:pPr>
        <w:keepNext/>
        <w:keepLines w:val="0"/>
        <w:pageBreakBefore w:val="0"/>
        <w:widowControl w:val="0"/>
        <w:kinsoku w:val="0"/>
        <w:wordWrap/>
        <w:overflowPunct/>
        <w:topLinePunct/>
        <w:autoSpaceDE w:val="0"/>
        <w:autoSpaceDN w:val="0"/>
        <w:bidi w:val="0"/>
        <w:adjustRightInd/>
        <w:snapToGrid w:val="0"/>
        <w:spacing w:before="0" w:line="360" w:lineRule="auto"/>
        <w:ind w:right="0"/>
        <w:jc w:val="both"/>
        <w:textAlignment w:val="baseline"/>
        <w:rPr>
          <w:rFonts w:hint="eastAsia" w:ascii="宋体" w:hAnsi="宋体" w:eastAsia="宋体" w:cs="宋体"/>
          <w:b/>
          <w:bCs/>
          <w:snapToGrid w:val="0"/>
          <w:color w:val="000000"/>
          <w:kern w:val="0"/>
          <w:sz w:val="21"/>
          <w:szCs w:val="21"/>
          <w:lang w:val="en-US" w:eastAsia="en-US" w:bidi="ar-SA"/>
        </w:rPr>
      </w:pPr>
      <w:r>
        <w:rPr>
          <w:rFonts w:hint="eastAsia" w:ascii="宋体" w:hAnsi="宋体" w:eastAsia="宋体" w:cs="宋体"/>
          <w:b/>
          <w:bCs/>
          <w:snapToGrid w:val="0"/>
          <w:color w:val="000000"/>
          <w:spacing w:val="7"/>
          <w:kern w:val="0"/>
          <w:sz w:val="21"/>
          <w:szCs w:val="21"/>
          <w:lang w:val="en-US" w:eastAsia="en-US" w:bidi="ar-SA"/>
        </w:rPr>
        <w:t>五、服务费用的支付</w:t>
      </w:r>
    </w:p>
    <w:p w14:paraId="19D76CB7">
      <w:pPr>
        <w:keepNext/>
        <w:keepLines w:val="0"/>
        <w:pageBreakBefore w:val="0"/>
        <w:widowControl w:val="0"/>
        <w:kinsoku w:val="0"/>
        <w:wordWrap/>
        <w:overflowPunct/>
        <w:topLinePunct/>
        <w:autoSpaceDE w:val="0"/>
        <w:autoSpaceDN w:val="0"/>
        <w:bidi w:val="0"/>
        <w:adjustRightInd/>
        <w:snapToGrid w:val="0"/>
        <w:spacing w:before="0" w:line="360" w:lineRule="auto"/>
        <w:ind w:left="0" w:right="0" w:firstLine="43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5.1</w:t>
      </w:r>
      <w:r>
        <w:rPr>
          <w:rFonts w:hint="eastAsia" w:ascii="宋体" w:hAnsi="宋体" w:eastAsia="宋体" w:cs="宋体"/>
          <w:snapToGrid w:val="0"/>
          <w:color w:val="000000"/>
          <w:spacing w:val="-29"/>
          <w:kern w:val="0"/>
          <w:sz w:val="21"/>
          <w:szCs w:val="21"/>
          <w:lang w:val="en-US" w:eastAsia="en-US" w:bidi="ar-SA"/>
        </w:rPr>
        <w:t xml:space="preserve"> </w:t>
      </w:r>
      <w:r>
        <w:rPr>
          <w:rFonts w:hint="eastAsia" w:ascii="宋体" w:hAnsi="宋体" w:eastAsia="宋体" w:cs="宋体"/>
          <w:snapToGrid w:val="0"/>
          <w:color w:val="000000"/>
          <w:spacing w:val="3"/>
          <w:kern w:val="0"/>
          <w:sz w:val="21"/>
          <w:szCs w:val="21"/>
          <w:lang w:val="en-US" w:eastAsia="en-US" w:bidi="ar-SA"/>
        </w:rPr>
        <w:t>合同金额</w:t>
      </w:r>
    </w:p>
    <w:p w14:paraId="2CC9F3C1">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本合同项目服务费用金额见本合同主要要素，乙方</w:t>
      </w:r>
      <w:r>
        <w:rPr>
          <w:rFonts w:hint="eastAsia" w:ascii="宋体" w:hAnsi="宋体" w:eastAsia="宋体" w:cs="宋体"/>
          <w:snapToGrid w:val="0"/>
          <w:color w:val="000000"/>
          <w:spacing w:val="7"/>
          <w:kern w:val="0"/>
          <w:sz w:val="21"/>
          <w:szCs w:val="21"/>
          <w:lang w:val="en-US" w:eastAsia="en-US" w:bidi="ar-SA"/>
        </w:rPr>
        <w:t>完成及达到本合同文件规定的要求与标准的与本服务</w:t>
      </w:r>
      <w:r>
        <w:rPr>
          <w:rFonts w:hint="eastAsia" w:ascii="宋体" w:hAnsi="宋体" w:eastAsia="宋体" w:cs="宋体"/>
          <w:snapToGrid w:val="0"/>
          <w:color w:val="000000"/>
          <w:spacing w:val="8"/>
          <w:kern w:val="0"/>
          <w:sz w:val="21"/>
          <w:szCs w:val="21"/>
          <w:lang w:val="en-US" w:eastAsia="en-US" w:bidi="ar-SA"/>
        </w:rPr>
        <w:t>项目有关的所有费用（包括应承担的各项税负）均包含在合同金额中，</w:t>
      </w:r>
      <w:r>
        <w:rPr>
          <w:rFonts w:hint="eastAsia" w:ascii="宋体" w:hAnsi="宋体" w:eastAsia="宋体" w:cs="宋体"/>
          <w:snapToGrid w:val="0"/>
          <w:color w:val="000000"/>
          <w:spacing w:val="-39"/>
          <w:kern w:val="0"/>
          <w:sz w:val="21"/>
          <w:szCs w:val="21"/>
          <w:lang w:val="en-US" w:eastAsia="en-US" w:bidi="ar-SA"/>
        </w:rPr>
        <w:t xml:space="preserve"> </w:t>
      </w:r>
      <w:r>
        <w:rPr>
          <w:rFonts w:hint="eastAsia" w:ascii="宋体" w:hAnsi="宋体" w:eastAsia="宋体" w:cs="宋体"/>
          <w:snapToGrid w:val="0"/>
          <w:color w:val="000000"/>
          <w:spacing w:val="8"/>
          <w:kern w:val="0"/>
          <w:sz w:val="21"/>
          <w:szCs w:val="21"/>
          <w:lang w:val="en-US" w:eastAsia="en-US" w:bidi="ar-SA"/>
        </w:rPr>
        <w:t>甲方不再另行支付任何费用。</w:t>
      </w:r>
    </w:p>
    <w:p w14:paraId="61AF57B4">
      <w:pPr>
        <w:keepNext/>
        <w:keepLines w:val="0"/>
        <w:pageBreakBefore w:val="0"/>
        <w:widowControl w:val="0"/>
        <w:kinsoku w:val="0"/>
        <w:wordWrap/>
        <w:overflowPunct/>
        <w:topLinePunct/>
        <w:autoSpaceDE w:val="0"/>
        <w:autoSpaceDN w:val="0"/>
        <w:bidi w:val="0"/>
        <w:adjustRightInd/>
        <w:snapToGrid w:val="0"/>
        <w:spacing w:before="0" w:line="360" w:lineRule="auto"/>
        <w:ind w:left="0" w:right="0" w:firstLine="436" w:firstLineChars="200"/>
        <w:jc w:val="both"/>
        <w:textAlignment w:val="baseline"/>
        <w:rPr>
          <w:rFonts w:hint="default" w:ascii="宋体" w:hAnsi="宋体" w:eastAsia="宋体" w:cs="宋体"/>
          <w:i/>
          <w:iCs/>
          <w:snapToGrid w:val="0"/>
          <w:color w:val="auto"/>
          <w:kern w:val="0"/>
          <w:sz w:val="21"/>
          <w:szCs w:val="21"/>
          <w:u w:val="single"/>
          <w:lang w:val="en-US" w:eastAsia="zh-CN" w:bidi="ar-SA"/>
        </w:rPr>
      </w:pPr>
      <w:r>
        <w:rPr>
          <w:rFonts w:hint="eastAsia" w:ascii="宋体" w:hAnsi="宋体" w:eastAsia="宋体" w:cs="宋体"/>
          <w:snapToGrid w:val="0"/>
          <w:color w:val="auto"/>
          <w:spacing w:val="4"/>
          <w:kern w:val="0"/>
          <w:sz w:val="21"/>
          <w:szCs w:val="21"/>
          <w:lang w:val="en-US" w:eastAsia="en-US" w:bidi="ar-SA"/>
        </w:rPr>
        <w:t>5.2</w:t>
      </w:r>
      <w:r>
        <w:rPr>
          <w:rFonts w:hint="eastAsia" w:ascii="宋体" w:hAnsi="宋体" w:eastAsia="宋体" w:cs="宋体"/>
          <w:snapToGrid w:val="0"/>
          <w:color w:val="auto"/>
          <w:spacing w:val="18"/>
          <w:kern w:val="0"/>
          <w:sz w:val="21"/>
          <w:szCs w:val="21"/>
          <w:lang w:val="en-US" w:eastAsia="en-US" w:bidi="ar-SA"/>
        </w:rPr>
        <w:t xml:space="preserve"> </w:t>
      </w:r>
      <w:r>
        <w:rPr>
          <w:rFonts w:hint="eastAsia" w:ascii="宋体" w:hAnsi="宋体" w:eastAsia="宋体" w:cs="宋体"/>
          <w:snapToGrid w:val="0"/>
          <w:color w:val="auto"/>
          <w:spacing w:val="4"/>
          <w:kern w:val="0"/>
          <w:sz w:val="21"/>
          <w:szCs w:val="21"/>
          <w:lang w:val="en-US" w:eastAsia="en-US" w:bidi="ar-SA"/>
        </w:rPr>
        <w:t>付款方式</w:t>
      </w:r>
      <w:r>
        <w:rPr>
          <w:rFonts w:hint="eastAsia" w:ascii="宋体" w:hAnsi="宋体" w:eastAsia="宋体" w:cs="宋体"/>
          <w:snapToGrid w:val="0"/>
          <w:color w:val="auto"/>
          <w:spacing w:val="3"/>
          <w:kern w:val="0"/>
          <w:sz w:val="21"/>
          <w:szCs w:val="21"/>
          <w:lang w:val="en-US" w:eastAsia="zh-CN" w:bidi="ar-SA"/>
        </w:rPr>
        <w:t>：</w:t>
      </w:r>
      <w:r>
        <w:rPr>
          <w:rFonts w:hint="eastAsia" w:ascii="宋体" w:hAnsi="宋体" w:eastAsia="宋体" w:cs="宋体"/>
          <w:i/>
          <w:iCs/>
          <w:snapToGrid w:val="0"/>
          <w:color w:val="auto"/>
          <w:spacing w:val="3"/>
          <w:kern w:val="0"/>
          <w:sz w:val="21"/>
          <w:szCs w:val="21"/>
          <w:u w:val="single"/>
          <w:lang w:val="en-US" w:eastAsia="zh-CN" w:bidi="ar-SA"/>
        </w:rPr>
        <w:t xml:space="preserve">              </w:t>
      </w:r>
    </w:p>
    <w:p w14:paraId="3C299DC1">
      <w:pPr>
        <w:keepNext/>
        <w:keepLines w:val="0"/>
        <w:pageBreakBefore w:val="0"/>
        <w:widowControl w:val="0"/>
        <w:kinsoku w:val="0"/>
        <w:wordWrap/>
        <w:overflowPunct/>
        <w:topLinePunct/>
        <w:autoSpaceDE w:val="0"/>
        <w:autoSpaceDN w:val="0"/>
        <w:bidi w:val="0"/>
        <w:adjustRightInd/>
        <w:snapToGrid w:val="0"/>
        <w:spacing w:before="0" w:line="360" w:lineRule="auto"/>
        <w:ind w:left="0" w:right="0" w:firstLine="424"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5.3</w:t>
      </w:r>
      <w:r>
        <w:rPr>
          <w:rFonts w:hint="eastAsia" w:ascii="宋体" w:hAnsi="宋体" w:eastAsia="宋体" w:cs="宋体"/>
          <w:snapToGrid w:val="0"/>
          <w:color w:val="000000"/>
          <w:spacing w:val="20"/>
          <w:kern w:val="0"/>
          <w:sz w:val="21"/>
          <w:szCs w:val="21"/>
          <w:lang w:val="en-US" w:eastAsia="en-US" w:bidi="ar-SA"/>
        </w:rPr>
        <w:t xml:space="preserve"> </w:t>
      </w:r>
      <w:r>
        <w:rPr>
          <w:rFonts w:hint="eastAsia" w:ascii="宋体" w:hAnsi="宋体" w:eastAsia="宋体" w:cs="宋体"/>
          <w:snapToGrid w:val="0"/>
          <w:color w:val="000000"/>
          <w:spacing w:val="1"/>
          <w:kern w:val="0"/>
          <w:sz w:val="21"/>
          <w:szCs w:val="21"/>
          <w:lang w:val="en-US" w:eastAsia="en-US" w:bidi="ar-SA"/>
        </w:rPr>
        <w:t>税费</w:t>
      </w:r>
    </w:p>
    <w:p w14:paraId="4AFB96CD">
      <w:pPr>
        <w:keepNext/>
        <w:keepLines w:val="0"/>
        <w:pageBreakBefore w:val="0"/>
        <w:widowControl w:val="0"/>
        <w:kinsoku w:val="0"/>
        <w:wordWrap/>
        <w:overflowPunct/>
        <w:topLinePunct/>
        <w:autoSpaceDE w:val="0"/>
        <w:autoSpaceDN w:val="0"/>
        <w:bidi w:val="0"/>
        <w:adjustRightInd/>
        <w:snapToGrid w:val="0"/>
        <w:spacing w:before="0" w:line="360" w:lineRule="auto"/>
        <w:ind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与合同有关的一切税费，均已包含在上述合同金额中。</w:t>
      </w:r>
    </w:p>
    <w:p w14:paraId="2F358F5D">
      <w:pPr>
        <w:keepNext/>
        <w:keepLines w:val="0"/>
        <w:pageBreakBefore w:val="0"/>
        <w:widowControl w:val="0"/>
        <w:kinsoku w:val="0"/>
        <w:wordWrap/>
        <w:overflowPunct/>
        <w:topLinePunct/>
        <w:autoSpaceDE w:val="0"/>
        <w:autoSpaceDN w:val="0"/>
        <w:bidi w:val="0"/>
        <w:adjustRightInd/>
        <w:snapToGrid w:val="0"/>
        <w:spacing w:before="0" w:line="360" w:lineRule="auto"/>
        <w:ind w:right="0"/>
        <w:jc w:val="both"/>
        <w:textAlignment w:val="baseline"/>
        <w:rPr>
          <w:rFonts w:hint="eastAsia" w:ascii="宋体" w:hAnsi="宋体" w:eastAsia="宋体" w:cs="宋体"/>
          <w:b/>
          <w:bCs/>
          <w:snapToGrid w:val="0"/>
          <w:color w:val="000000"/>
          <w:kern w:val="0"/>
          <w:sz w:val="21"/>
          <w:szCs w:val="21"/>
          <w:lang w:val="en-US" w:eastAsia="en-US" w:bidi="ar-SA"/>
        </w:rPr>
      </w:pPr>
      <w:r>
        <w:rPr>
          <w:rFonts w:hint="eastAsia" w:ascii="宋体" w:hAnsi="宋体" w:eastAsia="宋体" w:cs="宋体"/>
          <w:b/>
          <w:bCs/>
          <w:snapToGrid w:val="0"/>
          <w:color w:val="000000"/>
          <w:spacing w:val="7"/>
          <w:kern w:val="0"/>
          <w:sz w:val="21"/>
          <w:szCs w:val="21"/>
          <w:lang w:val="en-US" w:eastAsia="en-US" w:bidi="ar-SA"/>
        </w:rPr>
        <w:t>六、履约保证金</w:t>
      </w:r>
    </w:p>
    <w:p w14:paraId="1A6DB3DD">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6.1</w:t>
      </w:r>
      <w:r>
        <w:rPr>
          <w:rFonts w:hint="eastAsia" w:ascii="宋体" w:hAnsi="宋体" w:eastAsia="宋体" w:cs="宋体"/>
          <w:snapToGrid w:val="0"/>
          <w:color w:val="000000"/>
          <w:spacing w:val="-25"/>
          <w:kern w:val="0"/>
          <w:sz w:val="21"/>
          <w:szCs w:val="21"/>
          <w:lang w:val="en-US" w:eastAsia="en-US" w:bidi="ar-SA"/>
        </w:rPr>
        <w:t xml:space="preserve"> </w:t>
      </w:r>
      <w:r>
        <w:rPr>
          <w:rFonts w:hint="eastAsia" w:ascii="宋体" w:hAnsi="宋体" w:eastAsia="宋体" w:cs="宋体"/>
          <w:snapToGrid w:val="0"/>
          <w:color w:val="000000"/>
          <w:spacing w:val="7"/>
          <w:kern w:val="0"/>
          <w:sz w:val="21"/>
          <w:szCs w:val="21"/>
          <w:lang w:val="en-US" w:eastAsia="en-US" w:bidi="ar-SA"/>
        </w:rPr>
        <w:t>在签署本合同之前，乙方应向甲方提交一笔合同第</w:t>
      </w:r>
      <w:r>
        <w:rPr>
          <w:rFonts w:hint="eastAsia" w:ascii="宋体" w:hAnsi="宋体" w:eastAsia="宋体" w:cs="宋体"/>
          <w:snapToGrid w:val="0"/>
          <w:color w:val="000000"/>
          <w:spacing w:val="-35"/>
          <w:kern w:val="0"/>
          <w:sz w:val="21"/>
          <w:szCs w:val="21"/>
          <w:lang w:val="en-US" w:eastAsia="en-US" w:bidi="ar-SA"/>
        </w:rPr>
        <w:t xml:space="preserve"> </w:t>
      </w:r>
      <w:r>
        <w:rPr>
          <w:rFonts w:hint="eastAsia" w:ascii="宋体" w:hAnsi="宋体" w:eastAsia="宋体" w:cs="宋体"/>
          <w:snapToGrid w:val="0"/>
          <w:color w:val="000000"/>
          <w:spacing w:val="7"/>
          <w:kern w:val="0"/>
          <w:sz w:val="21"/>
          <w:szCs w:val="21"/>
          <w:lang w:val="en-US" w:eastAsia="en-US" w:bidi="ar-SA"/>
        </w:rPr>
        <w:t>2.5</w:t>
      </w:r>
      <w:r>
        <w:rPr>
          <w:rFonts w:hint="eastAsia" w:ascii="宋体" w:hAnsi="宋体" w:eastAsia="宋体" w:cs="宋体"/>
          <w:snapToGrid w:val="0"/>
          <w:color w:val="000000"/>
          <w:spacing w:val="-33"/>
          <w:kern w:val="0"/>
          <w:sz w:val="21"/>
          <w:szCs w:val="21"/>
          <w:lang w:val="en-US" w:eastAsia="en-US" w:bidi="ar-SA"/>
        </w:rPr>
        <w:t xml:space="preserve"> </w:t>
      </w:r>
      <w:r>
        <w:rPr>
          <w:rFonts w:hint="eastAsia" w:ascii="宋体" w:hAnsi="宋体" w:eastAsia="宋体" w:cs="宋体"/>
          <w:snapToGrid w:val="0"/>
          <w:color w:val="000000"/>
          <w:spacing w:val="7"/>
          <w:kern w:val="0"/>
          <w:sz w:val="21"/>
          <w:szCs w:val="21"/>
          <w:lang w:val="en-US" w:eastAsia="en-US" w:bidi="ar-SA"/>
        </w:rPr>
        <w:t>条规定的履约保证金。履约保证金可以采用支票、汇票、本票或者甲方认可的银行出具的履约保函，前述相应票据及保函的期限应覆盖自出具</w:t>
      </w:r>
      <w:r>
        <w:rPr>
          <w:rFonts w:hint="eastAsia" w:ascii="宋体" w:hAnsi="宋体" w:eastAsia="宋体" w:cs="宋体"/>
          <w:snapToGrid w:val="0"/>
          <w:color w:val="000000"/>
          <w:spacing w:val="8"/>
          <w:kern w:val="0"/>
          <w:sz w:val="21"/>
          <w:szCs w:val="21"/>
          <w:lang w:val="en-US" w:eastAsia="en-US" w:bidi="ar-SA"/>
        </w:rPr>
        <w:t>之日起至完成服务且验收合格之日止的期间</w:t>
      </w:r>
      <w:r>
        <w:rPr>
          <w:rFonts w:hint="eastAsia" w:ascii="宋体" w:hAnsi="宋体" w:eastAsia="宋体" w:cs="宋体"/>
          <w:snapToGrid w:val="0"/>
          <w:color w:val="000000"/>
          <w:spacing w:val="7"/>
          <w:kern w:val="0"/>
          <w:sz w:val="21"/>
          <w:szCs w:val="21"/>
          <w:lang w:val="en-US" w:eastAsia="en-US" w:bidi="ar-SA"/>
        </w:rPr>
        <w:t>，如未覆盖需重新按合同规定提交。乙方提交履约保证金所</w:t>
      </w:r>
      <w:r>
        <w:rPr>
          <w:rFonts w:hint="eastAsia" w:ascii="宋体" w:hAnsi="宋体" w:eastAsia="宋体" w:cs="宋体"/>
          <w:snapToGrid w:val="0"/>
          <w:color w:val="000000"/>
          <w:spacing w:val="8"/>
          <w:kern w:val="0"/>
          <w:sz w:val="21"/>
          <w:szCs w:val="21"/>
          <w:lang w:val="en-US" w:eastAsia="en-US" w:bidi="ar-SA"/>
        </w:rPr>
        <w:t>需的有关费用均由其自行负担。</w:t>
      </w:r>
    </w:p>
    <w:p w14:paraId="6D1CBEB2">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6.2</w:t>
      </w:r>
      <w:r>
        <w:rPr>
          <w:rFonts w:hint="eastAsia" w:ascii="宋体" w:hAnsi="宋体" w:eastAsia="宋体" w:cs="宋体"/>
          <w:snapToGrid w:val="0"/>
          <w:color w:val="000000"/>
          <w:spacing w:val="-32"/>
          <w:kern w:val="0"/>
          <w:sz w:val="21"/>
          <w:szCs w:val="21"/>
          <w:lang w:val="en-US" w:eastAsia="en-US" w:bidi="ar-SA"/>
        </w:rPr>
        <w:t xml:space="preserve"> </w:t>
      </w:r>
      <w:r>
        <w:rPr>
          <w:rFonts w:hint="eastAsia" w:ascii="宋体" w:hAnsi="宋体" w:eastAsia="宋体" w:cs="宋体"/>
          <w:snapToGrid w:val="0"/>
          <w:color w:val="000000"/>
          <w:spacing w:val="8"/>
          <w:kern w:val="0"/>
          <w:sz w:val="21"/>
          <w:szCs w:val="21"/>
          <w:lang w:val="en-US" w:eastAsia="en-US" w:bidi="ar-SA"/>
        </w:rPr>
        <w:t>如乙方未能履行本合同规定的任何义务，则甲方有权从履约保证金中得到补偿。履约保证金不足弥补甲方损失的，乙方仍需承担赔偿责任。</w:t>
      </w:r>
    </w:p>
    <w:p w14:paraId="60B366CC">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6.3 履约保证金（全额或扣减后剩余金额部分）在按本合</w:t>
      </w:r>
      <w:r>
        <w:rPr>
          <w:rFonts w:hint="eastAsia" w:ascii="宋体" w:hAnsi="宋体" w:eastAsia="宋体" w:cs="宋体"/>
          <w:snapToGrid w:val="0"/>
          <w:color w:val="000000"/>
          <w:spacing w:val="6"/>
          <w:kern w:val="0"/>
          <w:sz w:val="21"/>
          <w:szCs w:val="21"/>
          <w:lang w:val="en-US" w:eastAsia="en-US" w:bidi="ar-SA"/>
        </w:rPr>
        <w:t>同规定验收合格后</w:t>
      </w:r>
      <w:r>
        <w:rPr>
          <w:rFonts w:hint="eastAsia" w:ascii="宋体" w:hAnsi="宋体" w:eastAsia="宋体" w:cs="宋体"/>
          <w:snapToGrid w:val="0"/>
          <w:color w:val="000000"/>
          <w:spacing w:val="-24"/>
          <w:kern w:val="0"/>
          <w:sz w:val="21"/>
          <w:szCs w:val="21"/>
          <w:lang w:val="en-US" w:eastAsia="en-US" w:bidi="ar-SA"/>
        </w:rPr>
        <w:t xml:space="preserve"> </w:t>
      </w:r>
      <w:r>
        <w:rPr>
          <w:rFonts w:hint="eastAsia" w:ascii="宋体" w:hAnsi="宋体" w:eastAsia="宋体" w:cs="宋体"/>
          <w:snapToGrid w:val="0"/>
          <w:color w:val="000000"/>
          <w:spacing w:val="6"/>
          <w:kern w:val="0"/>
          <w:sz w:val="21"/>
          <w:szCs w:val="21"/>
          <w:lang w:val="en-US" w:eastAsia="en-US" w:bidi="ar-SA"/>
        </w:rPr>
        <w:t>15 日</w:t>
      </w:r>
      <w:r>
        <w:rPr>
          <w:rFonts w:hint="eastAsia" w:ascii="宋体" w:hAnsi="宋体" w:eastAsia="宋体" w:cs="宋体"/>
          <w:snapToGrid w:val="0"/>
          <w:color w:val="000000"/>
          <w:spacing w:val="-59"/>
          <w:kern w:val="0"/>
          <w:sz w:val="21"/>
          <w:szCs w:val="21"/>
          <w:lang w:val="en-US" w:eastAsia="en-US" w:bidi="ar-SA"/>
        </w:rPr>
        <w:t xml:space="preserve"> </w:t>
      </w:r>
      <w:r>
        <w:rPr>
          <w:rFonts w:hint="eastAsia" w:ascii="宋体" w:hAnsi="宋体" w:eastAsia="宋体" w:cs="宋体"/>
          <w:snapToGrid w:val="0"/>
          <w:color w:val="000000"/>
          <w:spacing w:val="6"/>
          <w:kern w:val="0"/>
          <w:sz w:val="21"/>
          <w:szCs w:val="21"/>
          <w:lang w:val="en-US" w:eastAsia="en-US" w:bidi="ar-SA"/>
        </w:rPr>
        <w:t>内退还乙方。上</w:t>
      </w:r>
      <w:r>
        <w:rPr>
          <w:rFonts w:hint="eastAsia" w:ascii="宋体" w:hAnsi="宋体" w:eastAsia="宋体" w:cs="宋体"/>
          <w:snapToGrid w:val="0"/>
          <w:color w:val="000000"/>
          <w:spacing w:val="7"/>
          <w:kern w:val="0"/>
          <w:sz w:val="21"/>
          <w:szCs w:val="21"/>
          <w:lang w:val="en-US" w:eastAsia="en-US" w:bidi="ar-SA"/>
        </w:rPr>
        <w:t>述履约保证金的“退还</w:t>
      </w:r>
      <w:r>
        <w:rPr>
          <w:rFonts w:hint="eastAsia" w:ascii="宋体" w:hAnsi="宋体" w:eastAsia="宋体" w:cs="宋体"/>
          <w:snapToGrid w:val="0"/>
          <w:color w:val="000000"/>
          <w:spacing w:val="-70"/>
          <w:kern w:val="0"/>
          <w:sz w:val="21"/>
          <w:szCs w:val="21"/>
          <w:lang w:val="en-US" w:eastAsia="en-US" w:bidi="ar-SA"/>
        </w:rPr>
        <w:t xml:space="preserve"> </w:t>
      </w:r>
      <w:r>
        <w:rPr>
          <w:rFonts w:hint="eastAsia" w:ascii="宋体" w:hAnsi="宋体" w:eastAsia="宋体" w:cs="宋体"/>
          <w:snapToGrid w:val="0"/>
          <w:color w:val="000000"/>
          <w:spacing w:val="7"/>
          <w:kern w:val="0"/>
          <w:sz w:val="21"/>
          <w:szCs w:val="21"/>
          <w:lang w:val="en-US" w:eastAsia="en-US" w:bidi="ar-SA"/>
        </w:rPr>
        <w:t>”是指：履约保证金采用支票、汇票、本票形式出具的，票</w:t>
      </w:r>
      <w:r>
        <w:rPr>
          <w:rFonts w:hint="eastAsia" w:ascii="宋体" w:hAnsi="宋体" w:eastAsia="宋体" w:cs="宋体"/>
          <w:snapToGrid w:val="0"/>
          <w:color w:val="000000"/>
          <w:spacing w:val="6"/>
          <w:kern w:val="0"/>
          <w:sz w:val="21"/>
          <w:szCs w:val="21"/>
          <w:lang w:val="en-US" w:eastAsia="en-US" w:bidi="ar-SA"/>
        </w:rPr>
        <w:t>据已兑付（或贴现或</w:t>
      </w:r>
      <w:r>
        <w:rPr>
          <w:rFonts w:hint="eastAsia" w:ascii="宋体" w:hAnsi="宋体" w:eastAsia="宋体" w:cs="宋体"/>
          <w:snapToGrid w:val="0"/>
          <w:color w:val="000000"/>
          <w:spacing w:val="8"/>
          <w:kern w:val="0"/>
          <w:sz w:val="21"/>
          <w:szCs w:val="21"/>
          <w:lang w:val="en-US" w:eastAsia="en-US" w:bidi="ar-SA"/>
        </w:rPr>
        <w:t>背书转让）的，退还方式为甲方将相应金额的钱</w:t>
      </w:r>
      <w:r>
        <w:rPr>
          <w:rFonts w:hint="eastAsia" w:ascii="宋体" w:hAnsi="宋体" w:eastAsia="宋体" w:cs="宋体"/>
          <w:snapToGrid w:val="0"/>
          <w:color w:val="000000"/>
          <w:spacing w:val="7"/>
          <w:kern w:val="0"/>
          <w:sz w:val="21"/>
          <w:szCs w:val="21"/>
          <w:lang w:val="en-US" w:eastAsia="en-US" w:bidi="ar-SA"/>
        </w:rPr>
        <w:t>款以银行转账方式无息退还至乙方账户，未兑付（或贴</w:t>
      </w:r>
      <w:r>
        <w:rPr>
          <w:rFonts w:hint="eastAsia" w:ascii="宋体" w:hAnsi="宋体" w:eastAsia="宋体" w:cs="宋体"/>
          <w:snapToGrid w:val="0"/>
          <w:color w:val="000000"/>
          <w:spacing w:val="8"/>
          <w:kern w:val="0"/>
          <w:sz w:val="21"/>
          <w:szCs w:val="21"/>
          <w:lang w:val="en-US" w:eastAsia="en-US" w:bidi="ar-SA"/>
        </w:rPr>
        <w:t>现或背书转让）的则将相应票据原件退还乙方；</w:t>
      </w:r>
      <w:r>
        <w:rPr>
          <w:rFonts w:hint="eastAsia" w:ascii="宋体" w:hAnsi="宋体" w:eastAsia="宋体" w:cs="宋体"/>
          <w:snapToGrid w:val="0"/>
          <w:color w:val="000000"/>
          <w:spacing w:val="7"/>
          <w:kern w:val="0"/>
          <w:sz w:val="21"/>
          <w:szCs w:val="21"/>
          <w:lang w:val="en-US" w:eastAsia="en-US" w:bidi="ar-SA"/>
        </w:rPr>
        <w:t>采用银行保函形式出具的，则甲方在前述期间内退还乙方提交的银行保函原件。</w:t>
      </w:r>
    </w:p>
    <w:p w14:paraId="2C9C8B63">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6.4 除合同规定情形外，如果因甲方自身原因未能按照前述规定期间向乙方退还相应履约保证金，</w:t>
      </w:r>
      <w:r>
        <w:rPr>
          <w:rFonts w:hint="eastAsia" w:ascii="宋体" w:hAnsi="宋体" w:eastAsia="宋体" w:cs="宋体"/>
          <w:snapToGrid w:val="0"/>
          <w:color w:val="000000"/>
          <w:spacing w:val="7"/>
          <w:kern w:val="0"/>
          <w:sz w:val="21"/>
          <w:szCs w:val="21"/>
          <w:lang w:val="en-US" w:eastAsia="en-US" w:bidi="ar-SA"/>
        </w:rPr>
        <w:t>甲方应以应退还履约保证金数额按人民银行同期存款基</w:t>
      </w:r>
      <w:r>
        <w:rPr>
          <w:rFonts w:hint="eastAsia" w:ascii="宋体" w:hAnsi="宋体" w:eastAsia="宋体" w:cs="宋体"/>
          <w:snapToGrid w:val="0"/>
          <w:color w:val="000000"/>
          <w:spacing w:val="6"/>
          <w:kern w:val="0"/>
          <w:sz w:val="21"/>
          <w:szCs w:val="21"/>
          <w:lang w:val="en-US" w:eastAsia="en-US" w:bidi="ar-SA"/>
        </w:rPr>
        <w:t>准利率按日</w:t>
      </w:r>
      <w:r>
        <w:rPr>
          <w:rFonts w:hint="eastAsia" w:ascii="宋体" w:hAnsi="宋体" w:eastAsia="宋体" w:cs="宋体"/>
          <w:snapToGrid w:val="0"/>
          <w:color w:val="000000"/>
          <w:spacing w:val="-60"/>
          <w:kern w:val="0"/>
          <w:sz w:val="21"/>
          <w:szCs w:val="21"/>
          <w:lang w:val="en-US" w:eastAsia="en-US" w:bidi="ar-SA"/>
        </w:rPr>
        <w:t xml:space="preserve"> </w:t>
      </w:r>
      <w:r>
        <w:rPr>
          <w:rFonts w:hint="eastAsia" w:ascii="宋体" w:hAnsi="宋体" w:eastAsia="宋体" w:cs="宋体"/>
          <w:snapToGrid w:val="0"/>
          <w:color w:val="000000"/>
          <w:spacing w:val="6"/>
          <w:kern w:val="0"/>
          <w:sz w:val="21"/>
          <w:szCs w:val="21"/>
          <w:lang w:val="en-US" w:eastAsia="en-US" w:bidi="ar-SA"/>
        </w:rPr>
        <w:t>向乙方承担利息损失，直至上述履约保证金退还乙方。</w:t>
      </w:r>
    </w:p>
    <w:p w14:paraId="17680DD1">
      <w:pPr>
        <w:keepNext/>
        <w:keepLines w:val="0"/>
        <w:pageBreakBefore w:val="0"/>
        <w:widowControl w:val="0"/>
        <w:kinsoku w:val="0"/>
        <w:wordWrap/>
        <w:overflowPunct/>
        <w:topLinePunct/>
        <w:autoSpaceDE w:val="0"/>
        <w:autoSpaceDN w:val="0"/>
        <w:bidi w:val="0"/>
        <w:adjustRightInd/>
        <w:snapToGrid w:val="0"/>
        <w:spacing w:before="0" w:line="360" w:lineRule="auto"/>
        <w:ind w:right="0"/>
        <w:jc w:val="both"/>
        <w:textAlignment w:val="baseline"/>
        <w:rPr>
          <w:rFonts w:hint="eastAsia" w:ascii="宋体" w:hAnsi="宋体" w:eastAsia="宋体" w:cs="宋体"/>
          <w:b/>
          <w:bCs/>
          <w:snapToGrid w:val="0"/>
          <w:color w:val="000000"/>
          <w:kern w:val="0"/>
          <w:sz w:val="21"/>
          <w:szCs w:val="21"/>
          <w:lang w:val="en-US" w:eastAsia="en-US" w:bidi="ar-SA"/>
        </w:rPr>
      </w:pPr>
      <w:r>
        <w:rPr>
          <w:rFonts w:hint="eastAsia" w:ascii="宋体" w:hAnsi="宋体" w:eastAsia="宋体" w:cs="宋体"/>
          <w:b/>
          <w:bCs/>
          <w:snapToGrid w:val="0"/>
          <w:color w:val="000000"/>
          <w:spacing w:val="7"/>
          <w:kern w:val="0"/>
          <w:sz w:val="21"/>
          <w:szCs w:val="21"/>
          <w:lang w:val="en-US" w:eastAsia="en-US" w:bidi="ar-SA"/>
        </w:rPr>
        <w:t>七、双方权利义务</w:t>
      </w:r>
    </w:p>
    <w:p w14:paraId="570C1633">
      <w:pPr>
        <w:keepNext/>
        <w:keepLines w:val="0"/>
        <w:pageBreakBefore w:val="0"/>
        <w:widowControl w:val="0"/>
        <w:kinsoku w:val="0"/>
        <w:wordWrap/>
        <w:overflowPunct/>
        <w:topLinePunct/>
        <w:autoSpaceDE w:val="0"/>
        <w:autoSpaceDN w:val="0"/>
        <w:bidi w:val="0"/>
        <w:adjustRightInd/>
        <w:snapToGrid w:val="0"/>
        <w:spacing w:before="0" w:line="360" w:lineRule="auto"/>
        <w:ind w:left="0" w:right="0" w:firstLine="43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7.1</w:t>
      </w:r>
      <w:r>
        <w:rPr>
          <w:rFonts w:hint="eastAsia" w:ascii="宋体" w:hAnsi="宋体" w:eastAsia="宋体" w:cs="宋体"/>
          <w:snapToGrid w:val="0"/>
          <w:color w:val="000000"/>
          <w:spacing w:val="51"/>
          <w:kern w:val="0"/>
          <w:sz w:val="21"/>
          <w:szCs w:val="21"/>
          <w:lang w:val="en-US" w:eastAsia="en-US" w:bidi="ar-SA"/>
        </w:rPr>
        <w:t xml:space="preserve"> </w:t>
      </w:r>
      <w:r>
        <w:rPr>
          <w:rFonts w:hint="eastAsia" w:ascii="宋体" w:hAnsi="宋体" w:eastAsia="宋体" w:cs="宋体"/>
          <w:snapToGrid w:val="0"/>
          <w:color w:val="000000"/>
          <w:spacing w:val="3"/>
          <w:kern w:val="0"/>
          <w:sz w:val="21"/>
          <w:szCs w:val="21"/>
          <w:lang w:val="en-US" w:eastAsia="en-US" w:bidi="ar-SA"/>
        </w:rPr>
        <w:t>甲方的权利和义务</w:t>
      </w:r>
    </w:p>
    <w:p w14:paraId="77E7AB9D">
      <w:pPr>
        <w:keepNext/>
        <w:keepLines w:val="0"/>
        <w:pageBreakBefore w:val="0"/>
        <w:widowControl w:val="0"/>
        <w:kinsoku/>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7.1.1 甲方有权向乙方询问工作进展情况及相关的内容, 有权检查和监督乙方的服务工</w:t>
      </w:r>
      <w:r>
        <w:rPr>
          <w:rFonts w:hint="eastAsia" w:ascii="宋体" w:hAnsi="宋体" w:eastAsia="宋体" w:cs="宋体"/>
          <w:snapToGrid w:val="0"/>
          <w:color w:val="000000"/>
          <w:spacing w:val="6"/>
          <w:kern w:val="0"/>
          <w:sz w:val="21"/>
          <w:szCs w:val="21"/>
          <w:lang w:val="en-US" w:eastAsia="en-US" w:bidi="ar-SA"/>
        </w:rPr>
        <w:t>作的质量、</w:t>
      </w:r>
      <w:r>
        <w:rPr>
          <w:rFonts w:hint="eastAsia" w:ascii="宋体" w:hAnsi="宋体" w:eastAsia="宋体" w:cs="宋体"/>
          <w:snapToGrid w:val="0"/>
          <w:color w:val="000000"/>
          <w:spacing w:val="8"/>
          <w:kern w:val="0"/>
          <w:sz w:val="21"/>
          <w:szCs w:val="21"/>
          <w:lang w:val="en-US" w:eastAsia="en-US" w:bidi="ar-SA"/>
        </w:rPr>
        <w:t>管理等情况，有权要求乙方以书面形式就前述内容进行汇报。</w:t>
      </w:r>
    </w:p>
    <w:p w14:paraId="37E6B6EA">
      <w:pPr>
        <w:keepNext/>
        <w:keepLines w:val="0"/>
        <w:pageBreakBefore w:val="0"/>
        <w:widowControl w:val="0"/>
        <w:kinsoku/>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7.1.2 甲方有权对乙方服务过程中出现的具体问题提出建议和意见，有权通知乙方对违反合</w:t>
      </w:r>
      <w:r>
        <w:rPr>
          <w:rFonts w:hint="eastAsia" w:ascii="宋体" w:hAnsi="宋体" w:eastAsia="宋体" w:cs="宋体"/>
          <w:snapToGrid w:val="0"/>
          <w:color w:val="000000"/>
          <w:spacing w:val="6"/>
          <w:kern w:val="0"/>
          <w:sz w:val="21"/>
          <w:szCs w:val="21"/>
          <w:lang w:val="en-US" w:eastAsia="en-US" w:bidi="ar-SA"/>
        </w:rPr>
        <w:t>同规定</w:t>
      </w:r>
      <w:r>
        <w:rPr>
          <w:rFonts w:hint="eastAsia" w:ascii="宋体" w:hAnsi="宋体" w:eastAsia="宋体" w:cs="宋体"/>
          <w:snapToGrid w:val="0"/>
          <w:color w:val="000000"/>
          <w:spacing w:val="8"/>
          <w:kern w:val="0"/>
          <w:sz w:val="21"/>
          <w:szCs w:val="21"/>
          <w:lang w:val="en-US" w:eastAsia="en-US" w:bidi="ar-SA"/>
        </w:rPr>
        <w:t>的行为及时纠正，并按本合同有关规定给予处理。</w:t>
      </w:r>
    </w:p>
    <w:p w14:paraId="0448CFD0">
      <w:pPr>
        <w:keepNext/>
        <w:keepLines w:val="0"/>
        <w:pageBreakBefore w:val="0"/>
        <w:widowControl w:val="0"/>
        <w:kinsoku/>
        <w:wordWrap/>
        <w:overflowPunct/>
        <w:topLinePunct/>
        <w:autoSpaceDE w:val="0"/>
        <w:autoSpaceDN w:val="0"/>
        <w:bidi w:val="0"/>
        <w:adjustRightInd/>
        <w:snapToGrid w:val="0"/>
        <w:spacing w:before="0" w:line="360" w:lineRule="auto"/>
        <w:ind w:left="0" w:leftChars="0" w:right="0" w:firstLine="444"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7.1.3 因乙方违反合同规定给甲方或相关方造成损失时，</w:t>
      </w:r>
      <w:r>
        <w:rPr>
          <w:rFonts w:hint="eastAsia" w:ascii="宋体" w:hAnsi="宋体" w:eastAsia="宋体" w:cs="宋体"/>
          <w:snapToGrid w:val="0"/>
          <w:color w:val="000000"/>
          <w:spacing w:val="-38"/>
          <w:kern w:val="0"/>
          <w:sz w:val="21"/>
          <w:szCs w:val="21"/>
          <w:lang w:val="en-US" w:eastAsia="en-US" w:bidi="ar-SA"/>
        </w:rPr>
        <w:t xml:space="preserve"> </w:t>
      </w:r>
      <w:r>
        <w:rPr>
          <w:rFonts w:hint="eastAsia" w:ascii="宋体" w:hAnsi="宋体" w:eastAsia="宋体" w:cs="宋体"/>
          <w:snapToGrid w:val="0"/>
          <w:color w:val="000000"/>
          <w:spacing w:val="6"/>
          <w:kern w:val="0"/>
          <w:sz w:val="21"/>
          <w:szCs w:val="21"/>
          <w:lang w:val="en-US" w:eastAsia="en-US" w:bidi="ar-SA"/>
        </w:rPr>
        <w:t>甲方有权要求乙方赔偿经济损失。</w:t>
      </w:r>
    </w:p>
    <w:p w14:paraId="76ABA2E7">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7.1.4 当甲方认定项目服务专业人员不按项目服务合同履行其职责，或专业能力、管理</w:t>
      </w:r>
      <w:r>
        <w:rPr>
          <w:rFonts w:hint="eastAsia" w:ascii="宋体" w:hAnsi="宋体" w:eastAsia="宋体" w:cs="宋体"/>
          <w:snapToGrid w:val="0"/>
          <w:color w:val="000000"/>
          <w:spacing w:val="6"/>
          <w:kern w:val="0"/>
          <w:sz w:val="21"/>
          <w:szCs w:val="21"/>
          <w:lang w:val="en-US" w:eastAsia="en-US" w:bidi="ar-SA"/>
        </w:rPr>
        <w:t>能</w:t>
      </w:r>
      <w:r>
        <w:rPr>
          <w:rFonts w:hint="eastAsia" w:ascii="宋体" w:hAnsi="宋体" w:cs="宋体"/>
          <w:snapToGrid w:val="0"/>
          <w:color w:val="000000"/>
          <w:spacing w:val="6"/>
          <w:kern w:val="0"/>
          <w:sz w:val="21"/>
          <w:szCs w:val="21"/>
          <w:lang w:val="en-US" w:eastAsia="zh-CN" w:bidi="ar-SA"/>
        </w:rPr>
        <w:t>力和</w:t>
      </w:r>
      <w:r>
        <w:rPr>
          <w:rFonts w:hint="eastAsia" w:ascii="宋体" w:hAnsi="宋体" w:eastAsia="宋体" w:cs="宋体"/>
          <w:snapToGrid w:val="0"/>
          <w:color w:val="000000"/>
          <w:spacing w:val="6"/>
          <w:kern w:val="0"/>
          <w:sz w:val="21"/>
          <w:szCs w:val="21"/>
          <w:lang w:val="en-US" w:eastAsia="en-US" w:bidi="ar-SA"/>
        </w:rPr>
        <w:t>责任</w:t>
      </w:r>
      <w:r>
        <w:rPr>
          <w:rFonts w:hint="eastAsia" w:ascii="宋体" w:hAnsi="宋体" w:eastAsia="宋体" w:cs="宋体"/>
          <w:snapToGrid w:val="0"/>
          <w:color w:val="000000"/>
          <w:spacing w:val="8"/>
          <w:kern w:val="0"/>
          <w:sz w:val="21"/>
          <w:szCs w:val="21"/>
          <w:lang w:val="en-US" w:eastAsia="en-US" w:bidi="ar-SA"/>
        </w:rPr>
        <w:t>心较差，不能有效与甲方配合并履行其项目</w:t>
      </w:r>
      <w:r>
        <w:rPr>
          <w:rFonts w:hint="eastAsia" w:ascii="宋体" w:hAnsi="宋体" w:eastAsia="宋体" w:cs="宋体"/>
          <w:snapToGrid w:val="0"/>
          <w:color w:val="000000"/>
          <w:spacing w:val="7"/>
          <w:kern w:val="0"/>
          <w:sz w:val="21"/>
          <w:szCs w:val="21"/>
          <w:lang w:val="en-US" w:eastAsia="en-US" w:bidi="ar-SA"/>
        </w:rPr>
        <w:t>服务义务，或与第三人串通给甲方</w:t>
      </w:r>
      <w:r>
        <w:rPr>
          <w:rFonts w:hint="eastAsia" w:ascii="宋体" w:hAnsi="宋体" w:cs="宋体"/>
          <w:snapToGrid w:val="0"/>
          <w:color w:val="000000"/>
          <w:spacing w:val="7"/>
          <w:kern w:val="0"/>
          <w:sz w:val="21"/>
          <w:szCs w:val="21"/>
          <w:lang w:val="en-US" w:eastAsia="zh-CN" w:bidi="ar-SA"/>
        </w:rPr>
        <w:t>造成</w:t>
      </w:r>
      <w:r>
        <w:rPr>
          <w:rFonts w:hint="eastAsia" w:ascii="宋体" w:hAnsi="宋体" w:eastAsia="宋体" w:cs="宋体"/>
          <w:snapToGrid w:val="0"/>
          <w:color w:val="000000"/>
          <w:spacing w:val="7"/>
          <w:kern w:val="0"/>
          <w:sz w:val="21"/>
          <w:szCs w:val="21"/>
          <w:lang w:val="en-US" w:eastAsia="en-US" w:bidi="ar-SA"/>
        </w:rPr>
        <w:t>经济损失的，甲方有</w:t>
      </w:r>
      <w:r>
        <w:rPr>
          <w:rFonts w:hint="eastAsia" w:ascii="宋体" w:hAnsi="宋体" w:eastAsia="宋体" w:cs="宋体"/>
          <w:snapToGrid w:val="0"/>
          <w:color w:val="000000"/>
          <w:spacing w:val="8"/>
          <w:kern w:val="0"/>
          <w:sz w:val="21"/>
          <w:szCs w:val="21"/>
          <w:lang w:val="en-US" w:eastAsia="en-US" w:bidi="ar-SA"/>
        </w:rPr>
        <w:t>权要求乙方更换项目服务专业人员，如对甲方造成实</w:t>
      </w:r>
      <w:r>
        <w:rPr>
          <w:rFonts w:hint="eastAsia" w:ascii="宋体" w:hAnsi="宋体" w:eastAsia="宋体" w:cs="宋体"/>
          <w:snapToGrid w:val="0"/>
          <w:color w:val="000000"/>
          <w:spacing w:val="7"/>
          <w:kern w:val="0"/>
          <w:sz w:val="21"/>
          <w:szCs w:val="21"/>
          <w:lang w:val="en-US" w:eastAsia="en-US" w:bidi="ar-SA"/>
        </w:rPr>
        <w:t>际损失的，甲方有权终止合同并要求乙方承担相应</w:t>
      </w:r>
      <w:r>
        <w:rPr>
          <w:rFonts w:hint="eastAsia" w:ascii="宋体" w:hAnsi="宋体" w:eastAsia="宋体" w:cs="宋体"/>
          <w:snapToGrid w:val="0"/>
          <w:color w:val="000000"/>
          <w:spacing w:val="3"/>
          <w:kern w:val="0"/>
          <w:sz w:val="21"/>
          <w:szCs w:val="21"/>
          <w:lang w:val="en-US" w:eastAsia="en-US" w:bidi="ar-SA"/>
        </w:rPr>
        <w:t>的赔偿责任。</w:t>
      </w:r>
    </w:p>
    <w:p w14:paraId="6AF7CB2A">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7.1.5 甲方有权同意或不同意乙方因自身工作需要</w:t>
      </w:r>
      <w:r>
        <w:rPr>
          <w:rFonts w:hint="eastAsia" w:ascii="宋体" w:hAnsi="宋体" w:eastAsia="宋体" w:cs="宋体"/>
          <w:snapToGrid w:val="0"/>
          <w:color w:val="000000"/>
          <w:spacing w:val="7"/>
          <w:kern w:val="0"/>
          <w:sz w:val="21"/>
          <w:szCs w:val="21"/>
          <w:lang w:val="en-US" w:eastAsia="en-US" w:bidi="ar-SA"/>
        </w:rPr>
        <w:t>而更换合同约定的主要工作小组成员的要求。</w:t>
      </w:r>
    </w:p>
    <w:p w14:paraId="00D7FD1F">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7.1.6 甲方应当在合同履约中，督促、协调与本项目服务有关的第三人（与合同履行有关的</w:t>
      </w:r>
      <w:r>
        <w:rPr>
          <w:rFonts w:hint="eastAsia" w:ascii="宋体" w:hAnsi="宋体" w:eastAsia="宋体" w:cs="宋体"/>
          <w:snapToGrid w:val="0"/>
          <w:color w:val="000000"/>
          <w:spacing w:val="6"/>
          <w:kern w:val="0"/>
          <w:sz w:val="21"/>
          <w:szCs w:val="21"/>
          <w:lang w:val="en-US" w:eastAsia="en-US" w:bidi="ar-SA"/>
        </w:rPr>
        <w:t>相关单</w:t>
      </w:r>
      <w:r>
        <w:rPr>
          <w:rFonts w:hint="eastAsia" w:ascii="宋体" w:hAnsi="宋体" w:eastAsia="宋体" w:cs="宋体"/>
          <w:snapToGrid w:val="0"/>
          <w:color w:val="000000"/>
          <w:spacing w:val="8"/>
          <w:kern w:val="0"/>
          <w:sz w:val="21"/>
          <w:szCs w:val="21"/>
          <w:lang w:val="en-US" w:eastAsia="en-US" w:bidi="ar-SA"/>
        </w:rPr>
        <w:t>位）协同乙方办理有关服务事项。</w:t>
      </w:r>
      <w:r>
        <w:rPr>
          <w:rFonts w:hint="eastAsia" w:ascii="宋体" w:hAnsi="宋体" w:eastAsia="宋体" w:cs="宋体"/>
          <w:snapToGrid w:val="0"/>
          <w:color w:val="000000"/>
          <w:spacing w:val="-50"/>
          <w:kern w:val="0"/>
          <w:sz w:val="21"/>
          <w:szCs w:val="21"/>
          <w:lang w:val="en-US" w:eastAsia="en-US" w:bidi="ar-SA"/>
        </w:rPr>
        <w:t xml:space="preserve"> </w:t>
      </w:r>
      <w:r>
        <w:rPr>
          <w:rFonts w:hint="eastAsia" w:ascii="宋体" w:hAnsi="宋体" w:eastAsia="宋体" w:cs="宋体"/>
          <w:snapToGrid w:val="0"/>
          <w:color w:val="000000"/>
          <w:spacing w:val="8"/>
          <w:kern w:val="0"/>
          <w:sz w:val="21"/>
          <w:szCs w:val="21"/>
          <w:lang w:val="en-US" w:eastAsia="en-US" w:bidi="ar-SA"/>
        </w:rPr>
        <w:t>甲方就乙方书面提交并要求</w:t>
      </w:r>
      <w:r>
        <w:rPr>
          <w:rFonts w:hint="eastAsia" w:ascii="宋体" w:hAnsi="宋体" w:cs="宋体"/>
          <w:snapToGrid w:val="0"/>
          <w:color w:val="000000"/>
          <w:spacing w:val="8"/>
          <w:kern w:val="0"/>
          <w:sz w:val="21"/>
          <w:szCs w:val="21"/>
          <w:lang w:val="en-US" w:eastAsia="zh-CN" w:bidi="ar-SA"/>
        </w:rPr>
        <w:t>作出</w:t>
      </w:r>
      <w:r>
        <w:rPr>
          <w:rFonts w:hint="eastAsia" w:ascii="宋体" w:hAnsi="宋体" w:eastAsia="宋体" w:cs="宋体"/>
          <w:snapToGrid w:val="0"/>
          <w:color w:val="000000"/>
          <w:spacing w:val="8"/>
          <w:kern w:val="0"/>
          <w:sz w:val="21"/>
          <w:szCs w:val="21"/>
          <w:lang w:val="en-US" w:eastAsia="en-US" w:bidi="ar-SA"/>
        </w:rPr>
        <w:t>答</w:t>
      </w:r>
      <w:r>
        <w:rPr>
          <w:rFonts w:hint="eastAsia" w:ascii="宋体" w:hAnsi="宋体" w:eastAsia="宋体" w:cs="宋体"/>
          <w:snapToGrid w:val="0"/>
          <w:color w:val="000000"/>
          <w:spacing w:val="7"/>
          <w:kern w:val="0"/>
          <w:sz w:val="21"/>
          <w:szCs w:val="21"/>
          <w:lang w:val="en-US" w:eastAsia="en-US" w:bidi="ar-SA"/>
        </w:rPr>
        <w:t>复的事宜，在</w:t>
      </w:r>
      <w:r>
        <w:rPr>
          <w:rFonts w:hint="eastAsia" w:ascii="宋体" w:hAnsi="宋体" w:eastAsia="宋体" w:cs="宋体"/>
          <w:snapToGrid w:val="0"/>
          <w:color w:val="000000"/>
          <w:spacing w:val="-24"/>
          <w:kern w:val="0"/>
          <w:sz w:val="21"/>
          <w:szCs w:val="21"/>
          <w:lang w:val="en-US" w:eastAsia="en-US" w:bidi="ar-SA"/>
        </w:rPr>
        <w:t xml:space="preserve"> </w:t>
      </w:r>
      <w:r>
        <w:rPr>
          <w:rFonts w:hint="eastAsia" w:ascii="宋体" w:hAnsi="宋体" w:eastAsia="宋体" w:cs="宋体"/>
          <w:snapToGrid w:val="0"/>
          <w:color w:val="000000"/>
          <w:spacing w:val="7"/>
          <w:kern w:val="0"/>
          <w:sz w:val="21"/>
          <w:szCs w:val="21"/>
          <w:lang w:val="en-US" w:eastAsia="en-US" w:bidi="ar-SA"/>
        </w:rPr>
        <w:t>15</w:t>
      </w:r>
      <w:r>
        <w:rPr>
          <w:rFonts w:hint="eastAsia" w:ascii="宋体" w:hAnsi="宋体" w:eastAsia="宋体" w:cs="宋体"/>
          <w:snapToGrid w:val="0"/>
          <w:color w:val="000000"/>
          <w:spacing w:val="-34"/>
          <w:kern w:val="0"/>
          <w:sz w:val="21"/>
          <w:szCs w:val="21"/>
          <w:lang w:val="en-US" w:eastAsia="en-US" w:bidi="ar-SA"/>
        </w:rPr>
        <w:t xml:space="preserve"> </w:t>
      </w:r>
      <w:r>
        <w:rPr>
          <w:rFonts w:hint="eastAsia" w:ascii="宋体" w:hAnsi="宋体" w:eastAsia="宋体" w:cs="宋体"/>
          <w:snapToGrid w:val="0"/>
          <w:color w:val="000000"/>
          <w:spacing w:val="7"/>
          <w:kern w:val="0"/>
          <w:sz w:val="21"/>
          <w:szCs w:val="21"/>
          <w:lang w:val="en-US" w:eastAsia="en-US" w:bidi="ar-SA"/>
        </w:rPr>
        <w:t>个工作日内做出</w:t>
      </w:r>
      <w:r>
        <w:rPr>
          <w:rFonts w:hint="eastAsia" w:ascii="宋体" w:hAnsi="宋体" w:eastAsia="宋体" w:cs="宋体"/>
          <w:snapToGrid w:val="0"/>
          <w:color w:val="000000"/>
          <w:spacing w:val="8"/>
          <w:kern w:val="0"/>
          <w:sz w:val="21"/>
          <w:szCs w:val="21"/>
          <w:lang w:val="en-US" w:eastAsia="en-US" w:bidi="ar-SA"/>
        </w:rPr>
        <w:t>书面答复。乙方要求第三人提供有关资料时</w:t>
      </w:r>
      <w:r>
        <w:rPr>
          <w:rFonts w:hint="eastAsia" w:ascii="宋体" w:hAnsi="宋体" w:eastAsia="宋体" w:cs="宋体"/>
          <w:snapToGrid w:val="0"/>
          <w:color w:val="000000"/>
          <w:spacing w:val="7"/>
          <w:kern w:val="0"/>
          <w:sz w:val="21"/>
          <w:szCs w:val="21"/>
          <w:lang w:val="en-US" w:eastAsia="en-US" w:bidi="ar-SA"/>
        </w:rPr>
        <w:t>，甲方可根据自己的能力负责协调、转达及资料转送，但并不成为甲方当然的义务。</w:t>
      </w:r>
    </w:p>
    <w:p w14:paraId="0A90F87A">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7.1.7 甲方应当履行本合同约定的义务，如有违反则应当承担</w:t>
      </w:r>
      <w:r>
        <w:rPr>
          <w:rFonts w:hint="eastAsia" w:ascii="宋体" w:hAnsi="宋体" w:cs="宋体"/>
          <w:snapToGrid w:val="0"/>
          <w:color w:val="000000"/>
          <w:spacing w:val="7"/>
          <w:kern w:val="0"/>
          <w:sz w:val="21"/>
          <w:szCs w:val="21"/>
          <w:lang w:val="en-US" w:eastAsia="zh-CN" w:bidi="ar-SA"/>
        </w:rPr>
        <w:t>违约责任，并赔偿</w:t>
      </w:r>
      <w:r>
        <w:rPr>
          <w:rFonts w:hint="eastAsia" w:ascii="宋体" w:hAnsi="宋体" w:eastAsia="宋体" w:cs="宋体"/>
          <w:snapToGrid w:val="0"/>
          <w:color w:val="000000"/>
          <w:spacing w:val="7"/>
          <w:kern w:val="0"/>
          <w:sz w:val="21"/>
          <w:szCs w:val="21"/>
          <w:lang w:val="en-US" w:eastAsia="en-US" w:bidi="ar-SA"/>
        </w:rPr>
        <w:t>给乙方造成的</w:t>
      </w:r>
      <w:r>
        <w:rPr>
          <w:rFonts w:hint="eastAsia" w:ascii="宋体" w:hAnsi="宋体" w:eastAsia="宋体" w:cs="宋体"/>
          <w:snapToGrid w:val="0"/>
          <w:color w:val="000000"/>
          <w:spacing w:val="6"/>
          <w:kern w:val="0"/>
          <w:sz w:val="21"/>
          <w:szCs w:val="21"/>
          <w:lang w:val="en-US" w:eastAsia="en-US" w:bidi="ar-SA"/>
        </w:rPr>
        <w:t>直接经</w:t>
      </w:r>
      <w:r>
        <w:rPr>
          <w:rFonts w:hint="eastAsia" w:ascii="宋体" w:hAnsi="宋体" w:eastAsia="宋体" w:cs="宋体"/>
          <w:snapToGrid w:val="0"/>
          <w:color w:val="000000"/>
          <w:spacing w:val="3"/>
          <w:kern w:val="0"/>
          <w:sz w:val="21"/>
          <w:szCs w:val="21"/>
          <w:lang w:val="en-US" w:eastAsia="en-US" w:bidi="ar-SA"/>
        </w:rPr>
        <w:t>济损失。</w:t>
      </w:r>
    </w:p>
    <w:p w14:paraId="71AED463">
      <w:pPr>
        <w:keepNext/>
        <w:keepLines w:val="0"/>
        <w:pageBreakBefore w:val="0"/>
        <w:widowControl w:val="0"/>
        <w:kinsoku w:val="0"/>
        <w:wordWrap/>
        <w:overflowPunct/>
        <w:topLinePunct/>
        <w:autoSpaceDE w:val="0"/>
        <w:autoSpaceDN w:val="0"/>
        <w:bidi w:val="0"/>
        <w:adjustRightInd/>
        <w:snapToGrid w:val="0"/>
        <w:spacing w:before="0" w:line="360" w:lineRule="auto"/>
        <w:ind w:left="0" w:right="0" w:firstLine="436"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4"/>
          <w:kern w:val="0"/>
          <w:sz w:val="21"/>
          <w:szCs w:val="21"/>
          <w:lang w:val="en-US" w:eastAsia="en-US" w:bidi="ar-SA"/>
        </w:rPr>
        <w:t>7.2</w:t>
      </w:r>
      <w:r>
        <w:rPr>
          <w:rFonts w:hint="eastAsia" w:ascii="宋体" w:hAnsi="宋体" w:eastAsia="宋体" w:cs="宋体"/>
          <w:snapToGrid w:val="0"/>
          <w:color w:val="000000"/>
          <w:spacing w:val="40"/>
          <w:kern w:val="0"/>
          <w:sz w:val="21"/>
          <w:szCs w:val="21"/>
          <w:lang w:val="en-US" w:eastAsia="en-US" w:bidi="ar-SA"/>
        </w:rPr>
        <w:t xml:space="preserve"> </w:t>
      </w:r>
      <w:r>
        <w:rPr>
          <w:rFonts w:hint="eastAsia" w:ascii="宋体" w:hAnsi="宋体" w:eastAsia="宋体" w:cs="宋体"/>
          <w:snapToGrid w:val="0"/>
          <w:color w:val="000000"/>
          <w:spacing w:val="4"/>
          <w:kern w:val="0"/>
          <w:sz w:val="21"/>
          <w:szCs w:val="21"/>
          <w:lang w:val="en-US" w:eastAsia="en-US" w:bidi="ar-SA"/>
        </w:rPr>
        <w:t>乙方的权利和义务</w:t>
      </w:r>
    </w:p>
    <w:p w14:paraId="07DDD9D9">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7.2.1</w:t>
      </w:r>
      <w:r>
        <w:rPr>
          <w:rFonts w:hint="eastAsia" w:ascii="宋体" w:hAnsi="宋体" w:eastAsia="宋体" w:cs="宋体"/>
          <w:snapToGrid w:val="0"/>
          <w:color w:val="000000"/>
          <w:spacing w:val="-10"/>
          <w:kern w:val="0"/>
          <w:sz w:val="21"/>
          <w:szCs w:val="21"/>
          <w:lang w:val="en-US" w:eastAsia="en-US" w:bidi="ar-SA"/>
        </w:rPr>
        <w:t xml:space="preserve"> </w:t>
      </w:r>
      <w:r>
        <w:rPr>
          <w:rFonts w:hint="eastAsia" w:ascii="宋体" w:hAnsi="宋体" w:eastAsia="宋体" w:cs="宋体"/>
          <w:snapToGrid w:val="0"/>
          <w:color w:val="000000"/>
          <w:spacing w:val="7"/>
          <w:kern w:val="0"/>
          <w:sz w:val="21"/>
          <w:szCs w:val="21"/>
          <w:lang w:val="en-US" w:eastAsia="en-US" w:bidi="ar-SA"/>
        </w:rPr>
        <w:t>乙方有权在履行合同期间内取得按合同约定应有的报酬。</w:t>
      </w:r>
    </w:p>
    <w:p w14:paraId="40F6A24E">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7.2.2</w:t>
      </w:r>
      <w:r>
        <w:rPr>
          <w:rFonts w:hint="eastAsia" w:ascii="宋体" w:hAnsi="宋体" w:eastAsia="宋体" w:cs="宋体"/>
          <w:snapToGrid w:val="0"/>
          <w:color w:val="000000"/>
          <w:spacing w:val="-20"/>
          <w:kern w:val="0"/>
          <w:sz w:val="21"/>
          <w:szCs w:val="21"/>
          <w:lang w:val="en-US" w:eastAsia="en-US" w:bidi="ar-SA"/>
        </w:rPr>
        <w:t xml:space="preserve"> </w:t>
      </w:r>
      <w:r>
        <w:rPr>
          <w:rFonts w:hint="eastAsia" w:ascii="宋体" w:hAnsi="宋体" w:eastAsia="宋体" w:cs="宋体"/>
          <w:snapToGrid w:val="0"/>
          <w:color w:val="000000"/>
          <w:spacing w:val="8"/>
          <w:kern w:val="0"/>
          <w:sz w:val="21"/>
          <w:szCs w:val="21"/>
          <w:lang w:val="en-US" w:eastAsia="en-US" w:bidi="ar-SA"/>
        </w:rPr>
        <w:t>乙方在项目服务过程中，如甲方提供的资料不明确时可向甲方提出书面报告。</w:t>
      </w:r>
    </w:p>
    <w:p w14:paraId="001F1683">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7.2.3</w:t>
      </w:r>
      <w:r>
        <w:rPr>
          <w:rFonts w:hint="eastAsia" w:ascii="宋体" w:hAnsi="宋体" w:eastAsia="宋体" w:cs="宋体"/>
          <w:snapToGrid w:val="0"/>
          <w:color w:val="000000"/>
          <w:spacing w:val="-20"/>
          <w:kern w:val="0"/>
          <w:sz w:val="21"/>
          <w:szCs w:val="21"/>
          <w:lang w:val="en-US" w:eastAsia="en-US" w:bidi="ar-SA"/>
        </w:rPr>
        <w:t xml:space="preserve"> </w:t>
      </w:r>
      <w:r>
        <w:rPr>
          <w:rFonts w:hint="eastAsia" w:ascii="宋体" w:hAnsi="宋体" w:eastAsia="宋体" w:cs="宋体"/>
          <w:snapToGrid w:val="0"/>
          <w:color w:val="000000"/>
          <w:spacing w:val="8"/>
          <w:kern w:val="0"/>
          <w:sz w:val="21"/>
          <w:szCs w:val="21"/>
          <w:lang w:val="en-US" w:eastAsia="en-US" w:bidi="ar-SA"/>
        </w:rPr>
        <w:t>乙方有权在合同履行期间得到甲方必要的支</w:t>
      </w:r>
      <w:r>
        <w:rPr>
          <w:rFonts w:hint="eastAsia" w:ascii="宋体" w:hAnsi="宋体" w:eastAsia="宋体" w:cs="宋体"/>
          <w:snapToGrid w:val="0"/>
          <w:color w:val="000000"/>
          <w:spacing w:val="7"/>
          <w:kern w:val="0"/>
          <w:sz w:val="21"/>
          <w:szCs w:val="21"/>
          <w:lang w:val="en-US" w:eastAsia="en-US" w:bidi="ar-SA"/>
        </w:rPr>
        <w:t>持，有权拒绝执行甲方任何不符合有关法律、法</w:t>
      </w:r>
      <w:r>
        <w:rPr>
          <w:rFonts w:hint="eastAsia" w:ascii="宋体" w:hAnsi="宋体" w:eastAsia="宋体" w:cs="宋体"/>
          <w:snapToGrid w:val="0"/>
          <w:color w:val="000000"/>
          <w:spacing w:val="6"/>
          <w:kern w:val="0"/>
          <w:sz w:val="21"/>
          <w:szCs w:val="21"/>
          <w:lang w:val="en-US" w:eastAsia="en-US" w:bidi="ar-SA"/>
        </w:rPr>
        <w:t>规规定的要求。</w:t>
      </w:r>
    </w:p>
    <w:p w14:paraId="0C991359">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7.2.4</w:t>
      </w:r>
      <w:r>
        <w:rPr>
          <w:rFonts w:hint="eastAsia" w:ascii="宋体" w:hAnsi="宋体" w:eastAsia="宋体" w:cs="宋体"/>
          <w:snapToGrid w:val="0"/>
          <w:color w:val="000000"/>
          <w:spacing w:val="-19"/>
          <w:kern w:val="0"/>
          <w:sz w:val="21"/>
          <w:szCs w:val="21"/>
          <w:lang w:val="en-US" w:eastAsia="en-US" w:bidi="ar-SA"/>
        </w:rPr>
        <w:t xml:space="preserve"> </w:t>
      </w:r>
      <w:r>
        <w:rPr>
          <w:rFonts w:hint="eastAsia" w:ascii="宋体" w:hAnsi="宋体" w:eastAsia="宋体" w:cs="宋体"/>
          <w:snapToGrid w:val="0"/>
          <w:color w:val="000000"/>
          <w:spacing w:val="8"/>
          <w:kern w:val="0"/>
          <w:sz w:val="21"/>
          <w:szCs w:val="21"/>
          <w:lang w:val="en-US" w:eastAsia="en-US" w:bidi="ar-SA"/>
        </w:rPr>
        <w:t>乙方应严格遵守国家、地方的法律、</w:t>
      </w:r>
      <w:r>
        <w:rPr>
          <w:rFonts w:hint="eastAsia" w:ascii="宋体" w:hAnsi="宋体" w:eastAsia="宋体" w:cs="宋体"/>
          <w:snapToGrid w:val="0"/>
          <w:color w:val="000000"/>
          <w:spacing w:val="7"/>
          <w:kern w:val="0"/>
          <w:sz w:val="21"/>
          <w:szCs w:val="21"/>
          <w:lang w:val="en-US" w:eastAsia="en-US" w:bidi="ar-SA"/>
        </w:rPr>
        <w:t>法规的规定，保证在合法且不侵犯他人利益的原则下进</w:t>
      </w:r>
      <w:r>
        <w:rPr>
          <w:rFonts w:hint="eastAsia" w:ascii="宋体" w:hAnsi="宋体" w:eastAsia="宋体" w:cs="宋体"/>
          <w:snapToGrid w:val="0"/>
          <w:color w:val="000000"/>
          <w:spacing w:val="8"/>
          <w:kern w:val="0"/>
          <w:sz w:val="21"/>
          <w:szCs w:val="21"/>
          <w:lang w:val="en-US" w:eastAsia="en-US" w:bidi="ar-SA"/>
        </w:rPr>
        <w:t>行项目服务活动，并对其所进行的服务活动负责。</w:t>
      </w:r>
    </w:p>
    <w:p w14:paraId="4127C55E">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7.2.5</w:t>
      </w:r>
      <w:r>
        <w:rPr>
          <w:rFonts w:hint="eastAsia" w:ascii="宋体" w:hAnsi="宋体" w:eastAsia="宋体" w:cs="宋体"/>
          <w:snapToGrid w:val="0"/>
          <w:color w:val="000000"/>
          <w:spacing w:val="-3"/>
          <w:kern w:val="0"/>
          <w:sz w:val="21"/>
          <w:szCs w:val="21"/>
          <w:lang w:val="en-US" w:eastAsia="en-US" w:bidi="ar-SA"/>
        </w:rPr>
        <w:t xml:space="preserve"> </w:t>
      </w:r>
      <w:r>
        <w:rPr>
          <w:rFonts w:hint="eastAsia" w:ascii="宋体" w:hAnsi="宋体" w:eastAsia="宋体" w:cs="宋体"/>
          <w:snapToGrid w:val="0"/>
          <w:color w:val="000000"/>
          <w:spacing w:val="7"/>
          <w:kern w:val="0"/>
          <w:sz w:val="21"/>
          <w:szCs w:val="21"/>
          <w:lang w:val="en-US" w:eastAsia="en-US" w:bidi="ar-SA"/>
        </w:rPr>
        <w:t>乙方应按本合同所述的时间、服务范围和内容</w:t>
      </w:r>
      <w:r>
        <w:rPr>
          <w:rFonts w:hint="eastAsia" w:ascii="宋体" w:hAnsi="宋体" w:cs="宋体"/>
          <w:snapToGrid w:val="0"/>
          <w:color w:val="000000"/>
          <w:spacing w:val="7"/>
          <w:kern w:val="0"/>
          <w:sz w:val="21"/>
          <w:szCs w:val="21"/>
          <w:lang w:val="en-US" w:eastAsia="zh-CN" w:bidi="ar-SA"/>
        </w:rPr>
        <w:t>，</w:t>
      </w:r>
      <w:r>
        <w:rPr>
          <w:rFonts w:hint="eastAsia" w:ascii="宋体" w:hAnsi="宋体" w:eastAsia="宋体" w:cs="宋体"/>
          <w:snapToGrid w:val="0"/>
          <w:color w:val="000000"/>
          <w:spacing w:val="7"/>
          <w:kern w:val="0"/>
          <w:sz w:val="21"/>
          <w:szCs w:val="21"/>
          <w:lang w:val="en-US" w:eastAsia="en-US" w:bidi="ar-SA"/>
        </w:rPr>
        <w:t>尽自己的一切努力</w:t>
      </w:r>
      <w:r>
        <w:rPr>
          <w:rFonts w:hint="eastAsia" w:ascii="宋体" w:hAnsi="宋体" w:cs="宋体"/>
          <w:snapToGrid w:val="0"/>
          <w:color w:val="000000"/>
          <w:spacing w:val="7"/>
          <w:kern w:val="0"/>
          <w:sz w:val="21"/>
          <w:szCs w:val="21"/>
          <w:lang w:val="en-US" w:eastAsia="zh-CN" w:bidi="ar-SA"/>
        </w:rPr>
        <w:t>，</w:t>
      </w:r>
      <w:r>
        <w:rPr>
          <w:rFonts w:hint="eastAsia" w:ascii="宋体" w:hAnsi="宋体" w:eastAsia="宋体" w:cs="宋体"/>
          <w:snapToGrid w:val="0"/>
          <w:color w:val="000000"/>
          <w:spacing w:val="7"/>
          <w:kern w:val="0"/>
          <w:sz w:val="21"/>
          <w:szCs w:val="21"/>
          <w:lang w:val="en-US" w:eastAsia="en-US" w:bidi="ar-SA"/>
        </w:rPr>
        <w:t>按本合同约定及行业通常</w:t>
      </w:r>
      <w:r>
        <w:rPr>
          <w:rFonts w:hint="eastAsia" w:ascii="宋体" w:hAnsi="宋体" w:eastAsia="宋体" w:cs="宋体"/>
          <w:snapToGrid w:val="0"/>
          <w:color w:val="000000"/>
          <w:spacing w:val="8"/>
          <w:kern w:val="0"/>
          <w:sz w:val="21"/>
          <w:szCs w:val="21"/>
          <w:lang w:val="en-US" w:eastAsia="en-US" w:bidi="ar-SA"/>
        </w:rPr>
        <w:t>接受的技术惯例和专业机构承认的标准，高</w:t>
      </w:r>
      <w:r>
        <w:rPr>
          <w:rFonts w:hint="eastAsia" w:ascii="宋体" w:hAnsi="宋体" w:eastAsia="宋体" w:cs="宋体"/>
          <w:snapToGrid w:val="0"/>
          <w:color w:val="000000"/>
          <w:spacing w:val="7"/>
          <w:kern w:val="0"/>
          <w:sz w:val="21"/>
          <w:szCs w:val="21"/>
          <w:lang w:val="en-US" w:eastAsia="en-US" w:bidi="ar-SA"/>
        </w:rPr>
        <w:t>效地履行自己的义务。在项目执行过程中支持和维护国家和</w:t>
      </w:r>
      <w:r>
        <w:rPr>
          <w:rFonts w:hint="eastAsia" w:ascii="宋体" w:hAnsi="宋体" w:eastAsia="宋体" w:cs="宋体"/>
          <w:snapToGrid w:val="0"/>
          <w:color w:val="000000"/>
          <w:spacing w:val="6"/>
          <w:kern w:val="0"/>
          <w:sz w:val="21"/>
          <w:szCs w:val="21"/>
          <w:lang w:val="en-US" w:eastAsia="en-US" w:bidi="ar-SA"/>
        </w:rPr>
        <w:t>甲方的合法利益。</w:t>
      </w:r>
    </w:p>
    <w:p w14:paraId="09800F5B">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7.2.6 向甲方提供与本项目服务有关的资料，包括项目服务单位、人员的资质证书及承</w:t>
      </w:r>
      <w:r>
        <w:rPr>
          <w:rFonts w:hint="eastAsia" w:ascii="宋体" w:hAnsi="宋体" w:eastAsia="宋体" w:cs="宋体"/>
          <w:snapToGrid w:val="0"/>
          <w:color w:val="000000"/>
          <w:spacing w:val="6"/>
          <w:kern w:val="0"/>
          <w:sz w:val="21"/>
          <w:szCs w:val="21"/>
          <w:lang w:val="en-US" w:eastAsia="en-US" w:bidi="ar-SA"/>
        </w:rPr>
        <w:t>担本合同业</w:t>
      </w:r>
      <w:r>
        <w:rPr>
          <w:rFonts w:hint="eastAsia" w:ascii="宋体" w:hAnsi="宋体" w:eastAsia="宋体" w:cs="宋体"/>
          <w:snapToGrid w:val="0"/>
          <w:color w:val="000000"/>
          <w:spacing w:val="7"/>
          <w:kern w:val="0"/>
          <w:sz w:val="21"/>
          <w:szCs w:val="21"/>
          <w:lang w:val="en-US" w:eastAsia="en-US" w:bidi="ar-SA"/>
        </w:rPr>
        <w:t>务的专业人员名单、项目服务工作计划等，并按合同约定的范围、时间、工作依据、工作标准等，出具</w:t>
      </w:r>
      <w:r>
        <w:rPr>
          <w:rFonts w:hint="eastAsia" w:ascii="宋体" w:hAnsi="宋体" w:eastAsia="宋体" w:cs="宋体"/>
          <w:snapToGrid w:val="0"/>
          <w:color w:val="000000"/>
          <w:spacing w:val="8"/>
          <w:kern w:val="0"/>
          <w:sz w:val="21"/>
          <w:szCs w:val="21"/>
          <w:lang w:val="en-US" w:eastAsia="en-US" w:bidi="ar-SA"/>
        </w:rPr>
        <w:t>内容齐全、规范、准确的相关报告等。</w:t>
      </w:r>
    </w:p>
    <w:p w14:paraId="64200AB1">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60"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0"/>
          <w:kern w:val="0"/>
          <w:sz w:val="21"/>
          <w:szCs w:val="21"/>
          <w:lang w:val="en-US" w:eastAsia="en-US" w:bidi="ar-SA"/>
        </w:rPr>
        <w:t>7.2.7</w:t>
      </w:r>
      <w:r>
        <w:rPr>
          <w:rFonts w:hint="eastAsia" w:ascii="宋体" w:hAnsi="宋体" w:eastAsia="宋体" w:cs="宋体"/>
          <w:snapToGrid w:val="0"/>
          <w:color w:val="000000"/>
          <w:spacing w:val="-15"/>
          <w:kern w:val="0"/>
          <w:sz w:val="21"/>
          <w:szCs w:val="21"/>
          <w:lang w:val="en-US" w:eastAsia="en-US" w:bidi="ar-SA"/>
        </w:rPr>
        <w:t xml:space="preserve"> </w:t>
      </w:r>
      <w:r>
        <w:rPr>
          <w:rFonts w:hint="eastAsia" w:ascii="宋体" w:hAnsi="宋体" w:eastAsia="宋体" w:cs="宋体"/>
          <w:snapToGrid w:val="0"/>
          <w:color w:val="000000"/>
          <w:spacing w:val="10"/>
          <w:kern w:val="0"/>
          <w:sz w:val="21"/>
          <w:szCs w:val="21"/>
          <w:lang w:val="en-US" w:eastAsia="en-US" w:bidi="ar-SA"/>
        </w:rPr>
        <w:t>乙方应对履行本合同所规定的服务以及在履行中因</w:t>
      </w:r>
      <w:r>
        <w:rPr>
          <w:rFonts w:hint="eastAsia" w:ascii="宋体" w:hAnsi="宋体" w:eastAsia="宋体" w:cs="宋体"/>
          <w:snapToGrid w:val="0"/>
          <w:color w:val="000000"/>
          <w:spacing w:val="-43"/>
          <w:kern w:val="0"/>
          <w:sz w:val="21"/>
          <w:szCs w:val="21"/>
          <w:lang w:val="en-US" w:eastAsia="en-US" w:bidi="ar-SA"/>
        </w:rPr>
        <w:t xml:space="preserve"> </w:t>
      </w:r>
      <w:r>
        <w:rPr>
          <w:rFonts w:hint="eastAsia" w:ascii="宋体" w:hAnsi="宋体" w:eastAsia="宋体" w:cs="宋体"/>
          <w:snapToGrid w:val="0"/>
          <w:color w:val="000000"/>
          <w:spacing w:val="10"/>
          <w:kern w:val="0"/>
          <w:sz w:val="21"/>
          <w:szCs w:val="21"/>
          <w:lang w:val="en-US" w:eastAsia="en-US" w:bidi="ar-SA"/>
        </w:rPr>
        <w:t>自</w:t>
      </w:r>
      <w:r>
        <w:rPr>
          <w:rFonts w:hint="eastAsia" w:ascii="宋体" w:hAnsi="宋体" w:eastAsia="宋体" w:cs="宋体"/>
          <w:snapToGrid w:val="0"/>
          <w:color w:val="000000"/>
          <w:spacing w:val="-53"/>
          <w:kern w:val="0"/>
          <w:sz w:val="21"/>
          <w:szCs w:val="21"/>
          <w:lang w:val="en-US" w:eastAsia="en-US" w:bidi="ar-SA"/>
        </w:rPr>
        <w:t xml:space="preserve"> </w:t>
      </w:r>
      <w:r>
        <w:rPr>
          <w:rFonts w:hint="eastAsia" w:ascii="宋体" w:hAnsi="宋体" w:eastAsia="宋体" w:cs="宋体"/>
          <w:snapToGrid w:val="0"/>
          <w:color w:val="000000"/>
          <w:spacing w:val="10"/>
          <w:kern w:val="0"/>
          <w:sz w:val="21"/>
          <w:szCs w:val="21"/>
          <w:lang w:val="en-US" w:eastAsia="en-US" w:bidi="ar-SA"/>
        </w:rPr>
        <w:t>己违约而</w:t>
      </w:r>
      <w:r>
        <w:rPr>
          <w:rFonts w:hint="eastAsia" w:ascii="宋体" w:hAnsi="宋体" w:eastAsia="宋体" w:cs="宋体"/>
          <w:snapToGrid w:val="0"/>
          <w:color w:val="000000"/>
          <w:spacing w:val="9"/>
          <w:kern w:val="0"/>
          <w:sz w:val="21"/>
          <w:szCs w:val="21"/>
          <w:lang w:val="en-US" w:eastAsia="en-US" w:bidi="ar-SA"/>
        </w:rPr>
        <w:t>给甲方造成的损失承担责任并应当向甲方进行赔偿。但</w:t>
      </w:r>
      <w:r>
        <w:rPr>
          <w:rFonts w:hint="eastAsia" w:ascii="宋体" w:hAnsi="宋体" w:cs="宋体"/>
          <w:snapToGrid w:val="0"/>
          <w:color w:val="000000"/>
          <w:spacing w:val="9"/>
          <w:kern w:val="0"/>
          <w:sz w:val="21"/>
          <w:szCs w:val="21"/>
          <w:lang w:val="en-US" w:eastAsia="zh-CN" w:bidi="ar-SA"/>
        </w:rPr>
        <w:t>下列</w:t>
      </w:r>
      <w:r>
        <w:rPr>
          <w:rFonts w:hint="eastAsia" w:ascii="宋体" w:hAnsi="宋体" w:eastAsia="宋体" w:cs="宋体"/>
          <w:snapToGrid w:val="0"/>
          <w:color w:val="000000"/>
          <w:spacing w:val="9"/>
          <w:kern w:val="0"/>
          <w:sz w:val="21"/>
          <w:szCs w:val="21"/>
          <w:lang w:val="en-US" w:eastAsia="en-US" w:bidi="ar-SA"/>
        </w:rPr>
        <w:t>情况不视为乙方违约</w:t>
      </w:r>
      <w:r>
        <w:rPr>
          <w:rFonts w:hint="eastAsia" w:ascii="宋体" w:hAnsi="宋体" w:cs="宋体"/>
          <w:snapToGrid w:val="0"/>
          <w:color w:val="000000"/>
          <w:spacing w:val="9"/>
          <w:kern w:val="0"/>
          <w:sz w:val="21"/>
          <w:szCs w:val="21"/>
          <w:lang w:val="en-US" w:eastAsia="zh-CN" w:bidi="ar-SA"/>
        </w:rPr>
        <w:t>：</w:t>
      </w:r>
    </w:p>
    <w:p w14:paraId="161A685A">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（1）非乙方的行为、过失、违约或失职造成的损失或伤害；</w:t>
      </w:r>
    </w:p>
    <w:p w14:paraId="53F48A4B">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（2）不可抗力造成的损失。</w:t>
      </w:r>
    </w:p>
    <w:p w14:paraId="04B0B6DC">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60"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0"/>
          <w:kern w:val="0"/>
          <w:sz w:val="21"/>
          <w:szCs w:val="21"/>
          <w:lang w:val="en-US" w:eastAsia="en-US" w:bidi="ar-SA"/>
        </w:rPr>
        <w:t>7.2.8</w:t>
      </w:r>
      <w:r>
        <w:rPr>
          <w:rFonts w:hint="eastAsia" w:ascii="宋体" w:hAnsi="宋体" w:eastAsia="宋体" w:cs="宋体"/>
          <w:snapToGrid w:val="0"/>
          <w:color w:val="000000"/>
          <w:spacing w:val="-18"/>
          <w:kern w:val="0"/>
          <w:sz w:val="21"/>
          <w:szCs w:val="21"/>
          <w:lang w:val="en-US" w:eastAsia="en-US" w:bidi="ar-SA"/>
        </w:rPr>
        <w:t xml:space="preserve"> </w:t>
      </w:r>
      <w:r>
        <w:rPr>
          <w:rFonts w:hint="eastAsia" w:ascii="宋体" w:hAnsi="宋体" w:eastAsia="宋体" w:cs="宋体"/>
          <w:snapToGrid w:val="0"/>
          <w:color w:val="000000"/>
          <w:spacing w:val="10"/>
          <w:kern w:val="0"/>
          <w:sz w:val="21"/>
          <w:szCs w:val="21"/>
          <w:lang w:val="en-US" w:eastAsia="en-US" w:bidi="ar-SA"/>
        </w:rPr>
        <w:t>乙方必须为本项目涉及的各种资料、数据和收据等保密。未经</w:t>
      </w:r>
      <w:r>
        <w:rPr>
          <w:rFonts w:hint="eastAsia" w:ascii="宋体" w:hAnsi="宋体" w:eastAsia="宋体" w:cs="宋体"/>
          <w:snapToGrid w:val="0"/>
          <w:color w:val="000000"/>
          <w:spacing w:val="9"/>
          <w:kern w:val="0"/>
          <w:sz w:val="21"/>
          <w:szCs w:val="21"/>
          <w:lang w:val="en-US" w:eastAsia="en-US" w:bidi="ar-SA"/>
        </w:rPr>
        <w:t>甲方书面同意</w:t>
      </w:r>
      <w:r>
        <w:rPr>
          <w:rFonts w:hint="eastAsia" w:ascii="宋体" w:hAnsi="宋体" w:cs="宋体"/>
          <w:snapToGrid w:val="0"/>
          <w:color w:val="000000"/>
          <w:spacing w:val="9"/>
          <w:kern w:val="0"/>
          <w:sz w:val="21"/>
          <w:szCs w:val="21"/>
          <w:lang w:val="en-US" w:eastAsia="zh-CN" w:bidi="ar-SA"/>
        </w:rPr>
        <w:t>，</w:t>
      </w:r>
      <w:r>
        <w:rPr>
          <w:rFonts w:hint="eastAsia" w:ascii="宋体" w:hAnsi="宋体" w:eastAsia="宋体" w:cs="宋体"/>
          <w:snapToGrid w:val="0"/>
          <w:color w:val="000000"/>
          <w:spacing w:val="9"/>
          <w:kern w:val="0"/>
          <w:sz w:val="21"/>
          <w:szCs w:val="21"/>
          <w:lang w:val="en-US" w:eastAsia="en-US" w:bidi="ar-SA"/>
        </w:rPr>
        <w:t>乙方及乙方员</w:t>
      </w:r>
      <w:r>
        <w:rPr>
          <w:rFonts w:hint="eastAsia" w:ascii="宋体" w:hAnsi="宋体" w:eastAsia="宋体" w:cs="宋体"/>
          <w:snapToGrid w:val="0"/>
          <w:color w:val="000000"/>
          <w:spacing w:val="7"/>
          <w:kern w:val="0"/>
          <w:sz w:val="21"/>
          <w:szCs w:val="21"/>
          <w:lang w:val="en-US" w:eastAsia="en-US" w:bidi="ar-SA"/>
        </w:rPr>
        <w:t>工不得泄露、遗失、复印与本合同规定业务活动有关的一切资料和内容。所有甲方或第三人（与合同业</w:t>
      </w:r>
      <w:r>
        <w:rPr>
          <w:rFonts w:hint="eastAsia" w:ascii="宋体" w:hAnsi="宋体" w:eastAsia="宋体" w:cs="宋体"/>
          <w:snapToGrid w:val="0"/>
          <w:color w:val="000000"/>
          <w:spacing w:val="9"/>
          <w:kern w:val="0"/>
          <w:sz w:val="21"/>
          <w:szCs w:val="21"/>
          <w:lang w:val="en-US" w:eastAsia="en-US" w:bidi="ar-SA"/>
        </w:rPr>
        <w:t>务有关相关单位）提供的与本合同规定业务活动有关的一切资料，在合同结束后均应归还。</w:t>
      </w:r>
    </w:p>
    <w:p w14:paraId="6836566D">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4"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7.2.9</w:t>
      </w:r>
      <w:r>
        <w:rPr>
          <w:rFonts w:hint="eastAsia" w:ascii="宋体" w:hAnsi="宋体" w:eastAsia="宋体" w:cs="宋体"/>
          <w:snapToGrid w:val="0"/>
          <w:color w:val="000000"/>
          <w:spacing w:val="47"/>
          <w:kern w:val="0"/>
          <w:sz w:val="21"/>
          <w:szCs w:val="21"/>
          <w:lang w:val="en-US" w:eastAsia="en-US" w:bidi="ar-SA"/>
        </w:rPr>
        <w:t xml:space="preserve"> </w:t>
      </w:r>
      <w:r>
        <w:rPr>
          <w:rFonts w:hint="eastAsia" w:ascii="宋体" w:hAnsi="宋体" w:eastAsia="宋体" w:cs="宋体"/>
          <w:snapToGrid w:val="0"/>
          <w:color w:val="000000"/>
          <w:spacing w:val="6"/>
          <w:kern w:val="0"/>
          <w:sz w:val="21"/>
          <w:szCs w:val="21"/>
          <w:lang w:val="en-US" w:eastAsia="en-US" w:bidi="ar-SA"/>
        </w:rPr>
        <w:t>乙方应对本项目所提供服务结果的可靠性、准确性、全面性向甲方负责，由于服务结果的可</w:t>
      </w:r>
      <w:r>
        <w:rPr>
          <w:rFonts w:hint="eastAsia" w:ascii="宋体" w:hAnsi="宋体" w:eastAsia="宋体" w:cs="宋体"/>
          <w:snapToGrid w:val="0"/>
          <w:color w:val="000000"/>
          <w:spacing w:val="9"/>
          <w:kern w:val="0"/>
          <w:sz w:val="21"/>
          <w:szCs w:val="21"/>
          <w:lang w:val="en-US" w:eastAsia="en-US" w:bidi="ar-SA"/>
        </w:rPr>
        <w:t>靠性、准确性、全面性不足而导致甲方工作偏差或失误，乙方应承担责任。</w:t>
      </w:r>
    </w:p>
    <w:p w14:paraId="62887779">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64"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7.2.10</w:t>
      </w:r>
      <w:r>
        <w:rPr>
          <w:rFonts w:hint="eastAsia" w:ascii="宋体" w:hAnsi="宋体" w:eastAsia="宋体" w:cs="宋体"/>
          <w:snapToGrid w:val="0"/>
          <w:color w:val="000000"/>
          <w:spacing w:val="35"/>
          <w:kern w:val="0"/>
          <w:sz w:val="21"/>
          <w:szCs w:val="21"/>
          <w:lang w:val="en-US" w:eastAsia="en-US" w:bidi="ar-SA"/>
        </w:rPr>
        <w:t xml:space="preserve"> </w:t>
      </w:r>
      <w:r>
        <w:rPr>
          <w:rFonts w:hint="eastAsia" w:ascii="宋体" w:hAnsi="宋体" w:eastAsia="宋体" w:cs="宋体"/>
          <w:snapToGrid w:val="0"/>
          <w:color w:val="000000"/>
          <w:spacing w:val="11"/>
          <w:kern w:val="0"/>
          <w:sz w:val="21"/>
          <w:szCs w:val="21"/>
          <w:lang w:val="en-US" w:eastAsia="en-US" w:bidi="ar-SA"/>
        </w:rPr>
        <w:t>乙方在履行合同期间或合同规定期限内，履行本合同所确定的项目负责人</w:t>
      </w:r>
      <w:r>
        <w:rPr>
          <w:rFonts w:hint="eastAsia" w:ascii="宋体" w:hAnsi="宋体" w:eastAsia="宋体" w:cs="宋体"/>
          <w:snapToGrid w:val="0"/>
          <w:color w:val="000000"/>
          <w:spacing w:val="10"/>
          <w:kern w:val="0"/>
          <w:sz w:val="21"/>
          <w:szCs w:val="21"/>
          <w:lang w:val="en-US" w:eastAsia="en-US" w:bidi="ar-SA"/>
        </w:rPr>
        <w:t>及主要专业技</w:t>
      </w:r>
      <w:r>
        <w:rPr>
          <w:rFonts w:hint="eastAsia" w:ascii="宋体" w:hAnsi="宋体" w:eastAsia="宋体" w:cs="宋体"/>
          <w:snapToGrid w:val="0"/>
          <w:color w:val="000000"/>
          <w:spacing w:val="8"/>
          <w:kern w:val="0"/>
          <w:sz w:val="21"/>
          <w:szCs w:val="21"/>
          <w:lang w:val="en-US" w:eastAsia="en-US" w:bidi="ar-SA"/>
        </w:rPr>
        <w:t>术、管理人员等必须是本单位职工和该项目</w:t>
      </w:r>
      <w:r>
        <w:rPr>
          <w:rFonts w:hint="eastAsia" w:ascii="宋体" w:hAnsi="宋体" w:eastAsia="宋体" w:cs="宋体"/>
          <w:snapToGrid w:val="0"/>
          <w:color w:val="000000"/>
          <w:spacing w:val="7"/>
          <w:kern w:val="0"/>
          <w:sz w:val="21"/>
          <w:szCs w:val="21"/>
          <w:lang w:val="en-US" w:eastAsia="en-US" w:bidi="ar-SA"/>
        </w:rPr>
        <w:t>的实际操作者，未经甲方同意，乙方不得调换或撤离上述人</w:t>
      </w:r>
      <w:r>
        <w:rPr>
          <w:rFonts w:hint="eastAsia" w:ascii="宋体" w:hAnsi="宋体" w:eastAsia="宋体" w:cs="宋体"/>
          <w:snapToGrid w:val="0"/>
          <w:color w:val="000000"/>
          <w:spacing w:val="-3"/>
          <w:kern w:val="0"/>
          <w:sz w:val="21"/>
          <w:szCs w:val="21"/>
          <w:lang w:val="en-US" w:eastAsia="en-US" w:bidi="ar-SA"/>
        </w:rPr>
        <w:t>员。</w:t>
      </w:r>
    </w:p>
    <w:p w14:paraId="038EBF9C">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7.2.11</w:t>
      </w:r>
      <w:r>
        <w:rPr>
          <w:rFonts w:hint="eastAsia" w:ascii="宋体" w:hAnsi="宋体" w:eastAsia="宋体" w:cs="宋体"/>
          <w:snapToGrid w:val="0"/>
          <w:color w:val="000000"/>
          <w:spacing w:val="-35"/>
          <w:kern w:val="0"/>
          <w:sz w:val="21"/>
          <w:szCs w:val="21"/>
          <w:lang w:val="en-US" w:eastAsia="en-US" w:bidi="ar-SA"/>
        </w:rPr>
        <w:t xml:space="preserve"> </w:t>
      </w:r>
      <w:r>
        <w:rPr>
          <w:rFonts w:hint="eastAsia" w:ascii="宋体" w:hAnsi="宋体" w:eastAsia="宋体" w:cs="宋体"/>
          <w:snapToGrid w:val="0"/>
          <w:color w:val="000000"/>
          <w:spacing w:val="8"/>
          <w:kern w:val="0"/>
          <w:sz w:val="21"/>
          <w:szCs w:val="21"/>
          <w:lang w:val="en-US" w:eastAsia="en-US" w:bidi="ar-SA"/>
        </w:rPr>
        <w:t>按本合同支付给乙方的报酬应为本合同</w:t>
      </w:r>
      <w:r>
        <w:rPr>
          <w:rFonts w:hint="eastAsia" w:ascii="宋体" w:hAnsi="宋体" w:eastAsia="宋体" w:cs="宋体"/>
          <w:snapToGrid w:val="0"/>
          <w:color w:val="000000"/>
          <w:spacing w:val="7"/>
          <w:kern w:val="0"/>
          <w:sz w:val="21"/>
          <w:szCs w:val="21"/>
          <w:lang w:val="en-US" w:eastAsia="en-US" w:bidi="ar-SA"/>
        </w:rPr>
        <w:t>服务的唯一报酬。</w:t>
      </w:r>
    </w:p>
    <w:p w14:paraId="71965481">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56"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7.2.12</w:t>
      </w:r>
      <w:r>
        <w:rPr>
          <w:rFonts w:hint="eastAsia" w:ascii="宋体" w:hAnsi="宋体" w:eastAsia="宋体" w:cs="宋体"/>
          <w:snapToGrid w:val="0"/>
          <w:color w:val="000000"/>
          <w:spacing w:val="-17"/>
          <w:kern w:val="0"/>
          <w:sz w:val="21"/>
          <w:szCs w:val="21"/>
          <w:lang w:val="en-US" w:eastAsia="en-US" w:bidi="ar-SA"/>
        </w:rPr>
        <w:t xml:space="preserve"> </w:t>
      </w:r>
      <w:r>
        <w:rPr>
          <w:rFonts w:hint="eastAsia" w:ascii="宋体" w:hAnsi="宋体" w:eastAsia="宋体" w:cs="宋体"/>
          <w:snapToGrid w:val="0"/>
          <w:color w:val="000000"/>
          <w:spacing w:val="9"/>
          <w:kern w:val="0"/>
          <w:sz w:val="21"/>
          <w:szCs w:val="21"/>
          <w:lang w:val="en-US" w:eastAsia="en-US" w:bidi="ar-SA"/>
        </w:rPr>
        <w:t>乙方在本合同履行期间均不能直接或间接从事与本</w:t>
      </w:r>
      <w:r>
        <w:rPr>
          <w:rFonts w:hint="eastAsia" w:ascii="宋体" w:hAnsi="宋体" w:eastAsia="宋体" w:cs="宋体"/>
          <w:snapToGrid w:val="0"/>
          <w:color w:val="000000"/>
          <w:spacing w:val="8"/>
          <w:kern w:val="0"/>
          <w:sz w:val="21"/>
          <w:szCs w:val="21"/>
          <w:lang w:val="en-US" w:eastAsia="en-US" w:bidi="ar-SA"/>
        </w:rPr>
        <w:t>合同中活动相冲突的商业或职业活动，</w:t>
      </w:r>
      <w:r>
        <w:rPr>
          <w:rFonts w:hint="eastAsia" w:ascii="宋体" w:hAnsi="宋体" w:eastAsia="宋体" w:cs="宋体"/>
          <w:snapToGrid w:val="0"/>
          <w:color w:val="000000"/>
          <w:spacing w:val="9"/>
          <w:kern w:val="0"/>
          <w:sz w:val="21"/>
          <w:szCs w:val="21"/>
          <w:lang w:val="en-US" w:eastAsia="en-US" w:bidi="ar-SA"/>
        </w:rPr>
        <w:t>不得以任何理由向甲方任何工作人员行贿或有类</w:t>
      </w:r>
      <w:r>
        <w:rPr>
          <w:rFonts w:hint="eastAsia" w:ascii="宋体" w:hAnsi="宋体" w:eastAsia="宋体" w:cs="宋体"/>
          <w:snapToGrid w:val="0"/>
          <w:color w:val="000000"/>
          <w:spacing w:val="8"/>
          <w:kern w:val="0"/>
          <w:sz w:val="21"/>
          <w:szCs w:val="21"/>
          <w:lang w:val="en-US" w:eastAsia="en-US" w:bidi="ar-SA"/>
        </w:rPr>
        <w:t>似的行为。</w:t>
      </w:r>
    </w:p>
    <w:p w14:paraId="16E11917">
      <w:pPr>
        <w:keepNext/>
        <w:keepLines w:val="0"/>
        <w:pageBreakBefore w:val="0"/>
        <w:widowControl w:val="0"/>
        <w:kinsoku w:val="0"/>
        <w:wordWrap/>
        <w:overflowPunct/>
        <w:topLinePunct/>
        <w:autoSpaceDE w:val="0"/>
        <w:autoSpaceDN w:val="0"/>
        <w:bidi w:val="0"/>
        <w:adjustRightInd/>
        <w:snapToGrid w:val="0"/>
        <w:spacing w:before="0" w:line="360" w:lineRule="auto"/>
        <w:ind w:right="0"/>
        <w:jc w:val="both"/>
        <w:textAlignment w:val="baseline"/>
        <w:rPr>
          <w:rFonts w:hint="eastAsia" w:ascii="宋体" w:hAnsi="宋体" w:eastAsia="宋体" w:cs="宋体"/>
          <w:b/>
          <w:bCs/>
          <w:snapToGrid w:val="0"/>
          <w:color w:val="000000"/>
          <w:kern w:val="0"/>
          <w:sz w:val="21"/>
          <w:szCs w:val="21"/>
          <w:lang w:val="en-US" w:eastAsia="en-US" w:bidi="ar-SA"/>
        </w:rPr>
      </w:pPr>
      <w:r>
        <w:rPr>
          <w:rFonts w:hint="eastAsia" w:ascii="宋体" w:hAnsi="宋体" w:eastAsia="宋体" w:cs="宋体"/>
          <w:b/>
          <w:bCs/>
          <w:snapToGrid w:val="0"/>
          <w:color w:val="000000"/>
          <w:spacing w:val="8"/>
          <w:kern w:val="0"/>
          <w:sz w:val="21"/>
          <w:szCs w:val="21"/>
          <w:lang w:val="en-US" w:eastAsia="en-US" w:bidi="ar-SA"/>
        </w:rPr>
        <w:t>八、保密及廉洁条款</w:t>
      </w:r>
    </w:p>
    <w:p w14:paraId="61897594">
      <w:pPr>
        <w:keepNext/>
        <w:keepLines w:val="0"/>
        <w:pageBreakBefore w:val="0"/>
        <w:widowControl w:val="0"/>
        <w:kinsoku w:val="0"/>
        <w:wordWrap/>
        <w:overflowPunct/>
        <w:topLinePunct/>
        <w:autoSpaceDE w:val="0"/>
        <w:autoSpaceDN w:val="0"/>
        <w:bidi w:val="0"/>
        <w:adjustRightInd/>
        <w:snapToGrid w:val="0"/>
        <w:spacing w:before="0" w:line="360" w:lineRule="auto"/>
        <w:ind w:left="0" w:right="0" w:firstLine="42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2"/>
          <w:kern w:val="0"/>
          <w:sz w:val="21"/>
          <w:szCs w:val="21"/>
          <w:lang w:val="en-US" w:eastAsia="en-US" w:bidi="ar-SA"/>
        </w:rPr>
        <w:t>8.1</w:t>
      </w:r>
      <w:r>
        <w:rPr>
          <w:rFonts w:hint="eastAsia" w:ascii="宋体" w:hAnsi="宋体" w:eastAsia="宋体" w:cs="宋体"/>
          <w:snapToGrid w:val="0"/>
          <w:color w:val="000000"/>
          <w:spacing w:val="-34"/>
          <w:kern w:val="0"/>
          <w:sz w:val="21"/>
          <w:szCs w:val="21"/>
          <w:lang w:val="en-US" w:eastAsia="en-US" w:bidi="ar-SA"/>
        </w:rPr>
        <w:t xml:space="preserve"> </w:t>
      </w:r>
      <w:r>
        <w:rPr>
          <w:rFonts w:hint="eastAsia" w:ascii="宋体" w:hAnsi="宋体" w:eastAsia="宋体" w:cs="宋体"/>
          <w:snapToGrid w:val="0"/>
          <w:color w:val="000000"/>
          <w:spacing w:val="2"/>
          <w:kern w:val="0"/>
          <w:sz w:val="21"/>
          <w:szCs w:val="21"/>
          <w:lang w:val="en-US" w:eastAsia="en-US" w:bidi="ar-SA"/>
        </w:rPr>
        <w:t>保密</w:t>
      </w:r>
    </w:p>
    <w:p w14:paraId="619078FF">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4"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8.1.1</w:t>
      </w:r>
      <w:r>
        <w:rPr>
          <w:rFonts w:hint="eastAsia" w:ascii="宋体" w:hAnsi="宋体" w:eastAsia="宋体" w:cs="宋体"/>
          <w:snapToGrid w:val="0"/>
          <w:color w:val="000000"/>
          <w:spacing w:val="53"/>
          <w:kern w:val="0"/>
          <w:sz w:val="21"/>
          <w:szCs w:val="21"/>
          <w:lang w:val="en-US" w:eastAsia="en-US" w:bidi="ar-SA"/>
        </w:rPr>
        <w:t xml:space="preserve"> </w:t>
      </w:r>
      <w:r>
        <w:rPr>
          <w:rFonts w:hint="eastAsia" w:ascii="宋体" w:hAnsi="宋体" w:eastAsia="宋体" w:cs="宋体"/>
          <w:snapToGrid w:val="0"/>
          <w:color w:val="000000"/>
          <w:spacing w:val="6"/>
          <w:kern w:val="0"/>
          <w:sz w:val="21"/>
          <w:szCs w:val="21"/>
          <w:lang w:val="en-US" w:eastAsia="en-US" w:bidi="ar-SA"/>
        </w:rPr>
        <w:t>甲乙双方在履行本合同过程中，所提供、接触、知悉的对方相关仍处于不为公众所知悉或尚</w:t>
      </w:r>
      <w:r>
        <w:rPr>
          <w:rFonts w:hint="eastAsia" w:ascii="宋体" w:hAnsi="宋体" w:eastAsia="宋体" w:cs="宋体"/>
          <w:snapToGrid w:val="0"/>
          <w:color w:val="000000"/>
          <w:spacing w:val="8"/>
          <w:kern w:val="0"/>
          <w:sz w:val="21"/>
          <w:szCs w:val="21"/>
          <w:lang w:val="en-US" w:eastAsia="en-US" w:bidi="ar-SA"/>
        </w:rPr>
        <w:t>未主动对外公开的信息（包括但不限于有关人员、技术、经营、管理等</w:t>
      </w:r>
      <w:r>
        <w:rPr>
          <w:rFonts w:hint="eastAsia" w:ascii="宋体" w:hAnsi="宋体" w:eastAsia="宋体" w:cs="宋体"/>
          <w:snapToGrid w:val="0"/>
          <w:color w:val="000000"/>
          <w:spacing w:val="7"/>
          <w:kern w:val="0"/>
          <w:sz w:val="21"/>
          <w:szCs w:val="21"/>
          <w:lang w:val="en-US" w:eastAsia="en-US" w:bidi="ar-SA"/>
        </w:rPr>
        <w:t>方面的各类信息</w:t>
      </w:r>
      <w:r>
        <w:rPr>
          <w:rFonts w:hint="eastAsia" w:ascii="宋体" w:hAnsi="宋体" w:eastAsia="宋体" w:cs="宋体"/>
          <w:snapToGrid w:val="0"/>
          <w:color w:val="000000"/>
          <w:spacing w:val="2"/>
          <w:kern w:val="0"/>
          <w:sz w:val="21"/>
          <w:szCs w:val="21"/>
          <w:lang w:val="en-US" w:eastAsia="en-US" w:bidi="ar-SA"/>
        </w:rPr>
        <w:t>）</w:t>
      </w:r>
      <w:r>
        <w:rPr>
          <w:rFonts w:hint="eastAsia" w:ascii="宋体" w:hAnsi="宋体" w:eastAsia="宋体" w:cs="宋体"/>
          <w:snapToGrid w:val="0"/>
          <w:color w:val="000000"/>
          <w:spacing w:val="7"/>
          <w:kern w:val="0"/>
          <w:sz w:val="21"/>
          <w:szCs w:val="21"/>
          <w:lang w:val="en-US" w:eastAsia="en-US" w:bidi="ar-SA"/>
        </w:rPr>
        <w:t>均为本条款</w:t>
      </w:r>
      <w:r>
        <w:rPr>
          <w:rFonts w:hint="eastAsia" w:ascii="宋体" w:hAnsi="宋体" w:eastAsia="宋体" w:cs="宋体"/>
          <w:snapToGrid w:val="0"/>
          <w:color w:val="000000"/>
          <w:spacing w:val="9"/>
          <w:kern w:val="0"/>
          <w:sz w:val="21"/>
          <w:szCs w:val="21"/>
          <w:lang w:val="en-US" w:eastAsia="en-US" w:bidi="ar-SA"/>
        </w:rPr>
        <w:t>项下双方所应恪守保密义务所针对的对象，即使该等信息未能在本保密条款的约定中穷尽。</w:t>
      </w:r>
    </w:p>
    <w:p w14:paraId="2663CE44">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4"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8.1.2</w:t>
      </w:r>
      <w:r>
        <w:rPr>
          <w:rFonts w:hint="eastAsia" w:ascii="宋体" w:hAnsi="宋体" w:eastAsia="宋体" w:cs="宋体"/>
          <w:snapToGrid w:val="0"/>
          <w:color w:val="000000"/>
          <w:spacing w:val="53"/>
          <w:kern w:val="0"/>
          <w:sz w:val="21"/>
          <w:szCs w:val="21"/>
          <w:lang w:val="en-US" w:eastAsia="en-US" w:bidi="ar-SA"/>
        </w:rPr>
        <w:t xml:space="preserve"> </w:t>
      </w:r>
      <w:r>
        <w:rPr>
          <w:rFonts w:hint="eastAsia" w:ascii="宋体" w:hAnsi="宋体" w:eastAsia="宋体" w:cs="宋体"/>
          <w:snapToGrid w:val="0"/>
          <w:color w:val="000000"/>
          <w:spacing w:val="6"/>
          <w:kern w:val="0"/>
          <w:sz w:val="21"/>
          <w:szCs w:val="21"/>
          <w:lang w:val="en-US" w:eastAsia="en-US" w:bidi="ar-SA"/>
        </w:rPr>
        <w:t>甲乙双方在合同中专辟本保密条款，视为双方已就相关需保密信息采取了必要、适当的保密</w:t>
      </w:r>
      <w:r>
        <w:rPr>
          <w:rFonts w:hint="eastAsia" w:ascii="宋体" w:hAnsi="宋体" w:eastAsia="宋体" w:cs="宋体"/>
          <w:snapToGrid w:val="0"/>
          <w:color w:val="000000"/>
          <w:spacing w:val="8"/>
          <w:kern w:val="0"/>
          <w:sz w:val="21"/>
          <w:szCs w:val="21"/>
          <w:lang w:val="en-US" w:eastAsia="en-US" w:bidi="ar-SA"/>
        </w:rPr>
        <w:t>措施。在履行本合同的过程中，除须配合司法调查的</w:t>
      </w:r>
      <w:r>
        <w:rPr>
          <w:rFonts w:hint="eastAsia" w:ascii="宋体" w:hAnsi="宋体" w:eastAsia="宋体" w:cs="宋体"/>
          <w:snapToGrid w:val="0"/>
          <w:color w:val="000000"/>
          <w:spacing w:val="7"/>
          <w:kern w:val="0"/>
          <w:sz w:val="21"/>
          <w:szCs w:val="21"/>
          <w:lang w:val="en-US" w:eastAsia="en-US" w:bidi="ar-SA"/>
        </w:rPr>
        <w:t>情形外，在未征得对方书面同意之前甲乙双方均</w:t>
      </w:r>
      <w:r>
        <w:rPr>
          <w:rFonts w:hint="eastAsia" w:ascii="宋体" w:hAnsi="宋体" w:eastAsia="宋体" w:cs="宋体"/>
          <w:snapToGrid w:val="0"/>
          <w:color w:val="000000"/>
          <w:spacing w:val="9"/>
          <w:kern w:val="0"/>
          <w:sz w:val="21"/>
          <w:szCs w:val="21"/>
          <w:lang w:val="en-US" w:eastAsia="en-US" w:bidi="ar-SA"/>
        </w:rPr>
        <w:t>负有保密义务，不得向第三方泄露、披露、透露或促使第三方获得前述应当保密的信息。</w:t>
      </w:r>
    </w:p>
    <w:p w14:paraId="27C3EF72">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8.1.3 违反保密义务的，视为严重的根本违约行为，除应按合同约定承担有关违约责任外，还应当</w:t>
      </w:r>
      <w:r>
        <w:rPr>
          <w:rFonts w:hint="eastAsia" w:ascii="宋体" w:hAnsi="宋体" w:eastAsia="宋体" w:cs="宋体"/>
          <w:snapToGrid w:val="0"/>
          <w:color w:val="000000"/>
          <w:spacing w:val="9"/>
          <w:kern w:val="0"/>
          <w:sz w:val="21"/>
          <w:szCs w:val="21"/>
          <w:lang w:val="en-US" w:eastAsia="en-US" w:bidi="ar-SA"/>
        </w:rPr>
        <w:t>承担由此导致的行政乃至刑事法律责任，并应承担损失赔偿责任。</w:t>
      </w:r>
    </w:p>
    <w:p w14:paraId="66EA9DC2">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8.1.4 保密的内容包括但不限于书面、</w:t>
      </w:r>
      <w:r>
        <w:rPr>
          <w:rFonts w:hint="eastAsia" w:ascii="宋体" w:hAnsi="宋体" w:eastAsia="宋体" w:cs="宋体"/>
          <w:snapToGrid w:val="0"/>
          <w:color w:val="000000"/>
          <w:spacing w:val="-42"/>
          <w:kern w:val="0"/>
          <w:sz w:val="21"/>
          <w:szCs w:val="21"/>
          <w:lang w:val="en-US" w:eastAsia="en-US" w:bidi="ar-SA"/>
        </w:rPr>
        <w:t xml:space="preserve"> </w:t>
      </w:r>
      <w:r>
        <w:rPr>
          <w:rFonts w:hint="eastAsia" w:ascii="宋体" w:hAnsi="宋体" w:eastAsia="宋体" w:cs="宋体"/>
          <w:snapToGrid w:val="0"/>
          <w:color w:val="000000"/>
          <w:spacing w:val="7"/>
          <w:kern w:val="0"/>
          <w:sz w:val="21"/>
          <w:szCs w:val="21"/>
          <w:lang w:val="en-US" w:eastAsia="en-US" w:bidi="ar-SA"/>
        </w:rPr>
        <w:t>电子数据等承载保密信息的各种形式。</w:t>
      </w:r>
    </w:p>
    <w:p w14:paraId="0E4EA5BC">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8.1.5 前述保密义务条款为独立条款，不因本协议的解除、终止而失效。</w:t>
      </w:r>
    </w:p>
    <w:p w14:paraId="4B13E2EF">
      <w:pPr>
        <w:keepNext/>
        <w:keepLines w:val="0"/>
        <w:pageBreakBefore w:val="0"/>
        <w:widowControl w:val="0"/>
        <w:kinsoku w:val="0"/>
        <w:wordWrap/>
        <w:overflowPunct/>
        <w:topLinePunct/>
        <w:autoSpaceDE w:val="0"/>
        <w:autoSpaceDN w:val="0"/>
        <w:bidi w:val="0"/>
        <w:adjustRightInd/>
        <w:snapToGrid w:val="0"/>
        <w:spacing w:before="0" w:line="360" w:lineRule="auto"/>
        <w:ind w:left="0" w:right="0" w:firstLine="42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2"/>
          <w:kern w:val="0"/>
          <w:sz w:val="21"/>
          <w:szCs w:val="21"/>
          <w:lang w:val="en-US" w:eastAsia="en-US" w:bidi="ar-SA"/>
        </w:rPr>
        <w:t>8.2</w:t>
      </w:r>
      <w:r>
        <w:rPr>
          <w:rFonts w:hint="eastAsia" w:ascii="宋体" w:hAnsi="宋体" w:eastAsia="宋体" w:cs="宋体"/>
          <w:snapToGrid w:val="0"/>
          <w:color w:val="000000"/>
          <w:spacing w:val="-35"/>
          <w:kern w:val="0"/>
          <w:sz w:val="21"/>
          <w:szCs w:val="21"/>
          <w:lang w:val="en-US" w:eastAsia="en-US" w:bidi="ar-SA"/>
        </w:rPr>
        <w:t xml:space="preserve"> </w:t>
      </w:r>
      <w:r>
        <w:rPr>
          <w:rFonts w:hint="eastAsia" w:ascii="宋体" w:hAnsi="宋体" w:eastAsia="宋体" w:cs="宋体"/>
          <w:snapToGrid w:val="0"/>
          <w:color w:val="000000"/>
          <w:spacing w:val="2"/>
          <w:kern w:val="0"/>
          <w:sz w:val="21"/>
          <w:szCs w:val="21"/>
          <w:lang w:val="en-US" w:eastAsia="en-US" w:bidi="ar-SA"/>
        </w:rPr>
        <w:t>廉洁</w:t>
      </w:r>
    </w:p>
    <w:p w14:paraId="51142E30">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8.2.1</w:t>
      </w:r>
      <w:r>
        <w:rPr>
          <w:rFonts w:hint="eastAsia" w:ascii="宋体" w:hAnsi="宋体" w:eastAsia="宋体" w:cs="宋体"/>
          <w:snapToGrid w:val="0"/>
          <w:color w:val="000000"/>
          <w:spacing w:val="45"/>
          <w:kern w:val="0"/>
          <w:sz w:val="21"/>
          <w:szCs w:val="21"/>
          <w:lang w:val="en-US" w:eastAsia="en-US" w:bidi="ar-SA"/>
        </w:rPr>
        <w:t xml:space="preserve"> </w:t>
      </w:r>
      <w:r>
        <w:rPr>
          <w:rFonts w:hint="eastAsia" w:ascii="宋体" w:hAnsi="宋体" w:eastAsia="宋体" w:cs="宋体"/>
          <w:snapToGrid w:val="0"/>
          <w:color w:val="000000"/>
          <w:spacing w:val="8"/>
          <w:kern w:val="0"/>
          <w:sz w:val="21"/>
          <w:szCs w:val="21"/>
          <w:lang w:val="en-US" w:eastAsia="en-US" w:bidi="ar-SA"/>
        </w:rPr>
        <w:t>乙方应当守法诚信，保证服务能力及服务质量，不得与甲方恶意串通操纵政府采购活动。</w:t>
      </w:r>
    </w:p>
    <w:p w14:paraId="3D4D38CB">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8.2.2 甲方不得接受乙方组织的宴请、旅游、娱乐，不得收受礼品、现金、有价证券等，乙方亦不</w:t>
      </w:r>
      <w:r>
        <w:rPr>
          <w:rFonts w:hint="eastAsia" w:ascii="宋体" w:hAnsi="宋体" w:eastAsia="宋体" w:cs="宋体"/>
          <w:snapToGrid w:val="0"/>
          <w:color w:val="000000"/>
          <w:spacing w:val="8"/>
          <w:kern w:val="0"/>
          <w:sz w:val="21"/>
          <w:szCs w:val="21"/>
          <w:lang w:val="en-US" w:eastAsia="en-US" w:bidi="ar-SA"/>
        </w:rPr>
        <w:t>得向甲方提供或报销前述费用以及其他应当由个人承</w:t>
      </w:r>
      <w:r>
        <w:rPr>
          <w:rFonts w:hint="eastAsia" w:ascii="宋体" w:hAnsi="宋体" w:eastAsia="宋体" w:cs="宋体"/>
          <w:snapToGrid w:val="0"/>
          <w:color w:val="000000"/>
          <w:spacing w:val="7"/>
          <w:kern w:val="0"/>
          <w:sz w:val="21"/>
          <w:szCs w:val="21"/>
          <w:lang w:val="en-US" w:eastAsia="en-US" w:bidi="ar-SA"/>
        </w:rPr>
        <w:t>担的费用。若甲方工作人员要求乙方给予其任何形</w:t>
      </w:r>
      <w:r>
        <w:rPr>
          <w:rFonts w:hint="eastAsia" w:ascii="宋体" w:hAnsi="宋体" w:eastAsia="宋体" w:cs="宋体"/>
          <w:snapToGrid w:val="0"/>
          <w:color w:val="000000"/>
          <w:spacing w:val="8"/>
          <w:kern w:val="0"/>
          <w:sz w:val="21"/>
          <w:szCs w:val="21"/>
          <w:lang w:val="en-US" w:eastAsia="en-US" w:bidi="ar-SA"/>
        </w:rPr>
        <w:t>式的不正当利益，或发现甲方工作人员违反前述原则</w:t>
      </w:r>
      <w:r>
        <w:rPr>
          <w:rFonts w:hint="eastAsia" w:ascii="宋体" w:hAnsi="宋体" w:eastAsia="宋体" w:cs="宋体"/>
          <w:snapToGrid w:val="0"/>
          <w:color w:val="000000"/>
          <w:spacing w:val="7"/>
          <w:kern w:val="0"/>
          <w:sz w:val="21"/>
          <w:szCs w:val="21"/>
          <w:lang w:val="en-US" w:eastAsia="en-US" w:bidi="ar-SA"/>
        </w:rPr>
        <w:t>的行为，乙方应当及时向甲方</w:t>
      </w:r>
      <w:r>
        <w:rPr>
          <w:rFonts w:hint="eastAsia" w:ascii="宋体" w:hAnsi="宋体" w:cs="宋体"/>
          <w:snapToGrid w:val="0"/>
          <w:color w:val="000000"/>
          <w:spacing w:val="7"/>
          <w:kern w:val="0"/>
          <w:sz w:val="21"/>
          <w:szCs w:val="21"/>
          <w:lang w:val="en-US" w:eastAsia="zh-CN" w:bidi="ar-SA"/>
        </w:rPr>
        <w:t>举报</w:t>
      </w:r>
      <w:r>
        <w:rPr>
          <w:rFonts w:hint="eastAsia" w:ascii="宋体" w:hAnsi="宋体" w:eastAsia="宋体" w:cs="宋体"/>
          <w:snapToGrid w:val="0"/>
          <w:color w:val="000000"/>
          <w:spacing w:val="7"/>
          <w:kern w:val="0"/>
          <w:sz w:val="21"/>
          <w:szCs w:val="21"/>
          <w:lang w:val="en-US" w:eastAsia="en-US" w:bidi="ar-SA"/>
        </w:rPr>
        <w:t>，并提供相关证据给甲方，</w:t>
      </w:r>
      <w:r>
        <w:rPr>
          <w:rFonts w:hint="eastAsia" w:ascii="宋体" w:hAnsi="宋体" w:eastAsia="宋体" w:cs="宋体"/>
          <w:snapToGrid w:val="0"/>
          <w:color w:val="000000"/>
          <w:spacing w:val="-50"/>
          <w:kern w:val="0"/>
          <w:sz w:val="21"/>
          <w:szCs w:val="21"/>
          <w:lang w:val="en-US" w:eastAsia="en-US" w:bidi="ar-SA"/>
        </w:rPr>
        <w:t xml:space="preserve"> </w:t>
      </w:r>
      <w:r>
        <w:rPr>
          <w:rFonts w:hint="eastAsia" w:ascii="宋体" w:hAnsi="宋体" w:eastAsia="宋体" w:cs="宋体"/>
          <w:snapToGrid w:val="0"/>
          <w:color w:val="000000"/>
          <w:spacing w:val="7"/>
          <w:kern w:val="0"/>
          <w:sz w:val="21"/>
          <w:szCs w:val="21"/>
          <w:lang w:val="en-US" w:eastAsia="en-US" w:bidi="ar-SA"/>
        </w:rPr>
        <w:t>甲方经查实后作出处理，并为乙</w:t>
      </w:r>
      <w:r>
        <w:rPr>
          <w:rFonts w:hint="eastAsia" w:ascii="宋体" w:hAnsi="宋体" w:eastAsia="宋体" w:cs="宋体"/>
          <w:snapToGrid w:val="0"/>
          <w:color w:val="000000"/>
          <w:spacing w:val="6"/>
          <w:kern w:val="0"/>
          <w:sz w:val="21"/>
          <w:szCs w:val="21"/>
          <w:lang w:val="en-US" w:eastAsia="en-US" w:bidi="ar-SA"/>
        </w:rPr>
        <w:t>方保密。</w:t>
      </w:r>
    </w:p>
    <w:p w14:paraId="3C0A12E4">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8.2.3</w:t>
      </w:r>
      <w:r>
        <w:rPr>
          <w:rFonts w:hint="eastAsia" w:ascii="宋体" w:hAnsi="宋体" w:eastAsia="宋体" w:cs="宋体"/>
          <w:snapToGrid w:val="0"/>
          <w:color w:val="000000"/>
          <w:spacing w:val="33"/>
          <w:kern w:val="0"/>
          <w:sz w:val="21"/>
          <w:szCs w:val="21"/>
          <w:lang w:val="en-US" w:eastAsia="en-US" w:bidi="ar-SA"/>
        </w:rPr>
        <w:t xml:space="preserve"> </w:t>
      </w:r>
      <w:r>
        <w:rPr>
          <w:rFonts w:hint="eastAsia" w:ascii="宋体" w:hAnsi="宋体" w:eastAsia="宋体" w:cs="宋体"/>
          <w:snapToGrid w:val="0"/>
          <w:color w:val="000000"/>
          <w:spacing w:val="7"/>
          <w:kern w:val="0"/>
          <w:sz w:val="21"/>
          <w:szCs w:val="21"/>
          <w:lang w:val="en-US" w:eastAsia="en-US" w:bidi="ar-SA"/>
        </w:rPr>
        <w:t>乙方承诺并且确认，违背本条款的</w:t>
      </w:r>
      <w:r>
        <w:rPr>
          <w:rFonts w:hint="eastAsia" w:ascii="宋体" w:hAnsi="宋体" w:eastAsia="宋体" w:cs="宋体"/>
          <w:snapToGrid w:val="0"/>
          <w:color w:val="000000"/>
          <w:spacing w:val="6"/>
          <w:kern w:val="0"/>
          <w:sz w:val="21"/>
          <w:szCs w:val="21"/>
          <w:lang w:val="en-US" w:eastAsia="en-US" w:bidi="ar-SA"/>
        </w:rPr>
        <w:t>廉洁及诚信义务，将被视为严重的根本违约行为，应按合</w:t>
      </w:r>
      <w:r>
        <w:rPr>
          <w:rFonts w:hint="eastAsia" w:ascii="宋体" w:hAnsi="宋体" w:eastAsia="宋体" w:cs="宋体"/>
          <w:snapToGrid w:val="0"/>
          <w:color w:val="000000"/>
          <w:spacing w:val="8"/>
          <w:kern w:val="0"/>
          <w:sz w:val="21"/>
          <w:szCs w:val="21"/>
          <w:lang w:val="en-US" w:eastAsia="en-US" w:bidi="ar-SA"/>
        </w:rPr>
        <w:t>同约定承担相应的违约责任，并对造成的损失承担赔偿责任。</w:t>
      </w:r>
    </w:p>
    <w:p w14:paraId="39BFBC5A">
      <w:pPr>
        <w:keepNext/>
        <w:keepLines w:val="0"/>
        <w:pageBreakBefore w:val="0"/>
        <w:widowControl w:val="0"/>
        <w:kinsoku w:val="0"/>
        <w:wordWrap/>
        <w:overflowPunct/>
        <w:topLinePunct/>
        <w:autoSpaceDE w:val="0"/>
        <w:autoSpaceDN w:val="0"/>
        <w:bidi w:val="0"/>
        <w:adjustRightInd/>
        <w:snapToGrid w:val="0"/>
        <w:spacing w:before="0" w:line="360" w:lineRule="auto"/>
        <w:ind w:right="0"/>
        <w:jc w:val="both"/>
        <w:textAlignment w:val="baseline"/>
        <w:rPr>
          <w:rFonts w:hint="eastAsia" w:ascii="宋体" w:hAnsi="宋体" w:eastAsia="宋体" w:cs="宋体"/>
          <w:b/>
          <w:bCs/>
          <w:snapToGrid w:val="0"/>
          <w:color w:val="000000"/>
          <w:kern w:val="0"/>
          <w:sz w:val="21"/>
          <w:szCs w:val="21"/>
          <w:lang w:val="en-US" w:eastAsia="en-US" w:bidi="ar-SA"/>
        </w:rPr>
      </w:pPr>
      <w:r>
        <w:rPr>
          <w:rFonts w:hint="eastAsia" w:ascii="宋体" w:hAnsi="宋体" w:eastAsia="宋体" w:cs="宋体"/>
          <w:b/>
          <w:bCs/>
          <w:snapToGrid w:val="0"/>
          <w:color w:val="000000"/>
          <w:spacing w:val="8"/>
          <w:kern w:val="0"/>
          <w:sz w:val="21"/>
          <w:szCs w:val="21"/>
          <w:lang w:val="en-US" w:eastAsia="en-US" w:bidi="ar-SA"/>
        </w:rPr>
        <w:t>九、知识产权及所有权归属</w:t>
      </w:r>
    </w:p>
    <w:p w14:paraId="51D92BF9">
      <w:pPr>
        <w:keepNext/>
        <w:keepLines w:val="0"/>
        <w:pageBreakBefore w:val="0"/>
        <w:widowControl w:val="0"/>
        <w:kinsoku w:val="0"/>
        <w:wordWrap/>
        <w:overflowPunct/>
        <w:topLinePunct/>
        <w:autoSpaceDE w:val="0"/>
        <w:autoSpaceDN w:val="0"/>
        <w:bidi w:val="0"/>
        <w:adjustRightInd/>
        <w:snapToGrid w:val="0"/>
        <w:spacing w:before="0" w:line="360" w:lineRule="auto"/>
        <w:ind w:left="0" w:right="0" w:firstLine="436"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4"/>
          <w:kern w:val="0"/>
          <w:sz w:val="21"/>
          <w:szCs w:val="21"/>
          <w:lang w:val="en-US" w:eastAsia="en-US" w:bidi="ar-SA"/>
        </w:rPr>
        <w:t>9.1</w:t>
      </w:r>
      <w:r>
        <w:rPr>
          <w:rFonts w:hint="eastAsia" w:ascii="宋体" w:hAnsi="宋体" w:eastAsia="宋体" w:cs="宋体"/>
          <w:snapToGrid w:val="0"/>
          <w:color w:val="000000"/>
          <w:spacing w:val="20"/>
          <w:kern w:val="0"/>
          <w:sz w:val="21"/>
          <w:szCs w:val="21"/>
          <w:lang w:val="en-US" w:eastAsia="en-US" w:bidi="ar-SA"/>
        </w:rPr>
        <w:t xml:space="preserve"> </w:t>
      </w:r>
      <w:r>
        <w:rPr>
          <w:rFonts w:hint="eastAsia" w:ascii="宋体" w:hAnsi="宋体" w:eastAsia="宋体" w:cs="宋体"/>
          <w:snapToGrid w:val="0"/>
          <w:color w:val="000000"/>
          <w:spacing w:val="4"/>
          <w:kern w:val="0"/>
          <w:sz w:val="21"/>
          <w:szCs w:val="21"/>
          <w:lang w:val="en-US" w:eastAsia="en-US" w:bidi="ar-SA"/>
        </w:rPr>
        <w:t>知识产权</w:t>
      </w:r>
    </w:p>
    <w:p w14:paraId="496D6A1B">
      <w:pPr>
        <w:keepNext/>
        <w:keepLines w:val="0"/>
        <w:pageBreakBefore w:val="0"/>
        <w:widowControl w:val="0"/>
        <w:kinsoku/>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在项目期间内，乙方根据本合同要求提交的项目文件及服务成果（包括但不限于阶段性、过程性成</w:t>
      </w:r>
      <w:r>
        <w:rPr>
          <w:rFonts w:hint="eastAsia" w:ascii="宋体" w:hAnsi="宋体" w:eastAsia="宋体" w:cs="宋体"/>
          <w:snapToGrid w:val="0"/>
          <w:color w:val="000000"/>
          <w:spacing w:val="9"/>
          <w:kern w:val="0"/>
          <w:sz w:val="21"/>
          <w:szCs w:val="21"/>
          <w:lang w:val="en-US" w:eastAsia="en-US" w:bidi="ar-SA"/>
        </w:rPr>
        <w:t>果等相关资料）的知识产权，归甲方所有并使用，乙方就此不做</w:t>
      </w:r>
      <w:r>
        <w:rPr>
          <w:rFonts w:hint="eastAsia" w:ascii="宋体" w:hAnsi="宋体" w:cs="宋体"/>
          <w:snapToGrid w:val="0"/>
          <w:color w:val="000000"/>
          <w:spacing w:val="9"/>
          <w:kern w:val="0"/>
          <w:sz w:val="21"/>
          <w:szCs w:val="21"/>
          <w:lang w:val="en-US" w:eastAsia="zh-CN" w:bidi="ar-SA"/>
        </w:rPr>
        <w:t>任何</w:t>
      </w:r>
      <w:r>
        <w:rPr>
          <w:rFonts w:hint="eastAsia" w:ascii="宋体" w:hAnsi="宋体" w:eastAsia="宋体" w:cs="宋体"/>
          <w:snapToGrid w:val="0"/>
          <w:color w:val="000000"/>
          <w:spacing w:val="9"/>
          <w:kern w:val="0"/>
          <w:sz w:val="21"/>
          <w:szCs w:val="21"/>
          <w:lang w:val="en-US" w:eastAsia="en-US" w:bidi="ar-SA"/>
        </w:rPr>
        <w:t>权利保留。</w:t>
      </w:r>
    </w:p>
    <w:p w14:paraId="4AC72E0B">
      <w:pPr>
        <w:keepNext/>
        <w:keepLines w:val="0"/>
        <w:pageBreakBefore w:val="0"/>
        <w:widowControl w:val="0"/>
        <w:kinsoku/>
        <w:wordWrap/>
        <w:overflowPunct/>
        <w:topLinePunct/>
        <w:autoSpaceDE w:val="0"/>
        <w:autoSpaceDN w:val="0"/>
        <w:bidi w:val="0"/>
        <w:adjustRightInd/>
        <w:snapToGrid w:val="0"/>
        <w:spacing w:before="0" w:line="360" w:lineRule="auto"/>
        <w:ind w:left="0" w:right="0" w:firstLine="43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9.2</w:t>
      </w:r>
      <w:r>
        <w:rPr>
          <w:rFonts w:hint="eastAsia" w:ascii="宋体" w:hAnsi="宋体" w:eastAsia="宋体" w:cs="宋体"/>
          <w:snapToGrid w:val="0"/>
          <w:color w:val="000000"/>
          <w:spacing w:val="21"/>
          <w:kern w:val="0"/>
          <w:sz w:val="21"/>
          <w:szCs w:val="21"/>
          <w:lang w:val="en-US" w:eastAsia="en-US" w:bidi="ar-SA"/>
        </w:rPr>
        <w:t xml:space="preserve"> </w:t>
      </w:r>
      <w:r>
        <w:rPr>
          <w:rFonts w:hint="eastAsia" w:ascii="宋体" w:hAnsi="宋体" w:eastAsia="宋体" w:cs="宋体"/>
          <w:snapToGrid w:val="0"/>
          <w:color w:val="000000"/>
          <w:spacing w:val="3"/>
          <w:kern w:val="0"/>
          <w:sz w:val="21"/>
          <w:szCs w:val="21"/>
          <w:lang w:val="en-US" w:eastAsia="en-US" w:bidi="ar-SA"/>
        </w:rPr>
        <w:t>所有权</w:t>
      </w:r>
    </w:p>
    <w:p w14:paraId="49A76170">
      <w:pPr>
        <w:keepNext/>
        <w:keepLines w:val="0"/>
        <w:pageBreakBefore w:val="0"/>
        <w:widowControl w:val="0"/>
        <w:kinsoku/>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在项目期间内，乙方根据本合同要求提交的项目文件及服务成果（包括但不限于阶段性、过程性成</w:t>
      </w:r>
      <w:r>
        <w:rPr>
          <w:rFonts w:hint="eastAsia" w:ascii="宋体" w:hAnsi="宋体" w:eastAsia="宋体" w:cs="宋体"/>
          <w:snapToGrid w:val="0"/>
          <w:color w:val="000000"/>
          <w:spacing w:val="8"/>
          <w:kern w:val="0"/>
          <w:sz w:val="21"/>
          <w:szCs w:val="21"/>
          <w:lang w:val="en-US" w:eastAsia="en-US" w:bidi="ar-SA"/>
        </w:rPr>
        <w:t>果等相关资料）的所有权，归甲方所有，除</w:t>
      </w:r>
      <w:r>
        <w:rPr>
          <w:rFonts w:hint="eastAsia" w:ascii="宋体" w:hAnsi="宋体" w:eastAsia="宋体" w:cs="宋体"/>
          <w:snapToGrid w:val="0"/>
          <w:color w:val="000000"/>
          <w:spacing w:val="7"/>
          <w:kern w:val="0"/>
          <w:sz w:val="21"/>
          <w:szCs w:val="21"/>
          <w:lang w:val="en-US" w:eastAsia="en-US" w:bidi="ar-SA"/>
        </w:rPr>
        <w:t>公安机关、法院、检察院及其他相关政府部门依据相关法律</w:t>
      </w:r>
      <w:r>
        <w:rPr>
          <w:rFonts w:hint="eastAsia" w:ascii="宋体" w:hAnsi="宋体" w:eastAsia="宋体" w:cs="宋体"/>
          <w:snapToGrid w:val="0"/>
          <w:color w:val="000000"/>
          <w:spacing w:val="8"/>
          <w:kern w:val="0"/>
          <w:sz w:val="21"/>
          <w:szCs w:val="21"/>
          <w:lang w:val="en-US" w:eastAsia="en-US" w:bidi="ar-SA"/>
        </w:rPr>
        <w:t>法规查阅外，乙方需要查阅的，应向甲方提</w:t>
      </w:r>
      <w:r>
        <w:rPr>
          <w:rFonts w:hint="eastAsia" w:ascii="宋体" w:hAnsi="宋体" w:eastAsia="宋体" w:cs="宋体"/>
          <w:snapToGrid w:val="0"/>
          <w:color w:val="000000"/>
          <w:spacing w:val="7"/>
          <w:kern w:val="0"/>
          <w:sz w:val="21"/>
          <w:szCs w:val="21"/>
          <w:lang w:val="en-US" w:eastAsia="en-US" w:bidi="ar-SA"/>
        </w:rPr>
        <w:t>出申请，经甲方同意后可以查阅与其有关的材料（应对乙方</w:t>
      </w:r>
      <w:r>
        <w:rPr>
          <w:rFonts w:hint="eastAsia" w:ascii="宋体" w:hAnsi="宋体" w:eastAsia="宋体" w:cs="宋体"/>
          <w:snapToGrid w:val="0"/>
          <w:color w:val="000000"/>
          <w:spacing w:val="6"/>
          <w:kern w:val="0"/>
          <w:sz w:val="21"/>
          <w:szCs w:val="21"/>
          <w:lang w:val="en-US" w:eastAsia="en-US" w:bidi="ar-SA"/>
        </w:rPr>
        <w:t>保密的材料除外）。</w:t>
      </w:r>
    </w:p>
    <w:p w14:paraId="47AB68E8">
      <w:pPr>
        <w:keepNext/>
        <w:keepLines w:val="0"/>
        <w:pageBreakBefore w:val="0"/>
        <w:widowControl w:val="0"/>
        <w:kinsoku w:val="0"/>
        <w:wordWrap/>
        <w:overflowPunct/>
        <w:topLinePunct/>
        <w:autoSpaceDE w:val="0"/>
        <w:autoSpaceDN w:val="0"/>
        <w:bidi w:val="0"/>
        <w:adjustRightInd/>
        <w:snapToGrid w:val="0"/>
        <w:spacing w:before="0" w:line="360" w:lineRule="auto"/>
        <w:ind w:right="0"/>
        <w:jc w:val="both"/>
        <w:textAlignment w:val="baseline"/>
        <w:rPr>
          <w:rFonts w:hint="eastAsia" w:ascii="宋体" w:hAnsi="宋体" w:eastAsia="宋体" w:cs="宋体"/>
          <w:b/>
          <w:bCs/>
          <w:snapToGrid w:val="0"/>
          <w:color w:val="000000"/>
          <w:kern w:val="0"/>
          <w:sz w:val="21"/>
          <w:szCs w:val="21"/>
          <w:lang w:val="en-US" w:eastAsia="en-US" w:bidi="ar-SA"/>
        </w:rPr>
      </w:pPr>
      <w:r>
        <w:rPr>
          <w:rFonts w:hint="eastAsia" w:ascii="宋体" w:hAnsi="宋体" w:eastAsia="宋体" w:cs="宋体"/>
          <w:b/>
          <w:bCs/>
          <w:snapToGrid w:val="0"/>
          <w:color w:val="000000"/>
          <w:spacing w:val="7"/>
          <w:kern w:val="0"/>
          <w:sz w:val="21"/>
          <w:szCs w:val="21"/>
          <w:lang w:val="en-US" w:eastAsia="en-US" w:bidi="ar-SA"/>
        </w:rPr>
        <w:t>十、不可抗力</w:t>
      </w:r>
    </w:p>
    <w:p w14:paraId="2052B00B">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56"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1</w:t>
      </w:r>
      <w:r>
        <w:rPr>
          <w:rFonts w:hint="eastAsia" w:ascii="宋体" w:hAnsi="宋体" w:cs="宋体"/>
          <w:snapToGrid w:val="0"/>
          <w:color w:val="000000"/>
          <w:spacing w:val="9"/>
          <w:kern w:val="0"/>
          <w:sz w:val="21"/>
          <w:szCs w:val="21"/>
          <w:lang w:val="en-US" w:eastAsia="zh-CN" w:bidi="ar-SA"/>
        </w:rPr>
        <w:t>0</w:t>
      </w:r>
      <w:r>
        <w:rPr>
          <w:rFonts w:hint="eastAsia" w:ascii="宋体" w:hAnsi="宋体" w:eastAsia="宋体" w:cs="宋体"/>
          <w:snapToGrid w:val="0"/>
          <w:color w:val="000000"/>
          <w:spacing w:val="9"/>
          <w:kern w:val="0"/>
          <w:sz w:val="21"/>
          <w:szCs w:val="21"/>
          <w:lang w:val="en-US" w:eastAsia="en-US" w:bidi="ar-SA"/>
        </w:rPr>
        <w:t>.1 如果合同各方因不可抗力而导致合同实施延误或不能履行合同义务的话，不应该承担误期赔</w:t>
      </w:r>
      <w:r>
        <w:rPr>
          <w:rFonts w:hint="eastAsia" w:ascii="宋体" w:hAnsi="宋体" w:eastAsia="宋体" w:cs="宋体"/>
          <w:snapToGrid w:val="0"/>
          <w:color w:val="000000"/>
          <w:spacing w:val="8"/>
          <w:kern w:val="0"/>
          <w:sz w:val="21"/>
          <w:szCs w:val="21"/>
          <w:lang w:val="en-US" w:eastAsia="en-US" w:bidi="ar-SA"/>
        </w:rPr>
        <w:t>偿或不能履行合同义务的责任。</w:t>
      </w:r>
    </w:p>
    <w:p w14:paraId="07809F05">
      <w:pPr>
        <w:keepNext/>
        <w:keepLines w:val="0"/>
        <w:pageBreakBefore w:val="0"/>
        <w:widowControl w:val="0"/>
        <w:kinsoku w:val="0"/>
        <w:wordWrap/>
        <w:overflowPunct/>
        <w:topLinePunct/>
        <w:autoSpaceDE w:val="0"/>
        <w:autoSpaceDN w:val="0"/>
        <w:bidi w:val="0"/>
        <w:adjustRightInd/>
        <w:snapToGrid w:val="0"/>
        <w:spacing w:before="0" w:line="360" w:lineRule="auto"/>
        <w:ind w:left="0" w:leftChars="0" w:right="0" w:firstLine="456"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1</w:t>
      </w:r>
      <w:r>
        <w:rPr>
          <w:rFonts w:hint="eastAsia" w:ascii="宋体" w:hAnsi="宋体" w:cs="宋体"/>
          <w:snapToGrid w:val="0"/>
          <w:color w:val="000000"/>
          <w:spacing w:val="9"/>
          <w:kern w:val="0"/>
          <w:sz w:val="21"/>
          <w:szCs w:val="21"/>
          <w:lang w:val="en-US" w:eastAsia="zh-CN" w:bidi="ar-SA"/>
        </w:rPr>
        <w:t>0</w:t>
      </w:r>
      <w:r>
        <w:rPr>
          <w:rFonts w:hint="eastAsia" w:ascii="宋体" w:hAnsi="宋体" w:eastAsia="宋体" w:cs="宋体"/>
          <w:snapToGrid w:val="0"/>
          <w:color w:val="000000"/>
          <w:spacing w:val="9"/>
          <w:kern w:val="0"/>
          <w:sz w:val="21"/>
          <w:szCs w:val="21"/>
          <w:lang w:val="en-US" w:eastAsia="en-US" w:bidi="ar-SA"/>
        </w:rPr>
        <w:t>.2 本条所述的“不可抗力</w:t>
      </w:r>
      <w:r>
        <w:rPr>
          <w:rFonts w:hint="eastAsia" w:ascii="宋体" w:hAnsi="宋体" w:eastAsia="宋体" w:cs="宋体"/>
          <w:snapToGrid w:val="0"/>
          <w:color w:val="000000"/>
          <w:spacing w:val="-73"/>
          <w:kern w:val="0"/>
          <w:sz w:val="21"/>
          <w:szCs w:val="21"/>
          <w:lang w:val="en-US" w:eastAsia="en-US" w:bidi="ar-SA"/>
        </w:rPr>
        <w:t xml:space="preserve"> </w:t>
      </w:r>
      <w:r>
        <w:rPr>
          <w:rFonts w:hint="eastAsia" w:ascii="宋体" w:hAnsi="宋体" w:eastAsia="宋体" w:cs="宋体"/>
          <w:snapToGrid w:val="0"/>
          <w:color w:val="000000"/>
          <w:spacing w:val="9"/>
          <w:kern w:val="0"/>
          <w:sz w:val="21"/>
          <w:szCs w:val="21"/>
          <w:lang w:val="en-US" w:eastAsia="en-US" w:bidi="ar-SA"/>
        </w:rPr>
        <w:t>”系指那些双</w:t>
      </w:r>
      <w:r>
        <w:rPr>
          <w:rFonts w:hint="eastAsia" w:ascii="宋体" w:hAnsi="宋体" w:eastAsia="宋体" w:cs="宋体"/>
          <w:snapToGrid w:val="0"/>
          <w:color w:val="000000"/>
          <w:spacing w:val="8"/>
          <w:kern w:val="0"/>
          <w:sz w:val="21"/>
          <w:szCs w:val="21"/>
          <w:lang w:val="en-US" w:eastAsia="en-US" w:bidi="ar-SA"/>
        </w:rPr>
        <w:t>方不可预见、不可避免、不可克服的事件，但不包括双</w:t>
      </w:r>
      <w:r>
        <w:rPr>
          <w:rFonts w:hint="eastAsia" w:ascii="宋体" w:hAnsi="宋体" w:eastAsia="宋体" w:cs="宋体"/>
          <w:snapToGrid w:val="0"/>
          <w:color w:val="000000"/>
          <w:spacing w:val="7"/>
          <w:kern w:val="0"/>
          <w:sz w:val="21"/>
          <w:szCs w:val="21"/>
          <w:lang w:val="en-US" w:eastAsia="en-US" w:bidi="ar-SA"/>
        </w:rPr>
        <w:t>方的违约或疏忽。这些事件包括但不限于：战争、严重火灾、洪水、台风、地震、国家政策的重大变化</w:t>
      </w:r>
      <w:r>
        <w:rPr>
          <w:rFonts w:hint="eastAsia" w:ascii="宋体" w:hAnsi="宋体" w:eastAsia="宋体" w:cs="宋体"/>
          <w:snapToGrid w:val="0"/>
          <w:color w:val="000000"/>
          <w:spacing w:val="8"/>
          <w:kern w:val="0"/>
          <w:sz w:val="21"/>
          <w:szCs w:val="21"/>
          <w:lang w:val="en-US" w:eastAsia="en-US" w:bidi="ar-SA"/>
        </w:rPr>
        <w:t>（如突发应急事件，政府采取应急措施的</w:t>
      </w:r>
      <w:r>
        <w:rPr>
          <w:rFonts w:hint="eastAsia" w:ascii="宋体" w:hAnsi="宋体" w:eastAsia="宋体" w:cs="宋体"/>
          <w:snapToGrid w:val="0"/>
          <w:color w:val="000000"/>
          <w:spacing w:val="7"/>
          <w:kern w:val="0"/>
          <w:sz w:val="21"/>
          <w:szCs w:val="21"/>
          <w:lang w:val="en-US" w:eastAsia="en-US" w:bidi="ar-SA"/>
        </w:rPr>
        <w:t>），</w:t>
      </w:r>
      <w:r>
        <w:rPr>
          <w:rFonts w:hint="eastAsia" w:ascii="宋体" w:hAnsi="宋体" w:eastAsia="宋体" w:cs="宋体"/>
          <w:snapToGrid w:val="0"/>
          <w:color w:val="000000"/>
          <w:spacing w:val="-57"/>
          <w:kern w:val="0"/>
          <w:sz w:val="21"/>
          <w:szCs w:val="21"/>
          <w:lang w:val="en-US" w:eastAsia="en-US" w:bidi="ar-SA"/>
        </w:rPr>
        <w:t xml:space="preserve"> </w:t>
      </w:r>
      <w:r>
        <w:rPr>
          <w:rFonts w:hint="eastAsia" w:ascii="宋体" w:hAnsi="宋体" w:eastAsia="宋体" w:cs="宋体"/>
          <w:snapToGrid w:val="0"/>
          <w:color w:val="000000"/>
          <w:spacing w:val="8"/>
          <w:kern w:val="0"/>
          <w:sz w:val="21"/>
          <w:szCs w:val="21"/>
          <w:lang w:val="en-US" w:eastAsia="en-US" w:bidi="ar-SA"/>
        </w:rPr>
        <w:t>以及</w:t>
      </w:r>
      <w:r>
        <w:rPr>
          <w:rFonts w:hint="eastAsia" w:ascii="宋体" w:hAnsi="宋体" w:cs="宋体"/>
          <w:snapToGrid w:val="0"/>
          <w:color w:val="000000"/>
          <w:spacing w:val="8"/>
          <w:kern w:val="0"/>
          <w:sz w:val="21"/>
          <w:szCs w:val="21"/>
          <w:lang w:val="en-US" w:eastAsia="zh-CN" w:bidi="ar-SA"/>
        </w:rPr>
        <w:t>其他</w:t>
      </w:r>
      <w:r>
        <w:rPr>
          <w:rFonts w:hint="eastAsia" w:ascii="宋体" w:hAnsi="宋体" w:eastAsia="宋体" w:cs="宋体"/>
          <w:snapToGrid w:val="0"/>
          <w:color w:val="000000"/>
          <w:spacing w:val="8"/>
          <w:kern w:val="0"/>
          <w:sz w:val="21"/>
          <w:szCs w:val="21"/>
          <w:lang w:val="en-US" w:eastAsia="en-US" w:bidi="ar-SA"/>
        </w:rPr>
        <w:t>双方商定的其他事件（如</w:t>
      </w:r>
      <w:r>
        <w:rPr>
          <w:rFonts w:hint="eastAsia" w:ascii="宋体" w:hAnsi="宋体" w:eastAsia="宋体" w:cs="宋体"/>
          <w:snapToGrid w:val="0"/>
          <w:color w:val="000000"/>
          <w:spacing w:val="7"/>
          <w:kern w:val="0"/>
          <w:sz w:val="21"/>
          <w:szCs w:val="21"/>
          <w:lang w:val="en-US" w:eastAsia="en-US" w:bidi="ar-SA"/>
        </w:rPr>
        <w:t>黑客攻击、系统崩溃、</w:t>
      </w:r>
      <w:r>
        <w:rPr>
          <w:rFonts w:hint="eastAsia" w:ascii="宋体" w:hAnsi="宋体" w:eastAsia="宋体" w:cs="宋体"/>
          <w:snapToGrid w:val="0"/>
          <w:color w:val="000000"/>
          <w:spacing w:val="4"/>
          <w:kern w:val="0"/>
          <w:sz w:val="21"/>
          <w:szCs w:val="21"/>
          <w:lang w:val="en-US" w:eastAsia="en-US" w:bidi="ar-SA"/>
        </w:rPr>
        <w:t>互联网灾难等）。</w:t>
      </w:r>
    </w:p>
    <w:p w14:paraId="6E8B74C3">
      <w:pPr>
        <w:keepNext w:val="0"/>
        <w:keepLines w:val="0"/>
        <w:pageBreakBefore w:val="0"/>
        <w:widowControl/>
        <w:kinsoku w:val="0"/>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1</w:t>
      </w:r>
      <w:r>
        <w:rPr>
          <w:rFonts w:hint="eastAsia" w:ascii="宋体" w:hAnsi="宋体" w:cs="宋体"/>
          <w:snapToGrid w:val="0"/>
          <w:color w:val="000000"/>
          <w:spacing w:val="8"/>
          <w:kern w:val="0"/>
          <w:sz w:val="21"/>
          <w:szCs w:val="21"/>
          <w:lang w:val="en-US" w:eastAsia="zh-CN" w:bidi="ar-SA"/>
        </w:rPr>
        <w:t>0</w:t>
      </w:r>
      <w:r>
        <w:rPr>
          <w:rFonts w:hint="eastAsia" w:ascii="宋体" w:hAnsi="宋体" w:eastAsia="宋体" w:cs="宋体"/>
          <w:snapToGrid w:val="0"/>
          <w:color w:val="000000"/>
          <w:spacing w:val="8"/>
          <w:kern w:val="0"/>
          <w:sz w:val="21"/>
          <w:szCs w:val="21"/>
          <w:lang w:val="en-US" w:eastAsia="en-US" w:bidi="ar-SA"/>
        </w:rPr>
        <w:t>.3 在不可抗力事件发生后，</w:t>
      </w:r>
      <w:r>
        <w:rPr>
          <w:rFonts w:hint="eastAsia" w:ascii="宋体" w:hAnsi="宋体" w:eastAsia="宋体" w:cs="宋体"/>
          <w:snapToGrid w:val="0"/>
          <w:color w:val="000000"/>
          <w:spacing w:val="-58"/>
          <w:kern w:val="0"/>
          <w:sz w:val="21"/>
          <w:szCs w:val="21"/>
          <w:lang w:val="en-US" w:eastAsia="en-US" w:bidi="ar-SA"/>
        </w:rPr>
        <w:t xml:space="preserve"> </w:t>
      </w:r>
      <w:r>
        <w:rPr>
          <w:rFonts w:hint="eastAsia" w:ascii="宋体" w:hAnsi="宋体" w:eastAsia="宋体" w:cs="宋体"/>
          <w:snapToGrid w:val="0"/>
          <w:color w:val="000000"/>
          <w:spacing w:val="8"/>
          <w:kern w:val="0"/>
          <w:sz w:val="21"/>
          <w:szCs w:val="21"/>
          <w:lang w:val="en-US" w:eastAsia="en-US" w:bidi="ar-SA"/>
        </w:rPr>
        <w:t>当事方应尽快以书面形式将不可抗力的情况和原因通知对方</w:t>
      </w:r>
      <w:r>
        <w:rPr>
          <w:rFonts w:hint="eastAsia" w:ascii="宋体" w:hAnsi="宋体" w:eastAsia="宋体" w:cs="宋体"/>
          <w:snapToGrid w:val="0"/>
          <w:color w:val="000000"/>
          <w:spacing w:val="7"/>
          <w:kern w:val="0"/>
          <w:sz w:val="21"/>
          <w:szCs w:val="21"/>
          <w:lang w:val="en-US" w:eastAsia="en-US" w:bidi="ar-SA"/>
        </w:rPr>
        <w:t>并在</w:t>
      </w:r>
      <w:r>
        <w:rPr>
          <w:rFonts w:hint="eastAsia" w:ascii="宋体" w:hAnsi="宋体" w:eastAsia="宋体" w:cs="宋体"/>
          <w:snapToGrid w:val="0"/>
          <w:color w:val="000000"/>
          <w:spacing w:val="9"/>
          <w:kern w:val="0"/>
          <w:sz w:val="21"/>
          <w:szCs w:val="21"/>
          <w:lang w:val="en-US" w:eastAsia="en-US" w:bidi="ar-SA"/>
        </w:rPr>
        <w:t>15 日</w:t>
      </w:r>
      <w:r>
        <w:rPr>
          <w:rFonts w:hint="eastAsia" w:ascii="宋体" w:hAnsi="宋体" w:eastAsia="宋体" w:cs="宋体"/>
          <w:snapToGrid w:val="0"/>
          <w:color w:val="000000"/>
          <w:spacing w:val="-59"/>
          <w:kern w:val="0"/>
          <w:sz w:val="21"/>
          <w:szCs w:val="21"/>
          <w:lang w:val="en-US" w:eastAsia="en-US" w:bidi="ar-SA"/>
        </w:rPr>
        <w:t xml:space="preserve"> </w:t>
      </w:r>
      <w:r>
        <w:rPr>
          <w:rFonts w:hint="eastAsia" w:ascii="宋体" w:hAnsi="宋体" w:eastAsia="宋体" w:cs="宋体"/>
          <w:snapToGrid w:val="0"/>
          <w:color w:val="000000"/>
          <w:spacing w:val="9"/>
          <w:kern w:val="0"/>
          <w:sz w:val="21"/>
          <w:szCs w:val="21"/>
          <w:lang w:val="en-US" w:eastAsia="en-US" w:bidi="ar-SA"/>
        </w:rPr>
        <w:t>内将有关当局出具的不可抗力证明文件发送给另</w:t>
      </w:r>
      <w:r>
        <w:rPr>
          <w:rFonts w:hint="eastAsia" w:ascii="宋体" w:hAnsi="宋体" w:eastAsia="宋体" w:cs="宋体"/>
          <w:snapToGrid w:val="0"/>
          <w:color w:val="000000"/>
          <w:spacing w:val="8"/>
          <w:kern w:val="0"/>
          <w:sz w:val="21"/>
          <w:szCs w:val="21"/>
          <w:lang w:val="en-US" w:eastAsia="en-US" w:bidi="ar-SA"/>
        </w:rPr>
        <w:t>一方确认。合同各方应尽实际可能继续履行合同义务，并积极寻求采取合理的方案履行不受</w:t>
      </w:r>
      <w:r>
        <w:rPr>
          <w:rFonts w:hint="eastAsia" w:ascii="宋体" w:hAnsi="宋体" w:eastAsia="宋体" w:cs="宋体"/>
          <w:snapToGrid w:val="0"/>
          <w:color w:val="000000"/>
          <w:spacing w:val="7"/>
          <w:kern w:val="0"/>
          <w:sz w:val="21"/>
          <w:szCs w:val="21"/>
          <w:lang w:val="en-US" w:eastAsia="en-US" w:bidi="ar-SA"/>
        </w:rPr>
        <w:t>不可抗力影响的其他事项。合同各方应通过友好协商在合理</w:t>
      </w:r>
      <w:r>
        <w:rPr>
          <w:rFonts w:hint="eastAsia" w:ascii="宋体" w:hAnsi="宋体" w:eastAsia="宋体" w:cs="宋体"/>
          <w:snapToGrid w:val="0"/>
          <w:color w:val="000000"/>
          <w:spacing w:val="8"/>
          <w:kern w:val="0"/>
          <w:sz w:val="21"/>
          <w:szCs w:val="21"/>
          <w:lang w:val="en-US" w:eastAsia="en-US" w:bidi="ar-SA"/>
        </w:rPr>
        <w:t>的时间内达成进一步履行合同的协议。</w:t>
      </w:r>
    </w:p>
    <w:p w14:paraId="33013724">
      <w:pPr>
        <w:keepNext w:val="0"/>
        <w:keepLines w:val="0"/>
        <w:pageBreakBefore w:val="0"/>
        <w:widowControl/>
        <w:kinsoku w:val="0"/>
        <w:wordWrap/>
        <w:overflowPunct/>
        <w:topLinePunct/>
        <w:autoSpaceDE w:val="0"/>
        <w:autoSpaceDN w:val="0"/>
        <w:bidi w:val="0"/>
        <w:adjustRightInd/>
        <w:snapToGrid w:val="0"/>
        <w:spacing w:before="0" w:line="360" w:lineRule="auto"/>
        <w:ind w:leftChars="0" w:right="0" w:firstLine="432" w:firstLineChars="200"/>
        <w:jc w:val="both"/>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spacing w:val="3"/>
          <w:kern w:val="0"/>
          <w:sz w:val="21"/>
          <w:szCs w:val="21"/>
          <w:lang w:val="en-US" w:eastAsia="en-US" w:bidi="ar-SA"/>
        </w:rPr>
        <w:t>1</w:t>
      </w:r>
      <w:r>
        <w:rPr>
          <w:rFonts w:hint="eastAsia" w:ascii="宋体" w:hAnsi="宋体" w:eastAsia="宋体" w:cs="宋体"/>
          <w:snapToGrid w:val="0"/>
          <w:color w:val="000000"/>
          <w:spacing w:val="-12"/>
          <w:kern w:val="0"/>
          <w:sz w:val="21"/>
          <w:szCs w:val="21"/>
          <w:lang w:val="en-US" w:eastAsia="en-US" w:bidi="ar-SA"/>
        </w:rPr>
        <w:t xml:space="preserve"> </w:t>
      </w:r>
      <w:r>
        <w:rPr>
          <w:rFonts w:hint="eastAsia" w:ascii="宋体" w:hAnsi="宋体" w:cs="宋体"/>
          <w:snapToGrid w:val="0"/>
          <w:color w:val="000000"/>
          <w:spacing w:val="3"/>
          <w:kern w:val="0"/>
          <w:sz w:val="21"/>
          <w:szCs w:val="21"/>
          <w:lang w:val="en-US" w:eastAsia="zh-CN" w:bidi="ar-SA"/>
        </w:rPr>
        <w:t>0</w:t>
      </w:r>
      <w:r>
        <w:rPr>
          <w:rFonts w:hint="eastAsia" w:ascii="宋体" w:hAnsi="宋体" w:eastAsia="宋体" w:cs="宋体"/>
          <w:snapToGrid w:val="0"/>
          <w:color w:val="000000"/>
          <w:spacing w:val="3"/>
          <w:kern w:val="0"/>
          <w:sz w:val="21"/>
          <w:szCs w:val="21"/>
          <w:lang w:val="en-US" w:eastAsia="en-US" w:bidi="ar-SA"/>
        </w:rPr>
        <w:t>.4</w:t>
      </w:r>
      <w:r>
        <w:rPr>
          <w:rFonts w:hint="eastAsia" w:ascii="宋体" w:hAnsi="宋体" w:eastAsia="宋体" w:cs="宋体"/>
          <w:snapToGrid w:val="0"/>
          <w:color w:val="000000"/>
          <w:spacing w:val="41"/>
          <w:kern w:val="0"/>
          <w:sz w:val="21"/>
          <w:szCs w:val="21"/>
          <w:lang w:val="en-US" w:eastAsia="en-US" w:bidi="ar-SA"/>
        </w:rPr>
        <w:t xml:space="preserve"> </w:t>
      </w:r>
      <w:r>
        <w:rPr>
          <w:rFonts w:hint="eastAsia" w:ascii="宋体" w:hAnsi="宋体" w:eastAsia="宋体" w:cs="宋体"/>
          <w:snapToGrid w:val="0"/>
          <w:color w:val="000000"/>
          <w:spacing w:val="3"/>
          <w:kern w:val="0"/>
          <w:sz w:val="21"/>
          <w:szCs w:val="21"/>
          <w:lang w:val="en-US" w:eastAsia="en-US" w:bidi="ar-SA"/>
        </w:rPr>
        <w:t>当不可抗力情形终止或消除后，受影响的一方应尽快以电话或传真通知对方，并以</w:t>
      </w:r>
      <w:r>
        <w:rPr>
          <w:rFonts w:hint="eastAsia" w:ascii="宋体" w:hAnsi="宋体" w:eastAsia="宋体" w:cs="宋体"/>
          <w:snapToGrid w:val="0"/>
          <w:color w:val="000000"/>
          <w:spacing w:val="-43"/>
          <w:kern w:val="0"/>
          <w:sz w:val="21"/>
          <w:szCs w:val="21"/>
          <w:lang w:val="en-US" w:eastAsia="en-US" w:bidi="ar-SA"/>
        </w:rPr>
        <w:t xml:space="preserve"> </w:t>
      </w:r>
      <w:r>
        <w:rPr>
          <w:rFonts w:hint="eastAsia" w:ascii="宋体" w:hAnsi="宋体" w:eastAsia="宋体" w:cs="宋体"/>
          <w:snapToGrid w:val="0"/>
          <w:color w:val="000000"/>
          <w:kern w:val="0"/>
          <w:sz w:val="21"/>
          <w:szCs w:val="21"/>
          <w:lang w:val="en-US" w:eastAsia="en-US" w:bidi="ar-SA"/>
        </w:rPr>
        <w:t>EMS</w:t>
      </w:r>
      <w:r>
        <w:rPr>
          <w:rFonts w:hint="eastAsia" w:ascii="宋体" w:hAnsi="宋体" w:eastAsia="宋体" w:cs="宋体"/>
          <w:snapToGrid w:val="0"/>
          <w:color w:val="000000"/>
          <w:spacing w:val="-33"/>
          <w:kern w:val="0"/>
          <w:sz w:val="21"/>
          <w:szCs w:val="21"/>
          <w:lang w:val="en-US" w:eastAsia="en-US" w:bidi="ar-SA"/>
        </w:rPr>
        <w:t xml:space="preserve"> </w:t>
      </w:r>
      <w:r>
        <w:rPr>
          <w:rFonts w:hint="eastAsia" w:ascii="宋体" w:hAnsi="宋体" w:eastAsia="宋体" w:cs="宋体"/>
          <w:snapToGrid w:val="0"/>
          <w:color w:val="000000"/>
          <w:spacing w:val="3"/>
          <w:kern w:val="0"/>
          <w:sz w:val="21"/>
          <w:szCs w:val="21"/>
          <w:lang w:val="en-US" w:eastAsia="en-US" w:bidi="ar-SA"/>
        </w:rPr>
        <w:t>证实</w:t>
      </w:r>
      <w:r>
        <w:rPr>
          <w:rFonts w:hint="eastAsia" w:ascii="宋体" w:hAnsi="宋体" w:eastAsia="宋体" w:cs="宋体"/>
          <w:snapToGrid w:val="0"/>
          <w:color w:val="000000"/>
          <w:spacing w:val="3"/>
          <w:kern w:val="0"/>
          <w:sz w:val="21"/>
          <w:szCs w:val="21"/>
          <w:lang w:val="en-US" w:eastAsia="zh-CN" w:bidi="ar-SA"/>
        </w:rPr>
        <w:t>。</w:t>
      </w:r>
    </w:p>
    <w:p w14:paraId="401DBEC2">
      <w:pPr>
        <w:keepNext w:val="0"/>
        <w:keepLines w:val="0"/>
        <w:pageBreakBefore w:val="0"/>
        <w:widowControl/>
        <w:kinsoku w:val="0"/>
        <w:wordWrap/>
        <w:overflowPunct/>
        <w:topLinePunct/>
        <w:autoSpaceDE w:val="0"/>
        <w:autoSpaceDN w:val="0"/>
        <w:bidi w:val="0"/>
        <w:adjustRightInd/>
        <w:snapToGrid w:val="0"/>
        <w:spacing w:before="0" w:line="360" w:lineRule="auto"/>
        <w:ind w:left="0" w:leftChars="0" w:right="0" w:firstLine="456"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cs="宋体"/>
          <w:snapToGrid w:val="0"/>
          <w:color w:val="000000"/>
          <w:spacing w:val="9"/>
          <w:kern w:val="0"/>
          <w:sz w:val="21"/>
          <w:szCs w:val="21"/>
          <w:lang w:val="en-US" w:eastAsia="zh-CN" w:bidi="ar-SA"/>
        </w:rPr>
        <w:t>10</w:t>
      </w:r>
      <w:r>
        <w:rPr>
          <w:rFonts w:hint="eastAsia" w:ascii="宋体" w:hAnsi="宋体" w:eastAsia="宋体" w:cs="宋体"/>
          <w:snapToGrid w:val="0"/>
          <w:color w:val="000000"/>
          <w:spacing w:val="9"/>
          <w:kern w:val="0"/>
          <w:sz w:val="21"/>
          <w:szCs w:val="21"/>
          <w:lang w:val="en-US" w:eastAsia="en-US" w:bidi="ar-SA"/>
        </w:rPr>
        <w:t>.5 受不可抗力影响方应尽一切努力减少因不可抗力而产生的损失，否则应对扩大的损失承担责</w:t>
      </w:r>
      <w:r>
        <w:rPr>
          <w:rFonts w:hint="eastAsia" w:ascii="宋体" w:hAnsi="宋体" w:eastAsia="宋体" w:cs="宋体"/>
          <w:snapToGrid w:val="0"/>
          <w:color w:val="000000"/>
          <w:spacing w:val="-3"/>
          <w:kern w:val="0"/>
          <w:sz w:val="21"/>
          <w:szCs w:val="21"/>
          <w:lang w:val="en-US" w:eastAsia="en-US" w:bidi="ar-SA"/>
        </w:rPr>
        <w:t>任</w:t>
      </w:r>
    </w:p>
    <w:p w14:paraId="6DAFC8A9">
      <w:pPr>
        <w:keepNext w:val="0"/>
        <w:keepLines w:val="0"/>
        <w:pageBreakBefore w:val="0"/>
        <w:widowControl/>
        <w:kinsoku w:val="0"/>
        <w:wordWrap/>
        <w:overflowPunct/>
        <w:topLinePunct/>
        <w:autoSpaceDE w:val="0"/>
        <w:autoSpaceDN w:val="0"/>
        <w:bidi w:val="0"/>
        <w:adjustRightInd/>
        <w:snapToGrid w:val="0"/>
        <w:spacing w:before="0" w:line="360" w:lineRule="auto"/>
        <w:ind w:right="0" w:firstLine="452" w:firstLineChars="200"/>
        <w:jc w:val="both"/>
        <w:textAlignment w:val="baseline"/>
        <w:rPr>
          <w:rFonts w:hint="eastAsia" w:ascii="宋体" w:hAnsi="宋体" w:eastAsia="宋体" w:cs="宋体"/>
          <w:snapToGrid w:val="0"/>
          <w:color w:val="000000"/>
          <w:spacing w:val="6"/>
          <w:kern w:val="0"/>
          <w:sz w:val="21"/>
          <w:szCs w:val="21"/>
          <w:lang w:val="en-US" w:eastAsia="en-US" w:bidi="ar-SA"/>
        </w:rPr>
      </w:pPr>
      <w:r>
        <w:rPr>
          <w:rFonts w:hint="eastAsia" w:ascii="宋体" w:hAnsi="宋体" w:cs="宋体"/>
          <w:snapToGrid w:val="0"/>
          <w:color w:val="000000"/>
          <w:spacing w:val="8"/>
          <w:kern w:val="0"/>
          <w:sz w:val="21"/>
          <w:szCs w:val="21"/>
          <w:lang w:val="en-US" w:eastAsia="zh-CN" w:bidi="ar-SA"/>
        </w:rPr>
        <w:t>10</w:t>
      </w:r>
      <w:r>
        <w:rPr>
          <w:rFonts w:hint="eastAsia" w:ascii="宋体" w:hAnsi="宋体" w:eastAsia="宋体" w:cs="宋体"/>
          <w:snapToGrid w:val="0"/>
          <w:color w:val="000000"/>
          <w:spacing w:val="8"/>
          <w:kern w:val="0"/>
          <w:sz w:val="21"/>
          <w:szCs w:val="21"/>
          <w:lang w:val="en-US" w:eastAsia="en-US" w:bidi="ar-SA"/>
        </w:rPr>
        <w:t>.6 如不可抗力延续</w:t>
      </w:r>
      <w:r>
        <w:rPr>
          <w:rFonts w:hint="eastAsia" w:ascii="宋体" w:hAnsi="宋体" w:cs="宋体"/>
          <w:snapToGrid w:val="0"/>
          <w:color w:val="000000"/>
          <w:spacing w:val="8"/>
          <w:kern w:val="0"/>
          <w:sz w:val="21"/>
          <w:szCs w:val="21"/>
          <w:lang w:val="en-US" w:eastAsia="zh-CN" w:bidi="ar-SA"/>
        </w:rPr>
        <w:t>超过45日</w:t>
      </w:r>
      <w:r>
        <w:rPr>
          <w:rFonts w:hint="eastAsia" w:ascii="宋体" w:hAnsi="宋体" w:eastAsia="宋体" w:cs="宋体"/>
          <w:snapToGrid w:val="0"/>
          <w:color w:val="000000"/>
          <w:spacing w:val="8"/>
          <w:kern w:val="0"/>
          <w:sz w:val="21"/>
          <w:szCs w:val="21"/>
          <w:lang w:val="en-US" w:eastAsia="en-US" w:bidi="ar-SA"/>
        </w:rPr>
        <w:t>（含本数）时，双</w:t>
      </w:r>
      <w:r>
        <w:rPr>
          <w:rFonts w:hint="eastAsia" w:ascii="宋体" w:hAnsi="宋体" w:eastAsia="宋体" w:cs="宋体"/>
          <w:snapToGrid w:val="0"/>
          <w:color w:val="000000"/>
          <w:spacing w:val="7"/>
          <w:kern w:val="0"/>
          <w:sz w:val="21"/>
          <w:szCs w:val="21"/>
          <w:lang w:val="en-US" w:eastAsia="en-US" w:bidi="ar-SA"/>
        </w:rPr>
        <w:t>方应通过友好协商解决本合同的执行问题</w:t>
      </w:r>
      <w:r>
        <w:rPr>
          <w:rFonts w:hint="eastAsia" w:ascii="宋体" w:hAnsi="宋体" w:eastAsia="宋体" w:cs="宋体"/>
          <w:snapToGrid w:val="0"/>
          <w:color w:val="000000"/>
          <w:spacing w:val="6"/>
          <w:kern w:val="0"/>
          <w:sz w:val="21"/>
          <w:szCs w:val="21"/>
          <w:lang w:val="en-US" w:eastAsia="en-US" w:bidi="ar-SA"/>
        </w:rPr>
        <w:t>并应尽快达成协议。</w:t>
      </w:r>
    </w:p>
    <w:p w14:paraId="088B328A">
      <w:pPr>
        <w:pStyle w:val="2"/>
        <w:keepNext w:val="0"/>
        <w:keepLines w:val="0"/>
        <w:pageBreakBefore w:val="0"/>
        <w:widowControl w:val="0"/>
        <w:kinsoku/>
        <w:wordWrap/>
        <w:overflowPunct/>
        <w:topLinePunct/>
        <w:autoSpaceDE/>
        <w:autoSpaceDN/>
        <w:bidi w:val="0"/>
        <w:adjustRightInd/>
        <w:snapToGrid/>
        <w:ind w:firstLine="444" w:firstLineChars="200"/>
        <w:textAlignment w:val="auto"/>
        <w:rPr>
          <w:rFonts w:hint="default" w:eastAsia="宋体"/>
          <w:lang w:val="en-US" w:eastAsia="zh-CN"/>
        </w:rPr>
      </w:pPr>
      <w:r>
        <w:rPr>
          <w:rFonts w:hint="eastAsia" w:ascii="宋体" w:hAnsi="宋体" w:cs="宋体"/>
          <w:snapToGrid w:val="0"/>
          <w:color w:val="000000"/>
          <w:spacing w:val="6"/>
          <w:kern w:val="0"/>
          <w:sz w:val="21"/>
          <w:szCs w:val="21"/>
          <w:lang w:val="en-US" w:eastAsia="zh-CN" w:bidi="ar-SA"/>
        </w:rPr>
        <w:t>10.7因不可抗力因素导致合同款不能按时支付的，甲方不承担任何责任。</w:t>
      </w:r>
    </w:p>
    <w:p w14:paraId="293596F3">
      <w:pPr>
        <w:keepNext w:val="0"/>
        <w:keepLines w:val="0"/>
        <w:pageBreakBefore w:val="0"/>
        <w:widowControl/>
        <w:kinsoku w:val="0"/>
        <w:wordWrap/>
        <w:overflowPunct/>
        <w:topLinePunct/>
        <w:autoSpaceDE w:val="0"/>
        <w:autoSpaceDN w:val="0"/>
        <w:bidi w:val="0"/>
        <w:adjustRightInd/>
        <w:snapToGrid w:val="0"/>
        <w:spacing w:before="0" w:line="360" w:lineRule="auto"/>
        <w:ind w:right="0"/>
        <w:jc w:val="both"/>
        <w:textAlignment w:val="baseline"/>
        <w:rPr>
          <w:rFonts w:hint="eastAsia" w:ascii="宋体" w:hAnsi="宋体" w:eastAsia="宋体" w:cs="宋体"/>
          <w:b/>
          <w:bCs/>
          <w:snapToGrid w:val="0"/>
          <w:color w:val="auto"/>
          <w:kern w:val="0"/>
          <w:sz w:val="21"/>
          <w:szCs w:val="21"/>
          <w:lang w:val="en-US" w:eastAsia="en-US" w:bidi="ar-SA"/>
        </w:rPr>
      </w:pPr>
      <w:r>
        <w:rPr>
          <w:rFonts w:hint="eastAsia" w:ascii="宋体" w:hAnsi="宋体" w:eastAsia="宋体" w:cs="宋体"/>
          <w:b/>
          <w:bCs/>
          <w:snapToGrid w:val="0"/>
          <w:color w:val="auto"/>
          <w:spacing w:val="4"/>
          <w:kern w:val="0"/>
          <w:sz w:val="21"/>
          <w:szCs w:val="21"/>
          <w:lang w:val="en-US" w:eastAsia="en-US" w:bidi="ar-SA"/>
        </w:rPr>
        <w:t>十</w:t>
      </w:r>
      <w:r>
        <w:rPr>
          <w:rFonts w:hint="eastAsia" w:ascii="宋体" w:hAnsi="宋体" w:cs="宋体"/>
          <w:b/>
          <w:bCs/>
          <w:snapToGrid w:val="0"/>
          <w:color w:val="auto"/>
          <w:spacing w:val="4"/>
          <w:kern w:val="0"/>
          <w:sz w:val="21"/>
          <w:szCs w:val="21"/>
          <w:lang w:val="en-US" w:eastAsia="zh-CN" w:bidi="ar-SA"/>
        </w:rPr>
        <w:t>一</w:t>
      </w:r>
      <w:r>
        <w:rPr>
          <w:rFonts w:hint="eastAsia" w:ascii="宋体" w:hAnsi="宋体" w:eastAsia="宋体" w:cs="宋体"/>
          <w:b/>
          <w:bCs/>
          <w:snapToGrid w:val="0"/>
          <w:color w:val="auto"/>
          <w:spacing w:val="4"/>
          <w:kern w:val="0"/>
          <w:sz w:val="21"/>
          <w:szCs w:val="21"/>
          <w:lang w:val="en-US" w:eastAsia="en-US" w:bidi="ar-SA"/>
        </w:rPr>
        <w:t>、合同终止、</w:t>
      </w:r>
      <w:r>
        <w:rPr>
          <w:rFonts w:hint="eastAsia" w:ascii="宋体" w:hAnsi="宋体" w:eastAsia="宋体" w:cs="宋体"/>
          <w:b/>
          <w:bCs/>
          <w:snapToGrid w:val="0"/>
          <w:color w:val="auto"/>
          <w:spacing w:val="-44"/>
          <w:kern w:val="0"/>
          <w:sz w:val="21"/>
          <w:szCs w:val="21"/>
          <w:lang w:val="en-US" w:eastAsia="en-US" w:bidi="ar-SA"/>
        </w:rPr>
        <w:t xml:space="preserve"> </w:t>
      </w:r>
      <w:r>
        <w:rPr>
          <w:rFonts w:hint="eastAsia" w:ascii="宋体" w:hAnsi="宋体" w:eastAsia="宋体" w:cs="宋体"/>
          <w:b/>
          <w:bCs/>
          <w:snapToGrid w:val="0"/>
          <w:color w:val="auto"/>
          <w:spacing w:val="4"/>
          <w:kern w:val="0"/>
          <w:sz w:val="21"/>
          <w:szCs w:val="21"/>
          <w:lang w:val="en-US" w:eastAsia="en-US" w:bidi="ar-SA"/>
        </w:rPr>
        <w:t>中止、变更</w:t>
      </w:r>
    </w:p>
    <w:p w14:paraId="125ED7B1">
      <w:pPr>
        <w:keepNext w:val="0"/>
        <w:keepLines w:val="0"/>
        <w:pageBreakBefore w:val="0"/>
        <w:widowControl/>
        <w:kinsoku w:val="0"/>
        <w:wordWrap/>
        <w:overflowPunct/>
        <w:topLinePunct/>
        <w:autoSpaceDE w:val="0"/>
        <w:autoSpaceDN w:val="0"/>
        <w:bidi w:val="0"/>
        <w:adjustRightInd/>
        <w:snapToGrid w:val="0"/>
        <w:spacing w:before="0" w:line="360" w:lineRule="auto"/>
        <w:ind w:leftChars="200" w:right="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cs="宋体"/>
          <w:snapToGrid w:val="0"/>
          <w:color w:val="000000"/>
          <w:spacing w:val="2"/>
          <w:kern w:val="0"/>
          <w:sz w:val="21"/>
          <w:szCs w:val="21"/>
          <w:lang w:val="en-US" w:eastAsia="zh-CN" w:bidi="ar-SA"/>
        </w:rPr>
        <w:t>11</w:t>
      </w:r>
      <w:r>
        <w:rPr>
          <w:rFonts w:hint="eastAsia" w:ascii="宋体" w:hAnsi="宋体" w:eastAsia="宋体" w:cs="宋体"/>
          <w:snapToGrid w:val="0"/>
          <w:color w:val="000000"/>
          <w:spacing w:val="2"/>
          <w:kern w:val="0"/>
          <w:sz w:val="21"/>
          <w:szCs w:val="21"/>
          <w:lang w:val="en-US" w:eastAsia="en-US" w:bidi="ar-SA"/>
        </w:rPr>
        <w:t>.1</w:t>
      </w:r>
      <w:r>
        <w:rPr>
          <w:rFonts w:hint="eastAsia" w:ascii="宋体" w:hAnsi="宋体" w:eastAsia="宋体" w:cs="宋体"/>
          <w:snapToGrid w:val="0"/>
          <w:color w:val="000000"/>
          <w:spacing w:val="-32"/>
          <w:kern w:val="0"/>
          <w:sz w:val="21"/>
          <w:szCs w:val="21"/>
          <w:lang w:val="en-US" w:eastAsia="en-US" w:bidi="ar-SA"/>
        </w:rPr>
        <w:t xml:space="preserve"> </w:t>
      </w:r>
      <w:r>
        <w:rPr>
          <w:rFonts w:hint="eastAsia" w:ascii="宋体" w:hAnsi="宋体" w:eastAsia="宋体" w:cs="宋体"/>
          <w:snapToGrid w:val="0"/>
          <w:color w:val="000000"/>
          <w:spacing w:val="2"/>
          <w:kern w:val="0"/>
          <w:sz w:val="21"/>
          <w:szCs w:val="21"/>
          <w:lang w:val="en-US" w:eastAsia="en-US" w:bidi="ar-SA"/>
        </w:rPr>
        <w:t>合同终止</w:t>
      </w:r>
    </w:p>
    <w:p w14:paraId="190DF858">
      <w:pPr>
        <w:keepNext w:val="0"/>
        <w:keepLines w:val="0"/>
        <w:pageBreakBefore w:val="0"/>
        <w:widowControl/>
        <w:kinsoku w:val="0"/>
        <w:wordWrap/>
        <w:overflowPunct/>
        <w:topLinePunct/>
        <w:autoSpaceDE w:val="0"/>
        <w:autoSpaceDN w:val="0"/>
        <w:bidi w:val="0"/>
        <w:adjustRightInd/>
        <w:snapToGrid w:val="0"/>
        <w:spacing w:before="0" w:line="360" w:lineRule="auto"/>
        <w:ind w:leftChars="200" w:right="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cs="宋体"/>
          <w:snapToGrid w:val="0"/>
          <w:color w:val="000000"/>
          <w:spacing w:val="4"/>
          <w:kern w:val="0"/>
          <w:sz w:val="21"/>
          <w:szCs w:val="21"/>
          <w:lang w:val="en-US" w:eastAsia="zh-CN" w:bidi="ar-SA"/>
        </w:rPr>
        <w:t>11</w:t>
      </w:r>
      <w:r>
        <w:rPr>
          <w:rFonts w:hint="eastAsia" w:ascii="宋体" w:hAnsi="宋体" w:eastAsia="宋体" w:cs="宋体"/>
          <w:snapToGrid w:val="0"/>
          <w:color w:val="000000"/>
          <w:spacing w:val="4"/>
          <w:kern w:val="0"/>
          <w:sz w:val="21"/>
          <w:szCs w:val="21"/>
          <w:lang w:val="en-US" w:eastAsia="en-US" w:bidi="ar-SA"/>
        </w:rPr>
        <w:t>.1.1</w:t>
      </w:r>
      <w:r>
        <w:rPr>
          <w:rFonts w:hint="eastAsia" w:ascii="宋体" w:hAnsi="宋体" w:eastAsia="宋体" w:cs="宋体"/>
          <w:snapToGrid w:val="0"/>
          <w:color w:val="000000"/>
          <w:spacing w:val="-33"/>
          <w:kern w:val="0"/>
          <w:sz w:val="21"/>
          <w:szCs w:val="21"/>
          <w:lang w:val="en-US" w:eastAsia="en-US" w:bidi="ar-SA"/>
        </w:rPr>
        <w:t xml:space="preserve"> </w:t>
      </w:r>
      <w:r>
        <w:rPr>
          <w:rFonts w:hint="eastAsia" w:ascii="宋体" w:hAnsi="宋体" w:eastAsia="宋体" w:cs="宋体"/>
          <w:snapToGrid w:val="0"/>
          <w:color w:val="000000"/>
          <w:spacing w:val="4"/>
          <w:kern w:val="0"/>
          <w:sz w:val="21"/>
          <w:szCs w:val="21"/>
          <w:lang w:val="en-US" w:eastAsia="en-US" w:bidi="ar-SA"/>
        </w:rPr>
        <w:t>违约终止合同</w:t>
      </w:r>
    </w:p>
    <w:p w14:paraId="02043504">
      <w:pPr>
        <w:keepNext w:val="0"/>
        <w:keepLines w:val="0"/>
        <w:pageBreakBefore w:val="0"/>
        <w:widowControl/>
        <w:kinsoku w:val="0"/>
        <w:wordWrap/>
        <w:overflowPunct/>
        <w:topLinePunct/>
        <w:autoSpaceDE w:val="0"/>
        <w:autoSpaceDN w:val="0"/>
        <w:bidi w:val="0"/>
        <w:adjustRightInd/>
        <w:snapToGrid w:val="0"/>
        <w:spacing w:before="0" w:line="360" w:lineRule="auto"/>
        <w:ind w:leftChars="200" w:right="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cs="宋体"/>
          <w:snapToGrid w:val="0"/>
          <w:color w:val="000000"/>
          <w:spacing w:val="8"/>
          <w:kern w:val="0"/>
          <w:sz w:val="21"/>
          <w:szCs w:val="21"/>
          <w:lang w:val="en-US" w:eastAsia="zh-CN" w:bidi="ar-SA"/>
        </w:rPr>
        <w:t>11</w:t>
      </w:r>
      <w:r>
        <w:rPr>
          <w:rFonts w:hint="eastAsia" w:ascii="宋体" w:hAnsi="宋体" w:eastAsia="宋体" w:cs="宋体"/>
          <w:snapToGrid w:val="0"/>
          <w:color w:val="000000"/>
          <w:spacing w:val="8"/>
          <w:kern w:val="0"/>
          <w:sz w:val="21"/>
          <w:szCs w:val="21"/>
          <w:lang w:val="en-US" w:eastAsia="en-US" w:bidi="ar-SA"/>
        </w:rPr>
        <w:t>.1.1.1 在甲方针对乙方违约行为而采取的任何补救措</w:t>
      </w:r>
      <w:r>
        <w:rPr>
          <w:rFonts w:hint="eastAsia" w:ascii="宋体" w:hAnsi="宋体" w:eastAsia="宋体" w:cs="宋体"/>
          <w:snapToGrid w:val="0"/>
          <w:color w:val="000000"/>
          <w:spacing w:val="7"/>
          <w:kern w:val="0"/>
          <w:sz w:val="21"/>
          <w:szCs w:val="21"/>
          <w:lang w:val="en-US" w:eastAsia="en-US" w:bidi="ar-SA"/>
        </w:rPr>
        <w:t>施不受影响的情况下，</w:t>
      </w:r>
      <w:r>
        <w:rPr>
          <w:rFonts w:hint="eastAsia" w:ascii="宋体" w:hAnsi="宋体" w:eastAsia="宋体" w:cs="宋体"/>
          <w:snapToGrid w:val="0"/>
          <w:color w:val="000000"/>
          <w:spacing w:val="-50"/>
          <w:kern w:val="0"/>
          <w:sz w:val="21"/>
          <w:szCs w:val="21"/>
          <w:lang w:val="en-US" w:eastAsia="en-US" w:bidi="ar-SA"/>
        </w:rPr>
        <w:t xml:space="preserve"> </w:t>
      </w:r>
      <w:r>
        <w:rPr>
          <w:rFonts w:hint="eastAsia" w:ascii="宋体" w:hAnsi="宋体" w:eastAsia="宋体" w:cs="宋体"/>
          <w:snapToGrid w:val="0"/>
          <w:color w:val="000000"/>
          <w:spacing w:val="7"/>
          <w:kern w:val="0"/>
          <w:sz w:val="21"/>
          <w:szCs w:val="21"/>
          <w:lang w:val="en-US" w:eastAsia="en-US" w:bidi="ar-SA"/>
        </w:rPr>
        <w:t>甲方可在下列情况</w:t>
      </w:r>
      <w:r>
        <w:rPr>
          <w:rFonts w:hint="eastAsia" w:ascii="宋体" w:hAnsi="宋体" w:eastAsia="宋体" w:cs="宋体"/>
          <w:snapToGrid w:val="0"/>
          <w:color w:val="000000"/>
          <w:spacing w:val="8"/>
          <w:kern w:val="0"/>
          <w:sz w:val="21"/>
          <w:szCs w:val="21"/>
          <w:lang w:val="en-US" w:eastAsia="en-US" w:bidi="ar-SA"/>
        </w:rPr>
        <w:t>下向乙方发出书面通知书，提出终止部分或全部合同：</w:t>
      </w:r>
    </w:p>
    <w:p w14:paraId="23C9B275">
      <w:pPr>
        <w:keepNext w:val="0"/>
        <w:keepLines w:val="0"/>
        <w:pageBreakBefore w:val="0"/>
        <w:widowControl/>
        <w:kinsoku w:val="0"/>
        <w:wordWrap/>
        <w:overflowPunct/>
        <w:topLinePunct/>
        <w:autoSpaceDE w:val="0"/>
        <w:autoSpaceDN w:val="0"/>
        <w:bidi w:val="0"/>
        <w:adjustRightInd/>
        <w:snapToGrid w:val="0"/>
        <w:spacing w:before="0" w:line="360" w:lineRule="auto"/>
        <w:ind w:leftChars="200" w:right="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（1）如果乙方未能在合同规定的限期或甲方同意延长的限期内</w:t>
      </w:r>
      <w:r>
        <w:rPr>
          <w:rFonts w:hint="eastAsia" w:ascii="宋体" w:hAnsi="宋体" w:eastAsia="宋体" w:cs="宋体"/>
          <w:snapToGrid w:val="0"/>
          <w:color w:val="000000"/>
          <w:spacing w:val="8"/>
          <w:kern w:val="0"/>
          <w:sz w:val="21"/>
          <w:szCs w:val="21"/>
          <w:lang w:val="en-US" w:eastAsia="en-US" w:bidi="ar-SA"/>
        </w:rPr>
        <w:t>提供服务。</w:t>
      </w:r>
    </w:p>
    <w:p w14:paraId="1108EA73">
      <w:pPr>
        <w:keepNext w:val="0"/>
        <w:keepLines w:val="0"/>
        <w:pageBreakBefore w:val="0"/>
        <w:widowControl/>
        <w:kinsoku w:val="0"/>
        <w:wordWrap/>
        <w:overflowPunct/>
        <w:topLinePunct/>
        <w:autoSpaceDE w:val="0"/>
        <w:autoSpaceDN w:val="0"/>
        <w:bidi w:val="0"/>
        <w:adjustRightInd/>
        <w:snapToGrid w:val="0"/>
        <w:spacing w:before="0" w:line="360" w:lineRule="auto"/>
        <w:ind w:leftChars="200" w:right="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（2）如果乙方的行为构成根本违约。</w:t>
      </w:r>
    </w:p>
    <w:p w14:paraId="76E04AA3">
      <w:pPr>
        <w:keepNext w:val="0"/>
        <w:keepLines w:val="0"/>
        <w:pageBreakBefore w:val="0"/>
        <w:widowControl/>
        <w:kinsoku w:val="0"/>
        <w:wordWrap/>
        <w:overflowPunct/>
        <w:topLinePunct/>
        <w:autoSpaceDE w:val="0"/>
        <w:autoSpaceDN w:val="0"/>
        <w:bidi w:val="0"/>
        <w:adjustRightInd/>
        <w:snapToGrid w:val="0"/>
        <w:spacing w:before="0" w:line="360" w:lineRule="auto"/>
        <w:ind w:leftChars="200" w:right="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（3）如果乙方未能履行合同规定的</w:t>
      </w:r>
      <w:r>
        <w:rPr>
          <w:rFonts w:hint="eastAsia" w:ascii="宋体" w:hAnsi="宋体" w:cs="宋体"/>
          <w:snapToGrid w:val="0"/>
          <w:color w:val="000000"/>
          <w:spacing w:val="8"/>
          <w:kern w:val="0"/>
          <w:sz w:val="21"/>
          <w:szCs w:val="21"/>
          <w:lang w:val="en-US" w:eastAsia="zh-CN" w:bidi="ar-SA"/>
        </w:rPr>
        <w:t>其他</w:t>
      </w:r>
      <w:r>
        <w:rPr>
          <w:rFonts w:hint="eastAsia" w:ascii="宋体" w:hAnsi="宋体" w:eastAsia="宋体" w:cs="宋体"/>
          <w:snapToGrid w:val="0"/>
          <w:color w:val="000000"/>
          <w:spacing w:val="8"/>
          <w:kern w:val="0"/>
          <w:sz w:val="21"/>
          <w:szCs w:val="21"/>
          <w:lang w:val="en-US" w:eastAsia="en-US" w:bidi="ar-SA"/>
        </w:rPr>
        <w:t>任何义务。</w:t>
      </w:r>
    </w:p>
    <w:p w14:paraId="648CA7CE">
      <w:pPr>
        <w:keepNext w:val="0"/>
        <w:keepLines w:val="0"/>
        <w:pageBreakBefore w:val="0"/>
        <w:widowControl/>
        <w:kinsoku w:val="0"/>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cs="宋体"/>
          <w:snapToGrid w:val="0"/>
          <w:color w:val="000000"/>
          <w:spacing w:val="8"/>
          <w:kern w:val="0"/>
          <w:sz w:val="21"/>
          <w:szCs w:val="21"/>
          <w:lang w:val="en-US" w:eastAsia="zh-CN" w:bidi="ar-SA"/>
        </w:rPr>
        <w:t>11</w:t>
      </w:r>
      <w:r>
        <w:rPr>
          <w:rFonts w:hint="eastAsia" w:ascii="宋体" w:hAnsi="宋体" w:eastAsia="宋体" w:cs="宋体"/>
          <w:snapToGrid w:val="0"/>
          <w:color w:val="000000"/>
          <w:spacing w:val="8"/>
          <w:kern w:val="0"/>
          <w:sz w:val="21"/>
          <w:szCs w:val="21"/>
          <w:lang w:val="en-US" w:eastAsia="en-US" w:bidi="ar-SA"/>
        </w:rPr>
        <w:t>.1.1.2 如果甲方根据上述的规定，终止了全部或部分</w:t>
      </w:r>
      <w:r>
        <w:rPr>
          <w:rFonts w:hint="eastAsia" w:ascii="宋体" w:hAnsi="宋体" w:eastAsia="宋体" w:cs="宋体"/>
          <w:snapToGrid w:val="0"/>
          <w:color w:val="000000"/>
          <w:spacing w:val="7"/>
          <w:kern w:val="0"/>
          <w:sz w:val="21"/>
          <w:szCs w:val="21"/>
          <w:lang w:val="en-US" w:eastAsia="en-US" w:bidi="ar-SA"/>
        </w:rPr>
        <w:t>合同，</w:t>
      </w:r>
      <w:r>
        <w:rPr>
          <w:rFonts w:hint="eastAsia" w:ascii="宋体" w:hAnsi="宋体" w:eastAsia="宋体" w:cs="宋体"/>
          <w:snapToGrid w:val="0"/>
          <w:color w:val="000000"/>
          <w:spacing w:val="-50"/>
          <w:kern w:val="0"/>
          <w:sz w:val="21"/>
          <w:szCs w:val="21"/>
          <w:lang w:val="en-US" w:eastAsia="en-US" w:bidi="ar-SA"/>
        </w:rPr>
        <w:t xml:space="preserve"> </w:t>
      </w:r>
      <w:r>
        <w:rPr>
          <w:rFonts w:hint="eastAsia" w:ascii="宋体" w:hAnsi="宋体" w:eastAsia="宋体" w:cs="宋体"/>
          <w:snapToGrid w:val="0"/>
          <w:color w:val="000000"/>
          <w:spacing w:val="7"/>
          <w:kern w:val="0"/>
          <w:sz w:val="21"/>
          <w:szCs w:val="21"/>
          <w:lang w:val="en-US" w:eastAsia="en-US" w:bidi="ar-SA"/>
        </w:rPr>
        <w:t>甲方可以依其认为适当的条件和方</w:t>
      </w:r>
      <w:r>
        <w:rPr>
          <w:rFonts w:hint="eastAsia" w:ascii="宋体" w:hAnsi="宋体" w:eastAsia="宋体" w:cs="宋体"/>
          <w:snapToGrid w:val="0"/>
          <w:color w:val="000000"/>
          <w:spacing w:val="4"/>
          <w:kern w:val="0"/>
          <w:sz w:val="21"/>
          <w:szCs w:val="21"/>
          <w:lang w:val="en-US" w:eastAsia="en-US" w:bidi="ar-SA"/>
        </w:rPr>
        <w:t>法另行购买与为提供服务类似的服务，乙方应对甲方另行购买类似服务所超出的那部分费用负责。但是，</w:t>
      </w:r>
      <w:r>
        <w:rPr>
          <w:rFonts w:hint="eastAsia" w:ascii="宋体" w:hAnsi="宋体" w:eastAsia="宋体" w:cs="宋体"/>
          <w:snapToGrid w:val="0"/>
          <w:color w:val="000000"/>
          <w:spacing w:val="8"/>
          <w:kern w:val="0"/>
          <w:sz w:val="21"/>
          <w:szCs w:val="21"/>
          <w:lang w:val="en-US" w:eastAsia="en-US" w:bidi="ar-SA"/>
        </w:rPr>
        <w:t>乙方应继续执行合同中未终止的部分。</w:t>
      </w:r>
    </w:p>
    <w:p w14:paraId="7DFC4BFB">
      <w:pPr>
        <w:keepNext w:val="0"/>
        <w:keepLines w:val="0"/>
        <w:pageBreakBefore w:val="0"/>
        <w:widowControl/>
        <w:kinsoku w:val="0"/>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cs="宋体"/>
          <w:snapToGrid w:val="0"/>
          <w:color w:val="000000"/>
          <w:spacing w:val="8"/>
          <w:kern w:val="0"/>
          <w:sz w:val="21"/>
          <w:szCs w:val="21"/>
          <w:lang w:val="en-US" w:eastAsia="zh-CN" w:bidi="ar-SA"/>
        </w:rPr>
        <w:t>11</w:t>
      </w:r>
      <w:r>
        <w:rPr>
          <w:rFonts w:hint="eastAsia" w:ascii="宋体" w:hAnsi="宋体" w:eastAsia="宋体" w:cs="宋体"/>
          <w:snapToGrid w:val="0"/>
          <w:color w:val="000000"/>
          <w:spacing w:val="8"/>
          <w:kern w:val="0"/>
          <w:sz w:val="21"/>
          <w:szCs w:val="21"/>
          <w:lang w:val="en-US" w:eastAsia="en-US" w:bidi="ar-SA"/>
        </w:rPr>
        <w:t>.1.1.3 如果乙方在履行合同过程中有不正当竞争行为</w:t>
      </w:r>
      <w:r>
        <w:rPr>
          <w:rFonts w:hint="eastAsia" w:ascii="宋体" w:hAnsi="宋体" w:eastAsia="宋体" w:cs="宋体"/>
          <w:snapToGrid w:val="0"/>
          <w:color w:val="000000"/>
          <w:spacing w:val="7"/>
          <w:kern w:val="0"/>
          <w:sz w:val="21"/>
          <w:szCs w:val="21"/>
          <w:lang w:val="en-US" w:eastAsia="en-US" w:bidi="ar-SA"/>
        </w:rPr>
        <w:t>，</w:t>
      </w:r>
      <w:r>
        <w:rPr>
          <w:rFonts w:hint="eastAsia" w:ascii="宋体" w:hAnsi="宋体" w:eastAsia="宋体" w:cs="宋体"/>
          <w:snapToGrid w:val="0"/>
          <w:color w:val="000000"/>
          <w:spacing w:val="-50"/>
          <w:kern w:val="0"/>
          <w:sz w:val="21"/>
          <w:szCs w:val="21"/>
          <w:lang w:val="en-US" w:eastAsia="en-US" w:bidi="ar-SA"/>
        </w:rPr>
        <w:t xml:space="preserve"> </w:t>
      </w:r>
      <w:r>
        <w:rPr>
          <w:rFonts w:hint="eastAsia" w:ascii="宋体" w:hAnsi="宋体" w:eastAsia="宋体" w:cs="宋体"/>
          <w:snapToGrid w:val="0"/>
          <w:color w:val="000000"/>
          <w:spacing w:val="7"/>
          <w:kern w:val="0"/>
          <w:sz w:val="21"/>
          <w:szCs w:val="21"/>
          <w:lang w:val="en-US" w:eastAsia="en-US" w:bidi="ar-SA"/>
        </w:rPr>
        <w:t>甲方有权解除合同，并</w:t>
      </w:r>
      <w:r>
        <w:rPr>
          <w:rFonts w:hint="eastAsia" w:ascii="宋体" w:hAnsi="宋体" w:cs="宋体"/>
          <w:snapToGrid w:val="0"/>
          <w:color w:val="000000"/>
          <w:spacing w:val="7"/>
          <w:kern w:val="0"/>
          <w:sz w:val="21"/>
          <w:szCs w:val="21"/>
          <w:lang w:val="en-US" w:eastAsia="zh-CN" w:bidi="ar-SA"/>
        </w:rPr>
        <w:t>按照《中华人民共和国</w:t>
      </w:r>
      <w:r>
        <w:rPr>
          <w:rFonts w:hint="eastAsia" w:ascii="宋体" w:hAnsi="宋体" w:eastAsia="宋体" w:cs="宋体"/>
          <w:snapToGrid w:val="0"/>
          <w:color w:val="000000"/>
          <w:spacing w:val="9"/>
          <w:kern w:val="0"/>
          <w:sz w:val="21"/>
          <w:szCs w:val="21"/>
          <w:lang w:val="en-US" w:eastAsia="en-US" w:bidi="ar-SA"/>
        </w:rPr>
        <w:t>反不正当竞争法》之规定向有关部门举报</w:t>
      </w:r>
      <w:r>
        <w:rPr>
          <w:rFonts w:hint="eastAsia" w:ascii="宋体" w:hAnsi="宋体" w:cs="宋体"/>
          <w:snapToGrid w:val="0"/>
          <w:color w:val="000000"/>
          <w:spacing w:val="9"/>
          <w:kern w:val="0"/>
          <w:sz w:val="21"/>
          <w:szCs w:val="21"/>
          <w:lang w:val="en-US" w:eastAsia="zh-CN" w:bidi="ar-SA"/>
        </w:rPr>
        <w:t>，并</w:t>
      </w:r>
      <w:r>
        <w:rPr>
          <w:rFonts w:hint="eastAsia" w:ascii="宋体" w:hAnsi="宋体" w:eastAsia="宋体" w:cs="宋体"/>
          <w:snapToGrid w:val="0"/>
          <w:color w:val="000000"/>
          <w:spacing w:val="9"/>
          <w:kern w:val="0"/>
          <w:sz w:val="21"/>
          <w:szCs w:val="21"/>
          <w:lang w:val="en-US" w:eastAsia="en-US" w:bidi="ar-SA"/>
        </w:rPr>
        <w:t>追究其法律责任。</w:t>
      </w:r>
    </w:p>
    <w:p w14:paraId="46F68103">
      <w:pPr>
        <w:keepNext w:val="0"/>
        <w:keepLines w:val="0"/>
        <w:pageBreakBefore w:val="0"/>
        <w:widowControl/>
        <w:kinsoku w:val="0"/>
        <w:wordWrap/>
        <w:overflowPunct/>
        <w:topLinePunct/>
        <w:autoSpaceDE w:val="0"/>
        <w:autoSpaceDN w:val="0"/>
        <w:bidi w:val="0"/>
        <w:adjustRightInd/>
        <w:snapToGrid w:val="0"/>
        <w:spacing w:before="0" w:line="360" w:lineRule="auto"/>
        <w:ind w:left="0" w:right="0" w:firstLine="440"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cs="宋体"/>
          <w:snapToGrid w:val="0"/>
          <w:color w:val="000000"/>
          <w:spacing w:val="5"/>
          <w:kern w:val="0"/>
          <w:sz w:val="21"/>
          <w:szCs w:val="21"/>
          <w:lang w:val="en-US" w:eastAsia="zh-CN" w:bidi="ar-SA"/>
        </w:rPr>
        <w:t>11</w:t>
      </w:r>
      <w:r>
        <w:rPr>
          <w:rFonts w:hint="eastAsia" w:ascii="宋体" w:hAnsi="宋体" w:eastAsia="宋体" w:cs="宋体"/>
          <w:snapToGrid w:val="0"/>
          <w:color w:val="000000"/>
          <w:spacing w:val="5"/>
          <w:kern w:val="0"/>
          <w:sz w:val="21"/>
          <w:szCs w:val="21"/>
          <w:lang w:val="en-US" w:eastAsia="en-US" w:bidi="ar-SA"/>
        </w:rPr>
        <w:t>.1.2  破产终止合同</w:t>
      </w:r>
    </w:p>
    <w:p w14:paraId="113E1DA2">
      <w:pPr>
        <w:keepNext w:val="0"/>
        <w:keepLines w:val="0"/>
        <w:pageBreakBefore w:val="0"/>
        <w:widowControl/>
        <w:kinsoku w:val="0"/>
        <w:wordWrap/>
        <w:overflowPunct/>
        <w:topLinePunct/>
        <w:autoSpaceDE w:val="0"/>
        <w:autoSpaceDN w:val="0"/>
        <w:bidi w:val="0"/>
        <w:adjustRightInd/>
        <w:snapToGrid w:val="0"/>
        <w:spacing w:before="0" w:line="360" w:lineRule="auto"/>
        <w:ind w:left="0" w:leftChars="0" w:right="0" w:firstLine="436"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4"/>
          <w:kern w:val="0"/>
          <w:sz w:val="21"/>
          <w:szCs w:val="21"/>
          <w:lang w:val="en-US" w:eastAsia="en-US" w:bidi="ar-SA"/>
        </w:rPr>
        <w:t>如果乙方破产、进入解散或清算程序，或丧失清偿能力（包括但不限于被有关部门列入执行黑名单、</w:t>
      </w:r>
      <w:r>
        <w:rPr>
          <w:rFonts w:hint="eastAsia" w:ascii="宋体" w:hAnsi="宋体" w:eastAsia="宋体" w:cs="宋体"/>
          <w:snapToGrid w:val="0"/>
          <w:color w:val="000000"/>
          <w:spacing w:val="9"/>
          <w:kern w:val="0"/>
          <w:sz w:val="21"/>
          <w:szCs w:val="21"/>
          <w:lang w:val="en-US" w:eastAsia="en-US" w:bidi="ar-SA"/>
        </w:rPr>
        <w:t>失信被执行人名录等情形</w:t>
      </w:r>
      <w:r>
        <w:rPr>
          <w:rFonts w:hint="eastAsia" w:ascii="宋体" w:hAnsi="宋体" w:eastAsia="宋体" w:cs="宋体"/>
          <w:snapToGrid w:val="0"/>
          <w:color w:val="000000"/>
          <w:spacing w:val="-15"/>
          <w:kern w:val="0"/>
          <w:sz w:val="21"/>
          <w:szCs w:val="21"/>
          <w:lang w:val="en-US" w:eastAsia="en-US" w:bidi="ar-SA"/>
        </w:rPr>
        <w:t>），</w:t>
      </w:r>
      <w:r>
        <w:rPr>
          <w:rFonts w:hint="eastAsia" w:ascii="宋体" w:hAnsi="宋体" w:eastAsia="宋体" w:cs="宋体"/>
          <w:snapToGrid w:val="0"/>
          <w:color w:val="000000"/>
          <w:spacing w:val="9"/>
          <w:kern w:val="0"/>
          <w:sz w:val="21"/>
          <w:szCs w:val="21"/>
          <w:lang w:val="en-US" w:eastAsia="en-US" w:bidi="ar-SA"/>
        </w:rPr>
        <w:t>视为乙方已无法履行</w:t>
      </w:r>
      <w:r>
        <w:rPr>
          <w:rFonts w:hint="eastAsia" w:ascii="宋体" w:hAnsi="宋体" w:eastAsia="宋体" w:cs="宋体"/>
          <w:snapToGrid w:val="0"/>
          <w:color w:val="000000"/>
          <w:spacing w:val="8"/>
          <w:kern w:val="0"/>
          <w:sz w:val="21"/>
          <w:szCs w:val="21"/>
          <w:lang w:val="en-US" w:eastAsia="en-US" w:bidi="ar-SA"/>
        </w:rPr>
        <w:t>本合同项下义务甲方可在任何时候以书面形式通知</w:t>
      </w:r>
      <w:r>
        <w:rPr>
          <w:rFonts w:hint="eastAsia" w:ascii="宋体" w:hAnsi="宋体" w:eastAsia="宋体" w:cs="宋体"/>
          <w:snapToGrid w:val="0"/>
          <w:color w:val="000000"/>
          <w:spacing w:val="7"/>
          <w:kern w:val="0"/>
          <w:sz w:val="21"/>
          <w:szCs w:val="21"/>
          <w:lang w:val="en-US" w:eastAsia="en-US" w:bidi="ar-SA"/>
        </w:rPr>
        <w:t>乙方终止合同而不给乙方赔偿与补偿。该终止合同将不损害或影响甲方已经采取或将要采取的任何向乙</w:t>
      </w:r>
      <w:r>
        <w:rPr>
          <w:rFonts w:hint="eastAsia" w:ascii="宋体" w:hAnsi="宋体" w:eastAsia="宋体" w:cs="宋体"/>
          <w:snapToGrid w:val="0"/>
          <w:color w:val="000000"/>
          <w:spacing w:val="8"/>
          <w:kern w:val="0"/>
          <w:sz w:val="21"/>
          <w:szCs w:val="21"/>
          <w:lang w:val="en-US" w:eastAsia="en-US" w:bidi="ar-SA"/>
        </w:rPr>
        <w:t>方追究违约责任及追讨损失的行动或补救措施的权利。</w:t>
      </w:r>
    </w:p>
    <w:p w14:paraId="0ABFE1F3">
      <w:pPr>
        <w:keepNext w:val="0"/>
        <w:keepLines w:val="0"/>
        <w:pageBreakBefore w:val="0"/>
        <w:widowControl/>
        <w:kinsoku w:val="0"/>
        <w:wordWrap/>
        <w:overflowPunct/>
        <w:topLinePunct/>
        <w:autoSpaceDE w:val="0"/>
        <w:autoSpaceDN w:val="0"/>
        <w:bidi w:val="0"/>
        <w:adjustRightInd/>
        <w:snapToGrid w:val="0"/>
        <w:spacing w:before="0" w:line="360" w:lineRule="auto"/>
        <w:ind w:left="0" w:right="0" w:firstLine="440"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cs="宋体"/>
          <w:snapToGrid w:val="0"/>
          <w:color w:val="000000"/>
          <w:spacing w:val="5"/>
          <w:kern w:val="0"/>
          <w:sz w:val="21"/>
          <w:szCs w:val="21"/>
          <w:lang w:val="en-US" w:eastAsia="zh-CN" w:bidi="ar-SA"/>
        </w:rPr>
        <w:t>11</w:t>
      </w:r>
      <w:r>
        <w:rPr>
          <w:rFonts w:hint="eastAsia" w:ascii="宋体" w:hAnsi="宋体" w:eastAsia="宋体" w:cs="宋体"/>
          <w:snapToGrid w:val="0"/>
          <w:color w:val="000000"/>
          <w:spacing w:val="5"/>
          <w:kern w:val="0"/>
          <w:sz w:val="21"/>
          <w:szCs w:val="21"/>
          <w:lang w:val="en-US" w:eastAsia="en-US" w:bidi="ar-SA"/>
        </w:rPr>
        <w:t>.1.3 不可抗力终止合同</w:t>
      </w:r>
    </w:p>
    <w:p w14:paraId="5188330F">
      <w:pPr>
        <w:keepNext w:val="0"/>
        <w:keepLines w:val="0"/>
        <w:pageBreakBefore w:val="0"/>
        <w:widowControl/>
        <w:kinsoku w:val="0"/>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如因发生不可抗力事件导致合同无法履行的，或</w:t>
      </w:r>
      <w:r>
        <w:rPr>
          <w:rFonts w:hint="eastAsia" w:ascii="宋体" w:hAnsi="宋体" w:eastAsia="宋体" w:cs="宋体"/>
          <w:snapToGrid w:val="0"/>
          <w:color w:val="000000"/>
          <w:spacing w:val="7"/>
          <w:kern w:val="0"/>
          <w:sz w:val="21"/>
          <w:szCs w:val="21"/>
          <w:lang w:val="en-US" w:eastAsia="en-US" w:bidi="ar-SA"/>
        </w:rPr>
        <w:t>延迟履行会给一方或双方造成严重利益损害的，双方可</w:t>
      </w:r>
      <w:r>
        <w:rPr>
          <w:rFonts w:hint="eastAsia" w:ascii="宋体" w:hAnsi="宋体" w:eastAsia="宋体" w:cs="宋体"/>
          <w:snapToGrid w:val="0"/>
          <w:color w:val="000000"/>
          <w:spacing w:val="9"/>
          <w:kern w:val="0"/>
          <w:sz w:val="21"/>
          <w:szCs w:val="21"/>
          <w:lang w:val="en-US" w:eastAsia="en-US" w:bidi="ar-SA"/>
        </w:rPr>
        <w:t>协商终止本合同履行，双方互不承担违约及赔偿责任，但仍应就已履行部分进行费用结算。</w:t>
      </w:r>
    </w:p>
    <w:p w14:paraId="49603D32">
      <w:pPr>
        <w:keepNext w:val="0"/>
        <w:keepLines w:val="0"/>
        <w:pageBreakBefore w:val="0"/>
        <w:widowControl/>
        <w:kinsoku w:val="0"/>
        <w:wordWrap/>
        <w:overflowPunct/>
        <w:topLinePunct/>
        <w:autoSpaceDE w:val="0"/>
        <w:autoSpaceDN w:val="0"/>
        <w:bidi w:val="0"/>
        <w:adjustRightInd/>
        <w:snapToGrid w:val="0"/>
        <w:spacing w:before="0" w:line="360" w:lineRule="auto"/>
        <w:ind w:left="0" w:right="0" w:firstLine="42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cs="宋体"/>
          <w:snapToGrid w:val="0"/>
          <w:color w:val="000000"/>
          <w:spacing w:val="2"/>
          <w:kern w:val="0"/>
          <w:sz w:val="21"/>
          <w:szCs w:val="21"/>
          <w:lang w:val="en-US" w:eastAsia="zh-CN" w:bidi="ar-SA"/>
        </w:rPr>
        <w:t>11</w:t>
      </w:r>
      <w:r>
        <w:rPr>
          <w:rFonts w:hint="eastAsia" w:ascii="宋体" w:hAnsi="宋体" w:eastAsia="宋体" w:cs="宋体"/>
          <w:snapToGrid w:val="0"/>
          <w:color w:val="000000"/>
          <w:spacing w:val="2"/>
          <w:kern w:val="0"/>
          <w:sz w:val="21"/>
          <w:szCs w:val="21"/>
          <w:lang w:val="en-US" w:eastAsia="en-US" w:bidi="ar-SA"/>
        </w:rPr>
        <w:t>.2</w:t>
      </w:r>
      <w:r>
        <w:rPr>
          <w:rFonts w:hint="eastAsia" w:ascii="宋体" w:hAnsi="宋体" w:eastAsia="宋体" w:cs="宋体"/>
          <w:snapToGrid w:val="0"/>
          <w:color w:val="000000"/>
          <w:spacing w:val="-32"/>
          <w:kern w:val="0"/>
          <w:sz w:val="21"/>
          <w:szCs w:val="21"/>
          <w:lang w:val="en-US" w:eastAsia="en-US" w:bidi="ar-SA"/>
        </w:rPr>
        <w:t xml:space="preserve"> </w:t>
      </w:r>
      <w:r>
        <w:rPr>
          <w:rFonts w:hint="eastAsia" w:ascii="宋体" w:hAnsi="宋体" w:eastAsia="宋体" w:cs="宋体"/>
          <w:snapToGrid w:val="0"/>
          <w:color w:val="000000"/>
          <w:spacing w:val="2"/>
          <w:kern w:val="0"/>
          <w:sz w:val="21"/>
          <w:szCs w:val="21"/>
          <w:lang w:val="en-US" w:eastAsia="en-US" w:bidi="ar-SA"/>
        </w:rPr>
        <w:t>合同中止</w:t>
      </w:r>
    </w:p>
    <w:p w14:paraId="58FCDD49">
      <w:pPr>
        <w:keepNext w:val="0"/>
        <w:keepLines w:val="0"/>
        <w:pageBreakBefore w:val="0"/>
        <w:widowControl/>
        <w:kinsoku w:val="0"/>
        <w:wordWrap/>
        <w:overflowPunct/>
        <w:topLinePunct/>
        <w:autoSpaceDE w:val="0"/>
        <w:autoSpaceDN w:val="0"/>
        <w:bidi w:val="0"/>
        <w:adjustRightInd/>
        <w:snapToGrid w:val="0"/>
        <w:spacing w:before="0" w:line="360" w:lineRule="auto"/>
        <w:ind w:left="0" w:leftChars="0" w:right="0" w:firstLine="444"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cs="宋体"/>
          <w:snapToGrid w:val="0"/>
          <w:color w:val="000000"/>
          <w:spacing w:val="6"/>
          <w:kern w:val="0"/>
          <w:sz w:val="21"/>
          <w:szCs w:val="21"/>
          <w:lang w:val="en-US" w:eastAsia="zh-CN" w:bidi="ar-SA"/>
        </w:rPr>
        <w:t>11</w:t>
      </w:r>
      <w:r>
        <w:rPr>
          <w:rFonts w:hint="eastAsia" w:ascii="宋体" w:hAnsi="宋体" w:eastAsia="宋体" w:cs="宋体"/>
          <w:snapToGrid w:val="0"/>
          <w:color w:val="000000"/>
          <w:spacing w:val="6"/>
          <w:kern w:val="0"/>
          <w:sz w:val="21"/>
          <w:szCs w:val="21"/>
          <w:lang w:val="en-US" w:eastAsia="en-US" w:bidi="ar-SA"/>
        </w:rPr>
        <w:t>.2.1 除合同继续履行将损害国家利益和社会公共利益的情形外，双方当事人不得擅自</w:t>
      </w:r>
      <w:r>
        <w:rPr>
          <w:rFonts w:hint="eastAsia" w:ascii="宋体" w:hAnsi="宋体" w:cs="宋体"/>
          <w:snapToGrid w:val="0"/>
          <w:color w:val="000000"/>
          <w:spacing w:val="6"/>
          <w:kern w:val="0"/>
          <w:sz w:val="21"/>
          <w:szCs w:val="21"/>
          <w:lang w:val="en-US" w:eastAsia="zh-CN" w:bidi="ar-SA"/>
        </w:rPr>
        <w:t>终止合同</w:t>
      </w:r>
      <w:r>
        <w:rPr>
          <w:rFonts w:hint="eastAsia" w:ascii="宋体" w:hAnsi="宋体" w:eastAsia="宋体" w:cs="宋体"/>
          <w:snapToGrid w:val="0"/>
          <w:color w:val="000000"/>
          <w:spacing w:val="6"/>
          <w:kern w:val="0"/>
          <w:sz w:val="21"/>
          <w:szCs w:val="21"/>
          <w:lang w:val="en-US" w:eastAsia="en-US" w:bidi="ar-SA"/>
        </w:rPr>
        <w:t>。</w:t>
      </w:r>
    </w:p>
    <w:p w14:paraId="44C3585D">
      <w:pPr>
        <w:keepNext w:val="0"/>
        <w:keepLines w:val="0"/>
        <w:pageBreakBefore w:val="0"/>
        <w:widowControl/>
        <w:kinsoku w:val="0"/>
        <w:wordWrap/>
        <w:overflowPunct/>
        <w:topLinePunct/>
        <w:autoSpaceDE w:val="0"/>
        <w:autoSpaceDN w:val="0"/>
        <w:bidi w:val="0"/>
        <w:adjustRightInd/>
        <w:snapToGrid w:val="0"/>
        <w:spacing w:before="0" w:line="360" w:lineRule="auto"/>
        <w:ind w:left="0" w:leftChars="0" w:right="0" w:firstLine="460"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cs="宋体"/>
          <w:snapToGrid w:val="0"/>
          <w:color w:val="000000"/>
          <w:spacing w:val="10"/>
          <w:kern w:val="0"/>
          <w:sz w:val="21"/>
          <w:szCs w:val="21"/>
          <w:lang w:val="en-US" w:eastAsia="zh-CN" w:bidi="ar-SA"/>
        </w:rPr>
        <w:t>11</w:t>
      </w:r>
      <w:r>
        <w:rPr>
          <w:rFonts w:hint="eastAsia" w:ascii="宋体" w:hAnsi="宋体" w:eastAsia="宋体" w:cs="宋体"/>
          <w:snapToGrid w:val="0"/>
          <w:color w:val="000000"/>
          <w:spacing w:val="10"/>
          <w:kern w:val="0"/>
          <w:sz w:val="21"/>
          <w:szCs w:val="21"/>
          <w:lang w:val="en-US" w:eastAsia="en-US" w:bidi="ar-SA"/>
        </w:rPr>
        <w:t>.2.2</w:t>
      </w:r>
      <w:r>
        <w:rPr>
          <w:rFonts w:hint="eastAsia" w:ascii="宋体" w:hAnsi="宋体" w:eastAsia="宋体" w:cs="宋体"/>
          <w:snapToGrid w:val="0"/>
          <w:color w:val="000000"/>
          <w:spacing w:val="-33"/>
          <w:kern w:val="0"/>
          <w:sz w:val="21"/>
          <w:szCs w:val="21"/>
          <w:lang w:val="en-US" w:eastAsia="en-US" w:bidi="ar-SA"/>
        </w:rPr>
        <w:t xml:space="preserve"> </w:t>
      </w:r>
      <w:r>
        <w:rPr>
          <w:rFonts w:hint="eastAsia" w:ascii="宋体" w:hAnsi="宋体" w:eastAsia="宋体" w:cs="宋体"/>
          <w:snapToGrid w:val="0"/>
          <w:color w:val="000000"/>
          <w:spacing w:val="10"/>
          <w:kern w:val="0"/>
          <w:sz w:val="21"/>
          <w:szCs w:val="21"/>
          <w:lang w:val="en-US" w:eastAsia="en-US" w:bidi="ar-SA"/>
        </w:rPr>
        <w:t>若发生不可抗力事件，但合同仍有继续履行可能的，双方当事人可协</w:t>
      </w:r>
      <w:r>
        <w:rPr>
          <w:rFonts w:hint="eastAsia" w:ascii="宋体" w:hAnsi="宋体" w:eastAsia="宋体" w:cs="宋体"/>
          <w:snapToGrid w:val="0"/>
          <w:color w:val="000000"/>
          <w:spacing w:val="9"/>
          <w:kern w:val="0"/>
          <w:sz w:val="21"/>
          <w:szCs w:val="21"/>
          <w:lang w:val="en-US" w:eastAsia="en-US" w:bidi="ar-SA"/>
        </w:rPr>
        <w:t>商中止履行本合同全</w:t>
      </w:r>
      <w:r>
        <w:rPr>
          <w:rFonts w:hint="eastAsia" w:ascii="宋体" w:hAnsi="宋体" w:eastAsia="宋体" w:cs="宋体"/>
          <w:snapToGrid w:val="0"/>
          <w:color w:val="000000"/>
          <w:spacing w:val="6"/>
          <w:kern w:val="0"/>
          <w:sz w:val="21"/>
          <w:szCs w:val="21"/>
          <w:lang w:val="en-US" w:eastAsia="en-US" w:bidi="ar-SA"/>
        </w:rPr>
        <w:t>部或部分内容。</w:t>
      </w:r>
    </w:p>
    <w:p w14:paraId="6A166F7C">
      <w:pPr>
        <w:keepNext w:val="0"/>
        <w:keepLines w:val="0"/>
        <w:pageBreakBefore w:val="0"/>
        <w:widowControl/>
        <w:kinsoku w:val="0"/>
        <w:wordWrap/>
        <w:overflowPunct/>
        <w:topLinePunct/>
        <w:autoSpaceDE w:val="0"/>
        <w:autoSpaceDN w:val="0"/>
        <w:bidi w:val="0"/>
        <w:adjustRightInd/>
        <w:snapToGrid w:val="0"/>
        <w:spacing w:before="0" w:line="360" w:lineRule="auto"/>
        <w:ind w:left="0" w:right="0" w:firstLine="42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cs="宋体"/>
          <w:snapToGrid w:val="0"/>
          <w:color w:val="000000"/>
          <w:spacing w:val="2"/>
          <w:kern w:val="0"/>
          <w:sz w:val="21"/>
          <w:szCs w:val="21"/>
          <w:lang w:val="en-US" w:eastAsia="zh-CN" w:bidi="ar-SA"/>
        </w:rPr>
        <w:t>11</w:t>
      </w:r>
      <w:r>
        <w:rPr>
          <w:rFonts w:hint="eastAsia" w:ascii="宋体" w:hAnsi="宋体" w:eastAsia="宋体" w:cs="宋体"/>
          <w:snapToGrid w:val="0"/>
          <w:color w:val="000000"/>
          <w:spacing w:val="2"/>
          <w:kern w:val="0"/>
          <w:sz w:val="21"/>
          <w:szCs w:val="21"/>
          <w:lang w:val="en-US" w:eastAsia="en-US" w:bidi="ar-SA"/>
        </w:rPr>
        <w:t>.3</w:t>
      </w:r>
      <w:r>
        <w:rPr>
          <w:rFonts w:hint="eastAsia" w:ascii="宋体" w:hAnsi="宋体" w:eastAsia="宋体" w:cs="宋体"/>
          <w:snapToGrid w:val="0"/>
          <w:color w:val="000000"/>
          <w:spacing w:val="-32"/>
          <w:kern w:val="0"/>
          <w:sz w:val="21"/>
          <w:szCs w:val="21"/>
          <w:lang w:val="en-US" w:eastAsia="en-US" w:bidi="ar-SA"/>
        </w:rPr>
        <w:t xml:space="preserve"> </w:t>
      </w:r>
      <w:r>
        <w:rPr>
          <w:rFonts w:hint="eastAsia" w:ascii="宋体" w:hAnsi="宋体" w:eastAsia="宋体" w:cs="宋体"/>
          <w:snapToGrid w:val="0"/>
          <w:color w:val="000000"/>
          <w:spacing w:val="2"/>
          <w:kern w:val="0"/>
          <w:sz w:val="21"/>
          <w:szCs w:val="21"/>
          <w:lang w:val="en-US" w:eastAsia="en-US" w:bidi="ar-SA"/>
        </w:rPr>
        <w:t>合同变更</w:t>
      </w:r>
    </w:p>
    <w:p w14:paraId="571DF120">
      <w:pPr>
        <w:keepNext w:val="0"/>
        <w:keepLines w:val="0"/>
        <w:pageBreakBefore w:val="0"/>
        <w:widowControl/>
        <w:kinsoku w:val="0"/>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cs="宋体"/>
          <w:snapToGrid w:val="0"/>
          <w:color w:val="000000"/>
          <w:spacing w:val="8"/>
          <w:kern w:val="0"/>
          <w:sz w:val="21"/>
          <w:szCs w:val="21"/>
          <w:lang w:val="en-US" w:eastAsia="zh-CN" w:bidi="ar-SA"/>
        </w:rPr>
        <w:t>11</w:t>
      </w:r>
      <w:r>
        <w:rPr>
          <w:rFonts w:hint="eastAsia" w:ascii="宋体" w:hAnsi="宋体" w:eastAsia="宋体" w:cs="宋体"/>
          <w:snapToGrid w:val="0"/>
          <w:color w:val="000000"/>
          <w:spacing w:val="8"/>
          <w:kern w:val="0"/>
          <w:sz w:val="21"/>
          <w:szCs w:val="21"/>
          <w:lang w:val="en-US" w:eastAsia="en-US" w:bidi="ar-SA"/>
        </w:rPr>
        <w:t>.3.1</w:t>
      </w:r>
      <w:r>
        <w:rPr>
          <w:rFonts w:hint="eastAsia" w:ascii="宋体" w:hAnsi="宋体" w:eastAsia="宋体" w:cs="宋体"/>
          <w:snapToGrid w:val="0"/>
          <w:color w:val="000000"/>
          <w:spacing w:val="48"/>
          <w:kern w:val="0"/>
          <w:sz w:val="21"/>
          <w:szCs w:val="21"/>
          <w:lang w:val="en-US" w:eastAsia="en-US" w:bidi="ar-SA"/>
        </w:rPr>
        <w:t xml:space="preserve"> </w:t>
      </w:r>
      <w:r>
        <w:rPr>
          <w:rFonts w:hint="eastAsia" w:ascii="宋体" w:hAnsi="宋体" w:eastAsia="宋体" w:cs="宋体"/>
          <w:snapToGrid w:val="0"/>
          <w:color w:val="000000"/>
          <w:spacing w:val="8"/>
          <w:kern w:val="0"/>
          <w:sz w:val="21"/>
          <w:szCs w:val="21"/>
          <w:lang w:val="en-US" w:eastAsia="en-US" w:bidi="ar-SA"/>
        </w:rPr>
        <w:t>甲方需追加与合同标的相同服务的，在不改变合同其他条款的前提下，可以与乙方协商签</w:t>
      </w:r>
      <w:r>
        <w:rPr>
          <w:rFonts w:hint="eastAsia" w:ascii="宋体" w:hAnsi="宋体" w:eastAsia="宋体" w:cs="宋体"/>
          <w:snapToGrid w:val="0"/>
          <w:color w:val="000000"/>
          <w:spacing w:val="9"/>
          <w:kern w:val="0"/>
          <w:sz w:val="21"/>
          <w:szCs w:val="21"/>
          <w:lang w:val="en-US" w:eastAsia="en-US" w:bidi="ar-SA"/>
        </w:rPr>
        <w:t>订补充合同，但所有补充合同的采购金额不得超过本合同采购金额的百分之十。</w:t>
      </w:r>
    </w:p>
    <w:p w14:paraId="6023AA14">
      <w:pPr>
        <w:keepNext w:val="0"/>
        <w:keepLines w:val="0"/>
        <w:pageBreakBefore w:val="0"/>
        <w:widowControl/>
        <w:kinsoku w:val="0"/>
        <w:wordWrap/>
        <w:overflowPunct/>
        <w:topLinePunct/>
        <w:autoSpaceDE w:val="0"/>
        <w:autoSpaceDN w:val="0"/>
        <w:bidi w:val="0"/>
        <w:adjustRightInd/>
        <w:snapToGrid w:val="0"/>
        <w:spacing w:before="0" w:line="360" w:lineRule="auto"/>
        <w:ind w:left="0" w:leftChars="0" w:right="0" w:firstLine="460"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cs="宋体"/>
          <w:snapToGrid w:val="0"/>
          <w:color w:val="000000"/>
          <w:spacing w:val="10"/>
          <w:kern w:val="0"/>
          <w:sz w:val="21"/>
          <w:szCs w:val="21"/>
          <w:lang w:val="en-US" w:eastAsia="zh-CN" w:bidi="ar-SA"/>
        </w:rPr>
        <w:t>11</w:t>
      </w:r>
      <w:r>
        <w:rPr>
          <w:rFonts w:hint="eastAsia" w:ascii="宋体" w:hAnsi="宋体" w:eastAsia="宋体" w:cs="宋体"/>
          <w:snapToGrid w:val="0"/>
          <w:color w:val="000000"/>
          <w:spacing w:val="10"/>
          <w:kern w:val="0"/>
          <w:sz w:val="21"/>
          <w:szCs w:val="21"/>
          <w:lang w:val="en-US" w:eastAsia="en-US" w:bidi="ar-SA"/>
        </w:rPr>
        <w:t>.3.2</w:t>
      </w:r>
      <w:r>
        <w:rPr>
          <w:rFonts w:hint="eastAsia" w:ascii="宋体" w:hAnsi="宋体" w:eastAsia="宋体" w:cs="宋体"/>
          <w:snapToGrid w:val="0"/>
          <w:color w:val="000000"/>
          <w:spacing w:val="-23"/>
          <w:kern w:val="0"/>
          <w:sz w:val="21"/>
          <w:szCs w:val="21"/>
          <w:lang w:val="en-US" w:eastAsia="en-US" w:bidi="ar-SA"/>
        </w:rPr>
        <w:t xml:space="preserve"> </w:t>
      </w:r>
      <w:r>
        <w:rPr>
          <w:rFonts w:hint="eastAsia" w:ascii="宋体" w:hAnsi="宋体" w:eastAsia="宋体" w:cs="宋体"/>
          <w:snapToGrid w:val="0"/>
          <w:color w:val="000000"/>
          <w:spacing w:val="10"/>
          <w:kern w:val="0"/>
          <w:sz w:val="21"/>
          <w:szCs w:val="21"/>
          <w:lang w:val="en-US" w:eastAsia="en-US" w:bidi="ar-SA"/>
        </w:rPr>
        <w:t>除合同规定情形外，双方不得擅自变更合同。</w:t>
      </w:r>
      <w:r>
        <w:rPr>
          <w:rFonts w:hint="eastAsia" w:ascii="宋体" w:hAnsi="宋体" w:eastAsia="宋体" w:cs="宋体"/>
          <w:snapToGrid w:val="0"/>
          <w:color w:val="000000"/>
          <w:spacing w:val="9"/>
          <w:kern w:val="0"/>
          <w:sz w:val="21"/>
          <w:szCs w:val="21"/>
          <w:lang w:val="en-US" w:eastAsia="en-US" w:bidi="ar-SA"/>
        </w:rPr>
        <w:t>合同继续履行将损害国家利益和社会公共利益的，双方应当变更。有过错的一方应当承担赔偿责任，双方都有过错的，各自承担相应的责任。</w:t>
      </w:r>
    </w:p>
    <w:p w14:paraId="1110DF04">
      <w:pPr>
        <w:keepNext w:val="0"/>
        <w:keepLines w:val="0"/>
        <w:pageBreakBefore w:val="0"/>
        <w:widowControl/>
        <w:kinsoku w:val="0"/>
        <w:wordWrap/>
        <w:overflowPunct/>
        <w:topLinePunct/>
        <w:autoSpaceDE w:val="0"/>
        <w:autoSpaceDN w:val="0"/>
        <w:bidi w:val="0"/>
        <w:adjustRightInd/>
        <w:snapToGrid w:val="0"/>
        <w:spacing w:before="0" w:line="360" w:lineRule="auto"/>
        <w:ind w:right="0"/>
        <w:jc w:val="both"/>
        <w:textAlignment w:val="baseline"/>
        <w:rPr>
          <w:rFonts w:hint="eastAsia" w:ascii="宋体" w:hAnsi="宋体" w:eastAsia="宋体" w:cs="宋体"/>
          <w:b/>
          <w:bCs/>
          <w:snapToGrid w:val="0"/>
          <w:color w:val="000000"/>
          <w:kern w:val="0"/>
          <w:sz w:val="21"/>
          <w:szCs w:val="21"/>
          <w:lang w:val="en-US" w:eastAsia="en-US" w:bidi="ar-SA"/>
        </w:rPr>
      </w:pPr>
      <w:r>
        <w:rPr>
          <w:rFonts w:hint="eastAsia" w:ascii="宋体" w:hAnsi="宋体" w:eastAsia="宋体" w:cs="宋体"/>
          <w:b/>
          <w:bCs/>
          <w:snapToGrid w:val="0"/>
          <w:color w:val="000000"/>
          <w:spacing w:val="7"/>
          <w:kern w:val="0"/>
          <w:sz w:val="21"/>
          <w:szCs w:val="21"/>
          <w:lang w:val="en-US" w:eastAsia="en-US" w:bidi="ar-SA"/>
        </w:rPr>
        <w:t>十</w:t>
      </w:r>
      <w:r>
        <w:rPr>
          <w:rFonts w:hint="eastAsia" w:ascii="宋体" w:hAnsi="宋体" w:cs="宋体"/>
          <w:b/>
          <w:bCs/>
          <w:snapToGrid w:val="0"/>
          <w:color w:val="000000"/>
          <w:spacing w:val="7"/>
          <w:kern w:val="0"/>
          <w:sz w:val="21"/>
          <w:szCs w:val="21"/>
          <w:lang w:val="en-US" w:eastAsia="zh-CN" w:bidi="ar-SA"/>
        </w:rPr>
        <w:t>二</w:t>
      </w:r>
      <w:r>
        <w:rPr>
          <w:rFonts w:hint="eastAsia" w:ascii="宋体" w:hAnsi="宋体" w:eastAsia="宋体" w:cs="宋体"/>
          <w:b/>
          <w:bCs/>
          <w:snapToGrid w:val="0"/>
          <w:color w:val="000000"/>
          <w:spacing w:val="7"/>
          <w:kern w:val="0"/>
          <w:sz w:val="21"/>
          <w:szCs w:val="21"/>
          <w:lang w:val="en-US" w:eastAsia="en-US" w:bidi="ar-SA"/>
        </w:rPr>
        <w:t>、合同转让和分包</w:t>
      </w:r>
    </w:p>
    <w:p w14:paraId="63627CA8">
      <w:pPr>
        <w:keepNext w:val="0"/>
        <w:keepLines w:val="0"/>
        <w:pageBreakBefore w:val="0"/>
        <w:widowControl/>
        <w:kinsoku/>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cs="宋体"/>
          <w:snapToGrid w:val="0"/>
          <w:color w:val="000000"/>
          <w:spacing w:val="8"/>
          <w:kern w:val="0"/>
          <w:sz w:val="21"/>
          <w:szCs w:val="21"/>
          <w:lang w:val="en-US" w:eastAsia="zh-CN" w:bidi="ar-SA"/>
        </w:rPr>
        <w:t>12</w:t>
      </w:r>
      <w:r>
        <w:rPr>
          <w:rFonts w:hint="eastAsia" w:ascii="宋体" w:hAnsi="宋体" w:eastAsia="宋体" w:cs="宋体"/>
          <w:snapToGrid w:val="0"/>
          <w:color w:val="000000"/>
          <w:spacing w:val="8"/>
          <w:kern w:val="0"/>
          <w:sz w:val="21"/>
          <w:szCs w:val="21"/>
          <w:lang w:val="en-US" w:eastAsia="en-US" w:bidi="ar-SA"/>
        </w:rPr>
        <w:t>.1</w:t>
      </w:r>
      <w:r>
        <w:rPr>
          <w:rFonts w:hint="eastAsia" w:ascii="宋体" w:hAnsi="宋体" w:eastAsia="宋体" w:cs="宋体"/>
          <w:snapToGrid w:val="0"/>
          <w:color w:val="000000"/>
          <w:spacing w:val="35"/>
          <w:kern w:val="0"/>
          <w:sz w:val="21"/>
          <w:szCs w:val="21"/>
          <w:lang w:val="en-US" w:eastAsia="en-US" w:bidi="ar-SA"/>
        </w:rPr>
        <w:t xml:space="preserve"> </w:t>
      </w:r>
      <w:r>
        <w:rPr>
          <w:rFonts w:hint="eastAsia" w:ascii="宋体" w:hAnsi="宋体" w:eastAsia="宋体" w:cs="宋体"/>
          <w:snapToGrid w:val="0"/>
          <w:color w:val="000000"/>
          <w:spacing w:val="8"/>
          <w:kern w:val="0"/>
          <w:sz w:val="21"/>
          <w:szCs w:val="21"/>
          <w:lang w:val="en-US" w:eastAsia="en-US" w:bidi="ar-SA"/>
        </w:rPr>
        <w:t>乙方应完全、适当履行本合同项下义务，乙方不得转让或部分转让其应履行的合同义务。</w:t>
      </w:r>
    </w:p>
    <w:p w14:paraId="38008063">
      <w:pPr>
        <w:keepNext w:val="0"/>
        <w:keepLines w:val="0"/>
        <w:pageBreakBefore w:val="0"/>
        <w:widowControl/>
        <w:kinsoku/>
        <w:wordWrap/>
        <w:overflowPunct/>
        <w:topLinePunct/>
        <w:autoSpaceDE w:val="0"/>
        <w:autoSpaceDN w:val="0"/>
        <w:bidi w:val="0"/>
        <w:adjustRightInd/>
        <w:snapToGrid w:val="0"/>
        <w:spacing w:before="0" w:line="360" w:lineRule="auto"/>
        <w:ind w:left="0" w:leftChars="0" w:right="0" w:firstLine="444"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cs="宋体"/>
          <w:snapToGrid w:val="0"/>
          <w:color w:val="000000"/>
          <w:spacing w:val="6"/>
          <w:kern w:val="0"/>
          <w:sz w:val="21"/>
          <w:szCs w:val="21"/>
          <w:lang w:val="en-US" w:eastAsia="zh-CN" w:bidi="ar-SA"/>
        </w:rPr>
        <w:t>12</w:t>
      </w:r>
      <w:r>
        <w:rPr>
          <w:rFonts w:hint="eastAsia" w:ascii="宋体" w:hAnsi="宋体" w:eastAsia="宋体" w:cs="宋体"/>
          <w:snapToGrid w:val="0"/>
          <w:color w:val="000000"/>
          <w:spacing w:val="6"/>
          <w:kern w:val="0"/>
          <w:sz w:val="21"/>
          <w:szCs w:val="21"/>
          <w:lang w:val="en-US" w:eastAsia="en-US" w:bidi="ar-SA"/>
        </w:rPr>
        <w:t>.2 若根据招标文件（采购文件）规定可以采用分包方式履行本合同项下非主</w:t>
      </w:r>
      <w:r>
        <w:rPr>
          <w:rFonts w:hint="eastAsia" w:ascii="宋体" w:hAnsi="宋体" w:eastAsia="宋体" w:cs="宋体"/>
          <w:snapToGrid w:val="0"/>
          <w:color w:val="000000"/>
          <w:spacing w:val="5"/>
          <w:kern w:val="0"/>
          <w:sz w:val="21"/>
          <w:szCs w:val="21"/>
          <w:lang w:val="en-US" w:eastAsia="en-US" w:bidi="ar-SA"/>
        </w:rPr>
        <w:t>要部分合同义务的，</w:t>
      </w:r>
      <w:r>
        <w:rPr>
          <w:rFonts w:hint="eastAsia" w:ascii="宋体" w:hAnsi="宋体" w:eastAsia="宋体" w:cs="宋体"/>
          <w:snapToGrid w:val="0"/>
          <w:color w:val="000000"/>
          <w:spacing w:val="4"/>
          <w:kern w:val="0"/>
          <w:sz w:val="21"/>
          <w:szCs w:val="21"/>
          <w:lang w:val="en-US" w:eastAsia="en-US" w:bidi="ar-SA"/>
        </w:rPr>
        <w:t>乙方在其投标文件（响应文件）中明确说明分包并载明分包承担主体的，可进行分包，除了前述情</w:t>
      </w:r>
      <w:r>
        <w:rPr>
          <w:rFonts w:hint="eastAsia" w:ascii="宋体" w:hAnsi="宋体" w:eastAsia="宋体" w:cs="宋体"/>
          <w:snapToGrid w:val="0"/>
          <w:color w:val="000000"/>
          <w:spacing w:val="3"/>
          <w:kern w:val="0"/>
          <w:sz w:val="21"/>
          <w:szCs w:val="21"/>
          <w:lang w:val="en-US" w:eastAsia="en-US" w:bidi="ar-SA"/>
        </w:rPr>
        <w:t>形外，</w:t>
      </w:r>
      <w:r>
        <w:rPr>
          <w:rFonts w:hint="eastAsia" w:ascii="宋体" w:hAnsi="宋体" w:eastAsia="宋体" w:cs="宋体"/>
          <w:snapToGrid w:val="0"/>
          <w:color w:val="000000"/>
          <w:spacing w:val="6"/>
          <w:kern w:val="0"/>
          <w:sz w:val="21"/>
          <w:szCs w:val="21"/>
          <w:lang w:val="en-US" w:eastAsia="en-US" w:bidi="ar-SA"/>
        </w:rPr>
        <w:t>乙方一律不得进行对外分包。</w:t>
      </w:r>
    </w:p>
    <w:p w14:paraId="2EA6AB00">
      <w:pPr>
        <w:keepNext w:val="0"/>
        <w:keepLines w:val="0"/>
        <w:pageBreakBefore w:val="0"/>
        <w:widowControl/>
        <w:kinsoku/>
        <w:wordWrap/>
        <w:overflowPunct/>
        <w:topLinePunct/>
        <w:autoSpaceDE w:val="0"/>
        <w:autoSpaceDN w:val="0"/>
        <w:bidi w:val="0"/>
        <w:adjustRightInd/>
        <w:snapToGrid w:val="0"/>
        <w:spacing w:before="0" w:line="360" w:lineRule="auto"/>
        <w:ind w:left="0" w:leftChars="0" w:right="0" w:firstLine="444"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cs="宋体"/>
          <w:snapToGrid w:val="0"/>
          <w:color w:val="000000"/>
          <w:spacing w:val="6"/>
          <w:kern w:val="0"/>
          <w:sz w:val="21"/>
          <w:szCs w:val="21"/>
          <w:lang w:val="en-US" w:eastAsia="zh-CN" w:bidi="ar-SA"/>
        </w:rPr>
        <w:t>12</w:t>
      </w:r>
      <w:r>
        <w:rPr>
          <w:rFonts w:hint="eastAsia" w:ascii="宋体" w:hAnsi="宋体" w:eastAsia="宋体" w:cs="宋体"/>
          <w:snapToGrid w:val="0"/>
          <w:color w:val="000000"/>
          <w:spacing w:val="6"/>
          <w:kern w:val="0"/>
          <w:sz w:val="21"/>
          <w:szCs w:val="21"/>
          <w:lang w:val="en-US" w:eastAsia="en-US" w:bidi="ar-SA"/>
        </w:rPr>
        <w:t>.3 可以分包的情形下，则：</w:t>
      </w:r>
    </w:p>
    <w:p w14:paraId="2400F038">
      <w:pPr>
        <w:keepNext w:val="0"/>
        <w:keepLines w:val="0"/>
        <w:pageBreakBefore w:val="0"/>
        <w:widowControl/>
        <w:kinsoku/>
        <w:wordWrap/>
        <w:overflowPunct/>
        <w:topLinePunct/>
        <w:autoSpaceDE w:val="0"/>
        <w:autoSpaceDN w:val="0"/>
        <w:bidi w:val="0"/>
        <w:adjustRightInd/>
        <w:snapToGrid w:val="0"/>
        <w:spacing w:before="0" w:line="360" w:lineRule="auto"/>
        <w:ind w:left="0" w:leftChars="0" w:right="0" w:firstLine="440"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cs="宋体"/>
          <w:snapToGrid w:val="0"/>
          <w:color w:val="000000"/>
          <w:spacing w:val="5"/>
          <w:kern w:val="0"/>
          <w:sz w:val="21"/>
          <w:szCs w:val="21"/>
          <w:lang w:val="en-US" w:eastAsia="zh-CN" w:bidi="ar-SA"/>
        </w:rPr>
        <w:t>12</w:t>
      </w:r>
      <w:r>
        <w:rPr>
          <w:rFonts w:hint="eastAsia" w:ascii="宋体" w:hAnsi="宋体" w:eastAsia="宋体" w:cs="宋体"/>
          <w:snapToGrid w:val="0"/>
          <w:color w:val="000000"/>
          <w:spacing w:val="5"/>
          <w:kern w:val="0"/>
          <w:sz w:val="21"/>
          <w:szCs w:val="21"/>
          <w:lang w:val="en-US" w:eastAsia="en-US" w:bidi="ar-SA"/>
        </w:rPr>
        <w:t>.3.1</w:t>
      </w:r>
      <w:r>
        <w:rPr>
          <w:rFonts w:hint="eastAsia" w:ascii="宋体" w:hAnsi="宋体" w:eastAsia="宋体" w:cs="宋体"/>
          <w:snapToGrid w:val="0"/>
          <w:color w:val="000000"/>
          <w:spacing w:val="5"/>
          <w:kern w:val="0"/>
          <w:sz w:val="21"/>
          <w:szCs w:val="21"/>
          <w:lang w:val="en-US" w:eastAsia="zh-CN" w:bidi="ar-SA"/>
        </w:rPr>
        <w:t xml:space="preserve"> </w:t>
      </w:r>
      <w:r>
        <w:rPr>
          <w:rFonts w:hint="eastAsia" w:ascii="宋体" w:hAnsi="宋体" w:eastAsia="宋体" w:cs="宋体"/>
          <w:snapToGrid w:val="0"/>
          <w:color w:val="000000"/>
          <w:spacing w:val="5"/>
          <w:kern w:val="0"/>
          <w:sz w:val="21"/>
          <w:szCs w:val="21"/>
          <w:lang w:val="en-US" w:eastAsia="en-US" w:bidi="ar-SA"/>
        </w:rPr>
        <w:t>乙方应书面通知甲方本合同项下所授予的所有分包合同。乙方与分包单位签订分包合同前，</w:t>
      </w:r>
      <w:r>
        <w:rPr>
          <w:rFonts w:hint="eastAsia" w:ascii="宋体" w:hAnsi="宋体" w:eastAsia="宋体" w:cs="宋体"/>
          <w:snapToGrid w:val="0"/>
          <w:color w:val="000000"/>
          <w:spacing w:val="8"/>
          <w:kern w:val="0"/>
          <w:sz w:val="21"/>
          <w:szCs w:val="21"/>
          <w:lang w:val="en-US" w:eastAsia="en-US" w:bidi="ar-SA"/>
        </w:rPr>
        <w:t>应将副本送甲方认可。分包合同签订后，应将副本留</w:t>
      </w:r>
      <w:r>
        <w:rPr>
          <w:rFonts w:hint="eastAsia" w:ascii="宋体" w:hAnsi="宋体" w:eastAsia="宋体" w:cs="宋体"/>
          <w:snapToGrid w:val="0"/>
          <w:color w:val="000000"/>
          <w:spacing w:val="7"/>
          <w:kern w:val="0"/>
          <w:sz w:val="21"/>
          <w:szCs w:val="21"/>
          <w:lang w:val="en-US" w:eastAsia="en-US" w:bidi="ar-SA"/>
        </w:rPr>
        <w:t>存甲方处备案若分包合同与本合同发生抵触，则</w:t>
      </w:r>
      <w:r>
        <w:rPr>
          <w:rFonts w:hint="eastAsia" w:ascii="宋体" w:hAnsi="宋体" w:eastAsia="宋体" w:cs="宋体"/>
          <w:snapToGrid w:val="0"/>
          <w:color w:val="000000"/>
          <w:spacing w:val="6"/>
          <w:kern w:val="0"/>
          <w:sz w:val="21"/>
          <w:szCs w:val="21"/>
          <w:lang w:val="en-US" w:eastAsia="en-US" w:bidi="ar-SA"/>
        </w:rPr>
        <w:t>以本合同为准。</w:t>
      </w:r>
    </w:p>
    <w:p w14:paraId="0EC5249D">
      <w:pPr>
        <w:keepNext w:val="0"/>
        <w:keepLines w:val="0"/>
        <w:pageBreakBefore w:val="0"/>
        <w:widowControl/>
        <w:kinsoku/>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cs="宋体"/>
          <w:snapToGrid w:val="0"/>
          <w:color w:val="000000"/>
          <w:spacing w:val="8"/>
          <w:kern w:val="0"/>
          <w:sz w:val="21"/>
          <w:szCs w:val="21"/>
          <w:lang w:val="en-US" w:eastAsia="zh-CN" w:bidi="ar-SA"/>
        </w:rPr>
        <w:t>12</w:t>
      </w:r>
      <w:r>
        <w:rPr>
          <w:rFonts w:hint="eastAsia" w:ascii="宋体" w:hAnsi="宋体" w:eastAsia="宋体" w:cs="宋体"/>
          <w:snapToGrid w:val="0"/>
          <w:color w:val="000000"/>
          <w:spacing w:val="8"/>
          <w:kern w:val="0"/>
          <w:sz w:val="21"/>
          <w:szCs w:val="21"/>
          <w:lang w:val="en-US" w:eastAsia="en-US" w:bidi="ar-SA"/>
        </w:rPr>
        <w:t>.3.2</w:t>
      </w:r>
      <w:r>
        <w:rPr>
          <w:rFonts w:hint="eastAsia" w:ascii="宋体" w:hAnsi="宋体" w:eastAsia="宋体" w:cs="宋体"/>
          <w:snapToGrid w:val="0"/>
          <w:color w:val="000000"/>
          <w:spacing w:val="8"/>
          <w:kern w:val="0"/>
          <w:sz w:val="21"/>
          <w:szCs w:val="21"/>
          <w:lang w:val="en-US" w:eastAsia="zh-CN" w:bidi="ar-SA"/>
        </w:rPr>
        <w:t xml:space="preserve"> </w:t>
      </w:r>
      <w:r>
        <w:rPr>
          <w:rFonts w:hint="eastAsia" w:ascii="宋体" w:hAnsi="宋体" w:eastAsia="宋体" w:cs="宋体"/>
          <w:snapToGrid w:val="0"/>
          <w:color w:val="000000"/>
          <w:spacing w:val="8"/>
          <w:kern w:val="0"/>
          <w:sz w:val="21"/>
          <w:szCs w:val="21"/>
          <w:lang w:val="en-US" w:eastAsia="en-US" w:bidi="ar-SA"/>
        </w:rPr>
        <w:t>乙方所选定的分包单位，必须具有相应的专业资质。乙方所签订的分包合同的服务标准不得低于本合同的服务标准，并对分包单位的服</w:t>
      </w:r>
      <w:r>
        <w:rPr>
          <w:rFonts w:hint="eastAsia" w:ascii="宋体" w:hAnsi="宋体" w:eastAsia="宋体" w:cs="宋体"/>
          <w:snapToGrid w:val="0"/>
          <w:color w:val="000000"/>
          <w:spacing w:val="7"/>
          <w:kern w:val="0"/>
          <w:sz w:val="21"/>
          <w:szCs w:val="21"/>
          <w:lang w:val="en-US" w:eastAsia="en-US" w:bidi="ar-SA"/>
        </w:rPr>
        <w:t>务行为向甲方承担连带责任。分包单位不得将分包项目再</w:t>
      </w:r>
      <w:r>
        <w:rPr>
          <w:rFonts w:hint="eastAsia" w:ascii="宋体" w:hAnsi="宋体" w:eastAsia="宋体" w:cs="宋体"/>
          <w:snapToGrid w:val="0"/>
          <w:color w:val="000000"/>
          <w:spacing w:val="3"/>
          <w:kern w:val="0"/>
          <w:sz w:val="21"/>
          <w:szCs w:val="21"/>
          <w:lang w:val="en-US" w:eastAsia="en-US" w:bidi="ar-SA"/>
        </w:rPr>
        <w:t>次转包。</w:t>
      </w:r>
    </w:p>
    <w:p w14:paraId="20CC8A69">
      <w:pPr>
        <w:keepNext w:val="0"/>
        <w:keepLines w:val="0"/>
        <w:pageBreakBefore w:val="0"/>
        <w:widowControl/>
        <w:kinsoku/>
        <w:wordWrap/>
        <w:overflowPunct/>
        <w:topLinePunct/>
        <w:autoSpaceDE w:val="0"/>
        <w:autoSpaceDN w:val="0"/>
        <w:bidi w:val="0"/>
        <w:adjustRightInd/>
        <w:snapToGrid w:val="0"/>
        <w:spacing w:before="0" w:line="360" w:lineRule="auto"/>
        <w:ind w:left="0" w:leftChars="0" w:right="0" w:firstLine="456"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cs="宋体"/>
          <w:snapToGrid w:val="0"/>
          <w:color w:val="000000"/>
          <w:spacing w:val="9"/>
          <w:kern w:val="0"/>
          <w:sz w:val="21"/>
          <w:szCs w:val="21"/>
          <w:lang w:val="en-US" w:eastAsia="zh-CN" w:bidi="ar-SA"/>
        </w:rPr>
        <w:t>12</w:t>
      </w:r>
      <w:r>
        <w:rPr>
          <w:rFonts w:hint="eastAsia" w:ascii="宋体" w:hAnsi="宋体" w:eastAsia="宋体" w:cs="宋体"/>
          <w:snapToGrid w:val="0"/>
          <w:color w:val="000000"/>
          <w:spacing w:val="9"/>
          <w:kern w:val="0"/>
          <w:sz w:val="21"/>
          <w:szCs w:val="21"/>
          <w:lang w:val="en-US" w:eastAsia="en-US" w:bidi="ar-SA"/>
        </w:rPr>
        <w:t>.3.3 分包合同不能解除乙方在本合同中应承担的任何义务和责任。乙方应对分包</w:t>
      </w:r>
      <w:r>
        <w:rPr>
          <w:rFonts w:hint="eastAsia" w:ascii="宋体" w:hAnsi="宋体" w:eastAsia="宋体" w:cs="宋体"/>
          <w:snapToGrid w:val="0"/>
          <w:color w:val="000000"/>
          <w:spacing w:val="8"/>
          <w:kern w:val="0"/>
          <w:sz w:val="21"/>
          <w:szCs w:val="21"/>
          <w:lang w:val="en-US" w:eastAsia="en-US" w:bidi="ar-SA"/>
        </w:rPr>
        <w:t>项目派驻相应</w:t>
      </w:r>
      <w:r>
        <w:rPr>
          <w:rFonts w:hint="eastAsia" w:ascii="宋体" w:hAnsi="宋体" w:eastAsia="宋体" w:cs="宋体"/>
          <w:snapToGrid w:val="0"/>
          <w:color w:val="000000"/>
          <w:spacing w:val="9"/>
          <w:kern w:val="0"/>
          <w:sz w:val="21"/>
          <w:szCs w:val="21"/>
          <w:lang w:val="en-US" w:eastAsia="en-US" w:bidi="ar-SA"/>
        </w:rPr>
        <w:t>监督管理人员，保证合同的履行。分包单位的任何违约或疏忽，均视为乙方的违约或疏忽。</w:t>
      </w:r>
    </w:p>
    <w:p w14:paraId="04C57345">
      <w:pPr>
        <w:keepNext w:val="0"/>
        <w:keepLines w:val="0"/>
        <w:pageBreakBefore w:val="0"/>
        <w:widowControl/>
        <w:kinsoku w:val="0"/>
        <w:wordWrap/>
        <w:overflowPunct/>
        <w:topLinePunct/>
        <w:autoSpaceDE w:val="0"/>
        <w:autoSpaceDN w:val="0"/>
        <w:bidi w:val="0"/>
        <w:adjustRightInd/>
        <w:snapToGrid w:val="0"/>
        <w:spacing w:before="0" w:line="360" w:lineRule="auto"/>
        <w:ind w:right="0"/>
        <w:jc w:val="both"/>
        <w:textAlignment w:val="baseline"/>
        <w:rPr>
          <w:rFonts w:hint="eastAsia" w:ascii="宋体" w:hAnsi="宋体" w:eastAsia="宋体" w:cs="宋体"/>
          <w:b/>
          <w:bCs/>
          <w:snapToGrid w:val="0"/>
          <w:color w:val="000000"/>
          <w:kern w:val="0"/>
          <w:sz w:val="21"/>
          <w:szCs w:val="21"/>
          <w:lang w:val="en-US" w:eastAsia="en-US" w:bidi="ar-SA"/>
        </w:rPr>
      </w:pPr>
      <w:r>
        <w:rPr>
          <w:rFonts w:hint="eastAsia" w:ascii="宋体" w:hAnsi="宋体" w:eastAsia="宋体" w:cs="宋体"/>
          <w:b/>
          <w:bCs/>
          <w:snapToGrid w:val="0"/>
          <w:color w:val="000000"/>
          <w:spacing w:val="8"/>
          <w:kern w:val="0"/>
          <w:sz w:val="21"/>
          <w:szCs w:val="21"/>
          <w:lang w:val="en-US" w:eastAsia="en-US" w:bidi="ar-SA"/>
        </w:rPr>
        <w:t>十</w:t>
      </w:r>
      <w:r>
        <w:rPr>
          <w:rFonts w:hint="eastAsia" w:ascii="宋体" w:hAnsi="宋体" w:cs="宋体"/>
          <w:b/>
          <w:bCs/>
          <w:snapToGrid w:val="0"/>
          <w:color w:val="000000"/>
          <w:spacing w:val="8"/>
          <w:kern w:val="0"/>
          <w:sz w:val="21"/>
          <w:szCs w:val="21"/>
          <w:lang w:val="en-US" w:eastAsia="zh-CN" w:bidi="ar-SA"/>
        </w:rPr>
        <w:t>三</w:t>
      </w:r>
      <w:r>
        <w:rPr>
          <w:rFonts w:hint="eastAsia" w:ascii="宋体" w:hAnsi="宋体" w:eastAsia="宋体" w:cs="宋体"/>
          <w:b/>
          <w:bCs/>
          <w:snapToGrid w:val="0"/>
          <w:color w:val="000000"/>
          <w:spacing w:val="8"/>
          <w:kern w:val="0"/>
          <w:sz w:val="21"/>
          <w:szCs w:val="21"/>
          <w:lang w:val="en-US" w:eastAsia="en-US" w:bidi="ar-SA"/>
        </w:rPr>
        <w:t>、争议解决及管辖、送达</w:t>
      </w:r>
    </w:p>
    <w:p w14:paraId="1AD1EB15">
      <w:pPr>
        <w:keepNext w:val="0"/>
        <w:keepLines w:val="0"/>
        <w:pageBreakBefore w:val="0"/>
        <w:widowControl/>
        <w:kinsoku w:val="0"/>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1</w:t>
      </w:r>
      <w:r>
        <w:rPr>
          <w:rFonts w:hint="eastAsia" w:ascii="宋体" w:hAnsi="宋体" w:cs="宋体"/>
          <w:snapToGrid w:val="0"/>
          <w:color w:val="000000"/>
          <w:spacing w:val="7"/>
          <w:kern w:val="0"/>
          <w:sz w:val="21"/>
          <w:szCs w:val="21"/>
          <w:lang w:val="en-US" w:eastAsia="zh-CN" w:bidi="ar-SA"/>
        </w:rPr>
        <w:t>3</w:t>
      </w:r>
      <w:r>
        <w:rPr>
          <w:rFonts w:hint="eastAsia" w:ascii="宋体" w:hAnsi="宋体" w:eastAsia="宋体" w:cs="宋体"/>
          <w:snapToGrid w:val="0"/>
          <w:color w:val="000000"/>
          <w:spacing w:val="7"/>
          <w:kern w:val="0"/>
          <w:sz w:val="21"/>
          <w:szCs w:val="21"/>
          <w:lang w:val="en-US" w:eastAsia="en-US" w:bidi="ar-SA"/>
        </w:rPr>
        <w:t>.1 双方发生争议的，可协商解决，或向有关部门申请调解；也可（请在选择项中打“</w:t>
      </w:r>
      <w:r>
        <w:rPr>
          <w:rFonts w:hint="eastAsia" w:ascii="宋体" w:hAnsi="宋体" w:eastAsia="宋体" w:cs="宋体"/>
          <w:snapToGrid w:val="0"/>
          <w:color w:val="000000"/>
          <w:spacing w:val="-26"/>
          <w:kern w:val="0"/>
          <w:sz w:val="21"/>
          <w:szCs w:val="21"/>
          <w:lang w:val="en-US" w:eastAsia="en-US" w:bidi="ar-SA"/>
        </w:rPr>
        <w:t xml:space="preserve"> </w:t>
      </w:r>
      <w:r>
        <w:rPr>
          <w:rFonts w:hint="eastAsia" w:ascii="宋体" w:hAnsi="宋体" w:eastAsia="宋体" w:cs="宋体"/>
          <w:snapToGrid w:val="0"/>
          <w:color w:val="000000"/>
          <w:spacing w:val="7"/>
          <w:kern w:val="0"/>
          <w:sz w:val="21"/>
          <w:szCs w:val="21"/>
          <w:lang w:val="en-US" w:eastAsia="en-US" w:bidi="ar-SA"/>
        </w:rPr>
        <w:t>√</w:t>
      </w:r>
      <w:r>
        <w:rPr>
          <w:rFonts w:hint="eastAsia" w:ascii="宋体" w:hAnsi="宋体" w:eastAsia="宋体" w:cs="宋体"/>
          <w:snapToGrid w:val="0"/>
          <w:color w:val="000000"/>
          <w:spacing w:val="-70"/>
          <w:kern w:val="0"/>
          <w:sz w:val="21"/>
          <w:szCs w:val="21"/>
          <w:lang w:val="en-US" w:eastAsia="en-US" w:bidi="ar-SA"/>
        </w:rPr>
        <w:t xml:space="preserve"> </w:t>
      </w:r>
      <w:r>
        <w:rPr>
          <w:rFonts w:hint="eastAsia" w:ascii="宋体" w:hAnsi="宋体" w:eastAsia="宋体" w:cs="宋体"/>
          <w:snapToGrid w:val="0"/>
          <w:color w:val="000000"/>
          <w:spacing w:val="7"/>
          <w:kern w:val="0"/>
          <w:sz w:val="21"/>
          <w:szCs w:val="21"/>
          <w:lang w:val="en-US" w:eastAsia="en-US" w:bidi="ar-SA"/>
        </w:rPr>
        <w:t>”)</w:t>
      </w:r>
    </w:p>
    <w:p w14:paraId="1CD75DDC">
      <w:pPr>
        <w:keepNext w:val="0"/>
        <w:keepLines w:val="0"/>
        <w:pageBreakBefore w:val="0"/>
        <w:widowControl/>
        <w:kinsoku w:val="0"/>
        <w:wordWrap/>
        <w:overflowPunct/>
        <w:topLinePunct/>
        <w:autoSpaceDE w:val="0"/>
        <w:autoSpaceDN w:val="0"/>
        <w:bidi w:val="0"/>
        <w:adjustRightInd/>
        <w:snapToGrid w:val="0"/>
        <w:spacing w:before="0" w:line="360" w:lineRule="auto"/>
        <w:ind w:left="0" w:leftChars="0" w:right="0" w:firstLine="444"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□提请本级仲裁委员会仲裁。</w:t>
      </w:r>
    </w:p>
    <w:p w14:paraId="0E5E11A7">
      <w:pPr>
        <w:keepNext w:val="0"/>
        <w:keepLines w:val="0"/>
        <w:pageBreakBefore w:val="0"/>
        <w:widowControl/>
        <w:kinsoku/>
        <w:wordWrap/>
        <w:overflowPunct/>
        <w:topLinePunct/>
        <w:autoSpaceDE w:val="0"/>
        <w:autoSpaceDN w:val="0"/>
        <w:bidi w:val="0"/>
        <w:adjustRightInd/>
        <w:snapToGrid w:val="0"/>
        <w:spacing w:before="0" w:line="360" w:lineRule="auto"/>
        <w:ind w:left="0" w:leftChars="0" w:right="0" w:firstLine="444"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zh-CN" w:bidi="ar-SA"/>
        </w:rPr>
        <w:t>☑</w:t>
      </w:r>
      <w:r>
        <w:rPr>
          <w:rFonts w:hint="eastAsia" w:ascii="宋体" w:hAnsi="宋体" w:eastAsia="宋体" w:cs="宋体"/>
          <w:snapToGrid w:val="0"/>
          <w:color w:val="000000"/>
          <w:spacing w:val="6"/>
          <w:kern w:val="0"/>
          <w:sz w:val="21"/>
          <w:szCs w:val="21"/>
          <w:lang w:val="en-US" w:eastAsia="en-US" w:bidi="ar-SA"/>
        </w:rPr>
        <w:t>向甲方所在地法院提起诉讼。</w:t>
      </w:r>
    </w:p>
    <w:p w14:paraId="6EB7C6E1">
      <w:pPr>
        <w:keepNext w:val="0"/>
        <w:keepLines w:val="0"/>
        <w:pageBreakBefore w:val="0"/>
        <w:widowControl/>
        <w:kinsoku/>
        <w:wordWrap/>
        <w:overflowPunct/>
        <w:topLinePunct/>
        <w:autoSpaceDE w:val="0"/>
        <w:autoSpaceDN w:val="0"/>
        <w:bidi w:val="0"/>
        <w:adjustRightInd/>
        <w:snapToGrid w:val="0"/>
        <w:spacing w:before="0" w:line="360" w:lineRule="auto"/>
        <w:ind w:left="0" w:leftChars="0" w:right="0" w:firstLine="456"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1</w:t>
      </w:r>
      <w:r>
        <w:rPr>
          <w:rFonts w:hint="eastAsia" w:ascii="宋体" w:hAnsi="宋体" w:cs="宋体"/>
          <w:snapToGrid w:val="0"/>
          <w:color w:val="000000"/>
          <w:spacing w:val="9"/>
          <w:kern w:val="0"/>
          <w:sz w:val="21"/>
          <w:szCs w:val="21"/>
          <w:lang w:val="en-US" w:eastAsia="zh-CN" w:bidi="ar-SA"/>
        </w:rPr>
        <w:t>3</w:t>
      </w:r>
      <w:r>
        <w:rPr>
          <w:rFonts w:hint="eastAsia" w:ascii="宋体" w:hAnsi="宋体" w:eastAsia="宋体" w:cs="宋体"/>
          <w:snapToGrid w:val="0"/>
          <w:color w:val="000000"/>
          <w:spacing w:val="9"/>
          <w:kern w:val="0"/>
          <w:sz w:val="21"/>
          <w:szCs w:val="21"/>
          <w:lang w:val="en-US" w:eastAsia="en-US" w:bidi="ar-SA"/>
        </w:rPr>
        <w:t>.2 在仲裁或诉讼期间，除正在进行仲裁或诉讼的部分外，本合同</w:t>
      </w:r>
      <w:r>
        <w:rPr>
          <w:rFonts w:hint="eastAsia" w:ascii="宋体" w:hAnsi="宋体" w:cs="宋体"/>
          <w:snapToGrid w:val="0"/>
          <w:color w:val="000000"/>
          <w:spacing w:val="9"/>
          <w:kern w:val="0"/>
          <w:sz w:val="21"/>
          <w:szCs w:val="21"/>
          <w:lang w:val="en-US" w:eastAsia="zh-CN" w:bidi="ar-SA"/>
        </w:rPr>
        <w:t>的其他部分</w:t>
      </w:r>
      <w:r>
        <w:rPr>
          <w:rFonts w:hint="eastAsia" w:ascii="宋体" w:hAnsi="宋体" w:eastAsia="宋体" w:cs="宋体"/>
          <w:snapToGrid w:val="0"/>
          <w:color w:val="000000"/>
          <w:spacing w:val="9"/>
          <w:kern w:val="0"/>
          <w:sz w:val="21"/>
          <w:szCs w:val="21"/>
          <w:lang w:val="en-US" w:eastAsia="en-US" w:bidi="ar-SA"/>
        </w:rPr>
        <w:t>应继续执行败诉一方应当承担包括但不限于诉讼费用、律师费用、公证费用</w:t>
      </w:r>
      <w:r>
        <w:rPr>
          <w:rFonts w:hint="eastAsia" w:ascii="宋体" w:hAnsi="宋体" w:eastAsia="宋体" w:cs="宋体"/>
          <w:snapToGrid w:val="0"/>
          <w:color w:val="000000"/>
          <w:spacing w:val="8"/>
          <w:kern w:val="0"/>
          <w:sz w:val="21"/>
          <w:szCs w:val="21"/>
          <w:lang w:val="en-US" w:eastAsia="en-US" w:bidi="ar-SA"/>
        </w:rPr>
        <w:t>等。</w:t>
      </w:r>
    </w:p>
    <w:p w14:paraId="3329BA93">
      <w:pPr>
        <w:keepNext w:val="0"/>
        <w:keepLines w:val="0"/>
        <w:pageBreakBefore w:val="0"/>
        <w:widowControl/>
        <w:kinsoku/>
        <w:wordWrap/>
        <w:overflowPunct/>
        <w:topLinePunct/>
        <w:autoSpaceDE w:val="0"/>
        <w:autoSpaceDN w:val="0"/>
        <w:bidi w:val="0"/>
        <w:adjustRightInd/>
        <w:snapToGrid w:val="0"/>
        <w:spacing w:before="0" w:line="360" w:lineRule="auto"/>
        <w:ind w:left="0" w:leftChars="0" w:right="0" w:firstLine="456" w:firstLineChars="200"/>
        <w:jc w:val="both"/>
        <w:textAlignment w:val="baseline"/>
        <w:rPr>
          <w:rFonts w:hint="eastAsia" w:ascii="宋体" w:hAnsi="宋体" w:eastAsia="宋体" w:cs="宋体"/>
          <w:snapToGrid w:val="0"/>
          <w:color w:val="000000"/>
          <w:spacing w:val="7"/>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1</w:t>
      </w:r>
      <w:r>
        <w:rPr>
          <w:rFonts w:hint="eastAsia" w:ascii="宋体" w:hAnsi="宋体" w:cs="宋体"/>
          <w:snapToGrid w:val="0"/>
          <w:color w:val="000000"/>
          <w:spacing w:val="9"/>
          <w:kern w:val="0"/>
          <w:sz w:val="21"/>
          <w:szCs w:val="21"/>
          <w:lang w:val="en-US" w:eastAsia="zh-CN" w:bidi="ar-SA"/>
        </w:rPr>
        <w:t>3</w:t>
      </w:r>
      <w:r>
        <w:rPr>
          <w:rFonts w:hint="eastAsia" w:ascii="宋体" w:hAnsi="宋体" w:eastAsia="宋体" w:cs="宋体"/>
          <w:snapToGrid w:val="0"/>
          <w:color w:val="000000"/>
          <w:spacing w:val="9"/>
          <w:kern w:val="0"/>
          <w:sz w:val="21"/>
          <w:szCs w:val="21"/>
          <w:lang w:val="en-US" w:eastAsia="en-US" w:bidi="ar-SA"/>
        </w:rPr>
        <w:t>.3</w:t>
      </w:r>
      <w:r>
        <w:rPr>
          <w:rFonts w:hint="eastAsia" w:ascii="宋体" w:hAnsi="宋体" w:eastAsia="宋体" w:cs="宋体"/>
          <w:snapToGrid w:val="0"/>
          <w:color w:val="000000"/>
          <w:spacing w:val="-33"/>
          <w:kern w:val="0"/>
          <w:sz w:val="21"/>
          <w:szCs w:val="21"/>
          <w:lang w:val="en-US" w:eastAsia="en-US" w:bidi="ar-SA"/>
        </w:rPr>
        <w:t xml:space="preserve"> </w:t>
      </w:r>
      <w:r>
        <w:rPr>
          <w:rFonts w:hint="eastAsia" w:ascii="宋体" w:hAnsi="宋体" w:eastAsia="宋体" w:cs="宋体"/>
          <w:snapToGrid w:val="0"/>
          <w:color w:val="000000"/>
          <w:spacing w:val="9"/>
          <w:kern w:val="0"/>
          <w:sz w:val="21"/>
          <w:szCs w:val="21"/>
          <w:lang w:val="en-US" w:eastAsia="en-US" w:bidi="ar-SA"/>
        </w:rPr>
        <w:t>本合同中双方的地址、传真等联系方式为各自文书、信息送达地址。</w:t>
      </w:r>
      <w:r>
        <w:rPr>
          <w:rFonts w:hint="eastAsia" w:ascii="宋体" w:hAnsi="宋体" w:eastAsia="宋体" w:cs="宋体"/>
          <w:snapToGrid w:val="0"/>
          <w:color w:val="000000"/>
          <w:spacing w:val="-57"/>
          <w:kern w:val="0"/>
          <w:sz w:val="21"/>
          <w:szCs w:val="21"/>
          <w:lang w:val="en-US" w:eastAsia="en-US" w:bidi="ar-SA"/>
        </w:rPr>
        <w:t xml:space="preserve"> </w:t>
      </w:r>
      <w:r>
        <w:rPr>
          <w:rFonts w:hint="eastAsia" w:ascii="宋体" w:hAnsi="宋体" w:eastAsia="宋体" w:cs="宋体"/>
          <w:snapToGrid w:val="0"/>
          <w:color w:val="000000"/>
          <w:spacing w:val="9"/>
          <w:kern w:val="0"/>
          <w:sz w:val="21"/>
          <w:szCs w:val="21"/>
          <w:lang w:val="en-US" w:eastAsia="en-US" w:bidi="ar-SA"/>
        </w:rPr>
        <w:t>以专人传送的，受送达</w:t>
      </w:r>
      <w:r>
        <w:rPr>
          <w:rFonts w:hint="eastAsia" w:ascii="宋体" w:hAnsi="宋体" w:eastAsia="宋体" w:cs="宋体"/>
          <w:snapToGrid w:val="0"/>
          <w:color w:val="000000"/>
          <w:spacing w:val="7"/>
          <w:kern w:val="0"/>
          <w:sz w:val="21"/>
          <w:szCs w:val="21"/>
          <w:lang w:val="en-US" w:eastAsia="en-US" w:bidi="ar-SA"/>
        </w:rPr>
        <w:t>人签收即构成送达；以邮件或快递形式送达的，对方签收、拒签、退回之日视为送达；如以传真形式送达，则以传真信息发送确认之日视为送达。前述地址同时也作为双方争议发生时的各自法律文书送达地址（包括原审、二审、再审、执行及仲裁等</w:t>
      </w:r>
      <w:r>
        <w:rPr>
          <w:rFonts w:hint="eastAsia" w:ascii="宋体" w:hAnsi="宋体" w:eastAsia="宋体" w:cs="宋体"/>
          <w:snapToGrid w:val="0"/>
          <w:color w:val="000000"/>
          <w:spacing w:val="16"/>
          <w:kern w:val="0"/>
          <w:sz w:val="21"/>
          <w:szCs w:val="21"/>
          <w:lang w:val="en-US" w:eastAsia="en-US" w:bidi="ar-SA"/>
        </w:rPr>
        <w:t>），</w:t>
      </w:r>
      <w:r>
        <w:rPr>
          <w:rFonts w:hint="eastAsia" w:ascii="宋体" w:hAnsi="宋体" w:eastAsia="宋体" w:cs="宋体"/>
          <w:snapToGrid w:val="0"/>
          <w:color w:val="000000"/>
          <w:spacing w:val="7"/>
          <w:kern w:val="0"/>
          <w:sz w:val="21"/>
          <w:szCs w:val="21"/>
          <w:lang w:val="en-US" w:eastAsia="en-US" w:bidi="ar-SA"/>
        </w:rPr>
        <w:t>变更须提前书面通知对方，原送达地址在收到变更通知之前仍为有效送达地址。</w:t>
      </w:r>
    </w:p>
    <w:p w14:paraId="32AFBFFC">
      <w:pPr>
        <w:keepNext w:val="0"/>
        <w:keepLines w:val="0"/>
        <w:pageBreakBefore w:val="0"/>
        <w:widowControl/>
        <w:kinsoku/>
        <w:wordWrap/>
        <w:overflowPunct/>
        <w:topLinePunct/>
        <w:autoSpaceDE w:val="0"/>
        <w:autoSpaceDN w:val="0"/>
        <w:bidi w:val="0"/>
        <w:adjustRightInd/>
        <w:snapToGrid w:val="0"/>
        <w:spacing w:before="0" w:line="360" w:lineRule="auto"/>
        <w:ind w:right="0"/>
        <w:jc w:val="both"/>
        <w:textAlignment w:val="baseline"/>
        <w:rPr>
          <w:rFonts w:hint="eastAsia" w:ascii="宋体" w:hAnsi="宋体" w:eastAsia="宋体" w:cs="宋体"/>
          <w:b/>
          <w:bCs/>
          <w:snapToGrid w:val="0"/>
          <w:color w:val="000000"/>
          <w:kern w:val="0"/>
          <w:sz w:val="21"/>
          <w:szCs w:val="21"/>
          <w:lang w:val="en-US" w:eastAsia="en-US" w:bidi="ar-SA"/>
        </w:rPr>
      </w:pPr>
      <w:r>
        <w:rPr>
          <w:rFonts w:hint="eastAsia" w:ascii="宋体" w:hAnsi="宋体" w:eastAsia="宋体" w:cs="宋体"/>
          <w:b/>
          <w:bCs/>
          <w:snapToGrid w:val="0"/>
          <w:color w:val="000000"/>
          <w:spacing w:val="5"/>
          <w:kern w:val="0"/>
          <w:sz w:val="21"/>
          <w:szCs w:val="21"/>
          <w:lang w:val="en-US" w:eastAsia="en-US" w:bidi="ar-SA"/>
        </w:rPr>
        <w:t>十</w:t>
      </w:r>
      <w:r>
        <w:rPr>
          <w:rFonts w:hint="eastAsia" w:ascii="宋体" w:hAnsi="宋体" w:cs="宋体"/>
          <w:b/>
          <w:bCs/>
          <w:snapToGrid w:val="0"/>
          <w:color w:val="000000"/>
          <w:spacing w:val="5"/>
          <w:kern w:val="0"/>
          <w:sz w:val="21"/>
          <w:szCs w:val="21"/>
          <w:lang w:val="en-US" w:eastAsia="zh-CN" w:bidi="ar-SA"/>
        </w:rPr>
        <w:t>四</w:t>
      </w:r>
      <w:r>
        <w:rPr>
          <w:rFonts w:hint="eastAsia" w:ascii="宋体" w:hAnsi="宋体" w:eastAsia="宋体" w:cs="宋体"/>
          <w:b/>
          <w:bCs/>
          <w:snapToGrid w:val="0"/>
          <w:color w:val="000000"/>
          <w:spacing w:val="5"/>
          <w:kern w:val="0"/>
          <w:sz w:val="21"/>
          <w:szCs w:val="21"/>
          <w:lang w:val="en-US" w:eastAsia="en-US" w:bidi="ar-SA"/>
        </w:rPr>
        <w:t>、其他</w:t>
      </w:r>
    </w:p>
    <w:p w14:paraId="05765C70">
      <w:pPr>
        <w:keepNext w:val="0"/>
        <w:keepLines w:val="0"/>
        <w:pageBreakBefore w:val="0"/>
        <w:widowControl/>
        <w:kinsoku/>
        <w:wordWrap/>
        <w:overflowPunct/>
        <w:topLinePunct/>
        <w:autoSpaceDE w:val="0"/>
        <w:autoSpaceDN w:val="0"/>
        <w:bidi w:val="0"/>
        <w:adjustRightInd/>
        <w:snapToGrid w:val="0"/>
        <w:spacing w:before="0" w:line="360" w:lineRule="auto"/>
        <w:ind w:left="0" w:leftChars="0" w:right="0" w:firstLine="460"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0"/>
          <w:kern w:val="0"/>
          <w:sz w:val="21"/>
          <w:szCs w:val="21"/>
          <w:lang w:val="en-US" w:eastAsia="en-US" w:bidi="ar-SA"/>
        </w:rPr>
        <w:t>1</w:t>
      </w:r>
      <w:r>
        <w:rPr>
          <w:rFonts w:hint="eastAsia" w:ascii="宋体" w:hAnsi="宋体" w:cs="宋体"/>
          <w:snapToGrid w:val="0"/>
          <w:color w:val="000000"/>
          <w:spacing w:val="10"/>
          <w:kern w:val="0"/>
          <w:sz w:val="21"/>
          <w:szCs w:val="21"/>
          <w:lang w:val="en-US" w:eastAsia="zh-CN" w:bidi="ar-SA"/>
        </w:rPr>
        <w:t>4</w:t>
      </w:r>
      <w:r>
        <w:rPr>
          <w:rFonts w:hint="eastAsia" w:ascii="宋体" w:hAnsi="宋体" w:eastAsia="宋体" w:cs="宋体"/>
          <w:snapToGrid w:val="0"/>
          <w:color w:val="000000"/>
          <w:spacing w:val="10"/>
          <w:kern w:val="0"/>
          <w:sz w:val="21"/>
          <w:szCs w:val="21"/>
          <w:lang w:val="en-US" w:eastAsia="en-US" w:bidi="ar-SA"/>
        </w:rPr>
        <w:t>.1</w:t>
      </w:r>
      <w:r>
        <w:rPr>
          <w:rFonts w:hint="eastAsia" w:ascii="宋体" w:hAnsi="宋体" w:eastAsia="宋体" w:cs="宋体"/>
          <w:snapToGrid w:val="0"/>
          <w:color w:val="000000"/>
          <w:spacing w:val="-34"/>
          <w:kern w:val="0"/>
          <w:sz w:val="21"/>
          <w:szCs w:val="21"/>
          <w:lang w:val="en-US" w:eastAsia="en-US" w:bidi="ar-SA"/>
        </w:rPr>
        <w:t xml:space="preserve"> </w:t>
      </w:r>
      <w:r>
        <w:rPr>
          <w:rFonts w:hint="eastAsia" w:ascii="宋体" w:hAnsi="宋体" w:eastAsia="宋体" w:cs="宋体"/>
          <w:snapToGrid w:val="0"/>
          <w:color w:val="000000"/>
          <w:spacing w:val="10"/>
          <w:kern w:val="0"/>
          <w:sz w:val="21"/>
          <w:szCs w:val="21"/>
          <w:lang w:val="en-US" w:eastAsia="en-US" w:bidi="ar-SA"/>
        </w:rPr>
        <w:t>本合同于双方签订采购合同或纸质合同经双方签字、盖章，并且甲方收到乙方提供的履约保</w:t>
      </w:r>
      <w:r>
        <w:rPr>
          <w:rFonts w:hint="eastAsia" w:ascii="宋体" w:hAnsi="宋体" w:eastAsia="宋体" w:cs="宋体"/>
          <w:snapToGrid w:val="0"/>
          <w:color w:val="000000"/>
          <w:spacing w:val="7"/>
          <w:kern w:val="0"/>
          <w:sz w:val="21"/>
          <w:szCs w:val="21"/>
          <w:lang w:val="en-US" w:eastAsia="en-US" w:bidi="ar-SA"/>
        </w:rPr>
        <w:t>证金（如有）后生效。</w:t>
      </w:r>
    </w:p>
    <w:p w14:paraId="6ACCBEB5">
      <w:pPr>
        <w:keepNext w:val="0"/>
        <w:keepLines w:val="0"/>
        <w:pageBreakBefore w:val="0"/>
        <w:widowControl/>
        <w:kinsoku/>
        <w:wordWrap/>
        <w:overflowPunct/>
        <w:topLinePunct/>
        <w:autoSpaceDE w:val="0"/>
        <w:autoSpaceDN w:val="0"/>
        <w:bidi w:val="0"/>
        <w:adjustRightInd/>
        <w:snapToGrid w:val="0"/>
        <w:spacing w:before="0" w:line="360" w:lineRule="auto"/>
        <w:ind w:left="0" w:leftChars="0" w:right="0" w:firstLine="452"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1</w:t>
      </w:r>
      <w:r>
        <w:rPr>
          <w:rFonts w:hint="eastAsia" w:ascii="宋体" w:hAnsi="宋体" w:cs="宋体"/>
          <w:snapToGrid w:val="0"/>
          <w:color w:val="000000"/>
          <w:spacing w:val="8"/>
          <w:kern w:val="0"/>
          <w:sz w:val="21"/>
          <w:szCs w:val="21"/>
          <w:lang w:val="en-US" w:eastAsia="zh-CN" w:bidi="ar-SA"/>
        </w:rPr>
        <w:t>4</w:t>
      </w:r>
      <w:r>
        <w:rPr>
          <w:rFonts w:hint="eastAsia" w:ascii="宋体" w:hAnsi="宋体" w:eastAsia="宋体" w:cs="宋体"/>
          <w:snapToGrid w:val="0"/>
          <w:color w:val="000000"/>
          <w:spacing w:val="8"/>
          <w:kern w:val="0"/>
          <w:sz w:val="21"/>
          <w:szCs w:val="21"/>
          <w:lang w:val="en-US" w:eastAsia="en-US" w:bidi="ar-SA"/>
        </w:rPr>
        <w:t>.2 本合同壹式贰份，</w:t>
      </w:r>
      <w:r>
        <w:rPr>
          <w:rFonts w:hint="eastAsia" w:ascii="宋体" w:hAnsi="宋体" w:eastAsia="宋体" w:cs="宋体"/>
          <w:snapToGrid w:val="0"/>
          <w:color w:val="000000"/>
          <w:spacing w:val="-50"/>
          <w:kern w:val="0"/>
          <w:sz w:val="21"/>
          <w:szCs w:val="21"/>
          <w:lang w:val="en-US" w:eastAsia="en-US" w:bidi="ar-SA"/>
        </w:rPr>
        <w:t xml:space="preserve"> </w:t>
      </w:r>
      <w:r>
        <w:rPr>
          <w:rFonts w:hint="eastAsia" w:ascii="宋体" w:hAnsi="宋体" w:eastAsia="宋体" w:cs="宋体"/>
          <w:snapToGrid w:val="0"/>
          <w:color w:val="000000"/>
          <w:spacing w:val="8"/>
          <w:kern w:val="0"/>
          <w:sz w:val="21"/>
          <w:szCs w:val="21"/>
          <w:lang w:val="en-US" w:eastAsia="en-US" w:bidi="ar-SA"/>
        </w:rPr>
        <w:t>甲乙双方各执壹份</w:t>
      </w:r>
      <w:r>
        <w:rPr>
          <w:rFonts w:hint="eastAsia" w:ascii="宋体" w:hAnsi="宋体" w:eastAsia="宋体" w:cs="宋体"/>
          <w:snapToGrid w:val="0"/>
          <w:color w:val="000000"/>
          <w:spacing w:val="7"/>
          <w:kern w:val="0"/>
          <w:sz w:val="21"/>
          <w:szCs w:val="21"/>
          <w:lang w:val="en-US" w:eastAsia="en-US" w:bidi="ar-SA"/>
        </w:rPr>
        <w:t>，并通过</w:t>
      </w:r>
      <w:r>
        <w:rPr>
          <w:rFonts w:hint="eastAsia" w:ascii="宋体" w:hAnsi="宋体" w:cs="宋体"/>
          <w:snapToGrid w:val="0"/>
          <w:color w:val="000000"/>
          <w:spacing w:val="7"/>
          <w:kern w:val="0"/>
          <w:sz w:val="21"/>
          <w:szCs w:val="21"/>
          <w:lang w:val="en-US" w:eastAsia="zh-CN" w:bidi="ar-SA"/>
        </w:rPr>
        <w:t>市财政局</w:t>
      </w:r>
      <w:r>
        <w:rPr>
          <w:rFonts w:hint="eastAsia" w:ascii="宋体" w:hAnsi="宋体" w:eastAsia="宋体" w:cs="宋体"/>
          <w:snapToGrid w:val="0"/>
          <w:color w:val="000000"/>
          <w:spacing w:val="7"/>
          <w:kern w:val="0"/>
          <w:sz w:val="21"/>
          <w:szCs w:val="21"/>
          <w:lang w:val="en-US" w:eastAsia="en-US" w:bidi="ar-SA"/>
        </w:rPr>
        <w:t>政府采购监督管理部门备案。</w:t>
      </w:r>
    </w:p>
    <w:p w14:paraId="219DAAAD">
      <w:pPr>
        <w:keepNext w:val="0"/>
        <w:keepLines w:val="0"/>
        <w:pageBreakBefore w:val="0"/>
        <w:widowControl/>
        <w:kinsoku/>
        <w:wordWrap/>
        <w:overflowPunct/>
        <w:topLinePunct/>
        <w:autoSpaceDE w:val="0"/>
        <w:autoSpaceDN w:val="0"/>
        <w:bidi w:val="0"/>
        <w:adjustRightInd/>
        <w:snapToGrid w:val="0"/>
        <w:spacing w:before="0" w:line="360" w:lineRule="auto"/>
        <w:ind w:left="0" w:leftChars="0" w:right="0" w:firstLine="448" w:firstLineChars="20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7"/>
          <w:kern w:val="0"/>
          <w:sz w:val="21"/>
          <w:szCs w:val="21"/>
          <w:lang w:val="en-US" w:eastAsia="en-US" w:bidi="ar-SA"/>
        </w:rPr>
        <w:t>1</w:t>
      </w:r>
      <w:r>
        <w:rPr>
          <w:rFonts w:hint="eastAsia" w:ascii="宋体" w:hAnsi="宋体" w:cs="宋体"/>
          <w:snapToGrid w:val="0"/>
          <w:color w:val="000000"/>
          <w:spacing w:val="7"/>
          <w:kern w:val="0"/>
          <w:sz w:val="21"/>
          <w:szCs w:val="21"/>
          <w:lang w:val="en-US" w:eastAsia="zh-CN" w:bidi="ar-SA"/>
        </w:rPr>
        <w:t>4</w:t>
      </w:r>
      <w:r>
        <w:rPr>
          <w:rFonts w:hint="eastAsia" w:ascii="宋体" w:hAnsi="宋体" w:eastAsia="宋体" w:cs="宋体"/>
          <w:snapToGrid w:val="0"/>
          <w:color w:val="000000"/>
          <w:spacing w:val="7"/>
          <w:kern w:val="0"/>
          <w:sz w:val="21"/>
          <w:szCs w:val="21"/>
          <w:lang w:val="en-US" w:eastAsia="en-US" w:bidi="ar-SA"/>
        </w:rPr>
        <w:t>.3 本合同附件与合同具有同等效力。</w:t>
      </w:r>
    </w:p>
    <w:p w14:paraId="0A962AD5">
      <w:pPr>
        <w:keepNext w:val="0"/>
        <w:keepLines w:val="0"/>
        <w:pageBreakBefore w:val="0"/>
        <w:widowControl/>
        <w:kinsoku w:val="0"/>
        <w:wordWrap/>
        <w:overflowPunct/>
        <w:topLinePunct/>
        <w:autoSpaceDE w:val="0"/>
        <w:autoSpaceDN w:val="0"/>
        <w:bidi w:val="0"/>
        <w:adjustRightInd/>
        <w:snapToGrid w:val="0"/>
        <w:spacing w:line="480" w:lineRule="auto"/>
        <w:ind w:left="0" w:right="0" w:firstLine="420" w:firstLineChars="200"/>
        <w:jc w:val="both"/>
        <w:textAlignment w:val="baseline"/>
        <w:rPr>
          <w:rFonts w:hint="eastAsia" w:ascii="宋体" w:hAnsi="宋体" w:eastAsia="宋体" w:cs="宋体"/>
          <w:snapToGrid w:val="0"/>
          <w:color w:val="000000"/>
          <w:kern w:val="0"/>
          <w:sz w:val="21"/>
          <w:szCs w:val="21"/>
          <w:lang w:eastAsia="en-US"/>
        </w:rPr>
      </w:pPr>
    </w:p>
    <w:p w14:paraId="03E7876C">
      <w:pPr>
        <w:keepNext w:val="0"/>
        <w:keepLines w:val="0"/>
        <w:pageBreakBefore w:val="0"/>
        <w:widowControl/>
        <w:kinsoku w:val="0"/>
        <w:wordWrap/>
        <w:overflowPunct/>
        <w:topLinePunct w:val="0"/>
        <w:autoSpaceDE w:val="0"/>
        <w:autoSpaceDN w:val="0"/>
        <w:bidi w:val="0"/>
        <w:adjustRightInd/>
        <w:snapToGrid w:val="0"/>
        <w:spacing w:before="0" w:line="480" w:lineRule="auto"/>
        <w:ind w:right="0"/>
        <w:jc w:val="left"/>
        <w:textAlignment w:val="baseline"/>
        <w:rPr>
          <w:rFonts w:hint="eastAsia" w:ascii="宋体" w:hAnsi="宋体" w:eastAsia="宋体" w:cs="宋体"/>
          <w:snapToGrid w:val="0"/>
          <w:color w:val="000000"/>
          <w:spacing w:val="8"/>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甲方</w:t>
      </w:r>
      <w:r>
        <w:rPr>
          <w:rFonts w:hint="eastAsia" w:ascii="宋体" w:hAnsi="宋体" w:eastAsia="宋体" w:cs="宋体"/>
          <w:snapToGrid w:val="0"/>
          <w:color w:val="000000"/>
          <w:spacing w:val="-14"/>
          <w:kern w:val="0"/>
          <w:sz w:val="21"/>
          <w:szCs w:val="21"/>
          <w:lang w:val="en-US" w:eastAsia="en-US" w:bidi="ar-SA"/>
        </w:rPr>
        <w:t>（</w:t>
      </w:r>
      <w:r>
        <w:rPr>
          <w:rFonts w:hint="eastAsia" w:ascii="宋体" w:hAnsi="宋体" w:eastAsia="宋体" w:cs="宋体"/>
          <w:snapToGrid w:val="0"/>
          <w:color w:val="000000"/>
          <w:spacing w:val="10"/>
          <w:kern w:val="0"/>
          <w:sz w:val="21"/>
          <w:szCs w:val="21"/>
          <w:lang w:val="en-US" w:eastAsia="en-US" w:bidi="ar-SA"/>
        </w:rPr>
        <w:t>盖章）</w:t>
      </w:r>
      <w:r>
        <w:rPr>
          <w:rFonts w:hint="eastAsia" w:ascii="宋体" w:hAnsi="宋体" w:eastAsia="宋体" w:cs="宋体"/>
          <w:snapToGrid w:val="0"/>
          <w:color w:val="000000"/>
          <w:spacing w:val="-3"/>
          <w:kern w:val="0"/>
          <w:sz w:val="21"/>
          <w:szCs w:val="21"/>
          <w:lang w:val="en-US" w:eastAsia="en-US" w:bidi="ar-SA"/>
        </w:rPr>
        <w:t xml:space="preserve">：                                   </w:t>
      </w:r>
      <w:r>
        <w:rPr>
          <w:rFonts w:hint="eastAsia" w:ascii="宋体" w:hAnsi="宋体" w:eastAsia="宋体" w:cs="宋体"/>
          <w:snapToGrid w:val="0"/>
          <w:color w:val="000000"/>
          <w:spacing w:val="-3"/>
          <w:kern w:val="0"/>
          <w:sz w:val="21"/>
          <w:szCs w:val="21"/>
          <w:lang w:val="en-US" w:eastAsia="zh-CN" w:bidi="ar-SA"/>
        </w:rPr>
        <w:t xml:space="preserve"> </w:t>
      </w:r>
      <w:r>
        <w:rPr>
          <w:rFonts w:hint="eastAsia" w:ascii="宋体" w:hAnsi="宋体" w:eastAsia="宋体" w:cs="宋体"/>
          <w:snapToGrid w:val="0"/>
          <w:color w:val="000000"/>
          <w:spacing w:val="-3"/>
          <w:kern w:val="0"/>
          <w:sz w:val="21"/>
          <w:szCs w:val="21"/>
          <w:lang w:val="en-US" w:eastAsia="en-US" w:bidi="ar-SA"/>
        </w:rPr>
        <w:t>乙方：</w:t>
      </w:r>
      <w:r>
        <w:rPr>
          <w:rFonts w:hint="eastAsia" w:ascii="宋体" w:hAnsi="宋体" w:eastAsia="宋体" w:cs="宋体"/>
          <w:snapToGrid w:val="0"/>
          <w:color w:val="000000"/>
          <w:spacing w:val="10"/>
          <w:kern w:val="0"/>
          <w:sz w:val="21"/>
          <w:szCs w:val="21"/>
          <w:lang w:val="en-US" w:eastAsia="en-US" w:bidi="ar-SA"/>
        </w:rPr>
        <w:t>（盖章</w:t>
      </w:r>
      <w:r>
        <w:rPr>
          <w:rFonts w:hint="eastAsia" w:ascii="宋体" w:hAnsi="宋体" w:eastAsia="宋体" w:cs="宋体"/>
          <w:snapToGrid w:val="0"/>
          <w:color w:val="000000"/>
          <w:spacing w:val="-14"/>
          <w:kern w:val="0"/>
          <w:sz w:val="21"/>
          <w:szCs w:val="21"/>
          <w:lang w:val="en-US" w:eastAsia="en-US" w:bidi="ar-SA"/>
        </w:rPr>
        <w:t>）</w:t>
      </w:r>
      <w:r>
        <w:rPr>
          <w:rFonts w:hint="eastAsia" w:ascii="宋体" w:hAnsi="宋体" w:eastAsia="宋体" w:cs="宋体"/>
          <w:snapToGrid w:val="0"/>
          <w:color w:val="000000"/>
          <w:spacing w:val="-14"/>
          <w:kern w:val="0"/>
          <w:sz w:val="21"/>
          <w:szCs w:val="21"/>
          <w:lang w:val="en-US" w:eastAsia="zh-CN" w:bidi="ar-SA"/>
        </w:rPr>
        <w:t>：</w:t>
      </w:r>
      <w:r>
        <w:rPr>
          <w:rFonts w:hint="eastAsia" w:ascii="宋体" w:hAnsi="宋体" w:eastAsia="宋体" w:cs="宋体"/>
          <w:snapToGrid w:val="0"/>
          <w:color w:val="000000"/>
          <w:spacing w:val="2"/>
          <w:kern w:val="0"/>
          <w:sz w:val="21"/>
          <w:szCs w:val="21"/>
          <w:lang w:val="en-US" w:eastAsia="en-US" w:bidi="ar-SA"/>
        </w:rPr>
        <w:t xml:space="preserve">                                </w:t>
      </w:r>
      <w:r>
        <w:rPr>
          <w:rFonts w:hint="eastAsia" w:ascii="宋体" w:hAnsi="宋体" w:eastAsia="宋体" w:cs="宋体"/>
          <w:snapToGrid w:val="0"/>
          <w:color w:val="000000"/>
          <w:spacing w:val="8"/>
          <w:kern w:val="0"/>
          <w:sz w:val="21"/>
          <w:szCs w:val="21"/>
          <w:lang w:val="en-US" w:eastAsia="en-US" w:bidi="ar-SA"/>
        </w:rPr>
        <w:t>法定代表人或其授权委托人</w:t>
      </w:r>
      <w:r>
        <w:rPr>
          <w:rFonts w:hint="eastAsia" w:ascii="宋体" w:hAnsi="宋体" w:eastAsia="宋体" w:cs="宋体"/>
          <w:snapToGrid w:val="0"/>
          <w:color w:val="000000"/>
          <w:spacing w:val="8"/>
          <w:kern w:val="0"/>
          <w:sz w:val="21"/>
          <w:szCs w:val="21"/>
          <w:lang w:val="en-US" w:eastAsia="zh-CN" w:bidi="ar-SA"/>
        </w:rPr>
        <w:t xml:space="preserve">                   </w:t>
      </w:r>
      <w:r>
        <w:rPr>
          <w:rFonts w:hint="eastAsia" w:ascii="宋体" w:hAnsi="宋体" w:eastAsia="宋体" w:cs="宋体"/>
          <w:snapToGrid w:val="0"/>
          <w:color w:val="000000"/>
          <w:spacing w:val="8"/>
          <w:kern w:val="0"/>
          <w:sz w:val="21"/>
          <w:szCs w:val="21"/>
          <w:lang w:val="en-US" w:eastAsia="en-US" w:bidi="ar-SA"/>
        </w:rPr>
        <w:t>法定代表人或其授权委托人</w:t>
      </w:r>
    </w:p>
    <w:p w14:paraId="6B610CE3">
      <w:pPr>
        <w:keepNext w:val="0"/>
        <w:keepLines w:val="0"/>
        <w:pageBreakBefore w:val="0"/>
        <w:widowControl/>
        <w:kinsoku w:val="0"/>
        <w:wordWrap/>
        <w:overflowPunct/>
        <w:topLinePunct w:val="0"/>
        <w:autoSpaceDE w:val="0"/>
        <w:autoSpaceDN w:val="0"/>
        <w:bidi w:val="0"/>
        <w:adjustRightInd/>
        <w:snapToGrid w:val="0"/>
        <w:spacing w:before="0" w:line="480" w:lineRule="auto"/>
        <w:ind w:right="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（签</w:t>
      </w:r>
      <w:r>
        <w:rPr>
          <w:rFonts w:hint="eastAsia" w:ascii="宋体" w:hAnsi="宋体" w:eastAsia="宋体" w:cs="宋体"/>
          <w:snapToGrid w:val="0"/>
          <w:color w:val="000000"/>
          <w:spacing w:val="8"/>
          <w:kern w:val="0"/>
          <w:sz w:val="21"/>
          <w:szCs w:val="21"/>
          <w:lang w:val="en-US" w:eastAsia="zh-CN" w:bidi="ar-SA"/>
        </w:rPr>
        <w:t xml:space="preserve">章）：                                </w:t>
      </w:r>
      <w:r>
        <w:rPr>
          <w:rFonts w:hint="eastAsia" w:ascii="宋体" w:hAnsi="宋体" w:eastAsia="宋体" w:cs="宋体"/>
          <w:snapToGrid w:val="0"/>
          <w:color w:val="000000"/>
          <w:spacing w:val="8"/>
          <w:kern w:val="0"/>
          <w:sz w:val="21"/>
          <w:szCs w:val="21"/>
          <w:lang w:val="en-US" w:eastAsia="en-US" w:bidi="ar-SA"/>
        </w:rPr>
        <w:t>（签章）</w:t>
      </w:r>
      <w:r>
        <w:rPr>
          <w:rFonts w:hint="eastAsia" w:ascii="宋体" w:hAnsi="宋体" w:eastAsia="宋体" w:cs="宋体"/>
          <w:snapToGrid w:val="0"/>
          <w:color w:val="000000"/>
          <w:spacing w:val="8"/>
          <w:kern w:val="0"/>
          <w:sz w:val="21"/>
          <w:szCs w:val="21"/>
          <w:lang w:val="en-US" w:eastAsia="zh-CN" w:bidi="ar-SA"/>
        </w:rPr>
        <w:t>：</w:t>
      </w:r>
      <w:r>
        <w:rPr>
          <w:rFonts w:hint="eastAsia" w:ascii="宋体" w:hAnsi="宋体" w:eastAsia="宋体" w:cs="宋体"/>
          <w:snapToGrid w:val="0"/>
          <w:color w:val="000000"/>
          <w:spacing w:val="8"/>
          <w:kern w:val="0"/>
          <w:sz w:val="21"/>
          <w:szCs w:val="21"/>
          <w:lang w:val="en-US" w:eastAsia="en-US" w:bidi="ar-SA"/>
        </w:rPr>
        <w:t xml:space="preserve">        </w:t>
      </w:r>
    </w:p>
    <w:p w14:paraId="3C848132">
      <w:pPr>
        <w:keepNext w:val="0"/>
        <w:keepLines w:val="0"/>
        <w:pageBreakBefore w:val="0"/>
        <w:widowControl/>
        <w:kinsoku w:val="0"/>
        <w:wordWrap/>
        <w:overflowPunct/>
        <w:topLinePunct w:val="0"/>
        <w:autoSpaceDE w:val="0"/>
        <w:autoSpaceDN w:val="0"/>
        <w:bidi w:val="0"/>
        <w:adjustRightInd/>
        <w:snapToGrid w:val="0"/>
        <w:spacing w:before="0" w:line="480" w:lineRule="auto"/>
        <w:ind w:right="0"/>
        <w:jc w:val="left"/>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5"/>
          <w:kern w:val="0"/>
          <w:sz w:val="21"/>
          <w:szCs w:val="21"/>
          <w:lang w:val="en-US" w:eastAsia="en-US" w:bidi="ar-SA"/>
        </w:rPr>
        <w:t>合同签订地点：</w:t>
      </w:r>
      <w:r>
        <w:rPr>
          <w:rFonts w:hint="eastAsia" w:ascii="宋体" w:hAnsi="宋体" w:eastAsia="宋体" w:cs="宋体"/>
          <w:snapToGrid w:val="0"/>
          <w:color w:val="000000"/>
          <w:spacing w:val="2"/>
          <w:kern w:val="0"/>
          <w:sz w:val="21"/>
          <w:szCs w:val="21"/>
          <w:lang w:val="en-US" w:eastAsia="en-US" w:bidi="ar-SA"/>
        </w:rPr>
        <w:t xml:space="preserve">                            </w:t>
      </w:r>
      <w:r>
        <w:rPr>
          <w:rFonts w:hint="eastAsia" w:ascii="宋体" w:hAnsi="宋体" w:eastAsia="宋体" w:cs="宋体"/>
          <w:snapToGrid w:val="0"/>
          <w:color w:val="000000"/>
          <w:spacing w:val="2"/>
          <w:kern w:val="0"/>
          <w:sz w:val="21"/>
          <w:szCs w:val="21"/>
          <w:lang w:val="en-US" w:eastAsia="zh-CN" w:bidi="ar-SA"/>
        </w:rPr>
        <w:t xml:space="preserve">     </w:t>
      </w:r>
      <w:r>
        <w:rPr>
          <w:rFonts w:hint="eastAsia" w:ascii="宋体" w:hAnsi="宋体" w:eastAsia="宋体" w:cs="宋体"/>
          <w:snapToGrid w:val="0"/>
          <w:color w:val="000000"/>
          <w:spacing w:val="5"/>
          <w:kern w:val="0"/>
          <w:sz w:val="21"/>
          <w:szCs w:val="21"/>
          <w:lang w:val="en-US" w:eastAsia="en-US" w:bidi="ar-SA"/>
        </w:rPr>
        <w:t>合同签订地点：</w:t>
      </w:r>
    </w:p>
    <w:p w14:paraId="68341EFA">
      <w:pPr>
        <w:keepNext w:val="0"/>
        <w:keepLines w:val="0"/>
        <w:pageBreakBefore w:val="0"/>
        <w:widowControl/>
        <w:kinsoku w:val="0"/>
        <w:wordWrap/>
        <w:overflowPunct/>
        <w:topLinePunct w:val="0"/>
        <w:autoSpaceDE w:val="0"/>
        <w:autoSpaceDN w:val="0"/>
        <w:bidi w:val="0"/>
        <w:adjustRightInd/>
        <w:snapToGrid w:val="0"/>
        <w:spacing w:before="0" w:line="480" w:lineRule="auto"/>
        <w:ind w:right="0"/>
        <w:jc w:val="left"/>
        <w:textAlignment w:val="baseline"/>
        <w:rPr>
          <w:rFonts w:hint="eastAsia" w:ascii="宋体" w:hAnsi="宋体" w:eastAsia="宋体" w:cs="宋体"/>
          <w:snapToGrid w:val="0"/>
          <w:color w:val="000000"/>
          <w:spacing w:val="-11"/>
          <w:kern w:val="0"/>
          <w:sz w:val="21"/>
          <w:szCs w:val="21"/>
          <w:lang w:val="en-US" w:eastAsia="en-US" w:bidi="ar-SA"/>
        </w:rPr>
      </w:pPr>
      <w:r>
        <w:rPr>
          <w:rFonts w:hint="eastAsia" w:ascii="宋体" w:hAnsi="宋体" w:eastAsia="宋体" w:cs="宋体"/>
          <w:snapToGrid w:val="0"/>
          <w:color w:val="000000"/>
          <w:spacing w:val="-11"/>
          <w:kern w:val="0"/>
          <w:sz w:val="21"/>
          <w:szCs w:val="21"/>
          <w:lang w:val="en-US" w:eastAsia="en-US" w:bidi="ar-SA"/>
        </w:rPr>
        <w:t>年</w:t>
      </w:r>
      <w:r>
        <w:rPr>
          <w:rFonts w:hint="eastAsia" w:ascii="宋体" w:hAnsi="宋体" w:eastAsia="宋体" w:cs="宋体"/>
          <w:snapToGrid w:val="0"/>
          <w:color w:val="000000"/>
          <w:spacing w:val="20"/>
          <w:kern w:val="0"/>
          <w:sz w:val="21"/>
          <w:szCs w:val="21"/>
          <w:lang w:val="en-US" w:eastAsia="en-US" w:bidi="ar-SA"/>
        </w:rPr>
        <w:t xml:space="preserve">  </w:t>
      </w:r>
      <w:r>
        <w:rPr>
          <w:rFonts w:hint="eastAsia" w:ascii="宋体" w:hAnsi="宋体" w:eastAsia="宋体" w:cs="宋体"/>
          <w:snapToGrid w:val="0"/>
          <w:color w:val="000000"/>
          <w:spacing w:val="-11"/>
          <w:kern w:val="0"/>
          <w:sz w:val="21"/>
          <w:szCs w:val="21"/>
          <w:lang w:val="en-US" w:eastAsia="en-US" w:bidi="ar-SA"/>
        </w:rPr>
        <w:t>月    日</w:t>
      </w:r>
      <w:r>
        <w:rPr>
          <w:rFonts w:hint="eastAsia" w:ascii="宋体" w:hAnsi="宋体" w:eastAsia="宋体" w:cs="宋体"/>
          <w:snapToGrid w:val="0"/>
          <w:color w:val="000000"/>
          <w:spacing w:val="2"/>
          <w:kern w:val="0"/>
          <w:sz w:val="21"/>
          <w:szCs w:val="21"/>
          <w:lang w:val="en-US" w:eastAsia="en-US" w:bidi="ar-SA"/>
        </w:rPr>
        <w:t xml:space="preserve">                              </w:t>
      </w:r>
      <w:r>
        <w:rPr>
          <w:rFonts w:hint="eastAsia" w:ascii="宋体" w:hAnsi="宋体" w:eastAsia="宋体" w:cs="宋体"/>
          <w:snapToGrid w:val="0"/>
          <w:color w:val="000000"/>
          <w:spacing w:val="2"/>
          <w:kern w:val="0"/>
          <w:sz w:val="21"/>
          <w:szCs w:val="21"/>
          <w:lang w:val="en-US" w:eastAsia="zh-CN" w:bidi="ar-SA"/>
        </w:rPr>
        <w:t xml:space="preserve">    </w:t>
      </w:r>
      <w:r>
        <w:rPr>
          <w:rFonts w:hint="eastAsia" w:ascii="宋体" w:hAnsi="宋体" w:eastAsia="宋体" w:cs="宋体"/>
          <w:snapToGrid w:val="0"/>
          <w:color w:val="000000"/>
          <w:spacing w:val="2"/>
          <w:kern w:val="0"/>
          <w:sz w:val="21"/>
          <w:szCs w:val="21"/>
          <w:lang w:val="en-US" w:eastAsia="en-US" w:bidi="ar-SA"/>
        </w:rPr>
        <w:t xml:space="preserve">   </w:t>
      </w:r>
      <w:r>
        <w:rPr>
          <w:rFonts w:hint="eastAsia" w:ascii="宋体" w:hAnsi="宋体" w:eastAsia="宋体" w:cs="宋体"/>
          <w:snapToGrid w:val="0"/>
          <w:color w:val="000000"/>
          <w:spacing w:val="-11"/>
          <w:kern w:val="0"/>
          <w:sz w:val="21"/>
          <w:szCs w:val="21"/>
          <w:lang w:val="en-US" w:eastAsia="en-US" w:bidi="ar-SA"/>
        </w:rPr>
        <w:t>年</w:t>
      </w:r>
      <w:r>
        <w:rPr>
          <w:rFonts w:hint="eastAsia" w:ascii="宋体" w:hAnsi="宋体" w:eastAsia="宋体" w:cs="宋体"/>
          <w:snapToGrid w:val="0"/>
          <w:color w:val="000000"/>
          <w:spacing w:val="18"/>
          <w:kern w:val="0"/>
          <w:sz w:val="21"/>
          <w:szCs w:val="21"/>
          <w:lang w:val="en-US" w:eastAsia="en-US" w:bidi="ar-SA"/>
        </w:rPr>
        <w:t xml:space="preserve">   </w:t>
      </w:r>
      <w:r>
        <w:rPr>
          <w:rFonts w:hint="eastAsia" w:ascii="宋体" w:hAnsi="宋体" w:eastAsia="宋体" w:cs="宋体"/>
          <w:snapToGrid w:val="0"/>
          <w:color w:val="000000"/>
          <w:spacing w:val="-11"/>
          <w:kern w:val="0"/>
          <w:sz w:val="21"/>
          <w:szCs w:val="21"/>
          <w:lang w:val="en-US" w:eastAsia="en-US" w:bidi="ar-SA"/>
        </w:rPr>
        <w:t>月    日</w:t>
      </w:r>
    </w:p>
    <w:p w14:paraId="18DA39BD">
      <w:pPr>
        <w:pStyle w:val="5"/>
        <w:bidi w:val="0"/>
        <w:rPr>
          <w:rFonts w:hint="eastAsia" w:asciiTheme="minorEastAsia" w:hAnsiTheme="minorEastAsia" w:eastAsiaTheme="minorEastAsia" w:cstheme="minorEastAsia"/>
          <w:color w:val="auto"/>
          <w:sz w:val="32"/>
          <w:szCs w:val="32"/>
          <w:highlight w:val="none"/>
          <w:lang w:eastAsia="zh-CN"/>
        </w:rPr>
        <w:sectPr>
          <w:pgSz w:w="11905" w:h="16838"/>
          <w:pgMar w:top="1134" w:right="1417" w:bottom="1417" w:left="1417" w:header="850" w:footer="850"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0B74A3CC">
      <w:pPr>
        <w:pStyle w:val="5"/>
        <w:bidi w:val="0"/>
        <w:rPr>
          <w:rFonts w:hint="default"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eastAsia="zh-CN"/>
        </w:rPr>
        <w:t>第五章</w:t>
      </w:r>
      <w:r>
        <w:rPr>
          <w:rFonts w:hint="eastAsia" w:asciiTheme="minorEastAsia" w:hAnsiTheme="minorEastAsia" w:eastAsiaTheme="minorEastAsia" w:cstheme="minorEastAsia"/>
          <w:color w:val="auto"/>
          <w:sz w:val="32"/>
          <w:szCs w:val="32"/>
          <w:highlight w:val="none"/>
          <w:lang w:val="en-US" w:eastAsia="zh-CN"/>
        </w:rPr>
        <w:t xml:space="preserve"> </w:t>
      </w:r>
      <w:bookmarkEnd w:id="1030"/>
      <w:bookmarkEnd w:id="1031"/>
      <w:r>
        <w:rPr>
          <w:rFonts w:hint="eastAsia" w:asciiTheme="minorEastAsia" w:hAnsiTheme="minorEastAsia" w:eastAsiaTheme="minorEastAsia" w:cstheme="minorEastAsia"/>
          <w:color w:val="auto"/>
          <w:sz w:val="32"/>
          <w:szCs w:val="32"/>
          <w:highlight w:val="none"/>
          <w:lang w:val="en-US" w:eastAsia="zh-CN"/>
        </w:rPr>
        <w:t>采购需求</w:t>
      </w:r>
      <w:bookmarkEnd w:id="1032"/>
    </w:p>
    <w:p w14:paraId="77FFC50A">
      <w:pPr>
        <w:widowControl/>
        <w:adjustRightInd w:val="0"/>
        <w:snapToGrid w:val="0"/>
        <w:spacing w:line="360" w:lineRule="auto"/>
        <w:ind w:firstLine="422" w:firstLineChars="200"/>
        <w:jc w:val="left"/>
        <w:rPr>
          <w:rFonts w:eastAsia="宋体"/>
          <w:b/>
          <w:bCs/>
          <w:kern w:val="0"/>
          <w:sz w:val="21"/>
          <w:szCs w:val="21"/>
        </w:rPr>
      </w:pPr>
      <w:r>
        <w:rPr>
          <w:rFonts w:hint="eastAsia" w:eastAsia="宋体"/>
          <w:b/>
          <w:bCs/>
          <w:kern w:val="0"/>
          <w:sz w:val="21"/>
          <w:szCs w:val="21"/>
        </w:rPr>
        <w:t>一、服务内容及要求</w:t>
      </w:r>
    </w:p>
    <w:p w14:paraId="2C770261">
      <w:pPr>
        <w:widowControl/>
        <w:adjustRightInd w:val="0"/>
        <w:snapToGrid w:val="0"/>
        <w:spacing w:line="360" w:lineRule="auto"/>
        <w:ind w:firstLine="420" w:firstLineChars="200"/>
        <w:jc w:val="left"/>
        <w:rPr>
          <w:rFonts w:ascii="宋体" w:hAnsi="宋体" w:eastAsia="宋体" w:cs="宋体"/>
          <w:kern w:val="0"/>
          <w:sz w:val="21"/>
          <w:szCs w:val="21"/>
        </w:rPr>
      </w:pPr>
      <w:r>
        <w:rPr>
          <w:rFonts w:hint="eastAsia" w:ascii="宋体" w:hAnsi="宋体" w:eastAsia="宋体" w:cs="宋体"/>
          <w:kern w:val="0"/>
          <w:sz w:val="21"/>
          <w:szCs w:val="21"/>
        </w:rPr>
        <w:t>1、2026年9月信阳农林学院校师生及服务人员规模预计将达到3.2万人，校舍建筑面积52万平方米。</w:t>
      </w:r>
    </w:p>
    <w:p w14:paraId="1A48FD7A">
      <w:pPr>
        <w:widowControl/>
        <w:adjustRightInd w:val="0"/>
        <w:snapToGrid w:val="0"/>
        <w:spacing w:line="360" w:lineRule="auto"/>
        <w:ind w:firstLine="420" w:firstLineChars="200"/>
        <w:jc w:val="left"/>
        <w:rPr>
          <w:rFonts w:ascii="宋体" w:hAnsi="宋体" w:eastAsia="宋体" w:cs="宋体"/>
          <w:kern w:val="0"/>
          <w:sz w:val="21"/>
          <w:szCs w:val="21"/>
        </w:rPr>
      </w:pPr>
      <w:r>
        <w:rPr>
          <w:rFonts w:hint="eastAsia" w:ascii="宋体" w:hAnsi="宋体" w:eastAsia="宋体" w:cs="宋体"/>
          <w:kern w:val="0"/>
          <w:sz w:val="21"/>
          <w:szCs w:val="21"/>
        </w:rPr>
        <w:t>2、信阳农林学院羊山校区的普通生活垃圾和废弃垃圾（包含废弃物品、维修更换的废弃材料等）的收集和外运，各项费用一次性包干。</w:t>
      </w:r>
    </w:p>
    <w:p w14:paraId="0D267500">
      <w:pPr>
        <w:adjustRightInd w:val="0"/>
        <w:snapToGrid w:val="0"/>
        <w:spacing w:after="120" w:line="360" w:lineRule="auto"/>
        <w:ind w:firstLine="420" w:firstLineChars="200"/>
        <w:jc w:val="both"/>
        <w:rPr>
          <w:rFonts w:ascii="Times New Roman" w:hAnsi="Times New Roman" w:eastAsia="宋体" w:cs="Times New Roman"/>
          <w:kern w:val="2"/>
          <w:sz w:val="21"/>
          <w:szCs w:val="21"/>
          <w:lang w:val="en-US" w:eastAsia="zh-CN" w:bidi="ar-SA"/>
        </w:rPr>
      </w:pPr>
      <w:r>
        <w:rPr>
          <w:rFonts w:hint="eastAsia" w:ascii="宋体" w:hAnsi="宋体" w:eastAsia="宋体" w:cs="宋体"/>
          <w:kern w:val="2"/>
          <w:sz w:val="21"/>
          <w:szCs w:val="21"/>
          <w:lang w:val="en-US" w:eastAsia="zh-CN" w:bidi="ar-SA"/>
        </w:rPr>
        <w:t>3、服务标准：按照河南省、信阳市垃圾分类工作要求，自备垃圾外运车辆，将校园内各收集点的垃圾清运至政府部门指定的垃圾处理场，做到日产日清、不积压。</w:t>
      </w:r>
    </w:p>
    <w:p w14:paraId="67ADD2FA">
      <w:pPr>
        <w:widowControl/>
        <w:adjustRightInd w:val="0"/>
        <w:snapToGrid w:val="0"/>
        <w:spacing w:line="360" w:lineRule="auto"/>
        <w:ind w:firstLine="422" w:firstLineChars="200"/>
        <w:jc w:val="left"/>
        <w:rPr>
          <w:rFonts w:ascii="宋体" w:hAnsi="宋体" w:eastAsia="宋体" w:cs="宋体"/>
          <w:b/>
          <w:bCs/>
          <w:kern w:val="0"/>
          <w:sz w:val="21"/>
          <w:szCs w:val="21"/>
        </w:rPr>
      </w:pPr>
      <w:r>
        <w:rPr>
          <w:rFonts w:hint="eastAsia" w:ascii="宋体" w:hAnsi="宋体" w:eastAsia="宋体" w:cs="宋体"/>
          <w:b/>
          <w:bCs/>
          <w:color w:val="000000"/>
          <w:kern w:val="0"/>
          <w:sz w:val="21"/>
          <w:szCs w:val="21"/>
          <w:lang w:bidi="ar"/>
        </w:rPr>
        <w:t xml:space="preserve">二、清运要求 </w:t>
      </w:r>
    </w:p>
    <w:p w14:paraId="5E214631">
      <w:pPr>
        <w:widowControl/>
        <w:adjustRightInd w:val="0"/>
        <w:snapToGrid w:val="0"/>
        <w:spacing w:line="360" w:lineRule="auto"/>
        <w:ind w:firstLine="420" w:firstLineChars="200"/>
        <w:jc w:val="left"/>
        <w:rPr>
          <w:rFonts w:ascii="宋体" w:hAnsi="宋体" w:eastAsia="宋体" w:cs="宋体"/>
          <w:kern w:val="0"/>
          <w:sz w:val="21"/>
          <w:szCs w:val="21"/>
        </w:rPr>
      </w:pPr>
      <w:r>
        <w:rPr>
          <w:rFonts w:hint="eastAsia" w:ascii="宋体" w:hAnsi="宋体" w:eastAsia="宋体" w:cs="宋体"/>
          <w:color w:val="000000"/>
          <w:kern w:val="0"/>
          <w:sz w:val="21"/>
          <w:szCs w:val="21"/>
          <w:lang w:bidi="ar"/>
        </w:rPr>
        <w:t>1、垃圾收集清运工作质量要求</w:t>
      </w:r>
    </w:p>
    <w:p w14:paraId="317DE9A5">
      <w:pPr>
        <w:widowControl/>
        <w:adjustRightInd w:val="0"/>
        <w:snapToGrid w:val="0"/>
        <w:spacing w:line="360" w:lineRule="auto"/>
        <w:ind w:firstLine="420" w:firstLineChars="200"/>
        <w:jc w:val="left"/>
        <w:rPr>
          <w:rFonts w:ascii="宋体" w:hAnsi="宋体" w:eastAsia="宋体" w:cs="宋体"/>
          <w:kern w:val="0"/>
          <w:sz w:val="21"/>
          <w:szCs w:val="21"/>
        </w:rPr>
      </w:pPr>
      <w:r>
        <w:rPr>
          <w:rFonts w:hint="eastAsia" w:ascii="宋体" w:hAnsi="宋体" w:eastAsia="宋体" w:cs="宋体"/>
          <w:color w:val="000000"/>
          <w:kern w:val="0"/>
          <w:sz w:val="21"/>
          <w:szCs w:val="21"/>
          <w:lang w:bidi="ar"/>
        </w:rPr>
        <w:t xml:space="preserve">（1）收集过程中，杜绝撒、滴、漏等污染环境的现象；垃圾收集人员作业完成后应及时清理场地，保持周围环境干净整洁、车走地净，垃圾桶及时归位。 </w:t>
      </w:r>
    </w:p>
    <w:p w14:paraId="6A8C5955">
      <w:pPr>
        <w:widowControl/>
        <w:adjustRightInd w:val="0"/>
        <w:snapToGrid w:val="0"/>
        <w:spacing w:line="360" w:lineRule="auto"/>
        <w:ind w:firstLine="420" w:firstLineChars="200"/>
        <w:jc w:val="left"/>
        <w:rPr>
          <w:rFonts w:ascii="宋体" w:hAnsi="宋体" w:eastAsia="宋体" w:cs="宋体"/>
          <w:kern w:val="0"/>
          <w:sz w:val="21"/>
          <w:szCs w:val="21"/>
        </w:rPr>
      </w:pPr>
      <w:r>
        <w:rPr>
          <w:rFonts w:hint="eastAsia" w:ascii="宋体" w:hAnsi="宋体" w:eastAsia="宋体" w:cs="宋体"/>
          <w:color w:val="000000"/>
          <w:kern w:val="0"/>
          <w:sz w:val="21"/>
          <w:szCs w:val="21"/>
          <w:lang w:bidi="ar"/>
        </w:rPr>
        <w:t xml:space="preserve">（2）各个垃圾桶摆放位置如出现爆桶情况，必须将爆桶周围溢出的垃圾全部清理干净。 </w:t>
      </w:r>
    </w:p>
    <w:p w14:paraId="00009773">
      <w:pPr>
        <w:widowControl/>
        <w:adjustRightInd w:val="0"/>
        <w:snapToGrid w:val="0"/>
        <w:spacing w:line="360" w:lineRule="auto"/>
        <w:ind w:firstLine="420" w:firstLineChars="200"/>
        <w:jc w:val="left"/>
        <w:rPr>
          <w:rFonts w:ascii="宋体" w:hAnsi="宋体" w:eastAsia="宋体" w:cs="宋体"/>
          <w:kern w:val="0"/>
          <w:sz w:val="21"/>
          <w:szCs w:val="21"/>
        </w:rPr>
      </w:pPr>
      <w:r>
        <w:rPr>
          <w:rFonts w:hint="eastAsia" w:ascii="宋体" w:hAnsi="宋体" w:eastAsia="宋体" w:cs="宋体"/>
          <w:color w:val="000000"/>
          <w:kern w:val="0"/>
          <w:sz w:val="21"/>
          <w:szCs w:val="21"/>
          <w:lang w:bidi="ar"/>
        </w:rPr>
        <w:t xml:space="preserve">（3）清运车辆保持车容整洁，无污垢、无外露垃圾；标识清晰，定期清洗，保持车体桶体干净。 </w:t>
      </w:r>
    </w:p>
    <w:p w14:paraId="3B278473">
      <w:pPr>
        <w:widowControl/>
        <w:adjustRightInd w:val="0"/>
        <w:snapToGrid w:val="0"/>
        <w:spacing w:line="360" w:lineRule="auto"/>
        <w:ind w:firstLine="420" w:firstLineChars="200"/>
        <w:jc w:val="left"/>
        <w:rPr>
          <w:rFonts w:ascii="宋体" w:hAnsi="宋体" w:eastAsia="宋体" w:cs="宋体"/>
          <w:kern w:val="0"/>
          <w:sz w:val="21"/>
          <w:szCs w:val="21"/>
        </w:rPr>
      </w:pPr>
      <w:r>
        <w:rPr>
          <w:rFonts w:hint="eastAsia" w:ascii="宋体" w:hAnsi="宋体" w:eastAsia="宋体" w:cs="宋体"/>
          <w:color w:val="000000"/>
          <w:kern w:val="0"/>
          <w:sz w:val="21"/>
          <w:szCs w:val="21"/>
          <w:lang w:bidi="ar"/>
        </w:rPr>
        <w:t xml:space="preserve">（4）驾驶员应遵守交通规则，文明行车；车辆运输尽量避开人流、车辆密集路段，并定期保养维护。 </w:t>
      </w:r>
    </w:p>
    <w:p w14:paraId="1773B342">
      <w:pPr>
        <w:widowControl/>
        <w:adjustRightInd w:val="0"/>
        <w:snapToGrid w:val="0"/>
        <w:spacing w:line="360" w:lineRule="auto"/>
        <w:ind w:firstLine="420" w:firstLineChars="200"/>
        <w:jc w:val="left"/>
        <w:rPr>
          <w:rFonts w:ascii="宋体" w:hAnsi="宋体" w:eastAsia="宋体" w:cs="宋体"/>
          <w:kern w:val="0"/>
          <w:sz w:val="21"/>
          <w:szCs w:val="21"/>
        </w:rPr>
      </w:pPr>
      <w:r>
        <w:rPr>
          <w:rFonts w:hint="eastAsia" w:ascii="宋体" w:hAnsi="宋体" w:eastAsia="宋体" w:cs="宋体"/>
          <w:color w:val="000000"/>
          <w:kern w:val="0"/>
          <w:sz w:val="21"/>
          <w:szCs w:val="21"/>
          <w:lang w:bidi="ar"/>
        </w:rPr>
        <w:t xml:space="preserve">（5）垃圾运至指定地点，不得随意处置。垃圾转运中应做到密闭运输、杜绝遗撒及垃圾粘挂现象，转运途中杜绝遗撒垃圾渗沥液。 </w:t>
      </w:r>
    </w:p>
    <w:p w14:paraId="64416E90">
      <w:pPr>
        <w:widowControl/>
        <w:adjustRightInd w:val="0"/>
        <w:snapToGrid w:val="0"/>
        <w:spacing w:line="360" w:lineRule="auto"/>
        <w:ind w:firstLine="420" w:firstLineChars="200"/>
        <w:jc w:val="left"/>
        <w:rPr>
          <w:rFonts w:ascii="宋体" w:hAnsi="宋体" w:eastAsia="宋体" w:cs="宋体"/>
          <w:kern w:val="0"/>
          <w:sz w:val="21"/>
          <w:szCs w:val="21"/>
        </w:rPr>
      </w:pPr>
      <w:r>
        <w:rPr>
          <w:rFonts w:hint="eastAsia" w:ascii="宋体" w:hAnsi="宋体" w:eastAsia="宋体" w:cs="宋体"/>
          <w:color w:val="000000"/>
          <w:kern w:val="0"/>
          <w:sz w:val="21"/>
          <w:szCs w:val="21"/>
          <w:lang w:bidi="ar"/>
        </w:rPr>
        <w:t xml:space="preserve">（6）及时收集垃圾清运过程中产生的渗沥液，站内地面无渗沥液积存；转运站渗沥液、冲洗废水和生活污水应集中收集到政府指定地方进行处理。 </w:t>
      </w:r>
    </w:p>
    <w:p w14:paraId="7E9C9961">
      <w:pPr>
        <w:widowControl/>
        <w:adjustRightInd w:val="0"/>
        <w:snapToGrid w:val="0"/>
        <w:spacing w:line="360" w:lineRule="auto"/>
        <w:ind w:firstLine="420" w:firstLineChars="200"/>
        <w:jc w:val="left"/>
        <w:rPr>
          <w:rFonts w:ascii="宋体" w:hAnsi="宋体" w:eastAsia="宋体" w:cs="宋体"/>
          <w:kern w:val="0"/>
          <w:sz w:val="21"/>
          <w:szCs w:val="21"/>
        </w:rPr>
      </w:pPr>
      <w:r>
        <w:rPr>
          <w:rFonts w:hint="eastAsia" w:ascii="宋体" w:hAnsi="宋体" w:eastAsia="宋体" w:cs="宋体"/>
          <w:color w:val="000000"/>
          <w:kern w:val="0"/>
          <w:sz w:val="21"/>
          <w:szCs w:val="21"/>
          <w:lang w:bidi="ar"/>
        </w:rPr>
        <w:t xml:space="preserve">（7）具有完备的运行安全管理规章制度和运行安全操作规程，上墙悬挂或张贴，并严格实施；劳动安全卫生条件和劳动防护用品满足作业要求。 </w:t>
      </w:r>
    </w:p>
    <w:p w14:paraId="36648686">
      <w:pPr>
        <w:widowControl/>
        <w:adjustRightInd w:val="0"/>
        <w:snapToGrid w:val="0"/>
        <w:spacing w:line="360" w:lineRule="auto"/>
        <w:ind w:firstLine="420" w:firstLineChars="200"/>
        <w:jc w:val="left"/>
        <w:rPr>
          <w:rFonts w:ascii="宋体" w:hAnsi="宋体" w:eastAsia="宋体" w:cs="宋体"/>
          <w:kern w:val="0"/>
          <w:sz w:val="21"/>
          <w:szCs w:val="21"/>
        </w:rPr>
      </w:pPr>
      <w:r>
        <w:rPr>
          <w:rFonts w:hint="eastAsia" w:ascii="宋体" w:hAnsi="宋体" w:eastAsia="宋体" w:cs="宋体"/>
          <w:color w:val="000000"/>
          <w:kern w:val="0"/>
          <w:sz w:val="21"/>
          <w:szCs w:val="21"/>
          <w:lang w:bidi="ar"/>
        </w:rPr>
        <w:t>（8）具有完备的</w:t>
      </w:r>
      <w:r>
        <w:rPr>
          <w:rFonts w:hint="eastAsia" w:ascii="宋体" w:hAnsi="宋体" w:cs="宋体"/>
          <w:color w:val="000000"/>
          <w:kern w:val="0"/>
          <w:sz w:val="21"/>
          <w:szCs w:val="21"/>
          <w:lang w:eastAsia="zh-CN" w:bidi="ar"/>
        </w:rPr>
        <w:t>设备台账</w:t>
      </w:r>
      <w:r>
        <w:rPr>
          <w:rFonts w:hint="eastAsia" w:ascii="宋体" w:hAnsi="宋体" w:eastAsia="宋体" w:cs="宋体"/>
          <w:color w:val="000000"/>
          <w:kern w:val="0"/>
          <w:sz w:val="21"/>
          <w:szCs w:val="21"/>
          <w:lang w:bidi="ar"/>
        </w:rPr>
        <w:t xml:space="preserve">、维护保养、日常运行记录和垃圾处理数量、去向的统计资料。 </w:t>
      </w:r>
    </w:p>
    <w:p w14:paraId="716255A4">
      <w:pPr>
        <w:widowControl/>
        <w:adjustRightInd w:val="0"/>
        <w:snapToGrid w:val="0"/>
        <w:spacing w:line="360" w:lineRule="auto"/>
        <w:ind w:firstLine="420" w:firstLineChars="200"/>
        <w:jc w:val="left"/>
        <w:rPr>
          <w:rFonts w:ascii="宋体" w:hAnsi="宋体" w:eastAsia="宋体" w:cs="宋体"/>
          <w:kern w:val="0"/>
          <w:sz w:val="21"/>
          <w:szCs w:val="21"/>
        </w:rPr>
      </w:pPr>
      <w:r>
        <w:rPr>
          <w:rFonts w:hint="eastAsia" w:ascii="宋体" w:hAnsi="宋体" w:eastAsia="宋体" w:cs="宋体"/>
          <w:color w:val="000000"/>
          <w:kern w:val="0"/>
          <w:sz w:val="21"/>
          <w:szCs w:val="21"/>
          <w:lang w:bidi="ar"/>
        </w:rPr>
        <w:t xml:space="preserve">2、环卫设施设备及车辆管理要求 </w:t>
      </w:r>
    </w:p>
    <w:p w14:paraId="4378C70E">
      <w:pPr>
        <w:widowControl/>
        <w:adjustRightInd w:val="0"/>
        <w:snapToGrid w:val="0"/>
        <w:spacing w:line="360" w:lineRule="auto"/>
        <w:ind w:firstLine="420" w:firstLineChars="200"/>
        <w:jc w:val="left"/>
        <w:rPr>
          <w:rFonts w:ascii="宋体" w:hAnsi="宋体" w:eastAsia="宋体" w:cs="宋体"/>
          <w:kern w:val="0"/>
          <w:sz w:val="21"/>
          <w:szCs w:val="21"/>
        </w:rPr>
      </w:pPr>
      <w:r>
        <w:rPr>
          <w:rFonts w:hint="eastAsia" w:ascii="宋体" w:hAnsi="宋体" w:eastAsia="宋体" w:cs="宋体"/>
          <w:color w:val="000000"/>
          <w:kern w:val="0"/>
          <w:sz w:val="21"/>
          <w:szCs w:val="21"/>
          <w:lang w:bidi="ar"/>
        </w:rPr>
        <w:t xml:space="preserve">（1）配备的环卫设施设备和车辆满足环卫工作要求，车辆类型根据实际需要配备，并满足垃圾收集清运需求。 </w:t>
      </w:r>
    </w:p>
    <w:p w14:paraId="4CDC788B">
      <w:pPr>
        <w:widowControl/>
        <w:adjustRightInd w:val="0"/>
        <w:snapToGrid w:val="0"/>
        <w:spacing w:line="360" w:lineRule="auto"/>
        <w:ind w:firstLine="420" w:firstLineChars="200"/>
        <w:jc w:val="left"/>
        <w:rPr>
          <w:rFonts w:ascii="宋体" w:hAnsi="宋体" w:eastAsia="宋体" w:cs="宋体"/>
          <w:kern w:val="0"/>
          <w:sz w:val="21"/>
          <w:szCs w:val="21"/>
        </w:rPr>
      </w:pPr>
      <w:r>
        <w:rPr>
          <w:rFonts w:hint="eastAsia" w:ascii="宋体" w:hAnsi="宋体" w:eastAsia="宋体" w:cs="宋体"/>
          <w:color w:val="000000"/>
          <w:kern w:val="0"/>
          <w:sz w:val="21"/>
          <w:szCs w:val="21"/>
          <w:lang w:bidi="ar"/>
        </w:rPr>
        <w:t>（</w:t>
      </w:r>
      <w:r>
        <w:rPr>
          <w:rFonts w:ascii="宋体" w:hAnsi="宋体" w:eastAsia="宋体" w:cs="宋体"/>
          <w:color w:val="000000"/>
          <w:kern w:val="0"/>
          <w:sz w:val="21"/>
          <w:szCs w:val="21"/>
          <w:lang w:bidi="ar"/>
        </w:rPr>
        <w:t>2</w:t>
      </w:r>
      <w:r>
        <w:rPr>
          <w:rFonts w:hint="eastAsia" w:ascii="宋体" w:hAnsi="宋体" w:eastAsia="宋体" w:cs="宋体"/>
          <w:color w:val="000000"/>
          <w:kern w:val="0"/>
          <w:sz w:val="21"/>
          <w:szCs w:val="21"/>
          <w:lang w:bidi="ar"/>
        </w:rPr>
        <w:t xml:space="preserve">）所有车辆应保持车容整洁，不得乱停乱放，作业车辆每班作业后及时进行清洁。 </w:t>
      </w:r>
    </w:p>
    <w:p w14:paraId="56854759">
      <w:pPr>
        <w:widowControl/>
        <w:adjustRightInd w:val="0"/>
        <w:snapToGrid w:val="0"/>
        <w:spacing w:line="360" w:lineRule="auto"/>
        <w:ind w:firstLine="420" w:firstLineChars="200"/>
        <w:jc w:val="left"/>
        <w:rPr>
          <w:rFonts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w:t>
      </w:r>
      <w:r>
        <w:rPr>
          <w:rFonts w:ascii="宋体" w:hAnsi="宋体" w:eastAsia="宋体" w:cs="宋体"/>
          <w:color w:val="000000"/>
          <w:kern w:val="0"/>
          <w:sz w:val="21"/>
          <w:szCs w:val="21"/>
          <w:lang w:bidi="ar"/>
        </w:rPr>
        <w:t>3</w:t>
      </w:r>
      <w:r>
        <w:rPr>
          <w:rFonts w:hint="eastAsia" w:ascii="宋体" w:hAnsi="宋体" w:eastAsia="宋体" w:cs="宋体"/>
          <w:color w:val="000000"/>
          <w:kern w:val="0"/>
          <w:sz w:val="21"/>
          <w:szCs w:val="21"/>
          <w:lang w:bidi="ar"/>
        </w:rPr>
        <w:t xml:space="preserve">）车辆驾驶员严格遵守交通规则，自觉服从交通指挥，严格按车辆操作规程进行操作。 </w:t>
      </w:r>
    </w:p>
    <w:p w14:paraId="0019F2A6">
      <w:pPr>
        <w:widowControl/>
        <w:adjustRightInd w:val="0"/>
        <w:snapToGrid w:val="0"/>
        <w:spacing w:line="360" w:lineRule="auto"/>
        <w:ind w:firstLine="420" w:firstLineChars="200"/>
        <w:jc w:val="left"/>
        <w:rPr>
          <w:rFonts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w:t>
      </w:r>
      <w:r>
        <w:rPr>
          <w:rFonts w:ascii="宋体" w:hAnsi="宋体" w:eastAsia="宋体" w:cs="宋体"/>
          <w:color w:val="auto"/>
          <w:kern w:val="0"/>
          <w:sz w:val="21"/>
          <w:szCs w:val="21"/>
          <w:lang w:bidi="ar"/>
        </w:rPr>
        <w:t>4</w:t>
      </w:r>
      <w:r>
        <w:rPr>
          <w:rFonts w:hint="eastAsia" w:ascii="宋体" w:hAnsi="宋体" w:eastAsia="宋体" w:cs="宋体"/>
          <w:color w:val="auto"/>
          <w:kern w:val="0"/>
          <w:sz w:val="21"/>
          <w:szCs w:val="21"/>
          <w:lang w:bidi="ar"/>
        </w:rPr>
        <w:t>）学校现有勾臂垃圾车2辆，可交由</w:t>
      </w:r>
      <w:r>
        <w:rPr>
          <w:rFonts w:hint="eastAsia" w:ascii="宋体" w:hAnsi="宋体" w:cs="宋体"/>
          <w:color w:val="auto"/>
          <w:kern w:val="0"/>
          <w:sz w:val="21"/>
          <w:szCs w:val="21"/>
          <w:lang w:val="en-US" w:eastAsia="zh-CN" w:bidi="ar"/>
        </w:rPr>
        <w:t>供应商</w:t>
      </w:r>
      <w:r>
        <w:rPr>
          <w:rFonts w:hint="eastAsia" w:ascii="宋体" w:hAnsi="宋体" w:eastAsia="宋体" w:cs="宋体"/>
          <w:color w:val="auto"/>
          <w:kern w:val="0"/>
          <w:sz w:val="21"/>
          <w:szCs w:val="21"/>
          <w:lang w:bidi="ar"/>
        </w:rPr>
        <w:t>使用，车辆用油及维修保养费用由</w:t>
      </w:r>
      <w:r>
        <w:rPr>
          <w:rFonts w:hint="eastAsia" w:ascii="宋体" w:hAnsi="宋体" w:cs="宋体"/>
          <w:color w:val="auto"/>
          <w:kern w:val="0"/>
          <w:sz w:val="21"/>
          <w:szCs w:val="21"/>
          <w:lang w:eastAsia="zh-CN" w:bidi="ar"/>
        </w:rPr>
        <w:t>供应商</w:t>
      </w:r>
      <w:r>
        <w:rPr>
          <w:rFonts w:hint="eastAsia" w:ascii="宋体" w:hAnsi="宋体" w:eastAsia="宋体" w:cs="宋体"/>
          <w:color w:val="auto"/>
          <w:kern w:val="0"/>
          <w:sz w:val="21"/>
          <w:szCs w:val="21"/>
          <w:lang w:bidi="ar"/>
        </w:rPr>
        <w:t>自行承担，合同结束时应将车辆完好无损</w:t>
      </w:r>
      <w:r>
        <w:rPr>
          <w:rFonts w:hint="eastAsia" w:ascii="宋体" w:hAnsi="宋体" w:cs="宋体"/>
          <w:color w:val="auto"/>
          <w:kern w:val="0"/>
          <w:sz w:val="21"/>
          <w:szCs w:val="21"/>
          <w:lang w:eastAsia="zh-CN" w:bidi="ar"/>
        </w:rPr>
        <w:t>地</w:t>
      </w:r>
      <w:r>
        <w:rPr>
          <w:rFonts w:hint="eastAsia" w:ascii="宋体" w:hAnsi="宋体" w:eastAsia="宋体" w:cs="宋体"/>
          <w:color w:val="auto"/>
          <w:kern w:val="0"/>
          <w:sz w:val="21"/>
          <w:szCs w:val="21"/>
          <w:lang w:bidi="ar"/>
        </w:rPr>
        <w:t>交由学校，如有损坏应造价赔偿。</w:t>
      </w:r>
    </w:p>
    <w:p w14:paraId="100A7D81">
      <w:pPr>
        <w:widowControl/>
        <w:adjustRightInd w:val="0"/>
        <w:snapToGrid w:val="0"/>
        <w:spacing w:line="360" w:lineRule="auto"/>
        <w:ind w:firstLine="420" w:firstLineChars="200"/>
        <w:jc w:val="left"/>
        <w:rPr>
          <w:rFonts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（5）学校在部分楼宇前已配置足量的勾臂垃圾箱，</w:t>
      </w:r>
      <w:r>
        <w:rPr>
          <w:rFonts w:hint="eastAsia" w:ascii="宋体" w:hAnsi="宋体" w:cs="宋体"/>
          <w:color w:val="auto"/>
          <w:kern w:val="0"/>
          <w:sz w:val="21"/>
          <w:szCs w:val="21"/>
          <w:lang w:eastAsia="zh-CN" w:bidi="ar"/>
        </w:rPr>
        <w:t>供应商</w:t>
      </w:r>
      <w:r>
        <w:rPr>
          <w:rFonts w:hint="eastAsia" w:ascii="宋体" w:hAnsi="宋体" w:eastAsia="宋体" w:cs="宋体"/>
          <w:color w:val="auto"/>
          <w:kern w:val="0"/>
          <w:sz w:val="21"/>
          <w:szCs w:val="21"/>
          <w:lang w:bidi="ar"/>
        </w:rPr>
        <w:t>若不使用勾臂垃圾车，应在中标后自费配置垃圾桶。</w:t>
      </w:r>
    </w:p>
    <w:p w14:paraId="5128D23A">
      <w:pPr>
        <w:widowControl/>
        <w:adjustRightInd w:val="0"/>
        <w:snapToGrid w:val="0"/>
        <w:spacing w:line="360" w:lineRule="auto"/>
        <w:ind w:firstLine="420" w:firstLineChars="200"/>
        <w:jc w:val="left"/>
        <w:rPr>
          <w:rFonts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（6）学校配置的勾臂垃圾箱及垃圾桶如因自然使用损坏，由学校负责换新或维修。</w:t>
      </w:r>
    </w:p>
    <w:p w14:paraId="52610502">
      <w:pPr>
        <w:widowControl/>
        <w:adjustRightInd w:val="0"/>
        <w:snapToGrid w:val="0"/>
        <w:spacing w:line="360" w:lineRule="auto"/>
        <w:ind w:firstLine="422" w:firstLineChars="200"/>
        <w:jc w:val="left"/>
        <w:rPr>
          <w:rFonts w:eastAsia="宋体"/>
          <w:b/>
          <w:bCs/>
          <w:color w:val="auto"/>
          <w:kern w:val="0"/>
          <w:sz w:val="21"/>
          <w:szCs w:val="21"/>
        </w:rPr>
      </w:pPr>
      <w:r>
        <w:rPr>
          <w:rFonts w:hint="eastAsia" w:eastAsia="宋体"/>
          <w:b/>
          <w:bCs/>
          <w:color w:val="auto"/>
          <w:kern w:val="0"/>
          <w:sz w:val="21"/>
          <w:szCs w:val="21"/>
        </w:rPr>
        <w:t>三</w:t>
      </w:r>
      <w:r>
        <w:rPr>
          <w:rFonts w:eastAsia="宋体"/>
          <w:b/>
          <w:bCs/>
          <w:color w:val="auto"/>
          <w:kern w:val="0"/>
          <w:sz w:val="21"/>
          <w:szCs w:val="21"/>
        </w:rPr>
        <w:t>、服务范围</w:t>
      </w:r>
      <w:r>
        <w:rPr>
          <w:rFonts w:hint="eastAsia" w:eastAsia="宋体"/>
          <w:b/>
          <w:bCs/>
          <w:color w:val="auto"/>
          <w:kern w:val="0"/>
          <w:sz w:val="21"/>
          <w:szCs w:val="21"/>
        </w:rPr>
        <w:t>及垃圾类别定义</w:t>
      </w:r>
    </w:p>
    <w:p w14:paraId="33AE2E13">
      <w:pPr>
        <w:widowControl/>
        <w:adjustRightInd w:val="0"/>
        <w:snapToGrid w:val="0"/>
        <w:spacing w:line="360" w:lineRule="auto"/>
        <w:ind w:firstLine="420" w:firstLineChars="200"/>
        <w:jc w:val="left"/>
        <w:rPr>
          <w:rFonts w:eastAsia="宋体"/>
          <w:color w:val="000000"/>
          <w:kern w:val="0"/>
          <w:sz w:val="21"/>
          <w:szCs w:val="21"/>
        </w:rPr>
      </w:pPr>
      <w:r>
        <w:rPr>
          <w:rFonts w:hint="eastAsia" w:eastAsia="宋体"/>
          <w:color w:val="000000"/>
          <w:kern w:val="0"/>
          <w:sz w:val="21"/>
          <w:szCs w:val="21"/>
        </w:rPr>
        <w:t>信阳农林学院羊山</w:t>
      </w:r>
      <w:r>
        <w:rPr>
          <w:rFonts w:eastAsia="宋体"/>
          <w:color w:val="000000"/>
          <w:kern w:val="0"/>
          <w:sz w:val="21"/>
          <w:szCs w:val="21"/>
        </w:rPr>
        <w:t>校区</w:t>
      </w:r>
      <w:r>
        <w:rPr>
          <w:rFonts w:hint="eastAsia"/>
          <w:color w:val="000000"/>
          <w:kern w:val="0"/>
          <w:sz w:val="21"/>
          <w:szCs w:val="21"/>
          <w:lang w:val="en-US" w:eastAsia="zh-CN"/>
        </w:rPr>
        <w:t>清运垃圾包含：</w:t>
      </w:r>
      <w:r>
        <w:rPr>
          <w:rFonts w:hint="eastAsia" w:ascii="宋体" w:hAnsi="宋体" w:eastAsia="宋体" w:cs="宋体"/>
          <w:color w:val="000000"/>
          <w:kern w:val="0"/>
          <w:sz w:val="21"/>
          <w:szCs w:val="21"/>
        </w:rPr>
        <w:t>普通生活垃圾、</w:t>
      </w:r>
      <w:r>
        <w:rPr>
          <w:rFonts w:hint="eastAsia" w:eastAsia="宋体"/>
          <w:kern w:val="0"/>
          <w:sz w:val="21"/>
          <w:szCs w:val="21"/>
        </w:rPr>
        <w:t>绿化垃圾</w:t>
      </w:r>
      <w:r>
        <w:rPr>
          <w:rFonts w:hint="eastAsia" w:ascii="宋体" w:hAnsi="宋体" w:eastAsia="宋体" w:cs="宋体"/>
          <w:color w:val="000000"/>
          <w:kern w:val="0"/>
          <w:sz w:val="21"/>
          <w:szCs w:val="21"/>
        </w:rPr>
        <w:t>、</w:t>
      </w:r>
      <w:r>
        <w:rPr>
          <w:rFonts w:hint="eastAsia" w:ascii="宋体" w:hAnsi="宋体" w:cs="宋体"/>
          <w:color w:val="000000"/>
          <w:kern w:val="0"/>
          <w:sz w:val="21"/>
          <w:szCs w:val="21"/>
          <w:lang w:val="en-US" w:eastAsia="zh-CN"/>
        </w:rPr>
        <w:t>废弃</w:t>
      </w:r>
      <w:r>
        <w:rPr>
          <w:rFonts w:hint="eastAsia" w:ascii="宋体" w:hAnsi="宋体" w:eastAsia="宋体" w:cs="宋体"/>
          <w:color w:val="000000"/>
          <w:kern w:val="0"/>
          <w:sz w:val="21"/>
          <w:szCs w:val="21"/>
        </w:rPr>
        <w:t>垃圾</w:t>
      </w:r>
      <w:r>
        <w:rPr>
          <w:rFonts w:hint="eastAsia" w:ascii="宋体" w:hAnsi="宋体" w:cs="宋体"/>
          <w:color w:val="000000"/>
          <w:kern w:val="0"/>
          <w:sz w:val="21"/>
          <w:szCs w:val="21"/>
          <w:lang w:val="en-US" w:eastAsia="zh-CN"/>
        </w:rPr>
        <w:t>等</w:t>
      </w:r>
      <w:r>
        <w:rPr>
          <w:rFonts w:eastAsia="宋体"/>
          <w:color w:val="000000"/>
          <w:kern w:val="0"/>
          <w:sz w:val="21"/>
          <w:szCs w:val="21"/>
        </w:rPr>
        <w:t>。</w:t>
      </w:r>
    </w:p>
    <w:p w14:paraId="58569C38">
      <w:pPr>
        <w:widowControl/>
        <w:shd w:val="clear" w:color="auto" w:fill="FFFFFF"/>
        <w:adjustRightInd w:val="0"/>
        <w:snapToGrid w:val="0"/>
        <w:spacing w:line="360" w:lineRule="auto"/>
        <w:ind w:firstLine="420" w:firstLineChars="200"/>
        <w:jc w:val="left"/>
        <w:rPr>
          <w:rFonts w:eastAsia="宋体"/>
          <w:kern w:val="0"/>
          <w:sz w:val="21"/>
          <w:szCs w:val="21"/>
        </w:rPr>
      </w:pPr>
      <w:r>
        <w:rPr>
          <w:rFonts w:hint="eastAsia" w:eastAsia="宋体"/>
          <w:kern w:val="0"/>
          <w:sz w:val="21"/>
          <w:szCs w:val="21"/>
        </w:rPr>
        <w:t>生活垃圾：</w:t>
      </w:r>
      <w:r>
        <w:rPr>
          <w:rFonts w:eastAsia="宋体"/>
          <w:kern w:val="0"/>
          <w:sz w:val="21"/>
          <w:szCs w:val="21"/>
        </w:rPr>
        <w:t>指在城市日常生活提供服务的活动中产生的固体废物以及法律、行政法规规定视为城市生活垃圾的固体废物，主要包括蔬果皮</w:t>
      </w:r>
      <w:r>
        <w:rPr>
          <w:rFonts w:hint="eastAsia" w:eastAsia="宋体"/>
          <w:kern w:val="0"/>
          <w:sz w:val="21"/>
          <w:szCs w:val="21"/>
        </w:rPr>
        <w:t>、</w:t>
      </w:r>
      <w:r>
        <w:rPr>
          <w:rFonts w:eastAsia="宋体"/>
          <w:kern w:val="0"/>
          <w:sz w:val="21"/>
          <w:szCs w:val="21"/>
        </w:rPr>
        <w:t>煤渣、砂石、金属、玻璃等无机物</w:t>
      </w:r>
      <w:r>
        <w:rPr>
          <w:rFonts w:hint="eastAsia" w:eastAsia="宋体"/>
          <w:kern w:val="0"/>
          <w:sz w:val="21"/>
          <w:szCs w:val="21"/>
        </w:rPr>
        <w:t>，</w:t>
      </w:r>
      <w:r>
        <w:rPr>
          <w:rFonts w:eastAsia="宋体"/>
          <w:kern w:val="0"/>
          <w:sz w:val="21"/>
          <w:szCs w:val="21"/>
        </w:rPr>
        <w:t>纸张、塑料、木料、纺织物、皮革等</w:t>
      </w:r>
      <w:r>
        <w:rPr>
          <w:rFonts w:hint="eastAsia" w:eastAsia="宋体"/>
          <w:kern w:val="0"/>
          <w:sz w:val="21"/>
          <w:szCs w:val="21"/>
        </w:rPr>
        <w:t>有机物。生活垃圾清运要求</w:t>
      </w:r>
      <w:r>
        <w:rPr>
          <w:rFonts w:eastAsia="宋体"/>
          <w:kern w:val="0"/>
          <w:sz w:val="21"/>
          <w:szCs w:val="21"/>
        </w:rPr>
        <w:t>日产日清</w:t>
      </w:r>
      <w:r>
        <w:rPr>
          <w:rFonts w:hint="eastAsia" w:eastAsia="宋体"/>
          <w:kern w:val="0"/>
          <w:sz w:val="21"/>
          <w:szCs w:val="21"/>
        </w:rPr>
        <w:t>。</w:t>
      </w:r>
    </w:p>
    <w:p w14:paraId="470EBF46">
      <w:pPr>
        <w:widowControl/>
        <w:adjustRightInd w:val="0"/>
        <w:snapToGrid w:val="0"/>
        <w:spacing w:line="360" w:lineRule="auto"/>
        <w:ind w:firstLine="420" w:firstLineChars="200"/>
        <w:jc w:val="left"/>
        <w:rPr>
          <w:rFonts w:hint="eastAsia" w:eastAsia="宋体"/>
          <w:kern w:val="0"/>
          <w:sz w:val="21"/>
          <w:szCs w:val="21"/>
        </w:rPr>
      </w:pPr>
      <w:r>
        <w:rPr>
          <w:rFonts w:hint="eastAsia" w:eastAsia="宋体"/>
          <w:kern w:val="0"/>
          <w:sz w:val="21"/>
          <w:szCs w:val="21"/>
        </w:rPr>
        <w:t>绿化垃圾：校内绿化养护栽树、修剪、打草等产生的大体量、大批量绿化垃圾，由校方自行解决。其他因校园检查、师生拔草、校友家属活动、环卫工清扫保洁等产生的少量杂草、尘土污泥、枯枝棍棒、秋季路面落叶等，由</w:t>
      </w:r>
      <w:r>
        <w:rPr>
          <w:rFonts w:hint="eastAsia"/>
          <w:kern w:val="0"/>
          <w:sz w:val="21"/>
          <w:szCs w:val="21"/>
          <w:lang w:eastAsia="zh-CN"/>
        </w:rPr>
        <w:t>供应商</w:t>
      </w:r>
      <w:r>
        <w:rPr>
          <w:rFonts w:hint="eastAsia" w:eastAsia="宋体"/>
          <w:kern w:val="0"/>
          <w:sz w:val="21"/>
          <w:szCs w:val="21"/>
        </w:rPr>
        <w:t>负责转运清理。</w:t>
      </w:r>
    </w:p>
    <w:p w14:paraId="3A580157">
      <w:pPr>
        <w:pStyle w:val="2"/>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宋体"/>
          <w:lang w:val="en-US" w:eastAsia="zh-CN"/>
        </w:rPr>
      </w:pPr>
      <w:r>
        <w:rPr>
          <w:rFonts w:hint="eastAsia"/>
        </w:rPr>
        <w:t>废弃垃圾</w:t>
      </w:r>
      <w:r>
        <w:rPr>
          <w:rFonts w:hint="eastAsia" w:eastAsia="宋体"/>
          <w:kern w:val="0"/>
          <w:sz w:val="21"/>
          <w:szCs w:val="21"/>
        </w:rPr>
        <w:t>：</w:t>
      </w:r>
      <w:r>
        <w:rPr>
          <w:rFonts w:hint="eastAsia" w:ascii="宋体" w:hAnsi="宋体" w:eastAsia="宋体" w:cs="宋体"/>
          <w:kern w:val="0"/>
          <w:sz w:val="21"/>
          <w:szCs w:val="21"/>
        </w:rPr>
        <w:t>包含废弃物品、维修更换的废弃材料等</w:t>
      </w:r>
      <w:r>
        <w:rPr>
          <w:rFonts w:hint="eastAsia" w:eastAsia="宋体"/>
          <w:kern w:val="0"/>
          <w:sz w:val="21"/>
          <w:szCs w:val="21"/>
        </w:rPr>
        <w:t>。</w:t>
      </w:r>
    </w:p>
    <w:p w14:paraId="37C375B7">
      <w:pPr>
        <w:widowControl/>
        <w:adjustRightInd w:val="0"/>
        <w:snapToGrid w:val="0"/>
        <w:spacing w:line="360" w:lineRule="auto"/>
        <w:ind w:firstLine="422" w:firstLineChars="200"/>
        <w:jc w:val="left"/>
        <w:rPr>
          <w:rFonts w:eastAsia="宋体"/>
          <w:b/>
          <w:bCs/>
          <w:kern w:val="0"/>
          <w:sz w:val="21"/>
          <w:szCs w:val="21"/>
        </w:rPr>
      </w:pPr>
      <w:r>
        <w:rPr>
          <w:rFonts w:hint="eastAsia" w:eastAsia="宋体"/>
          <w:b/>
          <w:bCs/>
          <w:kern w:val="0"/>
          <w:sz w:val="21"/>
          <w:szCs w:val="21"/>
        </w:rPr>
        <w:t>四</w:t>
      </w:r>
      <w:r>
        <w:rPr>
          <w:rFonts w:eastAsia="宋体"/>
          <w:b/>
          <w:bCs/>
          <w:kern w:val="0"/>
          <w:sz w:val="21"/>
          <w:szCs w:val="21"/>
        </w:rPr>
        <w:t>、</w:t>
      </w:r>
      <w:r>
        <w:rPr>
          <w:rFonts w:hint="eastAsia"/>
          <w:b/>
          <w:bCs/>
          <w:kern w:val="0"/>
          <w:sz w:val="21"/>
          <w:szCs w:val="21"/>
          <w:lang w:eastAsia="zh-CN"/>
        </w:rPr>
        <w:t>服务</w:t>
      </w:r>
      <w:r>
        <w:rPr>
          <w:rFonts w:eastAsia="宋体"/>
          <w:b/>
          <w:bCs/>
          <w:kern w:val="0"/>
          <w:sz w:val="21"/>
          <w:szCs w:val="21"/>
        </w:rPr>
        <w:t xml:space="preserve">期限 </w:t>
      </w:r>
    </w:p>
    <w:p w14:paraId="32F8A544">
      <w:pPr>
        <w:widowControl/>
        <w:adjustRightInd w:val="0"/>
        <w:snapToGrid w:val="0"/>
        <w:spacing w:line="360" w:lineRule="auto"/>
        <w:ind w:firstLine="420" w:firstLineChars="200"/>
        <w:jc w:val="left"/>
        <w:rPr>
          <w:rFonts w:eastAsia="宋体"/>
          <w:color w:val="auto"/>
          <w:kern w:val="0"/>
          <w:sz w:val="21"/>
          <w:szCs w:val="21"/>
        </w:rPr>
      </w:pPr>
      <w:r>
        <w:rPr>
          <w:rFonts w:eastAsia="宋体"/>
          <w:color w:val="auto"/>
          <w:kern w:val="0"/>
          <w:sz w:val="21"/>
          <w:szCs w:val="21"/>
        </w:rPr>
        <w:t>成交单位</w:t>
      </w:r>
      <w:r>
        <w:rPr>
          <w:rFonts w:hint="eastAsia" w:eastAsia="宋体"/>
          <w:color w:val="auto"/>
          <w:kern w:val="0"/>
          <w:sz w:val="21"/>
          <w:szCs w:val="21"/>
        </w:rPr>
        <w:t>中标后，服务期限为两</w:t>
      </w:r>
      <w:r>
        <w:rPr>
          <w:rFonts w:eastAsia="宋体"/>
          <w:color w:val="auto"/>
          <w:kern w:val="0"/>
          <w:sz w:val="21"/>
          <w:szCs w:val="21"/>
        </w:rPr>
        <w:t>年</w:t>
      </w:r>
      <w:r>
        <w:rPr>
          <w:rFonts w:hint="eastAsia" w:eastAsia="宋体"/>
          <w:color w:val="auto"/>
          <w:kern w:val="0"/>
          <w:sz w:val="21"/>
          <w:szCs w:val="21"/>
        </w:rPr>
        <w:t>，</w:t>
      </w:r>
      <w:r>
        <w:rPr>
          <w:rFonts w:eastAsia="宋体"/>
          <w:color w:val="auto"/>
          <w:kern w:val="0"/>
          <w:sz w:val="21"/>
          <w:szCs w:val="21"/>
        </w:rPr>
        <w:t>自行考虑服务期内</w:t>
      </w:r>
      <w:r>
        <w:rPr>
          <w:rFonts w:hint="eastAsia" w:eastAsia="宋体"/>
          <w:color w:val="auto"/>
          <w:kern w:val="0"/>
          <w:sz w:val="21"/>
          <w:szCs w:val="21"/>
        </w:rPr>
        <w:t>油料、</w:t>
      </w:r>
      <w:r>
        <w:rPr>
          <w:rFonts w:eastAsia="宋体"/>
          <w:color w:val="auto"/>
          <w:kern w:val="0"/>
          <w:sz w:val="21"/>
          <w:szCs w:val="21"/>
        </w:rPr>
        <w:t xml:space="preserve">工资、社保调整因素，合同期内服务费用不再进行调整。 </w:t>
      </w:r>
    </w:p>
    <w:p w14:paraId="07273913">
      <w:pPr>
        <w:widowControl/>
        <w:adjustRightInd w:val="0"/>
        <w:snapToGrid w:val="0"/>
        <w:spacing w:line="360" w:lineRule="auto"/>
        <w:ind w:firstLine="422" w:firstLineChars="200"/>
        <w:jc w:val="left"/>
        <w:rPr>
          <w:rFonts w:eastAsia="宋体"/>
          <w:kern w:val="0"/>
          <w:sz w:val="21"/>
          <w:szCs w:val="21"/>
        </w:rPr>
      </w:pPr>
      <w:r>
        <w:rPr>
          <w:rFonts w:hint="eastAsia" w:eastAsia="宋体"/>
          <w:b/>
          <w:bCs/>
          <w:kern w:val="0"/>
          <w:sz w:val="21"/>
          <w:szCs w:val="21"/>
        </w:rPr>
        <w:t>三</w:t>
      </w:r>
      <w:r>
        <w:rPr>
          <w:rFonts w:eastAsia="宋体"/>
          <w:b/>
          <w:bCs/>
          <w:kern w:val="0"/>
          <w:sz w:val="21"/>
          <w:szCs w:val="21"/>
        </w:rPr>
        <w:t>、</w:t>
      </w:r>
      <w:r>
        <w:rPr>
          <w:rFonts w:hint="eastAsia" w:eastAsia="宋体"/>
          <w:b/>
          <w:bCs/>
          <w:kern w:val="0"/>
          <w:sz w:val="21"/>
          <w:szCs w:val="21"/>
        </w:rPr>
        <w:t>企业基本</w:t>
      </w:r>
      <w:r>
        <w:rPr>
          <w:rFonts w:eastAsia="宋体"/>
          <w:b/>
          <w:bCs/>
          <w:kern w:val="0"/>
          <w:sz w:val="21"/>
          <w:szCs w:val="21"/>
        </w:rPr>
        <w:t>要求</w:t>
      </w:r>
      <w:r>
        <w:rPr>
          <w:rFonts w:eastAsia="宋体"/>
          <w:kern w:val="0"/>
          <w:sz w:val="21"/>
          <w:szCs w:val="21"/>
        </w:rPr>
        <w:t xml:space="preserve"> </w:t>
      </w:r>
    </w:p>
    <w:p w14:paraId="1371FEDC">
      <w:pPr>
        <w:widowControl/>
        <w:adjustRightInd w:val="0"/>
        <w:snapToGrid w:val="0"/>
        <w:spacing w:line="360" w:lineRule="auto"/>
        <w:ind w:firstLine="422" w:firstLineChars="200"/>
        <w:jc w:val="left"/>
        <w:rPr>
          <w:rFonts w:eastAsia="宋体"/>
          <w:b/>
          <w:bCs/>
          <w:kern w:val="0"/>
          <w:sz w:val="21"/>
          <w:szCs w:val="21"/>
        </w:rPr>
      </w:pPr>
      <w:r>
        <w:rPr>
          <w:rFonts w:hint="eastAsia" w:eastAsia="宋体"/>
          <w:b/>
          <w:bCs/>
          <w:kern w:val="0"/>
          <w:sz w:val="21"/>
          <w:szCs w:val="21"/>
        </w:rPr>
        <w:t>（1）基本</w:t>
      </w:r>
      <w:r>
        <w:rPr>
          <w:rFonts w:eastAsia="宋体"/>
          <w:b/>
          <w:bCs/>
          <w:kern w:val="0"/>
          <w:sz w:val="21"/>
          <w:szCs w:val="21"/>
        </w:rPr>
        <w:t xml:space="preserve">要求 </w:t>
      </w:r>
    </w:p>
    <w:p w14:paraId="51BCBCB6">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1、垃圾清运公司建有较完整的规章制度和垃圾清运措施。</w:t>
      </w:r>
    </w:p>
    <w:p w14:paraId="02EE8ED6">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2、</w:t>
      </w:r>
      <w:r>
        <w:rPr>
          <w:rFonts w:hint="eastAsia"/>
          <w:kern w:val="0"/>
          <w:sz w:val="21"/>
          <w:szCs w:val="21"/>
          <w:lang w:val="en-US" w:eastAsia="zh-CN"/>
        </w:rPr>
        <w:t>供应商</w:t>
      </w:r>
      <w:r>
        <w:rPr>
          <w:rFonts w:eastAsia="宋体"/>
          <w:kern w:val="0"/>
          <w:sz w:val="21"/>
          <w:szCs w:val="21"/>
        </w:rPr>
        <w:t xml:space="preserve">不得将成交的垃圾清运业务全部或部分转包给其他任何第三方。 </w:t>
      </w:r>
    </w:p>
    <w:p w14:paraId="60EA57B8">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3、</w:t>
      </w:r>
      <w:r>
        <w:rPr>
          <w:rFonts w:hint="eastAsia"/>
          <w:kern w:val="0"/>
          <w:sz w:val="21"/>
          <w:szCs w:val="21"/>
          <w:lang w:eastAsia="zh-CN"/>
        </w:rPr>
        <w:t>供应商</w:t>
      </w:r>
      <w:r>
        <w:rPr>
          <w:rFonts w:eastAsia="宋体"/>
          <w:kern w:val="0"/>
          <w:sz w:val="21"/>
          <w:szCs w:val="21"/>
        </w:rPr>
        <w:t xml:space="preserve">清运垃圾应符合安全操作规范和有关环保法规。 </w:t>
      </w:r>
    </w:p>
    <w:p w14:paraId="410B27C8">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4、</w:t>
      </w:r>
      <w:r>
        <w:rPr>
          <w:rFonts w:hint="eastAsia"/>
          <w:kern w:val="0"/>
          <w:sz w:val="21"/>
          <w:szCs w:val="21"/>
          <w:lang w:eastAsia="zh-CN"/>
        </w:rPr>
        <w:t>供应商</w:t>
      </w:r>
      <w:r>
        <w:rPr>
          <w:rFonts w:eastAsia="宋体"/>
          <w:kern w:val="0"/>
          <w:sz w:val="21"/>
          <w:szCs w:val="21"/>
        </w:rPr>
        <w:t>必须遵守政府部门关于生活垃圾收集、运输、倾倒、处理的有关规定，将外运垃圾运送到政府部门规定的垃圾倾倒处理点，否则由此引起的一切经济处罚、矛盾纠纷由</w:t>
      </w:r>
      <w:r>
        <w:rPr>
          <w:rFonts w:hint="eastAsia"/>
          <w:kern w:val="0"/>
          <w:sz w:val="21"/>
          <w:szCs w:val="21"/>
          <w:lang w:eastAsia="zh-CN"/>
        </w:rPr>
        <w:t>供应商</w:t>
      </w:r>
      <w:r>
        <w:rPr>
          <w:rFonts w:eastAsia="宋体"/>
          <w:kern w:val="0"/>
          <w:sz w:val="21"/>
          <w:szCs w:val="21"/>
        </w:rPr>
        <w:t xml:space="preserve">自行承担。 </w:t>
      </w:r>
    </w:p>
    <w:p w14:paraId="3506C043">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5、在合同期内因政府</w:t>
      </w:r>
      <w:r>
        <w:rPr>
          <w:rFonts w:hint="eastAsia" w:eastAsia="宋体"/>
          <w:kern w:val="0"/>
          <w:sz w:val="21"/>
          <w:szCs w:val="21"/>
        </w:rPr>
        <w:t>垃圾分类及不可</w:t>
      </w:r>
      <w:r>
        <w:rPr>
          <w:rFonts w:hint="eastAsia"/>
          <w:kern w:val="0"/>
          <w:sz w:val="21"/>
          <w:szCs w:val="21"/>
          <w:lang w:eastAsia="zh-CN"/>
        </w:rPr>
        <w:t>抗力</w:t>
      </w:r>
      <w:r>
        <w:rPr>
          <w:rFonts w:hint="eastAsia" w:eastAsia="宋体"/>
          <w:kern w:val="0"/>
          <w:sz w:val="21"/>
          <w:szCs w:val="21"/>
        </w:rPr>
        <w:t>因素</w:t>
      </w:r>
      <w:r>
        <w:rPr>
          <w:rFonts w:eastAsia="宋体"/>
          <w:kern w:val="0"/>
          <w:sz w:val="21"/>
          <w:szCs w:val="21"/>
        </w:rPr>
        <w:t>原因，导致合同终止，需提前以书面形式通知</w:t>
      </w:r>
      <w:r>
        <w:rPr>
          <w:rFonts w:hint="eastAsia" w:eastAsia="宋体"/>
          <w:kern w:val="0"/>
          <w:sz w:val="21"/>
          <w:szCs w:val="21"/>
        </w:rPr>
        <w:t>。</w:t>
      </w:r>
    </w:p>
    <w:p w14:paraId="54C87A65">
      <w:pPr>
        <w:widowControl/>
        <w:adjustRightInd w:val="0"/>
        <w:snapToGrid w:val="0"/>
        <w:spacing w:line="360" w:lineRule="auto"/>
        <w:ind w:firstLine="422" w:firstLineChars="200"/>
        <w:jc w:val="left"/>
        <w:rPr>
          <w:rFonts w:eastAsia="宋体"/>
          <w:b/>
          <w:bCs/>
          <w:kern w:val="0"/>
          <w:sz w:val="21"/>
          <w:szCs w:val="21"/>
        </w:rPr>
      </w:pPr>
      <w:r>
        <w:rPr>
          <w:rFonts w:hint="eastAsia" w:eastAsia="宋体"/>
          <w:b/>
          <w:bCs/>
          <w:kern w:val="0"/>
          <w:sz w:val="21"/>
          <w:szCs w:val="21"/>
        </w:rPr>
        <w:t>（2）防疫要求</w:t>
      </w:r>
      <w:r>
        <w:rPr>
          <w:rFonts w:eastAsia="宋体"/>
          <w:b/>
          <w:bCs/>
          <w:kern w:val="0"/>
          <w:sz w:val="21"/>
          <w:szCs w:val="21"/>
        </w:rPr>
        <w:t xml:space="preserve"> </w:t>
      </w:r>
    </w:p>
    <w:p w14:paraId="67CBD56A">
      <w:pPr>
        <w:widowControl/>
        <w:adjustRightInd w:val="0"/>
        <w:snapToGrid w:val="0"/>
        <w:spacing w:line="360" w:lineRule="auto"/>
        <w:ind w:firstLine="420" w:firstLineChars="200"/>
        <w:jc w:val="left"/>
        <w:rPr>
          <w:rFonts w:eastAsia="宋体"/>
          <w:kern w:val="0"/>
          <w:sz w:val="21"/>
          <w:szCs w:val="21"/>
        </w:rPr>
      </w:pPr>
      <w:r>
        <w:rPr>
          <w:rFonts w:hint="eastAsia"/>
          <w:kern w:val="0"/>
          <w:sz w:val="21"/>
          <w:szCs w:val="21"/>
          <w:lang w:eastAsia="zh-CN"/>
        </w:rPr>
        <w:t>供应商</w:t>
      </w:r>
      <w:r>
        <w:rPr>
          <w:rFonts w:eastAsia="宋体"/>
          <w:kern w:val="0"/>
          <w:sz w:val="21"/>
          <w:szCs w:val="21"/>
        </w:rPr>
        <w:t>必须严格遵守采购人防疫要求，在规定时间内提供相关防疫证明。成交单位指派服务人员要求：必须持有身份证、暂住证、健康证、无刑事犯罪记录。</w:t>
      </w:r>
    </w:p>
    <w:p w14:paraId="00054D29">
      <w:pPr>
        <w:widowControl/>
        <w:adjustRightInd w:val="0"/>
        <w:snapToGrid w:val="0"/>
        <w:spacing w:line="360" w:lineRule="auto"/>
        <w:ind w:firstLine="422" w:firstLineChars="200"/>
        <w:jc w:val="left"/>
        <w:rPr>
          <w:rFonts w:eastAsia="宋体"/>
          <w:b/>
          <w:bCs/>
          <w:kern w:val="0"/>
          <w:sz w:val="21"/>
          <w:szCs w:val="21"/>
        </w:rPr>
      </w:pPr>
      <w:r>
        <w:rPr>
          <w:rFonts w:hint="eastAsia" w:eastAsia="宋体"/>
          <w:b/>
          <w:bCs/>
          <w:kern w:val="0"/>
          <w:sz w:val="21"/>
          <w:szCs w:val="21"/>
        </w:rPr>
        <w:t>（</w:t>
      </w:r>
      <w:r>
        <w:rPr>
          <w:rFonts w:eastAsia="宋体"/>
          <w:b/>
          <w:bCs/>
          <w:kern w:val="0"/>
          <w:sz w:val="21"/>
          <w:szCs w:val="21"/>
        </w:rPr>
        <w:t>3</w:t>
      </w:r>
      <w:r>
        <w:rPr>
          <w:rFonts w:hint="eastAsia" w:eastAsia="宋体"/>
          <w:b/>
          <w:bCs/>
          <w:kern w:val="0"/>
          <w:sz w:val="21"/>
          <w:szCs w:val="21"/>
        </w:rPr>
        <w:t>）人员要求</w:t>
      </w:r>
      <w:r>
        <w:rPr>
          <w:rFonts w:eastAsia="宋体"/>
          <w:b/>
          <w:bCs/>
          <w:kern w:val="0"/>
          <w:sz w:val="21"/>
          <w:szCs w:val="21"/>
        </w:rPr>
        <w:t xml:space="preserve"> </w:t>
      </w:r>
    </w:p>
    <w:p w14:paraId="25050E96">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1、岗位分工明确，配备人员</w:t>
      </w:r>
      <w:r>
        <w:rPr>
          <w:rFonts w:hint="eastAsia"/>
          <w:kern w:val="0"/>
          <w:sz w:val="21"/>
          <w:szCs w:val="21"/>
          <w:lang w:eastAsia="zh-CN"/>
        </w:rPr>
        <w:t>分为</w:t>
      </w:r>
      <w:r>
        <w:rPr>
          <w:rFonts w:eastAsia="宋体"/>
          <w:kern w:val="0"/>
          <w:sz w:val="21"/>
          <w:szCs w:val="21"/>
        </w:rPr>
        <w:t xml:space="preserve">专业技术员和普工。 </w:t>
      </w:r>
    </w:p>
    <w:p w14:paraId="4A4F3490">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 xml:space="preserve">2、有规范巡查制度、考核和奖惩办法。 </w:t>
      </w:r>
    </w:p>
    <w:p w14:paraId="424FC7E8">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3、所属员工必须严格遵守操作规程，按照《</w:t>
      </w:r>
      <w:r>
        <w:rPr>
          <w:rFonts w:hint="eastAsia"/>
          <w:kern w:val="0"/>
          <w:sz w:val="21"/>
          <w:szCs w:val="21"/>
          <w:lang w:eastAsia="zh-CN"/>
        </w:rPr>
        <w:t>中华人民共和国劳动合同法</w:t>
      </w:r>
      <w:r>
        <w:rPr>
          <w:rFonts w:eastAsia="宋体"/>
          <w:kern w:val="0"/>
          <w:sz w:val="21"/>
          <w:szCs w:val="21"/>
        </w:rPr>
        <w:t>》规范用工，</w:t>
      </w:r>
      <w:r>
        <w:rPr>
          <w:rFonts w:hint="eastAsia"/>
          <w:kern w:val="0"/>
          <w:sz w:val="21"/>
          <w:szCs w:val="21"/>
          <w:lang w:eastAsia="zh-CN"/>
        </w:rPr>
        <w:t>供应商</w:t>
      </w:r>
      <w:r>
        <w:rPr>
          <w:rFonts w:eastAsia="宋体"/>
          <w:kern w:val="0"/>
          <w:sz w:val="21"/>
          <w:szCs w:val="21"/>
        </w:rPr>
        <w:t>所聘用人员的一切劳务及人身、财产安全纠纷均与校方无关。成交单位</w:t>
      </w:r>
      <w:r>
        <w:rPr>
          <w:rFonts w:hint="eastAsia" w:eastAsia="宋体"/>
          <w:kern w:val="0"/>
          <w:sz w:val="21"/>
          <w:szCs w:val="21"/>
        </w:rPr>
        <w:t>（投标人）</w:t>
      </w:r>
      <w:r>
        <w:rPr>
          <w:rFonts w:eastAsia="宋体"/>
          <w:kern w:val="0"/>
          <w:sz w:val="21"/>
          <w:szCs w:val="21"/>
        </w:rPr>
        <w:t xml:space="preserve">对其工作人员在学校一切行为负责。 </w:t>
      </w:r>
    </w:p>
    <w:p w14:paraId="1D119FE5">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4、</w:t>
      </w:r>
      <w:r>
        <w:rPr>
          <w:rFonts w:hint="eastAsia"/>
          <w:kern w:val="0"/>
          <w:sz w:val="21"/>
          <w:szCs w:val="21"/>
          <w:lang w:eastAsia="zh-CN"/>
        </w:rPr>
        <w:t>供应商</w:t>
      </w:r>
      <w:r>
        <w:rPr>
          <w:rFonts w:eastAsia="宋体"/>
          <w:kern w:val="0"/>
          <w:sz w:val="21"/>
          <w:szCs w:val="21"/>
        </w:rPr>
        <w:t>使用员工能够胜任所从事的专业操作，要遵守学校内部规章制度，无违法行为。行为规范符合公民道德要求，在</w:t>
      </w:r>
      <w:r>
        <w:rPr>
          <w:rFonts w:hint="eastAsia" w:eastAsia="宋体"/>
          <w:kern w:val="0"/>
          <w:sz w:val="21"/>
          <w:szCs w:val="21"/>
        </w:rPr>
        <w:t>甲</w:t>
      </w:r>
      <w:r>
        <w:rPr>
          <w:rFonts w:eastAsia="宋体"/>
          <w:kern w:val="0"/>
          <w:sz w:val="21"/>
          <w:szCs w:val="21"/>
        </w:rPr>
        <w:t>方区域内应主动服从</w:t>
      </w:r>
      <w:r>
        <w:rPr>
          <w:rFonts w:hint="eastAsia" w:eastAsia="宋体"/>
          <w:kern w:val="0"/>
          <w:sz w:val="21"/>
          <w:szCs w:val="21"/>
        </w:rPr>
        <w:t>校</w:t>
      </w:r>
      <w:r>
        <w:rPr>
          <w:rFonts w:eastAsia="宋体"/>
          <w:kern w:val="0"/>
          <w:sz w:val="21"/>
          <w:szCs w:val="21"/>
        </w:rPr>
        <w:t xml:space="preserve">方的管理。同时，具有责任心强，爱岗敬业，吃苦耐劳的精神。统一着装，规范服务。 </w:t>
      </w:r>
    </w:p>
    <w:p w14:paraId="28667DF1">
      <w:pPr>
        <w:widowControl/>
        <w:adjustRightInd w:val="0"/>
        <w:snapToGrid w:val="0"/>
        <w:spacing w:line="360" w:lineRule="auto"/>
        <w:ind w:firstLine="422" w:firstLineChars="200"/>
        <w:jc w:val="left"/>
        <w:rPr>
          <w:rFonts w:eastAsia="宋体"/>
          <w:kern w:val="0"/>
          <w:sz w:val="21"/>
          <w:szCs w:val="21"/>
        </w:rPr>
      </w:pPr>
      <w:r>
        <w:rPr>
          <w:rFonts w:hint="eastAsia" w:eastAsia="宋体"/>
          <w:b/>
          <w:bCs/>
          <w:kern w:val="0"/>
          <w:sz w:val="21"/>
          <w:szCs w:val="21"/>
        </w:rPr>
        <w:t>（</w:t>
      </w:r>
      <w:r>
        <w:rPr>
          <w:rFonts w:eastAsia="宋体"/>
          <w:b/>
          <w:bCs/>
          <w:kern w:val="0"/>
          <w:sz w:val="21"/>
          <w:szCs w:val="21"/>
        </w:rPr>
        <w:t>4</w:t>
      </w:r>
      <w:r>
        <w:rPr>
          <w:rFonts w:hint="eastAsia" w:eastAsia="宋体"/>
          <w:b/>
          <w:bCs/>
          <w:kern w:val="0"/>
          <w:sz w:val="21"/>
          <w:szCs w:val="21"/>
        </w:rPr>
        <w:t>）机械车辆要求</w:t>
      </w:r>
    </w:p>
    <w:p w14:paraId="58FB1AEE">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1、</w:t>
      </w:r>
      <w:r>
        <w:rPr>
          <w:rFonts w:hint="eastAsia"/>
          <w:kern w:val="0"/>
          <w:sz w:val="21"/>
          <w:szCs w:val="21"/>
          <w:lang w:eastAsia="zh-CN"/>
        </w:rPr>
        <w:t>供应商</w:t>
      </w:r>
      <w:r>
        <w:rPr>
          <w:rFonts w:eastAsia="宋体"/>
          <w:kern w:val="0"/>
          <w:sz w:val="21"/>
          <w:szCs w:val="21"/>
        </w:rPr>
        <w:t>在</w:t>
      </w:r>
      <w:r>
        <w:rPr>
          <w:rFonts w:hint="eastAsia" w:eastAsia="宋体"/>
          <w:kern w:val="0"/>
          <w:sz w:val="21"/>
          <w:szCs w:val="21"/>
        </w:rPr>
        <w:t>校</w:t>
      </w:r>
      <w:r>
        <w:rPr>
          <w:rFonts w:eastAsia="宋体"/>
          <w:kern w:val="0"/>
          <w:sz w:val="21"/>
          <w:szCs w:val="21"/>
        </w:rPr>
        <w:t>方服务区域内的生活垃圾专用车应手续齐全、有效、合法，车辆性能完全满足需要。</w:t>
      </w:r>
    </w:p>
    <w:p w14:paraId="6F830A13">
      <w:pPr>
        <w:widowControl/>
        <w:adjustRightInd w:val="0"/>
        <w:snapToGrid w:val="0"/>
        <w:spacing w:line="360" w:lineRule="auto"/>
        <w:ind w:firstLine="420" w:firstLineChars="200"/>
        <w:jc w:val="left"/>
        <w:rPr>
          <w:rFonts w:eastAsia="宋体"/>
          <w:color w:val="auto"/>
          <w:kern w:val="0"/>
          <w:sz w:val="21"/>
          <w:szCs w:val="21"/>
        </w:rPr>
      </w:pPr>
      <w:r>
        <w:rPr>
          <w:rFonts w:eastAsia="宋体"/>
          <w:color w:val="auto"/>
          <w:kern w:val="0"/>
          <w:sz w:val="21"/>
          <w:szCs w:val="21"/>
        </w:rPr>
        <w:t>2</w:t>
      </w:r>
      <w:r>
        <w:rPr>
          <w:rFonts w:hint="eastAsia" w:eastAsia="宋体"/>
          <w:color w:val="auto"/>
          <w:kern w:val="0"/>
          <w:sz w:val="21"/>
          <w:szCs w:val="21"/>
        </w:rPr>
        <w:t>、</w:t>
      </w:r>
      <w:r>
        <w:rPr>
          <w:rFonts w:hint="eastAsia"/>
          <w:color w:val="auto"/>
          <w:kern w:val="0"/>
          <w:sz w:val="21"/>
          <w:szCs w:val="21"/>
          <w:lang w:eastAsia="zh-CN"/>
        </w:rPr>
        <w:t>供应商</w:t>
      </w:r>
      <w:r>
        <w:rPr>
          <w:rFonts w:eastAsia="宋体"/>
          <w:color w:val="auto"/>
          <w:kern w:val="0"/>
          <w:sz w:val="21"/>
          <w:szCs w:val="21"/>
        </w:rPr>
        <w:t>所配备清运车辆不得低于3台。其中</w:t>
      </w:r>
      <w:r>
        <w:rPr>
          <w:rFonts w:hint="eastAsia" w:eastAsia="宋体"/>
          <w:color w:val="auto"/>
          <w:kern w:val="0"/>
          <w:sz w:val="21"/>
          <w:szCs w:val="21"/>
        </w:rPr>
        <w:t>三轮</w:t>
      </w:r>
      <w:r>
        <w:rPr>
          <w:rFonts w:eastAsia="宋体"/>
          <w:color w:val="auto"/>
          <w:kern w:val="0"/>
          <w:sz w:val="21"/>
          <w:szCs w:val="21"/>
        </w:rPr>
        <w:t>车1</w:t>
      </w:r>
      <w:r>
        <w:rPr>
          <w:rFonts w:hint="eastAsia" w:eastAsia="宋体"/>
          <w:color w:val="auto"/>
          <w:kern w:val="0"/>
          <w:sz w:val="21"/>
          <w:szCs w:val="21"/>
        </w:rPr>
        <w:t>辆</w:t>
      </w:r>
      <w:r>
        <w:rPr>
          <w:rFonts w:eastAsia="宋体"/>
          <w:color w:val="auto"/>
          <w:kern w:val="0"/>
          <w:sz w:val="21"/>
          <w:szCs w:val="21"/>
        </w:rPr>
        <w:t>以上，14方以上</w:t>
      </w:r>
      <w:r>
        <w:rPr>
          <w:rFonts w:hint="eastAsia" w:eastAsia="宋体"/>
          <w:color w:val="auto"/>
          <w:kern w:val="0"/>
          <w:sz w:val="21"/>
          <w:szCs w:val="21"/>
        </w:rPr>
        <w:t>垃圾</w:t>
      </w:r>
      <w:r>
        <w:rPr>
          <w:rFonts w:eastAsia="宋体"/>
          <w:color w:val="auto"/>
          <w:kern w:val="0"/>
          <w:sz w:val="21"/>
          <w:szCs w:val="21"/>
        </w:rPr>
        <w:t>压缩车</w:t>
      </w:r>
      <w:r>
        <w:rPr>
          <w:rFonts w:hint="eastAsia" w:eastAsia="宋体"/>
          <w:color w:val="auto"/>
          <w:kern w:val="0"/>
          <w:sz w:val="21"/>
          <w:szCs w:val="21"/>
        </w:rPr>
        <w:t>1辆</w:t>
      </w:r>
      <w:r>
        <w:rPr>
          <w:rFonts w:eastAsia="宋体"/>
          <w:color w:val="auto"/>
          <w:kern w:val="0"/>
          <w:sz w:val="21"/>
          <w:szCs w:val="21"/>
        </w:rPr>
        <w:t>以上</w:t>
      </w:r>
      <w:r>
        <w:rPr>
          <w:rFonts w:hint="eastAsia" w:eastAsia="宋体"/>
          <w:color w:val="auto"/>
          <w:kern w:val="0"/>
          <w:sz w:val="21"/>
          <w:szCs w:val="21"/>
        </w:rPr>
        <w:t>，自重3吨以上的铲车1辆以上</w:t>
      </w:r>
      <w:r>
        <w:rPr>
          <w:rFonts w:hint="eastAsia"/>
          <w:color w:val="auto"/>
          <w:kern w:val="0"/>
          <w:sz w:val="21"/>
          <w:szCs w:val="21"/>
          <w:lang w:eastAsia="zh-CN"/>
        </w:rPr>
        <w:t>，</w:t>
      </w:r>
      <w:r>
        <w:rPr>
          <w:rFonts w:hint="eastAsia"/>
          <w:color w:val="auto"/>
          <w:kern w:val="0"/>
          <w:sz w:val="21"/>
          <w:szCs w:val="21"/>
          <w:lang w:val="en-US" w:eastAsia="zh-CN"/>
        </w:rPr>
        <w:t>钩臂车1辆以上</w:t>
      </w:r>
      <w:r>
        <w:rPr>
          <w:rFonts w:eastAsia="宋体"/>
          <w:color w:val="auto"/>
          <w:kern w:val="0"/>
          <w:sz w:val="21"/>
          <w:szCs w:val="21"/>
        </w:rPr>
        <w:t>。作业车辆驾驶员驾龄五年以上，专业从事垃圾清运行业三年以上，要持有与所驾驶车辆相匹配的驾驶证上岗。</w:t>
      </w:r>
    </w:p>
    <w:p w14:paraId="4BE8A243">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3、</w:t>
      </w:r>
      <w:r>
        <w:rPr>
          <w:rFonts w:hint="eastAsia"/>
          <w:kern w:val="0"/>
          <w:sz w:val="21"/>
          <w:szCs w:val="21"/>
          <w:lang w:eastAsia="zh-CN"/>
        </w:rPr>
        <w:t>供应商</w:t>
      </w:r>
      <w:r>
        <w:rPr>
          <w:rFonts w:eastAsia="宋体"/>
          <w:kern w:val="0"/>
          <w:sz w:val="21"/>
          <w:szCs w:val="21"/>
        </w:rPr>
        <w:t>进入校园内的清运车辆必须外观整洁、车况良好，并符合政府部门的有关规定，机动车尾气、</w:t>
      </w:r>
      <w:r>
        <w:rPr>
          <w:rFonts w:hint="eastAsia"/>
          <w:kern w:val="0"/>
          <w:sz w:val="21"/>
          <w:szCs w:val="21"/>
          <w:lang w:eastAsia="zh-CN"/>
        </w:rPr>
        <w:t>噪声</w:t>
      </w:r>
      <w:r>
        <w:rPr>
          <w:rFonts w:eastAsia="宋体"/>
          <w:kern w:val="0"/>
          <w:sz w:val="21"/>
          <w:szCs w:val="21"/>
        </w:rPr>
        <w:t>等各项指标达到规定的检测标准，做好防污染措施；必须遵守校园车辆管理制度，车辆在</w:t>
      </w:r>
      <w:r>
        <w:rPr>
          <w:rFonts w:hint="eastAsia"/>
          <w:kern w:val="0"/>
          <w:sz w:val="21"/>
          <w:szCs w:val="21"/>
          <w:lang w:eastAsia="zh-CN"/>
        </w:rPr>
        <w:t>行驶</w:t>
      </w:r>
      <w:r>
        <w:rPr>
          <w:rFonts w:eastAsia="宋体"/>
          <w:kern w:val="0"/>
          <w:sz w:val="21"/>
          <w:szCs w:val="21"/>
        </w:rPr>
        <w:t>过程中不得沿途</w:t>
      </w:r>
      <w:r>
        <w:rPr>
          <w:rFonts w:hint="eastAsia"/>
          <w:kern w:val="0"/>
          <w:sz w:val="21"/>
          <w:szCs w:val="21"/>
          <w:lang w:eastAsia="zh-CN"/>
        </w:rPr>
        <w:t>洒落</w:t>
      </w:r>
      <w:r>
        <w:rPr>
          <w:rFonts w:eastAsia="宋体"/>
          <w:kern w:val="0"/>
          <w:sz w:val="21"/>
          <w:szCs w:val="21"/>
        </w:rPr>
        <w:t xml:space="preserve">、遗漏垃圾。 </w:t>
      </w:r>
    </w:p>
    <w:p w14:paraId="75B23C74">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4、在工作过程中要遵守交通规则，文明礼让，文明行车、停车，谨防车辆</w:t>
      </w:r>
      <w:r>
        <w:rPr>
          <w:rFonts w:hint="eastAsia"/>
          <w:kern w:val="0"/>
          <w:sz w:val="21"/>
          <w:szCs w:val="21"/>
          <w:lang w:eastAsia="zh-CN"/>
        </w:rPr>
        <w:t>剐蹭</w:t>
      </w:r>
      <w:r>
        <w:rPr>
          <w:rFonts w:eastAsia="宋体"/>
          <w:kern w:val="0"/>
          <w:sz w:val="21"/>
          <w:szCs w:val="21"/>
        </w:rPr>
        <w:t>情况出现，避免发生不必要的矛盾。在服务区内应当遵守校方的有关规定及制度要求，在服务区内禁止鸣笛，如在工作区内有交通管制或重大活动，应当礼貌避让。因垃圾清运公司的工作人员原因给他人或校方造成的人员或财产损害的</w:t>
      </w:r>
      <w:r>
        <w:rPr>
          <w:rFonts w:hint="eastAsia" w:eastAsia="宋体"/>
          <w:kern w:val="0"/>
          <w:sz w:val="21"/>
          <w:szCs w:val="21"/>
        </w:rPr>
        <w:t>，</w:t>
      </w:r>
      <w:r>
        <w:rPr>
          <w:rFonts w:eastAsia="宋体"/>
          <w:kern w:val="0"/>
          <w:sz w:val="21"/>
          <w:szCs w:val="21"/>
        </w:rPr>
        <w:t>由垃圾清运公司和其当事员工承担赔偿责任。</w:t>
      </w:r>
    </w:p>
    <w:p w14:paraId="0388853A">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5、</w:t>
      </w:r>
      <w:r>
        <w:rPr>
          <w:rFonts w:hint="eastAsia"/>
          <w:kern w:val="0"/>
          <w:sz w:val="21"/>
          <w:szCs w:val="21"/>
          <w:lang w:eastAsia="zh-CN"/>
        </w:rPr>
        <w:t>供应商</w:t>
      </w:r>
      <w:r>
        <w:rPr>
          <w:rFonts w:eastAsia="宋体"/>
          <w:kern w:val="0"/>
          <w:sz w:val="21"/>
          <w:szCs w:val="21"/>
        </w:rPr>
        <w:t>在垃圾外运时应做到安全、有序。</w:t>
      </w:r>
      <w:r>
        <w:rPr>
          <w:rFonts w:hint="eastAsia"/>
          <w:kern w:val="0"/>
          <w:sz w:val="21"/>
          <w:szCs w:val="21"/>
          <w:lang w:eastAsia="zh-CN"/>
        </w:rPr>
        <w:t>供应商</w:t>
      </w:r>
      <w:r>
        <w:rPr>
          <w:rFonts w:eastAsia="宋体"/>
          <w:kern w:val="0"/>
          <w:sz w:val="21"/>
          <w:szCs w:val="21"/>
        </w:rPr>
        <w:t>在垃圾外运工作时，发生伤亡、车辆损坏、交通纠纷等安全事故等责任由</w:t>
      </w:r>
      <w:r>
        <w:rPr>
          <w:rFonts w:hint="eastAsia"/>
          <w:kern w:val="0"/>
          <w:sz w:val="21"/>
          <w:szCs w:val="21"/>
          <w:lang w:eastAsia="zh-CN"/>
        </w:rPr>
        <w:t>供应商</w:t>
      </w:r>
      <w:r>
        <w:rPr>
          <w:rFonts w:eastAsia="宋体"/>
          <w:kern w:val="0"/>
          <w:sz w:val="21"/>
          <w:szCs w:val="21"/>
        </w:rPr>
        <w:t xml:space="preserve">自负，招标人不承担任何责任。 </w:t>
      </w:r>
    </w:p>
    <w:p w14:paraId="62E324BD">
      <w:pPr>
        <w:widowControl/>
        <w:adjustRightInd w:val="0"/>
        <w:snapToGrid w:val="0"/>
        <w:spacing w:line="360" w:lineRule="auto"/>
        <w:ind w:firstLine="422" w:firstLineChars="200"/>
        <w:jc w:val="left"/>
        <w:rPr>
          <w:rFonts w:eastAsia="宋体"/>
          <w:kern w:val="0"/>
          <w:sz w:val="21"/>
          <w:szCs w:val="21"/>
        </w:rPr>
      </w:pPr>
      <w:r>
        <w:rPr>
          <w:rFonts w:hint="eastAsia" w:eastAsia="宋体"/>
          <w:b/>
          <w:bCs/>
          <w:kern w:val="0"/>
          <w:sz w:val="21"/>
          <w:szCs w:val="21"/>
        </w:rPr>
        <w:t>五</w:t>
      </w:r>
      <w:r>
        <w:rPr>
          <w:rFonts w:eastAsia="宋体"/>
          <w:b/>
          <w:bCs/>
          <w:kern w:val="0"/>
          <w:sz w:val="21"/>
          <w:szCs w:val="21"/>
        </w:rPr>
        <w:t>、服务的标准</w:t>
      </w:r>
    </w:p>
    <w:p w14:paraId="7649447D">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 xml:space="preserve">1、服务区域的生活垃圾清运费采取一次性包干形式，学校不再承担合同以外的其他任何费用。 </w:t>
      </w:r>
    </w:p>
    <w:p w14:paraId="650A5175">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2、</w:t>
      </w:r>
      <w:r>
        <w:rPr>
          <w:rFonts w:hint="eastAsia"/>
          <w:kern w:val="0"/>
          <w:sz w:val="21"/>
          <w:szCs w:val="21"/>
          <w:lang w:eastAsia="zh-CN"/>
        </w:rPr>
        <w:t>供应商</w:t>
      </w:r>
      <w:r>
        <w:rPr>
          <w:rFonts w:eastAsia="宋体"/>
          <w:kern w:val="0"/>
          <w:sz w:val="21"/>
          <w:szCs w:val="21"/>
        </w:rPr>
        <w:t>每天需要将</w:t>
      </w:r>
      <w:r>
        <w:rPr>
          <w:rFonts w:hint="eastAsia" w:eastAsia="宋体"/>
          <w:kern w:val="0"/>
          <w:sz w:val="21"/>
          <w:szCs w:val="21"/>
        </w:rPr>
        <w:t>校园</w:t>
      </w:r>
      <w:r>
        <w:rPr>
          <w:rFonts w:eastAsia="宋体"/>
          <w:kern w:val="0"/>
          <w:sz w:val="21"/>
          <w:szCs w:val="21"/>
        </w:rPr>
        <w:t>内</w:t>
      </w:r>
      <w:r>
        <w:rPr>
          <w:rFonts w:hint="eastAsia" w:eastAsia="宋体"/>
          <w:kern w:val="0"/>
          <w:sz w:val="21"/>
          <w:szCs w:val="21"/>
        </w:rPr>
        <w:t>各收集点</w:t>
      </w:r>
      <w:r>
        <w:rPr>
          <w:rFonts w:eastAsia="宋体"/>
          <w:kern w:val="0"/>
          <w:sz w:val="21"/>
          <w:szCs w:val="21"/>
        </w:rPr>
        <w:t xml:space="preserve">的垃圾清运至政府部门指定的垃圾处理场，做到日产日清、不积压。 </w:t>
      </w:r>
    </w:p>
    <w:p w14:paraId="20C98935">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3、</w:t>
      </w:r>
      <w:r>
        <w:rPr>
          <w:rFonts w:hint="eastAsia"/>
          <w:kern w:val="0"/>
          <w:sz w:val="21"/>
          <w:szCs w:val="21"/>
          <w:lang w:eastAsia="zh-CN"/>
        </w:rPr>
        <w:t>供应商</w:t>
      </w:r>
      <w:r>
        <w:rPr>
          <w:rFonts w:eastAsia="宋体"/>
          <w:kern w:val="0"/>
          <w:sz w:val="21"/>
          <w:szCs w:val="21"/>
        </w:rPr>
        <w:t>在履约过程中，应自觉维护采购人在公众中的良好形象，严禁在清运过程中分拣垃圾</w:t>
      </w:r>
      <w:r>
        <w:rPr>
          <w:rFonts w:hint="eastAsia" w:eastAsia="宋体"/>
          <w:kern w:val="0"/>
          <w:sz w:val="21"/>
          <w:szCs w:val="21"/>
        </w:rPr>
        <w:t>、清运二次收费</w:t>
      </w:r>
      <w:r>
        <w:rPr>
          <w:rFonts w:eastAsia="宋体"/>
          <w:kern w:val="0"/>
          <w:sz w:val="21"/>
          <w:szCs w:val="21"/>
        </w:rPr>
        <w:t xml:space="preserve">或从事采购人授权范围以外的事宜。 </w:t>
      </w:r>
    </w:p>
    <w:p w14:paraId="328D37D8">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4、</w:t>
      </w:r>
      <w:r>
        <w:rPr>
          <w:rFonts w:hint="eastAsia"/>
          <w:kern w:val="0"/>
          <w:sz w:val="21"/>
          <w:szCs w:val="21"/>
          <w:lang w:eastAsia="zh-CN"/>
        </w:rPr>
        <w:t>供应商</w:t>
      </w:r>
      <w:r>
        <w:rPr>
          <w:rFonts w:eastAsia="宋体"/>
          <w:kern w:val="0"/>
          <w:sz w:val="21"/>
          <w:szCs w:val="21"/>
        </w:rPr>
        <w:t xml:space="preserve">在垃圾清运服务期间，不得影响学校日常的管理服务工作，同时成交单位在履约过程中应自觉配合采购人工作，并依照采购人的要求随时纠正或改进工作。 </w:t>
      </w:r>
    </w:p>
    <w:p w14:paraId="26E74B9C">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5、</w:t>
      </w:r>
      <w:r>
        <w:rPr>
          <w:rFonts w:hint="eastAsia"/>
          <w:kern w:val="0"/>
          <w:sz w:val="21"/>
          <w:szCs w:val="21"/>
          <w:lang w:eastAsia="zh-CN"/>
        </w:rPr>
        <w:t>供应商</w:t>
      </w:r>
      <w:r>
        <w:rPr>
          <w:rFonts w:eastAsia="宋体"/>
          <w:kern w:val="0"/>
          <w:sz w:val="21"/>
          <w:szCs w:val="21"/>
        </w:rPr>
        <w:t>应严格遵守采购人管理规定，主动做好责任范围的垃圾清运工作，自觉接受采购人监管</w:t>
      </w:r>
      <w:r>
        <w:rPr>
          <w:rFonts w:hint="eastAsia" w:eastAsia="宋体"/>
          <w:kern w:val="0"/>
          <w:sz w:val="21"/>
          <w:szCs w:val="21"/>
        </w:rPr>
        <w:t>，</w:t>
      </w:r>
      <w:r>
        <w:rPr>
          <w:rFonts w:eastAsia="宋体"/>
          <w:kern w:val="0"/>
          <w:sz w:val="21"/>
          <w:szCs w:val="21"/>
        </w:rPr>
        <w:t xml:space="preserve">服从采购人管理和指导。 </w:t>
      </w:r>
    </w:p>
    <w:p w14:paraId="17879D00">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6、采购人有</w:t>
      </w:r>
      <w:r>
        <w:rPr>
          <w:rFonts w:hint="eastAsia"/>
          <w:kern w:val="0"/>
          <w:sz w:val="21"/>
          <w:szCs w:val="21"/>
          <w:lang w:eastAsia="zh-CN"/>
        </w:rPr>
        <w:t>权监督</w:t>
      </w:r>
      <w:r>
        <w:rPr>
          <w:rFonts w:eastAsia="宋体"/>
          <w:kern w:val="0"/>
          <w:sz w:val="21"/>
          <w:szCs w:val="21"/>
        </w:rPr>
        <w:t>垃圾清运公司的服务过程和服务质量，对不符合要求的服务过程和质量有权提出处罚和处理意见。如提供的服务未能达到服务标准，给招标人工作带来了损失或负面影响的，一切损失由</w:t>
      </w:r>
      <w:r>
        <w:rPr>
          <w:rFonts w:hint="eastAsia"/>
          <w:kern w:val="0"/>
          <w:sz w:val="21"/>
          <w:szCs w:val="21"/>
          <w:lang w:eastAsia="zh-CN"/>
        </w:rPr>
        <w:t>供应商</w:t>
      </w:r>
      <w:r>
        <w:rPr>
          <w:rFonts w:eastAsia="宋体"/>
          <w:kern w:val="0"/>
          <w:sz w:val="21"/>
          <w:szCs w:val="21"/>
        </w:rPr>
        <w:t>负责。同时，有权从清运费中扣除</w:t>
      </w:r>
      <w:r>
        <w:rPr>
          <w:rFonts w:hint="eastAsia" w:eastAsia="宋体"/>
          <w:kern w:val="0"/>
          <w:sz w:val="21"/>
          <w:szCs w:val="21"/>
        </w:rPr>
        <w:t>劳务损失、赔偿、罚金等</w:t>
      </w:r>
      <w:r>
        <w:rPr>
          <w:rFonts w:eastAsia="宋体"/>
          <w:kern w:val="0"/>
          <w:sz w:val="21"/>
          <w:szCs w:val="21"/>
        </w:rPr>
        <w:t xml:space="preserve">部分费用。 </w:t>
      </w:r>
    </w:p>
    <w:p w14:paraId="68BF1038">
      <w:pPr>
        <w:widowControl/>
        <w:adjustRightInd w:val="0"/>
        <w:snapToGrid w:val="0"/>
        <w:spacing w:line="360" w:lineRule="auto"/>
        <w:ind w:firstLine="422" w:firstLineChars="200"/>
        <w:jc w:val="left"/>
        <w:rPr>
          <w:rFonts w:eastAsia="宋体"/>
          <w:b/>
          <w:bCs/>
          <w:kern w:val="0"/>
          <w:sz w:val="21"/>
          <w:szCs w:val="21"/>
        </w:rPr>
      </w:pPr>
      <w:r>
        <w:rPr>
          <w:rFonts w:hint="eastAsia" w:eastAsia="宋体"/>
          <w:b/>
          <w:bCs/>
          <w:kern w:val="0"/>
          <w:sz w:val="21"/>
          <w:szCs w:val="21"/>
        </w:rPr>
        <w:t>六</w:t>
      </w:r>
      <w:r>
        <w:rPr>
          <w:rFonts w:eastAsia="宋体"/>
          <w:b/>
          <w:bCs/>
          <w:kern w:val="0"/>
          <w:sz w:val="21"/>
          <w:szCs w:val="21"/>
        </w:rPr>
        <w:t>、服务</w:t>
      </w:r>
      <w:r>
        <w:rPr>
          <w:rFonts w:hint="eastAsia" w:eastAsia="宋体"/>
          <w:b/>
          <w:bCs/>
          <w:kern w:val="0"/>
          <w:sz w:val="21"/>
          <w:szCs w:val="21"/>
        </w:rPr>
        <w:t>的具体</w:t>
      </w:r>
      <w:r>
        <w:rPr>
          <w:rFonts w:eastAsia="宋体"/>
          <w:b/>
          <w:bCs/>
          <w:kern w:val="0"/>
          <w:sz w:val="21"/>
          <w:szCs w:val="21"/>
        </w:rPr>
        <w:t xml:space="preserve">要求 </w:t>
      </w:r>
    </w:p>
    <w:p w14:paraId="451D5360">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1、</w:t>
      </w:r>
      <w:r>
        <w:rPr>
          <w:rFonts w:hint="eastAsia"/>
          <w:kern w:val="0"/>
          <w:sz w:val="21"/>
          <w:szCs w:val="21"/>
          <w:lang w:eastAsia="zh-CN"/>
        </w:rPr>
        <w:t>供应商</w:t>
      </w:r>
      <w:r>
        <w:rPr>
          <w:rFonts w:eastAsia="宋体"/>
          <w:kern w:val="0"/>
          <w:sz w:val="21"/>
          <w:szCs w:val="21"/>
        </w:rPr>
        <w:t>须按</w:t>
      </w:r>
      <w:r>
        <w:rPr>
          <w:rFonts w:hint="eastAsia" w:eastAsia="宋体"/>
          <w:kern w:val="0"/>
          <w:sz w:val="21"/>
          <w:szCs w:val="21"/>
        </w:rPr>
        <w:t>招标</w:t>
      </w:r>
      <w:r>
        <w:rPr>
          <w:rFonts w:eastAsia="宋体"/>
          <w:kern w:val="0"/>
          <w:sz w:val="21"/>
          <w:szCs w:val="21"/>
        </w:rPr>
        <w:t>要求，自备垃圾外运车辆，做到垃圾日产日清。</w:t>
      </w:r>
    </w:p>
    <w:p w14:paraId="053D66C5">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2、</w:t>
      </w:r>
      <w:r>
        <w:rPr>
          <w:rFonts w:hint="eastAsia"/>
          <w:kern w:val="0"/>
          <w:sz w:val="21"/>
          <w:szCs w:val="21"/>
          <w:lang w:eastAsia="zh-CN"/>
        </w:rPr>
        <w:t>供应商</w:t>
      </w:r>
      <w:r>
        <w:rPr>
          <w:rFonts w:eastAsia="宋体"/>
          <w:kern w:val="0"/>
          <w:sz w:val="21"/>
          <w:szCs w:val="21"/>
        </w:rPr>
        <w:t xml:space="preserve">应对垃圾外运车进行遮盖，车辆出现撒落等现象时，须及时将现场处理干净。 </w:t>
      </w:r>
    </w:p>
    <w:p w14:paraId="13CB8569">
      <w:pPr>
        <w:widowControl/>
        <w:adjustRightInd w:val="0"/>
        <w:snapToGrid w:val="0"/>
        <w:spacing w:line="360" w:lineRule="auto"/>
        <w:ind w:firstLine="420" w:firstLineChars="200"/>
        <w:jc w:val="left"/>
        <w:rPr>
          <w:rFonts w:eastAsia="宋体"/>
          <w:kern w:val="0"/>
          <w:sz w:val="21"/>
          <w:szCs w:val="21"/>
        </w:rPr>
      </w:pPr>
      <w:r>
        <w:rPr>
          <w:rFonts w:hint="eastAsia" w:eastAsia="宋体"/>
          <w:kern w:val="0"/>
          <w:sz w:val="21"/>
          <w:szCs w:val="21"/>
        </w:rPr>
        <w:t>3、</w:t>
      </w:r>
      <w:r>
        <w:rPr>
          <w:rFonts w:eastAsia="宋体"/>
          <w:kern w:val="0"/>
          <w:sz w:val="21"/>
          <w:szCs w:val="21"/>
        </w:rPr>
        <w:t>每天清运的时间为</w:t>
      </w:r>
      <w:r>
        <w:rPr>
          <w:rFonts w:hint="eastAsia" w:eastAsia="宋体"/>
          <w:kern w:val="0"/>
          <w:sz w:val="21"/>
          <w:szCs w:val="21"/>
        </w:rPr>
        <w:t>早7点前结束垃圾清运工作</w:t>
      </w:r>
      <w:r>
        <w:rPr>
          <w:rFonts w:eastAsia="宋体"/>
          <w:kern w:val="0"/>
          <w:sz w:val="21"/>
          <w:szCs w:val="21"/>
        </w:rPr>
        <w:t>，在重大节假日期间或应招标单位的要求，</w:t>
      </w:r>
      <w:r>
        <w:rPr>
          <w:rFonts w:hint="eastAsia"/>
          <w:kern w:val="0"/>
          <w:sz w:val="21"/>
          <w:szCs w:val="21"/>
          <w:lang w:eastAsia="zh-CN"/>
        </w:rPr>
        <w:t>供应商</w:t>
      </w:r>
      <w:r>
        <w:rPr>
          <w:rFonts w:eastAsia="宋体"/>
          <w:kern w:val="0"/>
          <w:sz w:val="21"/>
          <w:szCs w:val="21"/>
        </w:rPr>
        <w:t>应增加清运密度，确保垃圾及时清运，不影响校区的整洁、美观</w:t>
      </w:r>
      <w:r>
        <w:rPr>
          <w:rFonts w:hint="eastAsia" w:eastAsia="宋体"/>
          <w:kern w:val="0"/>
          <w:sz w:val="21"/>
          <w:szCs w:val="21"/>
        </w:rPr>
        <w:t>。</w:t>
      </w:r>
    </w:p>
    <w:p w14:paraId="3CDD7065">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4、垃圾清运公司必须定时（每天不少于一次</w:t>
      </w:r>
      <w:r>
        <w:rPr>
          <w:rFonts w:hint="eastAsia" w:eastAsia="宋体"/>
          <w:kern w:val="0"/>
          <w:sz w:val="21"/>
          <w:szCs w:val="21"/>
        </w:rPr>
        <w:t>，</w:t>
      </w:r>
      <w:r>
        <w:rPr>
          <w:rFonts w:eastAsia="宋体"/>
          <w:kern w:val="0"/>
          <w:sz w:val="21"/>
          <w:szCs w:val="21"/>
        </w:rPr>
        <w:t>遇大雪路滑、道路管制等不可</w:t>
      </w:r>
      <w:r>
        <w:rPr>
          <w:rFonts w:hint="eastAsia"/>
          <w:kern w:val="0"/>
          <w:sz w:val="21"/>
          <w:szCs w:val="21"/>
          <w:lang w:eastAsia="zh-CN"/>
        </w:rPr>
        <w:t>抗力</w:t>
      </w:r>
      <w:r>
        <w:rPr>
          <w:rFonts w:eastAsia="宋体"/>
          <w:kern w:val="0"/>
          <w:sz w:val="21"/>
          <w:szCs w:val="21"/>
        </w:rPr>
        <w:t>等特殊情况除外）对</w:t>
      </w:r>
      <w:r>
        <w:rPr>
          <w:rFonts w:hint="eastAsia" w:eastAsia="宋体"/>
          <w:kern w:val="0"/>
          <w:sz w:val="21"/>
          <w:szCs w:val="21"/>
        </w:rPr>
        <w:t>招标</w:t>
      </w:r>
      <w:r>
        <w:rPr>
          <w:rFonts w:eastAsia="宋体"/>
          <w:kern w:val="0"/>
          <w:sz w:val="21"/>
          <w:szCs w:val="21"/>
        </w:rPr>
        <w:t>范围内指定地及周边集中的垃圾进行收集外运</w:t>
      </w:r>
      <w:r>
        <w:rPr>
          <w:rFonts w:hint="eastAsia" w:eastAsia="宋体"/>
          <w:kern w:val="0"/>
          <w:sz w:val="21"/>
          <w:szCs w:val="21"/>
        </w:rPr>
        <w:t>。</w:t>
      </w:r>
      <w:r>
        <w:rPr>
          <w:rFonts w:eastAsia="宋体"/>
          <w:kern w:val="0"/>
          <w:sz w:val="21"/>
          <w:szCs w:val="21"/>
        </w:rPr>
        <w:t>应保证清空服务区内每一个垃圾箱</w:t>
      </w:r>
      <w:r>
        <w:rPr>
          <w:rFonts w:hint="eastAsia" w:eastAsia="宋体"/>
          <w:kern w:val="0"/>
          <w:sz w:val="21"/>
          <w:szCs w:val="21"/>
        </w:rPr>
        <w:t>、</w:t>
      </w:r>
      <w:r>
        <w:rPr>
          <w:rFonts w:eastAsia="宋体"/>
          <w:kern w:val="0"/>
          <w:sz w:val="21"/>
          <w:szCs w:val="21"/>
        </w:rPr>
        <w:t>每次清运结束需保持箱体周围干净，遗落的垃圾应当场清理干净，每次倒完垃圾应将垃圾箱放回原位。确保日产日清，无遗漏、无</w:t>
      </w:r>
      <w:r>
        <w:rPr>
          <w:rFonts w:hint="eastAsia"/>
          <w:kern w:val="0"/>
          <w:sz w:val="21"/>
          <w:szCs w:val="21"/>
          <w:lang w:eastAsia="zh-CN"/>
        </w:rPr>
        <w:t>抛撒</w:t>
      </w:r>
      <w:r>
        <w:rPr>
          <w:rFonts w:hint="eastAsia" w:eastAsia="宋体"/>
          <w:kern w:val="0"/>
          <w:sz w:val="21"/>
          <w:szCs w:val="21"/>
        </w:rPr>
        <w:t>。</w:t>
      </w:r>
      <w:r>
        <w:rPr>
          <w:rFonts w:eastAsia="宋体"/>
          <w:kern w:val="0"/>
          <w:sz w:val="21"/>
          <w:szCs w:val="21"/>
        </w:rPr>
        <w:t xml:space="preserve">同时，垃圾清运公司需要制定相关的、必要的应急预案，确保区域内的垃圾及时清运出去。 </w:t>
      </w:r>
    </w:p>
    <w:p w14:paraId="6D0679B7">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5、</w:t>
      </w:r>
      <w:r>
        <w:rPr>
          <w:rFonts w:hint="eastAsia"/>
          <w:kern w:val="0"/>
          <w:sz w:val="21"/>
          <w:szCs w:val="21"/>
          <w:lang w:eastAsia="zh-CN"/>
        </w:rPr>
        <w:t>供应商</w:t>
      </w:r>
      <w:r>
        <w:rPr>
          <w:rFonts w:eastAsia="宋体"/>
          <w:kern w:val="0"/>
          <w:sz w:val="21"/>
          <w:szCs w:val="21"/>
        </w:rPr>
        <w:t xml:space="preserve">必须安排足够的工作人员、运输车辆及工具专门为采购人提供垃圾清运服务。成交单位在垃圾清运过程中，如出现垃圾堆积，未能及时清理导致堆积超过 24 小时，采购人有权自行组织垃圾清运，所产生的清运费用从支付成交单位的清运费用中扣除。 </w:t>
      </w:r>
    </w:p>
    <w:p w14:paraId="1D9BCBA2">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6、甲乙双方可就实际清运量协商垃圾桶的数量，</w:t>
      </w:r>
      <w:r>
        <w:rPr>
          <w:rFonts w:hint="eastAsia" w:eastAsia="宋体"/>
          <w:kern w:val="0"/>
          <w:sz w:val="21"/>
          <w:szCs w:val="21"/>
        </w:rPr>
        <w:t>需要的</w:t>
      </w:r>
      <w:r>
        <w:rPr>
          <w:rFonts w:eastAsia="宋体"/>
          <w:kern w:val="0"/>
          <w:sz w:val="21"/>
          <w:szCs w:val="21"/>
        </w:rPr>
        <w:t>数量一旦确定后，</w:t>
      </w:r>
      <w:r>
        <w:rPr>
          <w:rFonts w:hint="eastAsia"/>
          <w:kern w:val="0"/>
          <w:sz w:val="21"/>
          <w:szCs w:val="21"/>
          <w:lang w:eastAsia="zh-CN"/>
        </w:rPr>
        <w:t>供应商</w:t>
      </w:r>
      <w:r>
        <w:rPr>
          <w:rFonts w:eastAsia="宋体"/>
          <w:kern w:val="0"/>
          <w:sz w:val="21"/>
          <w:szCs w:val="21"/>
        </w:rPr>
        <w:t>应保证垃圾箱的完好，非</w:t>
      </w:r>
      <w:r>
        <w:rPr>
          <w:rFonts w:hint="eastAsia"/>
          <w:kern w:val="0"/>
          <w:sz w:val="21"/>
          <w:szCs w:val="21"/>
          <w:lang w:eastAsia="zh-CN"/>
        </w:rPr>
        <w:t>供应商</w:t>
      </w:r>
      <w:r>
        <w:rPr>
          <w:rFonts w:eastAsia="宋体"/>
          <w:kern w:val="0"/>
          <w:sz w:val="21"/>
          <w:szCs w:val="21"/>
        </w:rPr>
        <w:t>倾倒垃圾所致垃圾桶出现问题的，乙方应及时通报甲方。但如因乙方操作失误或不规范而造成的</w:t>
      </w:r>
      <w:r>
        <w:rPr>
          <w:rFonts w:hint="eastAsia" w:eastAsia="宋体"/>
          <w:kern w:val="0"/>
          <w:sz w:val="21"/>
          <w:szCs w:val="21"/>
        </w:rPr>
        <w:t>短期内</w:t>
      </w:r>
      <w:r>
        <w:rPr>
          <w:rFonts w:eastAsia="宋体"/>
          <w:kern w:val="0"/>
          <w:sz w:val="21"/>
          <w:szCs w:val="21"/>
        </w:rPr>
        <w:t>损坏</w:t>
      </w:r>
      <w:r>
        <w:rPr>
          <w:rFonts w:hint="eastAsia" w:eastAsia="宋体"/>
          <w:kern w:val="0"/>
          <w:sz w:val="21"/>
          <w:szCs w:val="21"/>
        </w:rPr>
        <w:t>，</w:t>
      </w:r>
      <w:r>
        <w:rPr>
          <w:rFonts w:eastAsia="宋体"/>
          <w:kern w:val="0"/>
          <w:sz w:val="21"/>
          <w:szCs w:val="21"/>
        </w:rPr>
        <w:t>则由乙方负责补充或更换相同质量的垃圾桶。</w:t>
      </w:r>
    </w:p>
    <w:p w14:paraId="410699C5">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7</w:t>
      </w:r>
      <w:r>
        <w:rPr>
          <w:rFonts w:hint="eastAsia" w:eastAsia="宋体"/>
          <w:kern w:val="0"/>
          <w:sz w:val="21"/>
          <w:szCs w:val="21"/>
        </w:rPr>
        <w:t>、如遇校方有重大活动、会议、检查及特殊天气等情况，</w:t>
      </w:r>
      <w:r>
        <w:rPr>
          <w:rFonts w:hint="eastAsia"/>
          <w:kern w:val="0"/>
          <w:sz w:val="21"/>
          <w:szCs w:val="21"/>
          <w:lang w:eastAsia="zh-CN"/>
        </w:rPr>
        <w:t>供应商</w:t>
      </w:r>
      <w:r>
        <w:rPr>
          <w:rFonts w:hint="eastAsia" w:eastAsia="宋体"/>
          <w:kern w:val="0"/>
          <w:sz w:val="21"/>
          <w:szCs w:val="21"/>
        </w:rPr>
        <w:t>必须配合校方，临时产生的地面大量垃圾车辆就地装车清理，适当增加垃圾清运次数。</w:t>
      </w:r>
    </w:p>
    <w:p w14:paraId="21A7D142">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8</w:t>
      </w:r>
      <w:r>
        <w:rPr>
          <w:rFonts w:hint="eastAsia" w:eastAsia="宋体"/>
          <w:kern w:val="0"/>
          <w:sz w:val="21"/>
          <w:szCs w:val="21"/>
        </w:rPr>
        <w:t>、</w:t>
      </w:r>
      <w:r>
        <w:rPr>
          <w:rFonts w:hint="eastAsia"/>
          <w:kern w:val="0"/>
          <w:sz w:val="21"/>
          <w:szCs w:val="21"/>
          <w:lang w:eastAsia="zh-CN"/>
        </w:rPr>
        <w:t>供应商</w:t>
      </w:r>
      <w:r>
        <w:rPr>
          <w:rFonts w:hint="eastAsia" w:eastAsia="宋体"/>
          <w:kern w:val="0"/>
          <w:sz w:val="21"/>
          <w:szCs w:val="21"/>
        </w:rPr>
        <w:t>在清运过程中如有损坏垃圾容器及其他公用设施的，承包方负责赔偿。</w:t>
      </w:r>
    </w:p>
    <w:p w14:paraId="5164CA06">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9</w:t>
      </w:r>
      <w:r>
        <w:rPr>
          <w:rFonts w:hint="eastAsia" w:eastAsia="宋体"/>
          <w:kern w:val="0"/>
          <w:sz w:val="21"/>
          <w:szCs w:val="21"/>
        </w:rPr>
        <w:t>、</w:t>
      </w:r>
      <w:r>
        <w:rPr>
          <w:rFonts w:hint="eastAsia"/>
          <w:kern w:val="0"/>
          <w:sz w:val="21"/>
          <w:szCs w:val="21"/>
          <w:lang w:eastAsia="zh-CN"/>
        </w:rPr>
        <w:t>供应商</w:t>
      </w:r>
      <w:r>
        <w:rPr>
          <w:rFonts w:hint="eastAsia" w:eastAsia="宋体"/>
          <w:kern w:val="0"/>
          <w:sz w:val="21"/>
          <w:szCs w:val="21"/>
        </w:rPr>
        <w:t>应每天安排垃圾清运督促员，检查各垃圾清运点的垃圾清运情况及清运场地的卫生情况，并及时向校方反馈汇报。</w:t>
      </w:r>
    </w:p>
    <w:p w14:paraId="326904FA">
      <w:pPr>
        <w:widowControl/>
        <w:adjustRightInd w:val="0"/>
        <w:snapToGrid w:val="0"/>
        <w:spacing w:line="360" w:lineRule="auto"/>
        <w:ind w:firstLine="422" w:firstLineChars="200"/>
        <w:jc w:val="left"/>
        <w:rPr>
          <w:rFonts w:eastAsia="宋体"/>
          <w:b/>
          <w:bCs/>
          <w:kern w:val="0"/>
          <w:sz w:val="21"/>
          <w:szCs w:val="21"/>
        </w:rPr>
      </w:pPr>
      <w:r>
        <w:rPr>
          <w:rFonts w:hint="eastAsia" w:eastAsia="宋体"/>
          <w:b/>
          <w:bCs/>
          <w:kern w:val="0"/>
          <w:sz w:val="21"/>
          <w:szCs w:val="21"/>
        </w:rPr>
        <w:t>七、应急服务要求</w:t>
      </w:r>
    </w:p>
    <w:p w14:paraId="1297693F">
      <w:pPr>
        <w:widowControl/>
        <w:adjustRightInd w:val="0"/>
        <w:snapToGrid w:val="0"/>
        <w:spacing w:line="360" w:lineRule="auto"/>
        <w:ind w:firstLine="420" w:firstLineChars="200"/>
        <w:jc w:val="left"/>
        <w:rPr>
          <w:rFonts w:eastAsia="宋体"/>
          <w:kern w:val="0"/>
          <w:sz w:val="21"/>
          <w:szCs w:val="21"/>
        </w:rPr>
      </w:pPr>
      <w:r>
        <w:rPr>
          <w:rFonts w:hint="eastAsia" w:eastAsia="宋体"/>
          <w:kern w:val="0"/>
          <w:sz w:val="21"/>
          <w:szCs w:val="21"/>
        </w:rPr>
        <w:t>1</w:t>
      </w:r>
      <w:r>
        <w:rPr>
          <w:rFonts w:eastAsia="宋体"/>
          <w:kern w:val="0"/>
          <w:sz w:val="21"/>
          <w:szCs w:val="21"/>
        </w:rPr>
        <w:t>、</w:t>
      </w:r>
      <w:r>
        <w:rPr>
          <w:rFonts w:hint="eastAsia"/>
          <w:kern w:val="0"/>
          <w:sz w:val="21"/>
          <w:szCs w:val="21"/>
          <w:lang w:eastAsia="zh-CN"/>
        </w:rPr>
        <w:t>供应商</w:t>
      </w:r>
      <w:r>
        <w:rPr>
          <w:rFonts w:eastAsia="宋体"/>
          <w:kern w:val="0"/>
          <w:sz w:val="21"/>
          <w:szCs w:val="21"/>
        </w:rPr>
        <w:t>常规清运与开学初</w:t>
      </w:r>
      <w:r>
        <w:rPr>
          <w:rFonts w:hint="eastAsia" w:eastAsia="宋体"/>
          <w:kern w:val="0"/>
          <w:sz w:val="21"/>
          <w:szCs w:val="21"/>
        </w:rPr>
        <w:t>、</w:t>
      </w:r>
      <w:r>
        <w:rPr>
          <w:rFonts w:eastAsia="宋体"/>
          <w:kern w:val="0"/>
          <w:sz w:val="21"/>
          <w:szCs w:val="21"/>
        </w:rPr>
        <w:t>放假前垃圾专项整治相结合</w:t>
      </w:r>
      <w:r>
        <w:rPr>
          <w:rFonts w:hint="eastAsia" w:eastAsia="宋体"/>
          <w:kern w:val="0"/>
          <w:sz w:val="21"/>
          <w:szCs w:val="21"/>
        </w:rPr>
        <w:t>。</w:t>
      </w:r>
      <w:r>
        <w:rPr>
          <w:rFonts w:eastAsia="宋体"/>
          <w:kern w:val="0"/>
          <w:sz w:val="21"/>
          <w:szCs w:val="21"/>
        </w:rPr>
        <w:t>在校内重大活动期间和秋冬落叶季，须积极响应采购人的要求</w:t>
      </w:r>
      <w:r>
        <w:rPr>
          <w:rFonts w:hint="eastAsia" w:eastAsia="宋体"/>
          <w:kern w:val="0"/>
          <w:sz w:val="21"/>
          <w:szCs w:val="21"/>
        </w:rPr>
        <w:t>，</w:t>
      </w:r>
      <w:r>
        <w:rPr>
          <w:rFonts w:eastAsia="宋体"/>
          <w:kern w:val="0"/>
          <w:sz w:val="21"/>
          <w:szCs w:val="21"/>
        </w:rPr>
        <w:t>增加清运密度，确保垃圾及时清运，不影响校园的整洁、美观</w:t>
      </w:r>
      <w:r>
        <w:rPr>
          <w:rFonts w:hint="eastAsia" w:eastAsia="宋体"/>
          <w:kern w:val="0"/>
          <w:sz w:val="21"/>
          <w:szCs w:val="21"/>
        </w:rPr>
        <w:t>。</w:t>
      </w:r>
      <w:r>
        <w:rPr>
          <w:rFonts w:eastAsia="宋体"/>
          <w:kern w:val="0"/>
          <w:sz w:val="21"/>
          <w:szCs w:val="21"/>
        </w:rPr>
        <w:t xml:space="preserve"> </w:t>
      </w:r>
    </w:p>
    <w:p w14:paraId="7FA206F1">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 xml:space="preserve">2、各个区域的垃圾清运工作每天不少于一次（如遇突发状况、恶劣天气等视具体情况而定是增是减）。每个区域的具体清运时间由甲方以书面形式提前通知乙方。乙方需要针对恶劣气候或其他可能会出现的特殊状况制定一系列必要的应急预案，确保本合同内的要求及服务条款能够及时、完全执行到位。 </w:t>
      </w:r>
    </w:p>
    <w:p w14:paraId="2AD9027C">
      <w:pPr>
        <w:widowControl/>
        <w:adjustRightInd w:val="0"/>
        <w:snapToGrid w:val="0"/>
        <w:spacing w:line="360" w:lineRule="auto"/>
        <w:ind w:firstLine="420" w:firstLineChars="200"/>
        <w:jc w:val="left"/>
        <w:rPr>
          <w:rFonts w:eastAsia="宋体"/>
          <w:kern w:val="0"/>
          <w:sz w:val="21"/>
          <w:szCs w:val="21"/>
        </w:rPr>
      </w:pPr>
      <w:r>
        <w:rPr>
          <w:rFonts w:eastAsia="宋体"/>
          <w:kern w:val="0"/>
          <w:sz w:val="21"/>
          <w:szCs w:val="21"/>
        </w:rPr>
        <w:t>3、</w:t>
      </w:r>
      <w:r>
        <w:rPr>
          <w:rFonts w:hint="eastAsia"/>
          <w:kern w:val="0"/>
          <w:sz w:val="21"/>
          <w:szCs w:val="21"/>
          <w:lang w:eastAsia="zh-CN"/>
        </w:rPr>
        <w:t>供应商</w:t>
      </w:r>
      <w:r>
        <w:rPr>
          <w:rFonts w:eastAsia="宋体"/>
          <w:kern w:val="0"/>
          <w:sz w:val="21"/>
          <w:szCs w:val="21"/>
        </w:rPr>
        <w:t>应按时完成清运任务，必须确保清空服务区内每一个垃圾箱。如发现有垃圾</w:t>
      </w:r>
      <w:r>
        <w:rPr>
          <w:rFonts w:hint="eastAsia" w:eastAsia="宋体"/>
          <w:kern w:val="0"/>
          <w:sz w:val="21"/>
          <w:szCs w:val="21"/>
        </w:rPr>
        <w:t>桶</w:t>
      </w:r>
      <w:r>
        <w:rPr>
          <w:rFonts w:eastAsia="宋体"/>
          <w:kern w:val="0"/>
          <w:sz w:val="21"/>
          <w:szCs w:val="21"/>
        </w:rPr>
        <w:t>无故不清空的，给予 100 元/个的处罚。垃圾</w:t>
      </w:r>
      <w:r>
        <w:rPr>
          <w:rFonts w:hint="eastAsia" w:eastAsia="宋体"/>
          <w:kern w:val="0"/>
          <w:sz w:val="21"/>
          <w:szCs w:val="21"/>
        </w:rPr>
        <w:t>桶</w:t>
      </w:r>
      <w:r>
        <w:rPr>
          <w:rFonts w:eastAsia="宋体"/>
          <w:kern w:val="0"/>
          <w:sz w:val="21"/>
          <w:szCs w:val="21"/>
        </w:rPr>
        <w:t>内日常存量不超过箱体的1/3。清运中保持箱体周围干净，遗落地面的垃圾应当予以清理干净，否则给予100元/处/次的处罚。每次倒完垃圾应及时将垃圾箱放回原位，未按规定放回原位的垃圾箱每个将给予100元/个/次的处罚。</w:t>
      </w:r>
    </w:p>
    <w:p w14:paraId="0718FAB3">
      <w:pPr>
        <w:widowControl/>
        <w:adjustRightInd w:val="0"/>
        <w:snapToGrid w:val="0"/>
        <w:spacing w:line="360" w:lineRule="auto"/>
        <w:ind w:firstLine="420" w:firstLineChars="200"/>
        <w:jc w:val="left"/>
        <w:rPr>
          <w:rFonts w:eastAsia="宋体"/>
          <w:kern w:val="0"/>
          <w:sz w:val="24"/>
          <w:szCs w:val="22"/>
        </w:rPr>
      </w:pPr>
      <w:r>
        <w:rPr>
          <w:rFonts w:eastAsia="宋体"/>
          <w:kern w:val="0"/>
          <w:sz w:val="21"/>
          <w:szCs w:val="21"/>
        </w:rPr>
        <w:t>4、</w:t>
      </w:r>
      <w:r>
        <w:rPr>
          <w:rFonts w:hint="eastAsia"/>
          <w:kern w:val="0"/>
          <w:sz w:val="21"/>
          <w:szCs w:val="21"/>
          <w:lang w:eastAsia="zh-CN"/>
        </w:rPr>
        <w:t>供应商</w:t>
      </w:r>
      <w:r>
        <w:rPr>
          <w:rFonts w:eastAsia="宋体"/>
          <w:kern w:val="0"/>
          <w:sz w:val="21"/>
          <w:szCs w:val="21"/>
        </w:rPr>
        <w:t>如遇道路、天气等不可抵抗因素，垃圾未能及时外运，应及时通知招标方主管人员，告知延迟外运，但最多不得延迟一天。因</w:t>
      </w:r>
      <w:r>
        <w:rPr>
          <w:rFonts w:hint="eastAsia"/>
          <w:kern w:val="0"/>
          <w:sz w:val="21"/>
          <w:szCs w:val="21"/>
          <w:lang w:eastAsia="zh-CN"/>
        </w:rPr>
        <w:t>供应商</w:t>
      </w:r>
      <w:r>
        <w:rPr>
          <w:rFonts w:eastAsia="宋体"/>
          <w:kern w:val="0"/>
          <w:sz w:val="21"/>
          <w:szCs w:val="21"/>
        </w:rPr>
        <w:t>故意拖延导致垃圾未及时外运的，每拖延一天按中标价日均费用的10倍给予罚款，罚款额从当月服务费中扣除。</w:t>
      </w:r>
      <w:r>
        <w:rPr>
          <w:rFonts w:eastAsia="宋体"/>
          <w:kern w:val="0"/>
          <w:sz w:val="24"/>
          <w:szCs w:val="22"/>
        </w:rPr>
        <w:t xml:space="preserve"> </w:t>
      </w:r>
    </w:p>
    <w:p w14:paraId="2D77B98E">
      <w:pPr>
        <w:widowControl/>
        <w:adjustRightInd w:val="0"/>
        <w:snapToGrid w:val="0"/>
        <w:spacing w:line="360" w:lineRule="auto"/>
        <w:ind w:firstLine="480" w:firstLineChars="200"/>
        <w:jc w:val="left"/>
        <w:rPr>
          <w:rFonts w:eastAsia="宋体"/>
          <w:kern w:val="0"/>
          <w:sz w:val="24"/>
          <w:szCs w:val="22"/>
        </w:rPr>
      </w:pPr>
      <w:r>
        <w:rPr>
          <w:rFonts w:eastAsia="宋体"/>
          <w:kern w:val="0"/>
          <w:sz w:val="24"/>
          <w:szCs w:val="22"/>
        </w:rPr>
        <w:t xml:space="preserve"> </w:t>
      </w:r>
    </w:p>
    <w:p w14:paraId="05F62745">
      <w:pPr>
        <w:jc w:val="center"/>
        <w:rPr>
          <w:rFonts w:hint="eastAsia" w:asciiTheme="minorEastAsia" w:hAnsiTheme="minorEastAsia" w:eastAsiaTheme="minorEastAsia" w:cstheme="minorEastAsia"/>
          <w:kern w:val="2"/>
          <w:sz w:val="28"/>
          <w:szCs w:val="36"/>
          <w:highlight w:val="none"/>
          <w:lang w:val="en-US" w:eastAsia="zh-CN" w:bidi="ar-SA"/>
        </w:rPr>
      </w:pPr>
      <w:r>
        <w:rPr>
          <w:rFonts w:hint="eastAsia" w:asciiTheme="minorEastAsia" w:hAnsiTheme="minorEastAsia" w:eastAsiaTheme="minorEastAsia" w:cstheme="minorEastAsia"/>
          <w:kern w:val="2"/>
          <w:sz w:val="28"/>
          <w:szCs w:val="36"/>
          <w:highlight w:val="none"/>
          <w:lang w:val="en-US" w:eastAsia="zh-CN" w:bidi="ar-SA"/>
        </w:rPr>
        <w:br w:type="page"/>
      </w:r>
    </w:p>
    <w:bookmarkEnd w:id="1024"/>
    <w:bookmarkEnd w:id="1025"/>
    <w:bookmarkEnd w:id="1026"/>
    <w:p w14:paraId="6373029F">
      <w:pPr>
        <w:pStyle w:val="5"/>
        <w:bidi w:val="0"/>
        <w:rPr>
          <w:rFonts w:hint="eastAsia" w:asciiTheme="minorEastAsia" w:hAnsiTheme="minorEastAsia" w:eastAsiaTheme="minorEastAsia" w:cstheme="minorEastAsia"/>
          <w:color w:val="auto"/>
          <w:sz w:val="32"/>
          <w:szCs w:val="32"/>
          <w:highlight w:val="none"/>
        </w:rPr>
      </w:pPr>
      <w:bookmarkStart w:id="1033" w:name="_Toc26822"/>
      <w:bookmarkStart w:id="1034" w:name="_Toc10018"/>
      <w:bookmarkStart w:id="1035" w:name="_Toc2578"/>
      <w:r>
        <w:rPr>
          <w:rFonts w:hint="eastAsia" w:asciiTheme="minorEastAsia" w:hAnsiTheme="minorEastAsia" w:eastAsiaTheme="minorEastAsia" w:cstheme="minorEastAsia"/>
          <w:color w:val="auto"/>
          <w:sz w:val="32"/>
          <w:szCs w:val="32"/>
          <w:highlight w:val="none"/>
          <w:lang w:eastAsia="zh-CN"/>
        </w:rPr>
        <w:t>第六章 竞争性磋商响应文件格式</w:t>
      </w:r>
      <w:bookmarkEnd w:id="1033"/>
      <w:bookmarkEnd w:id="1034"/>
      <w:bookmarkEnd w:id="1035"/>
    </w:p>
    <w:p w14:paraId="793BE768">
      <w:pPr>
        <w:spacing w:line="400" w:lineRule="exact"/>
        <w:rPr>
          <w:rFonts w:hint="eastAsia" w:asciiTheme="minorEastAsia" w:hAnsiTheme="minorEastAsia" w:eastAsiaTheme="minorEastAsia" w:cstheme="minorEastAsia"/>
          <w:color w:val="auto"/>
          <w:highlight w:val="none"/>
        </w:rPr>
      </w:pPr>
    </w:p>
    <w:p w14:paraId="407A587F">
      <w:pPr>
        <w:spacing w:line="440" w:lineRule="exact"/>
        <w:jc w:val="right"/>
        <w:rPr>
          <w:rFonts w:hint="eastAsia" w:asciiTheme="minorEastAsia" w:hAnsiTheme="minorEastAsia" w:eastAsiaTheme="minorEastAsia" w:cstheme="minorEastAsia"/>
          <w:color w:val="auto"/>
          <w:sz w:val="24"/>
          <w:highlight w:val="none"/>
          <w:bdr w:val="single" w:color="auto" w:sz="4" w:space="0"/>
        </w:rPr>
      </w:pPr>
    </w:p>
    <w:p w14:paraId="100A7AB9">
      <w:pPr>
        <w:spacing w:line="440" w:lineRule="exact"/>
        <w:rPr>
          <w:rFonts w:hint="eastAsia" w:asciiTheme="minorEastAsia" w:hAnsiTheme="minorEastAsia" w:eastAsiaTheme="minorEastAsia" w:cstheme="minorEastAsia"/>
          <w:color w:val="auto"/>
          <w:sz w:val="24"/>
          <w:highlight w:val="none"/>
        </w:rPr>
      </w:pPr>
    </w:p>
    <w:p w14:paraId="06B9D88F">
      <w:pPr>
        <w:jc w:val="center"/>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u w:val="single"/>
        </w:rPr>
        <w:t xml:space="preserve">                     </w:t>
      </w:r>
      <w:r>
        <w:rPr>
          <w:rFonts w:hint="eastAsia" w:asciiTheme="minorEastAsia" w:hAnsiTheme="minorEastAsia" w:eastAsiaTheme="minorEastAsia" w:cstheme="minorEastAsia"/>
          <w:b/>
          <w:bCs/>
          <w:color w:val="auto"/>
          <w:sz w:val="30"/>
          <w:szCs w:val="30"/>
          <w:highlight w:val="none"/>
        </w:rPr>
        <w:t>（项目名称）竞争性磋商</w:t>
      </w:r>
    </w:p>
    <w:p w14:paraId="6DFCB881">
      <w:pPr>
        <w:jc w:val="center"/>
        <w:rPr>
          <w:rFonts w:hint="eastAsia" w:asciiTheme="minorEastAsia" w:hAnsiTheme="minorEastAsia" w:eastAsiaTheme="minorEastAsia" w:cstheme="minorEastAsia"/>
          <w:color w:val="auto"/>
          <w:sz w:val="28"/>
          <w:szCs w:val="28"/>
          <w:highlight w:val="none"/>
        </w:rPr>
      </w:pPr>
    </w:p>
    <w:p w14:paraId="6CA1C8BF">
      <w:pPr>
        <w:jc w:val="center"/>
        <w:rPr>
          <w:rFonts w:hint="eastAsia" w:asciiTheme="minorEastAsia" w:hAnsiTheme="minorEastAsia" w:eastAsiaTheme="minorEastAsia" w:cstheme="minorEastAsia"/>
          <w:color w:val="auto"/>
          <w:sz w:val="28"/>
          <w:szCs w:val="28"/>
          <w:highlight w:val="none"/>
        </w:rPr>
      </w:pPr>
    </w:p>
    <w:p w14:paraId="7F9D4B1A">
      <w:pPr>
        <w:pStyle w:val="29"/>
        <w:rPr>
          <w:rFonts w:hint="eastAsia" w:asciiTheme="minorEastAsia" w:hAnsiTheme="minorEastAsia" w:eastAsiaTheme="minorEastAsia" w:cstheme="minorEastAsia"/>
          <w:color w:val="auto"/>
          <w:sz w:val="36"/>
          <w:szCs w:val="36"/>
          <w:highlight w:val="none"/>
        </w:rPr>
      </w:pPr>
    </w:p>
    <w:p w14:paraId="586705DF">
      <w:pPr>
        <w:jc w:val="center"/>
        <w:rPr>
          <w:rFonts w:hint="eastAsia" w:asciiTheme="minorEastAsia" w:hAnsiTheme="minorEastAsia" w:eastAsiaTheme="minorEastAsia" w:cstheme="minorEastAsia"/>
          <w:b/>
          <w:bCs/>
          <w:color w:val="auto"/>
          <w:sz w:val="36"/>
          <w:szCs w:val="36"/>
          <w:highlight w:val="none"/>
        </w:rPr>
      </w:pPr>
      <w:r>
        <w:rPr>
          <w:rFonts w:hint="eastAsia" w:asciiTheme="minorEastAsia" w:hAnsiTheme="minorEastAsia" w:eastAsiaTheme="minorEastAsia" w:cstheme="minorEastAsia"/>
          <w:b/>
          <w:bCs/>
          <w:color w:val="auto"/>
          <w:sz w:val="36"/>
          <w:szCs w:val="36"/>
          <w:highlight w:val="none"/>
        </w:rPr>
        <w:t>响 应 文 件</w:t>
      </w:r>
    </w:p>
    <w:p w14:paraId="5C43F266">
      <w:pPr>
        <w:spacing w:line="400" w:lineRule="exact"/>
        <w:rPr>
          <w:rFonts w:hint="eastAsia" w:asciiTheme="minorEastAsia" w:hAnsiTheme="minorEastAsia" w:eastAsiaTheme="minorEastAsia" w:cstheme="minorEastAsia"/>
          <w:color w:val="auto"/>
          <w:sz w:val="28"/>
          <w:szCs w:val="28"/>
          <w:highlight w:val="none"/>
        </w:rPr>
      </w:pPr>
    </w:p>
    <w:p w14:paraId="5ED348AC">
      <w:pPr>
        <w:spacing w:line="400" w:lineRule="exact"/>
        <w:rPr>
          <w:rFonts w:hint="eastAsia" w:asciiTheme="minorEastAsia" w:hAnsiTheme="minorEastAsia" w:eastAsiaTheme="minorEastAsia" w:cstheme="minorEastAsia"/>
          <w:color w:val="auto"/>
          <w:sz w:val="28"/>
          <w:szCs w:val="28"/>
          <w:highlight w:val="none"/>
        </w:rPr>
      </w:pPr>
    </w:p>
    <w:p w14:paraId="0F721514">
      <w:pPr>
        <w:spacing w:line="400" w:lineRule="exact"/>
        <w:rPr>
          <w:rFonts w:hint="eastAsia" w:asciiTheme="minorEastAsia" w:hAnsiTheme="minorEastAsia" w:eastAsiaTheme="minorEastAsia" w:cstheme="minorEastAsia"/>
          <w:color w:val="auto"/>
          <w:sz w:val="28"/>
          <w:szCs w:val="28"/>
          <w:highlight w:val="none"/>
        </w:rPr>
      </w:pPr>
    </w:p>
    <w:p w14:paraId="26A57512">
      <w:pPr>
        <w:spacing w:line="400" w:lineRule="exact"/>
        <w:rPr>
          <w:rFonts w:hint="eastAsia" w:asciiTheme="minorEastAsia" w:hAnsiTheme="minorEastAsia" w:eastAsiaTheme="minorEastAsia" w:cstheme="minorEastAsia"/>
          <w:color w:val="auto"/>
          <w:sz w:val="28"/>
          <w:szCs w:val="28"/>
          <w:highlight w:val="none"/>
        </w:rPr>
      </w:pPr>
    </w:p>
    <w:p w14:paraId="75344380">
      <w:pPr>
        <w:spacing w:line="400" w:lineRule="exact"/>
        <w:rPr>
          <w:rFonts w:hint="eastAsia" w:asciiTheme="minorEastAsia" w:hAnsiTheme="minorEastAsia" w:eastAsiaTheme="minorEastAsia" w:cstheme="minorEastAsia"/>
          <w:color w:val="auto"/>
          <w:sz w:val="28"/>
          <w:szCs w:val="28"/>
          <w:highlight w:val="none"/>
        </w:rPr>
      </w:pPr>
    </w:p>
    <w:p w14:paraId="5CFA76C4">
      <w:pPr>
        <w:spacing w:line="400" w:lineRule="exact"/>
        <w:rPr>
          <w:rFonts w:hint="eastAsia" w:asciiTheme="minorEastAsia" w:hAnsiTheme="minorEastAsia" w:eastAsiaTheme="minorEastAsia" w:cstheme="minorEastAsia"/>
          <w:color w:val="auto"/>
          <w:sz w:val="28"/>
          <w:szCs w:val="28"/>
          <w:highlight w:val="none"/>
        </w:rPr>
      </w:pPr>
    </w:p>
    <w:p w14:paraId="6036648C">
      <w:pPr>
        <w:spacing w:line="400" w:lineRule="exact"/>
        <w:rPr>
          <w:rFonts w:hint="eastAsia" w:asciiTheme="minorEastAsia" w:hAnsiTheme="minorEastAsia" w:eastAsiaTheme="minorEastAsia" w:cstheme="minorEastAsia"/>
          <w:color w:val="auto"/>
          <w:sz w:val="28"/>
          <w:szCs w:val="28"/>
          <w:highlight w:val="none"/>
        </w:rPr>
      </w:pPr>
    </w:p>
    <w:p w14:paraId="4AD8667F">
      <w:pPr>
        <w:spacing w:line="400" w:lineRule="exact"/>
        <w:rPr>
          <w:rFonts w:hint="eastAsia" w:asciiTheme="minorEastAsia" w:hAnsiTheme="minorEastAsia" w:eastAsiaTheme="minorEastAsia" w:cstheme="minorEastAsia"/>
          <w:color w:val="auto"/>
          <w:sz w:val="28"/>
          <w:szCs w:val="28"/>
          <w:highlight w:val="none"/>
        </w:rPr>
      </w:pPr>
    </w:p>
    <w:p w14:paraId="181DF44C">
      <w:pPr>
        <w:pStyle w:val="2"/>
        <w:rPr>
          <w:rFonts w:hint="eastAsia" w:asciiTheme="minorEastAsia" w:hAnsiTheme="minorEastAsia" w:eastAsiaTheme="minorEastAsia" w:cstheme="minorEastAsia"/>
          <w:color w:val="auto"/>
          <w:sz w:val="28"/>
          <w:szCs w:val="28"/>
          <w:highlight w:val="none"/>
        </w:rPr>
      </w:pPr>
    </w:p>
    <w:p w14:paraId="7FD52194">
      <w:pPr>
        <w:spacing w:line="400" w:lineRule="exact"/>
        <w:rPr>
          <w:rFonts w:hint="eastAsia" w:asciiTheme="minorEastAsia" w:hAnsiTheme="minorEastAsia" w:eastAsiaTheme="minorEastAsia" w:cstheme="minorEastAsia"/>
          <w:color w:val="auto"/>
          <w:sz w:val="28"/>
          <w:szCs w:val="28"/>
          <w:highlight w:val="none"/>
        </w:rPr>
      </w:pPr>
    </w:p>
    <w:p w14:paraId="38D8A5FD">
      <w:pPr>
        <w:keepNext/>
        <w:keepLines/>
        <w:pageBreakBefore w:val="0"/>
        <w:widowControl w:val="0"/>
        <w:tabs>
          <w:tab w:val="left" w:pos="2712"/>
          <w:tab w:val="left" w:pos="4658"/>
          <w:tab w:val="left" w:pos="5157"/>
          <w:tab w:val="left" w:pos="6554"/>
        </w:tabs>
        <w:kinsoku/>
        <w:wordWrap/>
        <w:overflowPunct/>
        <w:topLinePunct w:val="0"/>
        <w:autoSpaceDE/>
        <w:autoSpaceDN/>
        <w:bidi w:val="0"/>
        <w:adjustRightInd/>
        <w:snapToGrid/>
        <w:textAlignment w:val="auto"/>
        <w:outlineLvl w:val="9"/>
        <w:rPr>
          <w:rFonts w:hint="eastAsia" w:asciiTheme="minorEastAsia" w:hAnsiTheme="minorEastAsia" w:eastAsiaTheme="minorEastAsia" w:cstheme="minorEastAsia"/>
          <w:highlight w:val="none"/>
        </w:rPr>
      </w:pPr>
    </w:p>
    <w:p w14:paraId="0C5428EE">
      <w:pPr>
        <w:spacing w:line="400" w:lineRule="exact"/>
        <w:rPr>
          <w:rFonts w:hint="eastAsia" w:asciiTheme="minorEastAsia" w:hAnsiTheme="minorEastAsia" w:eastAsiaTheme="minorEastAsia" w:cstheme="minorEastAsia"/>
          <w:color w:val="auto"/>
          <w:sz w:val="28"/>
          <w:szCs w:val="28"/>
          <w:highlight w:val="none"/>
        </w:rPr>
      </w:pPr>
    </w:p>
    <w:p w14:paraId="78978856">
      <w:pPr>
        <w:pStyle w:val="30"/>
        <w:keepNext w:val="0"/>
        <w:keepLines w:val="0"/>
        <w:pageBreakBefore w:val="0"/>
        <w:kinsoku/>
        <w:wordWrap/>
        <w:overflowPunct/>
        <w:topLinePunct w:val="0"/>
        <w:autoSpaceDE/>
        <w:autoSpaceDN/>
        <w:bidi w:val="0"/>
        <w:adjustRightInd/>
        <w:snapToGrid/>
        <w:ind w:left="0" w:leftChars="0" w:firstLine="0" w:firstLineChars="0"/>
        <w:textAlignment w:val="auto"/>
        <w:outlineLvl w:val="9"/>
        <w:rPr>
          <w:rFonts w:hint="eastAsia" w:asciiTheme="minorEastAsia" w:hAnsiTheme="minorEastAsia" w:eastAsiaTheme="minorEastAsia" w:cstheme="minorEastAsia"/>
          <w:color w:val="auto"/>
          <w:highlight w:val="none"/>
        </w:rPr>
      </w:pPr>
    </w:p>
    <w:p w14:paraId="506FF324">
      <w:pPr>
        <w:keepNext w:val="0"/>
        <w:keepLines w:val="0"/>
        <w:pageBreakBefore w:val="0"/>
        <w:kinsoku/>
        <w:wordWrap/>
        <w:overflowPunct/>
        <w:topLinePunct w:val="0"/>
        <w:autoSpaceDE/>
        <w:autoSpaceDN/>
        <w:bidi w:val="0"/>
        <w:adjustRightInd/>
        <w:snapToGrid/>
        <w:spacing w:line="480" w:lineRule="auto"/>
        <w:jc w:val="center"/>
        <w:textAlignment w:val="auto"/>
        <w:outlineLvl w:val="9"/>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供应商：</w:t>
      </w:r>
      <w:r>
        <w:rPr>
          <w:rFonts w:hint="eastAsia" w:asciiTheme="minorEastAsia" w:hAnsiTheme="minorEastAsia" w:eastAsiaTheme="minorEastAsia" w:cstheme="minorEastAsia"/>
          <w:b/>
          <w:bCs/>
          <w:color w:val="auto"/>
          <w:sz w:val="28"/>
          <w:szCs w:val="28"/>
          <w:highlight w:val="none"/>
          <w:u w:val="single"/>
        </w:rPr>
        <w:t xml:space="preserve">                  </w:t>
      </w:r>
      <w:r>
        <w:rPr>
          <w:rFonts w:hint="eastAsia" w:asciiTheme="minorEastAsia" w:hAnsiTheme="minorEastAsia" w:eastAsiaTheme="minorEastAsia" w:cstheme="minorEastAsia"/>
          <w:b/>
          <w:bCs/>
          <w:color w:val="auto"/>
          <w:sz w:val="28"/>
          <w:szCs w:val="28"/>
          <w:highlight w:val="none"/>
          <w:u w:val="single"/>
          <w:lang w:val="en-US" w:eastAsia="zh-CN"/>
        </w:rPr>
        <w:t xml:space="preserve">      </w:t>
      </w:r>
      <w:r>
        <w:rPr>
          <w:rFonts w:hint="eastAsia" w:asciiTheme="minorEastAsia" w:hAnsiTheme="minorEastAsia" w:eastAsiaTheme="minorEastAsia" w:cstheme="minorEastAsia"/>
          <w:b/>
          <w:bCs/>
          <w:color w:val="auto"/>
          <w:sz w:val="28"/>
          <w:szCs w:val="28"/>
          <w:highlight w:val="none"/>
          <w:u w:val="single"/>
        </w:rPr>
        <w:t xml:space="preserve">    </w:t>
      </w:r>
      <w:r>
        <w:rPr>
          <w:rFonts w:hint="eastAsia" w:asciiTheme="minorEastAsia" w:hAnsiTheme="minorEastAsia" w:eastAsiaTheme="minorEastAsia" w:cstheme="minorEastAsia"/>
          <w:b/>
          <w:bCs/>
          <w:color w:val="auto"/>
          <w:sz w:val="28"/>
          <w:szCs w:val="28"/>
          <w:highlight w:val="none"/>
        </w:rPr>
        <w:t xml:space="preserve"> （单位电子签章）</w:t>
      </w:r>
    </w:p>
    <w:p w14:paraId="000A94CB">
      <w:pPr>
        <w:keepNext w:val="0"/>
        <w:keepLines w:val="0"/>
        <w:pageBreakBefore w:val="0"/>
        <w:kinsoku/>
        <w:wordWrap/>
        <w:overflowPunct/>
        <w:topLinePunct w:val="0"/>
        <w:autoSpaceDE/>
        <w:autoSpaceDN/>
        <w:bidi w:val="0"/>
        <w:adjustRightInd/>
        <w:snapToGrid/>
        <w:spacing w:line="480" w:lineRule="auto"/>
        <w:jc w:val="center"/>
        <w:textAlignment w:val="auto"/>
        <w:outlineLvl w:val="9"/>
        <w:rPr>
          <w:rFonts w:hint="eastAsia" w:asciiTheme="minorEastAsia" w:hAnsiTheme="minorEastAsia" w:eastAsiaTheme="minorEastAsia" w:cstheme="minorEastAsia"/>
          <w:b/>
          <w:bCs/>
          <w:color w:val="auto"/>
          <w:sz w:val="28"/>
          <w:szCs w:val="28"/>
          <w:highlight w:val="none"/>
        </w:rPr>
      </w:pPr>
      <w:bookmarkStart w:id="1036" w:name="_Toc351"/>
      <w:r>
        <w:rPr>
          <w:rFonts w:hint="eastAsia" w:asciiTheme="minorEastAsia" w:hAnsiTheme="minorEastAsia" w:eastAsiaTheme="minorEastAsia" w:cstheme="minorEastAsia"/>
          <w:b/>
          <w:bCs/>
          <w:color w:val="auto"/>
          <w:sz w:val="28"/>
          <w:szCs w:val="28"/>
          <w:highlight w:val="none"/>
        </w:rPr>
        <w:t>法定代表人或其委托代理人：</w:t>
      </w:r>
      <w:r>
        <w:rPr>
          <w:rFonts w:hint="eastAsia" w:asciiTheme="minorEastAsia" w:hAnsiTheme="minorEastAsia" w:eastAsiaTheme="minorEastAsia" w:cstheme="minorEastAsia"/>
          <w:b/>
          <w:bCs/>
          <w:color w:val="auto"/>
          <w:sz w:val="28"/>
          <w:szCs w:val="28"/>
          <w:highlight w:val="none"/>
          <w:u w:val="single"/>
        </w:rPr>
        <w:t xml:space="preserve">         </w:t>
      </w:r>
      <w:r>
        <w:rPr>
          <w:rFonts w:hint="eastAsia" w:asciiTheme="minorEastAsia" w:hAnsiTheme="minorEastAsia" w:eastAsiaTheme="minorEastAsia" w:cstheme="minorEastAsia"/>
          <w:b/>
          <w:bCs/>
          <w:color w:val="auto"/>
          <w:sz w:val="28"/>
          <w:szCs w:val="28"/>
          <w:highlight w:val="none"/>
        </w:rPr>
        <w:t>（电子签名或盖章）</w:t>
      </w:r>
      <w:bookmarkEnd w:id="1036"/>
    </w:p>
    <w:p w14:paraId="57388C12">
      <w:pPr>
        <w:keepNext w:val="0"/>
        <w:keepLines w:val="0"/>
        <w:pageBreakBefore w:val="0"/>
        <w:kinsoku/>
        <w:wordWrap/>
        <w:overflowPunct/>
        <w:topLinePunct w:val="0"/>
        <w:autoSpaceDE/>
        <w:autoSpaceDN/>
        <w:bidi w:val="0"/>
        <w:adjustRightInd/>
        <w:snapToGrid/>
        <w:spacing w:line="480" w:lineRule="auto"/>
        <w:jc w:val="center"/>
        <w:textAlignment w:val="auto"/>
        <w:outlineLvl w:val="9"/>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u w:val="single"/>
        </w:rPr>
        <w:t xml:space="preserve">        </w:t>
      </w:r>
      <w:r>
        <w:rPr>
          <w:rFonts w:hint="eastAsia" w:asciiTheme="minorEastAsia" w:hAnsiTheme="minorEastAsia" w:eastAsiaTheme="minorEastAsia" w:cstheme="minorEastAsia"/>
          <w:b/>
          <w:bCs/>
          <w:color w:val="auto"/>
          <w:sz w:val="28"/>
          <w:szCs w:val="28"/>
          <w:highlight w:val="none"/>
        </w:rPr>
        <w:t>年</w:t>
      </w:r>
      <w:r>
        <w:rPr>
          <w:rFonts w:hint="eastAsia" w:asciiTheme="minorEastAsia" w:hAnsiTheme="minorEastAsia" w:eastAsiaTheme="minorEastAsia" w:cstheme="minorEastAsia"/>
          <w:b/>
          <w:bCs/>
          <w:color w:val="auto"/>
          <w:sz w:val="28"/>
          <w:szCs w:val="28"/>
          <w:highlight w:val="none"/>
          <w:u w:val="single"/>
        </w:rPr>
        <w:t xml:space="preserve">        </w:t>
      </w:r>
      <w:r>
        <w:rPr>
          <w:rFonts w:hint="eastAsia" w:asciiTheme="minorEastAsia" w:hAnsiTheme="minorEastAsia" w:eastAsiaTheme="minorEastAsia" w:cstheme="minorEastAsia"/>
          <w:b/>
          <w:bCs/>
          <w:color w:val="auto"/>
          <w:sz w:val="28"/>
          <w:szCs w:val="28"/>
          <w:highlight w:val="none"/>
        </w:rPr>
        <w:t>月</w:t>
      </w:r>
      <w:r>
        <w:rPr>
          <w:rFonts w:hint="eastAsia" w:asciiTheme="minorEastAsia" w:hAnsiTheme="minorEastAsia" w:eastAsiaTheme="minorEastAsia" w:cstheme="minorEastAsia"/>
          <w:b/>
          <w:bCs/>
          <w:color w:val="auto"/>
          <w:sz w:val="28"/>
          <w:szCs w:val="28"/>
          <w:highlight w:val="none"/>
          <w:u w:val="single"/>
        </w:rPr>
        <w:t xml:space="preserve">        </w:t>
      </w:r>
      <w:r>
        <w:rPr>
          <w:rFonts w:hint="eastAsia" w:asciiTheme="minorEastAsia" w:hAnsiTheme="minorEastAsia" w:eastAsiaTheme="minorEastAsia" w:cstheme="minorEastAsia"/>
          <w:b/>
          <w:bCs/>
          <w:color w:val="auto"/>
          <w:sz w:val="28"/>
          <w:szCs w:val="28"/>
          <w:highlight w:val="none"/>
        </w:rPr>
        <w:t>日</w:t>
      </w:r>
    </w:p>
    <w:p w14:paraId="113926DF">
      <w:pPr>
        <w:keepNext w:val="0"/>
        <w:keepLines w:val="0"/>
        <w:pageBreakBefore w:val="0"/>
        <w:kinsoku/>
        <w:wordWrap/>
        <w:overflowPunct/>
        <w:topLinePunct w:val="0"/>
        <w:autoSpaceDE/>
        <w:autoSpaceDN/>
        <w:bidi w:val="0"/>
        <w:adjustRightInd/>
        <w:snapToGrid/>
        <w:spacing w:line="400" w:lineRule="exact"/>
        <w:textAlignment w:val="auto"/>
        <w:outlineLvl w:val="9"/>
        <w:rPr>
          <w:rFonts w:hint="eastAsia" w:asciiTheme="minorEastAsia" w:hAnsiTheme="minorEastAsia" w:eastAsiaTheme="minorEastAsia" w:cstheme="minorEastAsia"/>
          <w:color w:val="auto"/>
          <w:sz w:val="22"/>
          <w:szCs w:val="28"/>
          <w:highlight w:val="none"/>
        </w:rPr>
      </w:pPr>
    </w:p>
    <w:p w14:paraId="3E1974A8">
      <w:pPr>
        <w:keepNext/>
        <w:keepLines/>
        <w:pageBreakBefore w:val="0"/>
        <w:widowControl w:val="0"/>
        <w:numPr>
          <w:ilvl w:val="1"/>
          <w:numId w:val="0"/>
        </w:numPr>
        <w:tabs>
          <w:tab w:val="left" w:pos="2712"/>
          <w:tab w:val="left" w:pos="4658"/>
          <w:tab w:val="left" w:pos="5157"/>
          <w:tab w:val="left" w:pos="6554"/>
        </w:tabs>
        <w:kinsoku/>
        <w:wordWrap/>
        <w:overflowPunct/>
        <w:topLinePunct w:val="0"/>
        <w:autoSpaceDE/>
        <w:autoSpaceDN/>
        <w:bidi w:val="0"/>
        <w:adjustRightInd/>
        <w:snapToGrid/>
        <w:ind w:left="0" w:leftChars="0" w:firstLine="0" w:firstLineChars="0"/>
        <w:jc w:val="center"/>
        <w:textAlignment w:val="auto"/>
        <w:outlineLvl w:val="9"/>
        <w:rPr>
          <w:rFonts w:hint="eastAsia" w:asciiTheme="minorEastAsia" w:hAnsiTheme="minorEastAsia" w:eastAsiaTheme="minorEastAsia" w:cstheme="minorEastAsia"/>
          <w:color w:val="auto"/>
          <w:sz w:val="32"/>
          <w:szCs w:val="32"/>
          <w:highlight w:val="none"/>
        </w:rPr>
      </w:pPr>
      <w:bookmarkStart w:id="1037" w:name="_Toc23770"/>
      <w:bookmarkStart w:id="1038" w:name="_Toc152042576"/>
      <w:bookmarkStart w:id="1039" w:name="_Toc466298157"/>
      <w:bookmarkStart w:id="1040" w:name="_Toc8978"/>
      <w:bookmarkStart w:id="1041" w:name="_Toc152045787"/>
      <w:bookmarkStart w:id="1042" w:name="_Toc31864"/>
      <w:bookmarkStart w:id="1043" w:name="_Toc20198"/>
      <w:bookmarkStart w:id="1044" w:name="_Toc144974856"/>
      <w:r>
        <w:rPr>
          <w:rFonts w:hint="eastAsia" w:asciiTheme="minorEastAsia" w:hAnsiTheme="minorEastAsia" w:eastAsiaTheme="minorEastAsia" w:cstheme="minorEastAsia"/>
          <w:color w:val="auto"/>
          <w:sz w:val="32"/>
          <w:szCs w:val="21"/>
          <w:highlight w:val="none"/>
        </w:rPr>
        <w:t>目    录</w:t>
      </w:r>
      <w:bookmarkEnd w:id="1037"/>
      <w:bookmarkEnd w:id="1038"/>
      <w:bookmarkEnd w:id="1039"/>
      <w:bookmarkEnd w:id="1040"/>
      <w:bookmarkEnd w:id="1041"/>
      <w:bookmarkEnd w:id="1042"/>
      <w:bookmarkEnd w:id="1043"/>
      <w:bookmarkEnd w:id="1044"/>
    </w:p>
    <w:p w14:paraId="2F166083">
      <w:pPr>
        <w:keepNext w:val="0"/>
        <w:keepLines w:val="0"/>
        <w:pageBreakBefore w:val="0"/>
        <w:widowControl w:val="0"/>
        <w:kinsoku/>
        <w:wordWrap/>
        <w:overflowPunct/>
        <w:topLinePunct w:val="0"/>
        <w:autoSpaceDE/>
        <w:autoSpaceDN/>
        <w:bidi w:val="0"/>
        <w:adjustRightInd/>
        <w:snapToGrid/>
        <w:spacing w:line="540" w:lineRule="exact"/>
        <w:ind w:left="0" w:leftChars="0"/>
        <w:jc w:val="center"/>
        <w:textAlignment w:val="auto"/>
        <w:rPr>
          <w:rFonts w:hint="eastAsia" w:asciiTheme="minorEastAsia" w:hAnsiTheme="minorEastAsia" w:eastAsiaTheme="minorEastAsia" w:cstheme="minorEastAsia"/>
          <w:color w:val="auto"/>
          <w:sz w:val="24"/>
          <w:szCs w:val="32"/>
          <w:highlight w:val="none"/>
          <w:lang w:val="en-US" w:eastAsia="zh-CN"/>
        </w:rPr>
      </w:pPr>
      <w:r>
        <w:rPr>
          <w:rFonts w:hint="eastAsia" w:asciiTheme="minorEastAsia" w:hAnsiTheme="minorEastAsia" w:eastAsiaTheme="minorEastAsia" w:cstheme="minorEastAsia"/>
          <w:color w:val="auto"/>
          <w:sz w:val="24"/>
          <w:szCs w:val="32"/>
          <w:highlight w:val="none"/>
          <w:lang w:val="en-US" w:eastAsia="zh-CN"/>
        </w:rPr>
        <w:t>（自拟）</w:t>
      </w:r>
    </w:p>
    <w:p w14:paraId="5008D718">
      <w:pPr>
        <w:spacing w:line="540" w:lineRule="exact"/>
        <w:rPr>
          <w:rFonts w:hint="eastAsia" w:asciiTheme="minorEastAsia" w:hAnsiTheme="minorEastAsia" w:eastAsiaTheme="minorEastAsia" w:cstheme="minorEastAsia"/>
          <w:color w:val="auto"/>
          <w:highlight w:val="none"/>
        </w:rPr>
      </w:pPr>
    </w:p>
    <w:p w14:paraId="6DC9DE98">
      <w:pPr>
        <w:spacing w:line="540" w:lineRule="exact"/>
        <w:rPr>
          <w:rFonts w:hint="eastAsia" w:asciiTheme="minorEastAsia" w:hAnsiTheme="minorEastAsia" w:eastAsiaTheme="minorEastAsia" w:cstheme="minorEastAsia"/>
          <w:color w:val="auto"/>
          <w:highlight w:val="none"/>
        </w:rPr>
      </w:pPr>
    </w:p>
    <w:p w14:paraId="480C5D37">
      <w:pPr>
        <w:spacing w:line="540" w:lineRule="exact"/>
        <w:rPr>
          <w:rFonts w:hint="eastAsia" w:asciiTheme="minorEastAsia" w:hAnsiTheme="minorEastAsia" w:eastAsiaTheme="minorEastAsia" w:cstheme="minorEastAsia"/>
          <w:color w:val="auto"/>
          <w:highlight w:val="none"/>
        </w:rPr>
      </w:pPr>
    </w:p>
    <w:p w14:paraId="0394F618">
      <w:pPr>
        <w:spacing w:line="540" w:lineRule="exact"/>
        <w:rPr>
          <w:rFonts w:hint="eastAsia" w:asciiTheme="minorEastAsia" w:hAnsiTheme="minorEastAsia" w:eastAsiaTheme="minorEastAsia" w:cstheme="minorEastAsia"/>
          <w:color w:val="auto"/>
          <w:highlight w:val="none"/>
        </w:rPr>
      </w:pPr>
    </w:p>
    <w:p w14:paraId="10931352">
      <w:pPr>
        <w:spacing w:line="540" w:lineRule="exact"/>
        <w:rPr>
          <w:rFonts w:hint="eastAsia" w:asciiTheme="minorEastAsia" w:hAnsiTheme="minorEastAsia" w:eastAsiaTheme="minorEastAsia" w:cstheme="minorEastAsia"/>
          <w:color w:val="auto"/>
          <w:highlight w:val="none"/>
        </w:rPr>
      </w:pPr>
    </w:p>
    <w:p w14:paraId="2D176EBE">
      <w:pPr>
        <w:spacing w:line="540" w:lineRule="exact"/>
        <w:rPr>
          <w:rFonts w:hint="eastAsia" w:asciiTheme="minorEastAsia" w:hAnsiTheme="minorEastAsia" w:eastAsiaTheme="minorEastAsia" w:cstheme="minorEastAsia"/>
          <w:color w:val="auto"/>
          <w:highlight w:val="none"/>
        </w:rPr>
      </w:pPr>
    </w:p>
    <w:p w14:paraId="46E47ABD">
      <w:pPr>
        <w:spacing w:line="540" w:lineRule="exact"/>
        <w:rPr>
          <w:rFonts w:hint="eastAsia" w:asciiTheme="minorEastAsia" w:hAnsiTheme="minorEastAsia" w:eastAsiaTheme="minorEastAsia" w:cstheme="minorEastAsia"/>
          <w:color w:val="auto"/>
          <w:highlight w:val="none"/>
        </w:rPr>
      </w:pPr>
    </w:p>
    <w:p w14:paraId="112B22C8">
      <w:pPr>
        <w:spacing w:line="540" w:lineRule="exact"/>
        <w:rPr>
          <w:rFonts w:hint="eastAsia" w:asciiTheme="minorEastAsia" w:hAnsiTheme="minorEastAsia" w:eastAsiaTheme="minorEastAsia" w:cstheme="minorEastAsia"/>
          <w:color w:val="auto"/>
          <w:highlight w:val="none"/>
        </w:rPr>
      </w:pPr>
    </w:p>
    <w:p w14:paraId="1FA7FA7A">
      <w:pPr>
        <w:spacing w:line="540" w:lineRule="exact"/>
        <w:rPr>
          <w:rFonts w:hint="eastAsia" w:asciiTheme="minorEastAsia" w:hAnsiTheme="minorEastAsia" w:eastAsiaTheme="minorEastAsia" w:cstheme="minorEastAsia"/>
          <w:color w:val="auto"/>
          <w:sz w:val="20"/>
          <w:szCs w:val="20"/>
          <w:highlight w:val="none"/>
        </w:rPr>
      </w:pPr>
    </w:p>
    <w:p w14:paraId="49C280C4">
      <w:pPr>
        <w:spacing w:line="540" w:lineRule="exact"/>
        <w:rPr>
          <w:rFonts w:hint="eastAsia" w:asciiTheme="minorEastAsia" w:hAnsiTheme="minorEastAsia" w:eastAsiaTheme="minorEastAsia" w:cstheme="minorEastAsia"/>
          <w:color w:val="auto"/>
          <w:sz w:val="20"/>
          <w:szCs w:val="20"/>
          <w:highlight w:val="none"/>
        </w:rPr>
      </w:pPr>
    </w:p>
    <w:p w14:paraId="4ECB00A1">
      <w:pPr>
        <w:spacing w:line="540" w:lineRule="exact"/>
        <w:rPr>
          <w:rFonts w:hint="eastAsia" w:asciiTheme="minorEastAsia" w:hAnsiTheme="minorEastAsia" w:eastAsiaTheme="minorEastAsia" w:cstheme="minorEastAsia"/>
          <w:color w:val="auto"/>
          <w:sz w:val="20"/>
          <w:szCs w:val="20"/>
          <w:highlight w:val="none"/>
        </w:rPr>
      </w:pPr>
    </w:p>
    <w:p w14:paraId="449E6A37">
      <w:pPr>
        <w:spacing w:line="540" w:lineRule="exact"/>
        <w:rPr>
          <w:rFonts w:hint="eastAsia" w:asciiTheme="minorEastAsia" w:hAnsiTheme="minorEastAsia" w:eastAsiaTheme="minorEastAsia" w:cstheme="minorEastAsia"/>
          <w:color w:val="auto"/>
          <w:sz w:val="20"/>
          <w:szCs w:val="20"/>
          <w:highlight w:val="none"/>
        </w:rPr>
      </w:pPr>
    </w:p>
    <w:p w14:paraId="0EE8A556">
      <w:pPr>
        <w:pStyle w:val="3"/>
        <w:rPr>
          <w:rFonts w:hint="eastAsia" w:asciiTheme="minorEastAsia" w:hAnsiTheme="minorEastAsia" w:eastAsiaTheme="minorEastAsia" w:cstheme="minorEastAsia"/>
          <w:color w:val="auto"/>
          <w:sz w:val="20"/>
          <w:szCs w:val="20"/>
          <w:highlight w:val="none"/>
        </w:rPr>
      </w:pPr>
    </w:p>
    <w:p w14:paraId="1E740BEB">
      <w:pPr>
        <w:pStyle w:val="6"/>
        <w:numPr>
          <w:ilvl w:val="0"/>
          <w:numId w:val="0"/>
        </w:numPr>
        <w:bidi w:val="0"/>
        <w:ind w:left="720" w:leftChars="0" w:hanging="720" w:firstLineChars="0"/>
        <w:rPr>
          <w:rFonts w:hint="eastAsia" w:asciiTheme="minorEastAsia" w:hAnsiTheme="minorEastAsia" w:eastAsiaTheme="minorEastAsia" w:cstheme="minorEastAsia"/>
          <w:b/>
          <w:bCs/>
          <w:color w:val="auto"/>
          <w:kern w:val="2"/>
          <w:sz w:val="28"/>
          <w:szCs w:val="20"/>
          <w:highlight w:val="none"/>
          <w:lang w:val="zh-CN" w:eastAsia="zh-CN" w:bidi="zh-CN"/>
        </w:rPr>
        <w:sectPr>
          <w:pgSz w:w="11905" w:h="16838"/>
          <w:pgMar w:top="1134" w:right="1417" w:bottom="1417" w:left="1417" w:header="850" w:footer="850" w:gutter="0"/>
          <w:pgBorders>
            <w:top w:val="none" w:sz="0" w:space="0"/>
            <w:left w:val="none" w:sz="0" w:space="0"/>
            <w:bottom w:val="none" w:sz="0" w:space="0"/>
            <w:right w:val="none" w:sz="0" w:space="0"/>
          </w:pgBorders>
          <w:pgNumType w:fmt="decimal"/>
          <w:cols w:space="0" w:num="1"/>
          <w:rtlGutter w:val="0"/>
          <w:docGrid w:type="lines" w:linePitch="317" w:charSpace="0"/>
        </w:sectPr>
      </w:pPr>
      <w:bookmarkStart w:id="1045" w:name="_Toc144974857"/>
      <w:bookmarkStart w:id="1046" w:name="_Toc152042577"/>
      <w:bookmarkStart w:id="1047" w:name="_Toc152045788"/>
      <w:bookmarkStart w:id="1048" w:name="_Toc466298158"/>
      <w:bookmarkStart w:id="1049" w:name="_Toc8095"/>
      <w:bookmarkStart w:id="1050" w:name="_Toc9911"/>
      <w:bookmarkStart w:id="1051" w:name="_Toc11696"/>
    </w:p>
    <w:p w14:paraId="0ED53929">
      <w:pPr>
        <w:pStyle w:val="6"/>
        <w:numPr>
          <w:ilvl w:val="0"/>
          <w:numId w:val="0"/>
        </w:numPr>
        <w:bidi w:val="0"/>
        <w:ind w:left="720" w:leftChars="0" w:hanging="720" w:firstLineChars="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kern w:val="2"/>
          <w:sz w:val="28"/>
          <w:szCs w:val="20"/>
          <w:highlight w:val="none"/>
          <w:lang w:val="zh-CN" w:eastAsia="zh-CN" w:bidi="zh-CN"/>
        </w:rPr>
        <w:t>一、</w:t>
      </w:r>
      <w:r>
        <w:rPr>
          <w:rFonts w:hint="eastAsia" w:asciiTheme="minorEastAsia" w:hAnsiTheme="minorEastAsia" w:eastAsiaTheme="minorEastAsia" w:cstheme="minorEastAsia"/>
          <w:b/>
          <w:bCs/>
          <w:color w:val="auto"/>
          <w:highlight w:val="none"/>
        </w:rPr>
        <w:t>磋商函及</w:t>
      </w:r>
      <w:bookmarkEnd w:id="1045"/>
      <w:bookmarkEnd w:id="1046"/>
      <w:bookmarkEnd w:id="1047"/>
      <w:r>
        <w:rPr>
          <w:rFonts w:hint="eastAsia" w:asciiTheme="minorEastAsia" w:hAnsiTheme="minorEastAsia" w:eastAsiaTheme="minorEastAsia" w:cstheme="minorEastAsia"/>
          <w:b/>
          <w:bCs/>
          <w:color w:val="auto"/>
          <w:highlight w:val="none"/>
        </w:rPr>
        <w:t>磋商函附录</w:t>
      </w:r>
      <w:bookmarkEnd w:id="1048"/>
      <w:bookmarkEnd w:id="1049"/>
      <w:bookmarkEnd w:id="1050"/>
      <w:bookmarkEnd w:id="1051"/>
    </w:p>
    <w:p w14:paraId="7245B28B">
      <w:pPr>
        <w:pStyle w:val="6"/>
        <w:numPr>
          <w:ilvl w:val="1"/>
          <w:numId w:val="0"/>
        </w:numPr>
        <w:jc w:val="center"/>
        <w:rPr>
          <w:rFonts w:hint="eastAsia" w:asciiTheme="minorEastAsia" w:hAnsiTheme="minorEastAsia" w:eastAsiaTheme="minorEastAsia" w:cstheme="minorEastAsia"/>
          <w:b/>
          <w:bCs/>
          <w:color w:val="auto"/>
          <w:sz w:val="24"/>
          <w:szCs w:val="24"/>
          <w:highlight w:val="none"/>
        </w:rPr>
      </w:pPr>
      <w:bookmarkStart w:id="1052" w:name="_Toc144974858"/>
      <w:bookmarkStart w:id="1053" w:name="_Toc6005"/>
      <w:bookmarkStart w:id="1054" w:name="_Toc23888"/>
      <w:bookmarkStart w:id="1055" w:name="_Toc18705"/>
      <w:bookmarkStart w:id="1056" w:name="_Toc466298159"/>
      <w:bookmarkStart w:id="1057" w:name="_Toc11855"/>
      <w:bookmarkStart w:id="1058" w:name="_Toc455867830"/>
      <w:bookmarkStart w:id="1059" w:name="_Toc490667892"/>
      <w:bookmarkStart w:id="1060" w:name="_Toc318450744"/>
      <w:bookmarkStart w:id="1061" w:name="_Toc455080170"/>
      <w:bookmarkStart w:id="1062" w:name="_Toc23306"/>
      <w:bookmarkStart w:id="1063" w:name="_Toc30581"/>
      <w:bookmarkStart w:id="1064" w:name="_Toc8915"/>
      <w:bookmarkStart w:id="1065" w:name="_Toc152045789"/>
      <w:bookmarkStart w:id="1066" w:name="_Toc26262"/>
      <w:bookmarkStart w:id="1067" w:name="_Toc4299"/>
      <w:bookmarkStart w:id="1068" w:name="_Toc16901"/>
      <w:bookmarkStart w:id="1069" w:name="_Toc152042578"/>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lang w:val="en-US" w:eastAsia="zh-CN"/>
        </w:rPr>
        <w:t>一</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rPr>
        <w:t>磋商函</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p>
    <w:p w14:paraId="41387400">
      <w:pPr>
        <w:pStyle w:val="18"/>
        <w:keepNext w:val="0"/>
        <w:keepLines w:val="0"/>
        <w:pageBreakBefore w:val="0"/>
        <w:widowControl w:val="0"/>
        <w:kinsoku/>
        <w:wordWrap/>
        <w:overflowPunct/>
        <w:topLinePunct w:val="0"/>
        <w:autoSpaceDE/>
        <w:autoSpaceDN/>
        <w:bidi w:val="0"/>
        <w:adjustRightInd/>
        <w:snapToGrid/>
        <w:spacing w:line="500" w:lineRule="exact"/>
        <w:ind w:left="98" w:leftChars="0" w:hanging="98" w:hangingChars="47"/>
        <w:textAlignment w:val="auto"/>
        <w:rPr>
          <w:rFonts w:hint="eastAsia" w:asciiTheme="minorEastAsia" w:hAnsiTheme="minorEastAsia" w:eastAsiaTheme="minorEastAsia" w:cstheme="minorEastAsia"/>
          <w:color w:val="auto"/>
          <w:szCs w:val="21"/>
          <w:highlight w:val="none"/>
          <w:lang w:eastAsia="zh-CN"/>
        </w:rPr>
      </w:pPr>
      <w:bookmarkStart w:id="1070" w:name="_Toc466298160"/>
      <w:bookmarkStart w:id="1071" w:name="_Toc447888814"/>
      <w:bookmarkStart w:id="1072" w:name="_Toc19056"/>
      <w:bookmarkStart w:id="1073" w:name="_Toc490667893"/>
      <w:r>
        <w:rPr>
          <w:rFonts w:hint="eastAsia" w:asciiTheme="minorEastAsia" w:hAnsiTheme="minorEastAsia" w:eastAsiaTheme="minorEastAsia" w:cstheme="minorEastAsia"/>
          <w:color w:val="auto"/>
          <w:szCs w:val="21"/>
          <w:highlight w:val="none"/>
          <w:u w:val="single"/>
        </w:rPr>
        <w:t>致 （采购人）</w:t>
      </w:r>
      <w:r>
        <w:rPr>
          <w:rFonts w:hint="eastAsia" w:asciiTheme="minorEastAsia" w:hAnsiTheme="minorEastAsia" w:eastAsiaTheme="minorEastAsia" w:cstheme="minorEastAsia"/>
          <w:color w:val="auto"/>
          <w:szCs w:val="21"/>
          <w:highlight w:val="none"/>
          <w:u w:val="single"/>
          <w:lang w:eastAsia="zh-CN"/>
        </w:rPr>
        <w:t>：</w:t>
      </w:r>
    </w:p>
    <w:p w14:paraId="043AE8B7">
      <w:pPr>
        <w:pStyle w:val="18"/>
        <w:keepNext w:val="0"/>
        <w:keepLines w:val="0"/>
        <w:pageBreakBefore w:val="0"/>
        <w:widowControl w:val="0"/>
        <w:kinsoku/>
        <w:wordWrap/>
        <w:overflowPunct/>
        <w:topLinePunct w:val="0"/>
        <w:autoSpaceDE/>
        <w:autoSpaceDN/>
        <w:bidi w:val="0"/>
        <w:adjustRightInd/>
        <w:snapToGrid/>
        <w:spacing w:line="500" w:lineRule="exact"/>
        <w:ind w:left="1" w:leftChars="0"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1.</w:t>
      </w:r>
      <w:r>
        <w:rPr>
          <w:rFonts w:hint="eastAsia" w:asciiTheme="minorEastAsia" w:hAnsiTheme="minorEastAsia" w:eastAsiaTheme="minorEastAsia" w:cstheme="minorEastAsia"/>
          <w:color w:val="auto"/>
          <w:szCs w:val="21"/>
          <w:highlight w:val="none"/>
        </w:rPr>
        <w:t>根据已收到的</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none"/>
        </w:rPr>
        <w:t>项目名称）</w:t>
      </w:r>
      <w:r>
        <w:rPr>
          <w:rFonts w:hint="eastAsia" w:asciiTheme="minorEastAsia" w:hAnsiTheme="minorEastAsia" w:eastAsiaTheme="minorEastAsia" w:cstheme="minorEastAsia"/>
          <w:color w:val="auto"/>
          <w:szCs w:val="21"/>
          <w:highlight w:val="none"/>
        </w:rPr>
        <w:t>的竞争性磋商文件，遵照《中华人民共和国政府采购法》等有关规定，经考察和认真研究本项目竞争性磋商文件</w:t>
      </w:r>
      <w:r>
        <w:rPr>
          <w:rFonts w:hint="eastAsia" w:asciiTheme="minorEastAsia" w:hAnsiTheme="minorEastAsia" w:eastAsiaTheme="minorEastAsia" w:cstheme="minorEastAsia"/>
          <w:color w:val="auto"/>
          <w:szCs w:val="21"/>
          <w:highlight w:val="none"/>
          <w:lang w:eastAsia="zh-CN"/>
        </w:rPr>
        <w:t>及其他有关</w:t>
      </w:r>
      <w:r>
        <w:rPr>
          <w:rFonts w:hint="eastAsia" w:asciiTheme="minorEastAsia" w:hAnsiTheme="minorEastAsia" w:eastAsiaTheme="minorEastAsia" w:cstheme="minorEastAsia"/>
          <w:color w:val="auto"/>
          <w:szCs w:val="21"/>
          <w:highlight w:val="none"/>
        </w:rPr>
        <w:t>文件后，愿以人民币（大写</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default" w:ascii="Times New Roman" w:hAnsi="Times New Roman" w:cs="Times New Roman"/>
          <w:color w:val="000000"/>
          <w:sz w:val="21"/>
          <w:szCs w:val="21"/>
        </w:rPr>
        <w:t>元</w:t>
      </w:r>
      <w:r>
        <w:rPr>
          <w:rFonts w:hint="eastAsia" w:cs="Times New Roman"/>
          <w:color w:val="000000"/>
          <w:sz w:val="21"/>
          <w:szCs w:val="21"/>
          <w:lang w:val="en-US" w:eastAsia="zh-CN"/>
        </w:rPr>
        <w:t>/年</w:t>
      </w:r>
      <w:r>
        <w:rPr>
          <w:rFonts w:hint="eastAsia" w:asciiTheme="minorEastAsia" w:hAnsiTheme="minorEastAsia" w:eastAsiaTheme="minorEastAsia" w:cstheme="minorEastAsia"/>
          <w:color w:val="auto"/>
          <w:szCs w:val="21"/>
          <w:highlight w:val="none"/>
        </w:rPr>
        <w:t>）的磋商总报价作为第一次磋商报价，按合同约定实施和完成本项目，并承担</w:t>
      </w:r>
      <w:r>
        <w:rPr>
          <w:rFonts w:hint="eastAsia" w:asciiTheme="minorEastAsia" w:hAnsiTheme="minorEastAsia" w:eastAsiaTheme="minorEastAsia" w:cstheme="minorEastAsia"/>
          <w:color w:val="auto"/>
          <w:szCs w:val="21"/>
          <w:highlight w:val="none"/>
          <w:lang w:eastAsia="zh-CN"/>
        </w:rPr>
        <w:t>因</w:t>
      </w:r>
      <w:r>
        <w:rPr>
          <w:rFonts w:hint="eastAsia" w:asciiTheme="minorEastAsia" w:hAnsiTheme="minorEastAsia" w:eastAsiaTheme="minorEastAsia" w:cstheme="minorEastAsia"/>
          <w:color w:val="auto"/>
          <w:szCs w:val="21"/>
          <w:highlight w:val="none"/>
        </w:rPr>
        <w:t>任何质量缺陷等问题所造成的任何损失。</w:t>
      </w:r>
    </w:p>
    <w:p w14:paraId="18C67194">
      <w:pPr>
        <w:pStyle w:val="18"/>
        <w:keepNext w:val="0"/>
        <w:keepLines w:val="0"/>
        <w:pageBreakBefore w:val="0"/>
        <w:widowControl w:val="0"/>
        <w:kinsoku/>
        <w:wordWrap/>
        <w:overflowPunct/>
        <w:topLinePunct w:val="0"/>
        <w:autoSpaceDE/>
        <w:autoSpaceDN/>
        <w:bidi w:val="0"/>
        <w:adjustRightInd/>
        <w:snapToGrid/>
        <w:spacing w:line="500" w:lineRule="exact"/>
        <w:ind w:left="1" w:leftChars="0" w:firstLine="420" w:firstLineChars="200"/>
        <w:textAlignment w:val="auto"/>
        <w:rPr>
          <w:rFonts w:hint="eastAsia" w:asciiTheme="minorEastAsia" w:hAnsiTheme="minorEastAsia" w:eastAsiaTheme="minorEastAsia" w:cstheme="minorEastAsia"/>
          <w:color w:val="auto"/>
          <w:spacing w:val="0"/>
          <w:sz w:val="21"/>
          <w:szCs w:val="21"/>
          <w:highlight w:val="none"/>
        </w:rPr>
      </w:pPr>
      <w:r>
        <w:rPr>
          <w:rFonts w:hint="eastAsia" w:asciiTheme="minorEastAsia" w:hAnsiTheme="minorEastAsia" w:eastAsiaTheme="minorEastAsia" w:cstheme="minorEastAsia"/>
          <w:color w:val="auto"/>
          <w:szCs w:val="21"/>
          <w:highlight w:val="none"/>
          <w:lang w:eastAsia="zh-CN"/>
        </w:rPr>
        <w:t>2.</w:t>
      </w:r>
      <w:r>
        <w:rPr>
          <w:rFonts w:hint="eastAsia" w:asciiTheme="minorEastAsia" w:hAnsiTheme="minorEastAsia" w:eastAsiaTheme="minorEastAsia" w:cstheme="minorEastAsia"/>
          <w:color w:val="auto"/>
          <w:spacing w:val="0"/>
          <w:sz w:val="21"/>
          <w:szCs w:val="21"/>
          <w:highlight w:val="none"/>
        </w:rPr>
        <w:t>我方已详细检查全部竞争性磋商文件包括澄清文件、补充通知（如有的话）及有关附件，并完全理解我方必须放弃提出含糊不清或误解的</w:t>
      </w:r>
      <w:r>
        <w:rPr>
          <w:rFonts w:hint="eastAsia" w:asciiTheme="minorEastAsia" w:hAnsiTheme="minorEastAsia" w:eastAsiaTheme="minorEastAsia" w:cstheme="minorEastAsia"/>
          <w:color w:val="auto"/>
          <w:spacing w:val="0"/>
          <w:sz w:val="21"/>
          <w:szCs w:val="21"/>
          <w:highlight w:val="none"/>
          <w:lang w:eastAsia="zh-CN"/>
        </w:rPr>
        <w:t>权利</w:t>
      </w:r>
      <w:r>
        <w:rPr>
          <w:rFonts w:hint="eastAsia" w:asciiTheme="minorEastAsia" w:hAnsiTheme="minorEastAsia" w:eastAsiaTheme="minorEastAsia" w:cstheme="minorEastAsia"/>
          <w:color w:val="auto"/>
          <w:spacing w:val="0"/>
          <w:sz w:val="21"/>
          <w:szCs w:val="21"/>
          <w:highlight w:val="none"/>
        </w:rPr>
        <w:t>，愿按照磋商文件中的条款和要求按最后一次的报价</w:t>
      </w:r>
      <w:r>
        <w:rPr>
          <w:rFonts w:hint="eastAsia" w:asciiTheme="minorEastAsia" w:hAnsiTheme="minorEastAsia" w:eastAsiaTheme="minorEastAsia" w:cstheme="minorEastAsia"/>
          <w:color w:val="auto"/>
          <w:spacing w:val="0"/>
          <w:sz w:val="21"/>
          <w:szCs w:val="21"/>
          <w:highlight w:val="none"/>
          <w:lang w:eastAsia="zh-CN"/>
        </w:rPr>
        <w:t>作为</w:t>
      </w:r>
      <w:r>
        <w:rPr>
          <w:rFonts w:hint="eastAsia" w:asciiTheme="minorEastAsia" w:hAnsiTheme="minorEastAsia" w:eastAsiaTheme="minorEastAsia" w:cstheme="minorEastAsia"/>
          <w:color w:val="auto"/>
          <w:spacing w:val="0"/>
          <w:sz w:val="21"/>
          <w:szCs w:val="21"/>
          <w:highlight w:val="none"/>
        </w:rPr>
        <w:t>最后报价。</w:t>
      </w:r>
    </w:p>
    <w:p w14:paraId="2895E580">
      <w:pPr>
        <w:pStyle w:val="18"/>
        <w:keepNext w:val="0"/>
        <w:keepLines w:val="0"/>
        <w:pageBreakBefore w:val="0"/>
        <w:widowControl w:val="0"/>
        <w:kinsoku/>
        <w:wordWrap/>
        <w:overflowPunct/>
        <w:topLinePunct w:val="0"/>
        <w:autoSpaceDE/>
        <w:autoSpaceDN/>
        <w:bidi w:val="0"/>
        <w:adjustRightInd/>
        <w:snapToGrid/>
        <w:spacing w:line="500" w:lineRule="exact"/>
        <w:ind w:left="1" w:leftChars="0"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3.</w:t>
      </w:r>
      <w:r>
        <w:rPr>
          <w:rFonts w:hint="eastAsia" w:asciiTheme="minorEastAsia" w:hAnsiTheme="minorEastAsia" w:eastAsiaTheme="minorEastAsia" w:cstheme="minorEastAsia"/>
          <w:color w:val="auto"/>
          <w:szCs w:val="21"/>
          <w:highlight w:val="none"/>
        </w:rPr>
        <w:t>我方在此承诺，我方若能成交，保证在</w:t>
      </w:r>
      <w:r>
        <w:rPr>
          <w:rFonts w:hint="eastAsia" w:asciiTheme="minorEastAsia" w:hAnsiTheme="minorEastAsia" w:eastAsiaTheme="minorEastAsia" w:cstheme="minorEastAsia"/>
          <w:color w:val="auto"/>
          <w:szCs w:val="21"/>
          <w:highlight w:val="none"/>
          <w:lang w:val="en-US" w:eastAsia="zh-CN"/>
        </w:rPr>
        <w:t>服务</w:t>
      </w:r>
      <w:r>
        <w:rPr>
          <w:rFonts w:hint="eastAsia" w:asciiTheme="minorEastAsia" w:hAnsiTheme="minorEastAsia" w:eastAsiaTheme="minorEastAsia" w:cstheme="minorEastAsia"/>
          <w:color w:val="auto"/>
          <w:szCs w:val="21"/>
          <w:highlight w:val="none"/>
        </w:rPr>
        <w:t>期限内，全面履行竞争性磋商文件中规定的职责和义务。</w:t>
      </w:r>
    </w:p>
    <w:p w14:paraId="016953D1">
      <w:pPr>
        <w:pStyle w:val="18"/>
        <w:keepNext w:val="0"/>
        <w:keepLines w:val="0"/>
        <w:pageBreakBefore w:val="0"/>
        <w:widowControl w:val="0"/>
        <w:kinsoku/>
        <w:wordWrap/>
        <w:overflowPunct/>
        <w:topLinePunct w:val="0"/>
        <w:autoSpaceDE/>
        <w:autoSpaceDN/>
        <w:bidi w:val="0"/>
        <w:adjustRightInd/>
        <w:snapToGrid/>
        <w:spacing w:line="500" w:lineRule="exact"/>
        <w:ind w:left="1" w:leftChars="0"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4.</w:t>
      </w:r>
      <w:r>
        <w:rPr>
          <w:rFonts w:hint="eastAsia" w:asciiTheme="minorEastAsia" w:hAnsiTheme="minorEastAsia" w:eastAsiaTheme="minorEastAsia" w:cstheme="minorEastAsia"/>
          <w:color w:val="auto"/>
          <w:szCs w:val="21"/>
          <w:highlight w:val="none"/>
        </w:rPr>
        <w:t>如果我方成交，我方保证按合同条款中规定的内容执行；我方保证</w:t>
      </w:r>
      <w:r>
        <w:rPr>
          <w:rFonts w:hint="eastAsia" w:asciiTheme="minorEastAsia" w:hAnsiTheme="minorEastAsia" w:eastAsiaTheme="minorEastAsia" w:cstheme="minorEastAsia"/>
          <w:color w:val="auto"/>
          <w:szCs w:val="21"/>
          <w:highlight w:val="none"/>
          <w:lang w:val="en-US" w:eastAsia="zh-CN"/>
        </w:rPr>
        <w:t>服务标准达到</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rPr>
        <w:t>，并按竞争性磋商文件和有关规定提交一切资料。</w:t>
      </w:r>
    </w:p>
    <w:p w14:paraId="76A7B81D">
      <w:pPr>
        <w:pStyle w:val="18"/>
        <w:keepNext w:val="0"/>
        <w:keepLines w:val="0"/>
        <w:pageBreakBefore w:val="0"/>
        <w:widowControl w:val="0"/>
        <w:kinsoku/>
        <w:wordWrap/>
        <w:overflowPunct/>
        <w:topLinePunct w:val="0"/>
        <w:autoSpaceDE/>
        <w:autoSpaceDN/>
        <w:bidi w:val="0"/>
        <w:adjustRightInd/>
        <w:snapToGrid/>
        <w:spacing w:line="500" w:lineRule="exact"/>
        <w:ind w:left="1" w:leftChars="0"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我方同意从响应文件提交截止之日起</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none"/>
          <w:lang w:eastAsia="zh-CN"/>
        </w:rPr>
        <w:t>日历天</w:t>
      </w:r>
      <w:r>
        <w:rPr>
          <w:rFonts w:hint="eastAsia" w:asciiTheme="minorEastAsia" w:hAnsiTheme="minorEastAsia" w:eastAsiaTheme="minorEastAsia" w:cstheme="minorEastAsia"/>
          <w:color w:val="auto"/>
          <w:szCs w:val="21"/>
          <w:highlight w:val="none"/>
          <w:u w:val="none"/>
        </w:rPr>
        <w:t>保</w:t>
      </w:r>
      <w:r>
        <w:rPr>
          <w:rFonts w:hint="eastAsia" w:asciiTheme="minorEastAsia" w:hAnsiTheme="minorEastAsia" w:eastAsiaTheme="minorEastAsia" w:cstheme="minorEastAsia"/>
          <w:color w:val="auto"/>
          <w:szCs w:val="21"/>
          <w:highlight w:val="none"/>
        </w:rPr>
        <w:t>持磋商响应文件有效，在此有效期内，我方将严格遵守磋商响应文件的承诺，本磋商响应文件对我方具有约束力，并可随时被接受成交。</w:t>
      </w:r>
    </w:p>
    <w:p w14:paraId="4C91D258">
      <w:pPr>
        <w:pStyle w:val="18"/>
        <w:keepNext w:val="0"/>
        <w:keepLines w:val="0"/>
        <w:pageBreakBefore w:val="0"/>
        <w:widowControl w:val="0"/>
        <w:kinsoku/>
        <w:wordWrap/>
        <w:overflowPunct/>
        <w:topLinePunct w:val="0"/>
        <w:autoSpaceDE/>
        <w:autoSpaceDN/>
        <w:bidi w:val="0"/>
        <w:adjustRightInd/>
        <w:snapToGrid/>
        <w:spacing w:line="500" w:lineRule="exact"/>
        <w:ind w:left="1" w:leftChars="0"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除磋商响应文件所提交的资料外，我方同意随时接受贵方的检查、询问，并根据磋商需要补充贵方要求提交的资料。</w:t>
      </w:r>
    </w:p>
    <w:p w14:paraId="1A09015C">
      <w:pPr>
        <w:pStyle w:val="18"/>
        <w:keepNext w:val="0"/>
        <w:keepLines w:val="0"/>
        <w:pageBreakBefore w:val="0"/>
        <w:widowControl w:val="0"/>
        <w:kinsoku/>
        <w:wordWrap/>
        <w:overflowPunct/>
        <w:topLinePunct w:val="0"/>
        <w:autoSpaceDE/>
        <w:autoSpaceDN/>
        <w:bidi w:val="0"/>
        <w:adjustRightInd/>
        <w:snapToGrid/>
        <w:spacing w:line="500" w:lineRule="exact"/>
        <w:ind w:left="1" w:leftChars="0"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7.</w:t>
      </w:r>
      <w:r>
        <w:rPr>
          <w:rFonts w:hint="eastAsia" w:asciiTheme="minorEastAsia" w:hAnsiTheme="minorEastAsia" w:eastAsiaTheme="minorEastAsia" w:cstheme="minorEastAsia"/>
          <w:color w:val="auto"/>
          <w:szCs w:val="21"/>
          <w:highlight w:val="none"/>
        </w:rPr>
        <w:t>如果我方成交后，我方没有任何正当理由而拒签合同，同时我方愿意补偿该项工作因我方延误所造成的经济损失。</w:t>
      </w:r>
    </w:p>
    <w:p w14:paraId="156E8303">
      <w:pPr>
        <w:pStyle w:val="18"/>
        <w:keepNext w:val="0"/>
        <w:keepLines w:val="0"/>
        <w:pageBreakBefore w:val="0"/>
        <w:widowControl w:val="0"/>
        <w:kinsoku/>
        <w:wordWrap/>
        <w:overflowPunct/>
        <w:topLinePunct w:val="0"/>
        <w:autoSpaceDE/>
        <w:autoSpaceDN/>
        <w:bidi w:val="0"/>
        <w:adjustRightInd/>
        <w:snapToGrid/>
        <w:spacing w:line="500" w:lineRule="exact"/>
        <w:ind w:left="1" w:leftChars="0"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8.</w:t>
      </w:r>
      <w:r>
        <w:rPr>
          <w:rFonts w:hint="eastAsia" w:asciiTheme="minorEastAsia" w:hAnsiTheme="minorEastAsia" w:eastAsiaTheme="minorEastAsia" w:cstheme="minorEastAsia"/>
          <w:color w:val="auto"/>
          <w:szCs w:val="21"/>
          <w:highlight w:val="none"/>
        </w:rPr>
        <w:t>我方愿接受合同条款中规定的合同价款计算和调整方式。</w:t>
      </w:r>
    </w:p>
    <w:p w14:paraId="33571C2F">
      <w:pPr>
        <w:pStyle w:val="18"/>
        <w:keepNext w:val="0"/>
        <w:keepLines w:val="0"/>
        <w:pageBreakBefore w:val="0"/>
        <w:widowControl w:val="0"/>
        <w:kinsoku/>
        <w:wordWrap/>
        <w:overflowPunct/>
        <w:topLinePunct w:val="0"/>
        <w:autoSpaceDE/>
        <w:autoSpaceDN/>
        <w:bidi w:val="0"/>
        <w:adjustRightInd/>
        <w:snapToGrid/>
        <w:spacing w:line="500" w:lineRule="exact"/>
        <w:ind w:left="1" w:leftChars="0"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9.</w:t>
      </w:r>
      <w:r>
        <w:rPr>
          <w:rFonts w:hint="eastAsia" w:asciiTheme="minorEastAsia" w:hAnsiTheme="minorEastAsia" w:eastAsiaTheme="minorEastAsia" w:cstheme="minorEastAsia"/>
          <w:color w:val="auto"/>
          <w:spacing w:val="-6"/>
          <w:sz w:val="21"/>
          <w:szCs w:val="21"/>
          <w:highlight w:val="none"/>
        </w:rPr>
        <w:t>除非另外达成协议并生效，贵方的成交通知书和本磋商响应文件将成为约束我方的合同文件组成部分。</w:t>
      </w:r>
    </w:p>
    <w:p w14:paraId="6CA46E2E">
      <w:pPr>
        <w:pStyle w:val="18"/>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Theme="minorEastAsia" w:hAnsiTheme="minorEastAsia" w:eastAsiaTheme="minorEastAsia" w:cstheme="minorEastAsia"/>
          <w:color w:val="auto"/>
          <w:szCs w:val="21"/>
          <w:highlight w:val="none"/>
        </w:rPr>
      </w:pPr>
    </w:p>
    <w:p w14:paraId="65E4802E">
      <w:pPr>
        <w:pStyle w:val="18"/>
        <w:keepNext w:val="0"/>
        <w:keepLines w:val="0"/>
        <w:pageBreakBefore w:val="0"/>
        <w:widowControl w:val="0"/>
        <w:kinsoku/>
        <w:wordWrap/>
        <w:overflowPunct/>
        <w:topLinePunct w:val="0"/>
        <w:autoSpaceDE/>
        <w:autoSpaceDN/>
        <w:bidi w:val="0"/>
        <w:adjustRightInd/>
        <w:snapToGrid/>
        <w:spacing w:line="500" w:lineRule="exact"/>
        <w:ind w:left="0" w:leftChars="0" w:firstLine="4617" w:firstLineChars="2199"/>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（单位电子签章）</w:t>
      </w:r>
    </w:p>
    <w:p w14:paraId="5F55143F">
      <w:pPr>
        <w:pStyle w:val="18"/>
        <w:keepNext w:val="0"/>
        <w:keepLines w:val="0"/>
        <w:pageBreakBefore w:val="0"/>
        <w:widowControl w:val="0"/>
        <w:kinsoku/>
        <w:wordWrap/>
        <w:overflowPunct/>
        <w:topLinePunct w:val="0"/>
        <w:autoSpaceDE/>
        <w:autoSpaceDN/>
        <w:bidi w:val="0"/>
        <w:adjustRightInd/>
        <w:snapToGrid/>
        <w:spacing w:line="500" w:lineRule="exact"/>
        <w:ind w:left="0" w:leftChars="0" w:firstLine="4617" w:firstLineChars="2199"/>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（电子签名或盖章）</w:t>
      </w:r>
    </w:p>
    <w:p w14:paraId="4EA5A1AE">
      <w:pPr>
        <w:pStyle w:val="18"/>
        <w:keepNext w:val="0"/>
        <w:keepLines w:val="0"/>
        <w:pageBreakBefore w:val="0"/>
        <w:widowControl w:val="0"/>
        <w:kinsoku/>
        <w:wordWrap/>
        <w:overflowPunct/>
        <w:topLinePunct w:val="0"/>
        <w:autoSpaceDE/>
        <w:autoSpaceDN/>
        <w:bidi w:val="0"/>
        <w:adjustRightInd/>
        <w:snapToGrid/>
        <w:spacing w:line="500" w:lineRule="exact"/>
        <w:ind w:left="0" w:leftChars="0" w:firstLine="4617" w:firstLineChars="2199"/>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2"/>
          <w:sz w:val="21"/>
          <w:szCs w:val="21"/>
          <w:highlight w:val="none"/>
          <w:lang w:val="en-US" w:eastAsia="zh-CN" w:bidi="ar-SA"/>
        </w:rPr>
        <w:t>日  期：</w:t>
      </w:r>
      <w:r>
        <w:rPr>
          <w:rFonts w:hint="eastAsia" w:asciiTheme="minorEastAsia" w:hAnsiTheme="minorEastAsia" w:eastAsiaTheme="minorEastAsia" w:cstheme="minorEastAsia"/>
          <w:color w:val="auto"/>
          <w:kern w:val="2"/>
          <w:sz w:val="21"/>
          <w:szCs w:val="21"/>
          <w:highlight w:val="none"/>
          <w:u w:val="single"/>
          <w:lang w:val="en-US" w:eastAsia="zh-CN" w:bidi="ar-SA"/>
        </w:rPr>
        <w:t xml:space="preserve">      </w:t>
      </w:r>
      <w:r>
        <w:rPr>
          <w:rFonts w:hint="eastAsia" w:asciiTheme="minorEastAsia" w:hAnsiTheme="minorEastAsia" w:eastAsiaTheme="minorEastAsia" w:cstheme="minorEastAsia"/>
          <w:color w:val="auto"/>
          <w:kern w:val="2"/>
          <w:sz w:val="21"/>
          <w:szCs w:val="21"/>
          <w:highlight w:val="none"/>
          <w:lang w:val="en-US" w:eastAsia="zh-CN" w:bidi="ar-SA"/>
        </w:rPr>
        <w:t>年</w:t>
      </w:r>
      <w:r>
        <w:rPr>
          <w:rFonts w:hint="eastAsia" w:asciiTheme="minorEastAsia" w:hAnsiTheme="minorEastAsia" w:eastAsiaTheme="minorEastAsia" w:cstheme="minorEastAsia"/>
          <w:color w:val="auto"/>
          <w:kern w:val="2"/>
          <w:sz w:val="21"/>
          <w:szCs w:val="21"/>
          <w:highlight w:val="none"/>
          <w:u w:val="single"/>
          <w:lang w:val="en-US" w:eastAsia="zh-CN" w:bidi="ar-SA"/>
        </w:rPr>
        <w:t xml:space="preserve">     </w:t>
      </w:r>
      <w:r>
        <w:rPr>
          <w:rFonts w:hint="eastAsia" w:asciiTheme="minorEastAsia" w:hAnsiTheme="minorEastAsia" w:eastAsiaTheme="minorEastAsia" w:cstheme="minorEastAsia"/>
          <w:color w:val="auto"/>
          <w:kern w:val="2"/>
          <w:sz w:val="21"/>
          <w:szCs w:val="21"/>
          <w:highlight w:val="none"/>
          <w:lang w:val="en-US" w:eastAsia="zh-CN" w:bidi="ar-SA"/>
        </w:rPr>
        <w:t>月</w:t>
      </w:r>
      <w:r>
        <w:rPr>
          <w:rFonts w:hint="eastAsia" w:asciiTheme="minorEastAsia" w:hAnsiTheme="minorEastAsia" w:eastAsiaTheme="minorEastAsia" w:cstheme="minorEastAsia"/>
          <w:color w:val="auto"/>
          <w:kern w:val="2"/>
          <w:sz w:val="21"/>
          <w:szCs w:val="21"/>
          <w:highlight w:val="none"/>
          <w:u w:val="single"/>
          <w:lang w:val="en-US" w:eastAsia="zh-CN" w:bidi="ar-SA"/>
        </w:rPr>
        <w:t xml:space="preserve">     </w:t>
      </w:r>
      <w:r>
        <w:rPr>
          <w:rFonts w:hint="eastAsia" w:asciiTheme="minorEastAsia" w:hAnsiTheme="minorEastAsia" w:eastAsiaTheme="minorEastAsia" w:cstheme="minorEastAsia"/>
          <w:color w:val="auto"/>
          <w:kern w:val="2"/>
          <w:sz w:val="21"/>
          <w:szCs w:val="21"/>
          <w:highlight w:val="none"/>
          <w:lang w:val="en-US" w:eastAsia="zh-CN" w:bidi="ar-SA"/>
        </w:rPr>
        <w:t>日</w:t>
      </w:r>
    </w:p>
    <w:p w14:paraId="55CAB802">
      <w:pPr>
        <w:rPr>
          <w:rFonts w:hint="eastAsia" w:asciiTheme="minorEastAsia" w:hAnsiTheme="minorEastAsia" w:eastAsiaTheme="minorEastAsia" w:cstheme="minorEastAsia"/>
          <w:color w:val="auto"/>
          <w:sz w:val="28"/>
          <w:szCs w:val="28"/>
          <w:highlight w:val="none"/>
        </w:rPr>
      </w:pPr>
      <w:bookmarkStart w:id="1074" w:name="_Toc11398"/>
      <w:r>
        <w:rPr>
          <w:rFonts w:hint="eastAsia" w:asciiTheme="minorEastAsia" w:hAnsiTheme="minorEastAsia" w:eastAsiaTheme="minorEastAsia" w:cstheme="minorEastAsia"/>
          <w:color w:val="auto"/>
          <w:sz w:val="28"/>
          <w:szCs w:val="28"/>
          <w:highlight w:val="none"/>
        </w:rPr>
        <w:br w:type="page"/>
      </w:r>
    </w:p>
    <w:p w14:paraId="2BF7DA12">
      <w:pPr>
        <w:pStyle w:val="6"/>
        <w:numPr>
          <w:ilvl w:val="1"/>
          <w:numId w:val="0"/>
        </w:numPr>
        <w:jc w:val="center"/>
        <w:rPr>
          <w:rFonts w:hint="eastAsia" w:asciiTheme="minorEastAsia" w:hAnsiTheme="minorEastAsia" w:eastAsiaTheme="minorEastAsia" w:cstheme="minorEastAsia"/>
          <w:b/>
          <w:bCs/>
          <w:color w:val="auto"/>
          <w:sz w:val="24"/>
          <w:szCs w:val="24"/>
          <w:highlight w:val="none"/>
        </w:rPr>
      </w:pPr>
      <w:bookmarkStart w:id="1075" w:name="_Toc22104"/>
      <w:r>
        <w:rPr>
          <w:rFonts w:hint="eastAsia" w:asciiTheme="minorEastAsia" w:hAnsiTheme="minorEastAsia" w:eastAsiaTheme="minorEastAsia" w:cstheme="minorEastAsia"/>
          <w:b/>
          <w:bCs/>
          <w:color w:val="auto"/>
          <w:sz w:val="24"/>
          <w:szCs w:val="24"/>
          <w:highlight w:val="none"/>
        </w:rPr>
        <w:t>（二）</w:t>
      </w:r>
      <w:bookmarkEnd w:id="1070"/>
      <w:bookmarkEnd w:id="1071"/>
      <w:r>
        <w:rPr>
          <w:rFonts w:hint="eastAsia" w:asciiTheme="minorEastAsia" w:hAnsiTheme="minorEastAsia" w:eastAsiaTheme="minorEastAsia" w:cstheme="minorEastAsia"/>
          <w:b/>
          <w:bCs/>
          <w:color w:val="auto"/>
          <w:sz w:val="24"/>
          <w:szCs w:val="24"/>
          <w:highlight w:val="none"/>
        </w:rPr>
        <w:t>磋商函附录</w:t>
      </w:r>
      <w:bookmarkEnd w:id="1072"/>
      <w:bookmarkEnd w:id="1073"/>
      <w:bookmarkEnd w:id="1074"/>
      <w:bookmarkEnd w:id="1075"/>
    </w:p>
    <w:tbl>
      <w:tblPr>
        <w:tblStyle w:val="31"/>
        <w:tblW w:w="8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0"/>
        <w:gridCol w:w="6480"/>
      </w:tblGrid>
      <w:tr w14:paraId="231CB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exact"/>
          <w:jc w:val="center"/>
        </w:trPr>
        <w:tc>
          <w:tcPr>
            <w:tcW w:w="2280" w:type="dxa"/>
            <w:vAlign w:val="center"/>
          </w:tcPr>
          <w:p w14:paraId="6B4C369E">
            <w:pPr>
              <w:spacing w:line="312"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项目名称</w:t>
            </w:r>
          </w:p>
        </w:tc>
        <w:tc>
          <w:tcPr>
            <w:tcW w:w="6480" w:type="dxa"/>
            <w:vAlign w:val="center"/>
          </w:tcPr>
          <w:p w14:paraId="57D9786A">
            <w:pPr>
              <w:spacing w:line="312" w:lineRule="auto"/>
              <w:jc w:val="center"/>
              <w:rPr>
                <w:rFonts w:hint="default" w:ascii="宋体" w:hAnsi="宋体" w:eastAsia="宋体" w:cs="宋体"/>
                <w:color w:val="auto"/>
                <w:sz w:val="21"/>
                <w:szCs w:val="21"/>
                <w:highlight w:val="none"/>
                <w:lang w:val="en-US" w:eastAsia="zh-CN"/>
              </w:rPr>
            </w:pPr>
          </w:p>
        </w:tc>
      </w:tr>
      <w:tr w14:paraId="3AC7D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exact"/>
          <w:jc w:val="center"/>
        </w:trPr>
        <w:tc>
          <w:tcPr>
            <w:tcW w:w="2280" w:type="dxa"/>
            <w:vAlign w:val="center"/>
          </w:tcPr>
          <w:p w14:paraId="0D219CA0">
            <w:pPr>
              <w:spacing w:line="312" w:lineRule="auto"/>
              <w:jc w:val="center"/>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响应</w:t>
            </w:r>
            <w:r>
              <w:rPr>
                <w:rFonts w:hint="eastAsia" w:ascii="宋体" w:hAnsi="宋体" w:cs="宋体"/>
                <w:color w:val="auto"/>
                <w:sz w:val="21"/>
                <w:szCs w:val="21"/>
                <w:highlight w:val="none"/>
              </w:rPr>
              <w:t>内容</w:t>
            </w:r>
          </w:p>
        </w:tc>
        <w:tc>
          <w:tcPr>
            <w:tcW w:w="6480" w:type="dxa"/>
            <w:vAlign w:val="center"/>
          </w:tcPr>
          <w:p w14:paraId="186D7667">
            <w:pPr>
              <w:spacing w:line="312" w:lineRule="auto"/>
              <w:jc w:val="center"/>
              <w:rPr>
                <w:rFonts w:ascii="宋体" w:hAnsi="宋体" w:cs="宋体"/>
                <w:color w:val="auto"/>
                <w:sz w:val="21"/>
                <w:szCs w:val="21"/>
                <w:highlight w:val="none"/>
              </w:rPr>
            </w:pPr>
          </w:p>
        </w:tc>
      </w:tr>
      <w:tr w14:paraId="53CCD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exact"/>
          <w:jc w:val="center"/>
        </w:trPr>
        <w:tc>
          <w:tcPr>
            <w:tcW w:w="2280" w:type="dxa"/>
            <w:vAlign w:val="center"/>
          </w:tcPr>
          <w:p w14:paraId="72BBA4DD">
            <w:pPr>
              <w:spacing w:line="312"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投标总报价</w:t>
            </w:r>
          </w:p>
        </w:tc>
        <w:tc>
          <w:tcPr>
            <w:tcW w:w="6480" w:type="dxa"/>
            <w:vAlign w:val="center"/>
          </w:tcPr>
          <w:p w14:paraId="5851C883">
            <w:pPr>
              <w:spacing w:line="312" w:lineRule="auto"/>
              <w:rPr>
                <w:rFonts w:hint="default" w:ascii="宋体" w:hAnsi="宋体" w:cs="宋体"/>
                <w:color w:val="auto"/>
                <w:sz w:val="21"/>
                <w:szCs w:val="21"/>
                <w:highlight w:val="none"/>
                <w:lang w:val="en-US"/>
              </w:rPr>
            </w:pPr>
            <w:r>
              <w:rPr>
                <w:rFonts w:hint="eastAsia" w:ascii="宋体" w:hAnsi="宋体" w:cs="宋体"/>
                <w:color w:val="auto"/>
                <w:sz w:val="21"/>
                <w:szCs w:val="21"/>
                <w:highlight w:val="none"/>
              </w:rPr>
              <w:t>小写：</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u w:val="single"/>
                <w:lang w:val="en-US" w:eastAsia="zh-CN"/>
              </w:rPr>
              <w:t xml:space="preserve">          </w:t>
            </w:r>
            <w:r>
              <w:rPr>
                <w:rFonts w:hint="default" w:ascii="Times New Roman" w:hAnsi="Times New Roman" w:cs="Times New Roman"/>
                <w:color w:val="000000"/>
                <w:sz w:val="21"/>
                <w:szCs w:val="21"/>
              </w:rPr>
              <w:t>元</w:t>
            </w:r>
            <w:r>
              <w:rPr>
                <w:rFonts w:hint="eastAsia" w:cs="Times New Roman"/>
                <w:color w:val="000000"/>
                <w:sz w:val="21"/>
                <w:szCs w:val="21"/>
                <w:lang w:val="en-US" w:eastAsia="zh-CN"/>
              </w:rPr>
              <w:t>/年</w:t>
            </w:r>
          </w:p>
          <w:p w14:paraId="4F778BC7">
            <w:pPr>
              <w:spacing w:line="312" w:lineRule="auto"/>
              <w:rPr>
                <w:rFonts w:hint="default" w:ascii="宋体" w:hAnsi="宋体" w:cs="宋体"/>
                <w:color w:val="auto"/>
                <w:sz w:val="21"/>
                <w:szCs w:val="21"/>
                <w:highlight w:val="none"/>
                <w:lang w:val="en-US"/>
              </w:rPr>
            </w:pPr>
            <w:r>
              <w:rPr>
                <w:rFonts w:hint="eastAsia" w:ascii="宋体" w:hAnsi="宋体" w:cs="宋体"/>
                <w:color w:val="auto"/>
                <w:sz w:val="21"/>
                <w:szCs w:val="21"/>
                <w:highlight w:val="none"/>
              </w:rPr>
              <w:t>大写：</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none"/>
                <w:lang w:val="en-US" w:eastAsia="zh-CN"/>
              </w:rPr>
              <w:t xml:space="preserve">  </w:t>
            </w:r>
          </w:p>
        </w:tc>
      </w:tr>
      <w:tr w14:paraId="035A8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exact"/>
          <w:jc w:val="center"/>
        </w:trPr>
        <w:tc>
          <w:tcPr>
            <w:tcW w:w="2280" w:type="dxa"/>
            <w:vAlign w:val="center"/>
          </w:tcPr>
          <w:p w14:paraId="0E3E40D0">
            <w:pPr>
              <w:spacing w:line="312"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服务标准</w:t>
            </w:r>
          </w:p>
        </w:tc>
        <w:tc>
          <w:tcPr>
            <w:tcW w:w="6480" w:type="dxa"/>
            <w:vAlign w:val="center"/>
          </w:tcPr>
          <w:p w14:paraId="1054A2F2">
            <w:pPr>
              <w:spacing w:line="312" w:lineRule="auto"/>
              <w:rPr>
                <w:rFonts w:ascii="宋体" w:hAnsi="宋体" w:cs="宋体"/>
                <w:color w:val="auto"/>
                <w:sz w:val="21"/>
                <w:szCs w:val="21"/>
                <w:highlight w:val="none"/>
              </w:rPr>
            </w:pPr>
          </w:p>
        </w:tc>
      </w:tr>
      <w:tr w14:paraId="297E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exact"/>
          <w:jc w:val="center"/>
        </w:trPr>
        <w:tc>
          <w:tcPr>
            <w:tcW w:w="2280" w:type="dxa"/>
            <w:vAlign w:val="center"/>
          </w:tcPr>
          <w:p w14:paraId="17E6FE2B">
            <w:pPr>
              <w:spacing w:line="312"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服务期</w:t>
            </w:r>
          </w:p>
        </w:tc>
        <w:tc>
          <w:tcPr>
            <w:tcW w:w="6480" w:type="dxa"/>
            <w:vAlign w:val="center"/>
          </w:tcPr>
          <w:p w14:paraId="32476ED8">
            <w:pPr>
              <w:spacing w:line="312" w:lineRule="auto"/>
              <w:rPr>
                <w:rFonts w:ascii="宋体" w:hAnsi="宋体" w:cs="宋体"/>
                <w:color w:val="auto"/>
                <w:sz w:val="21"/>
                <w:szCs w:val="21"/>
                <w:highlight w:val="none"/>
              </w:rPr>
            </w:pPr>
          </w:p>
        </w:tc>
      </w:tr>
      <w:tr w14:paraId="5629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exact"/>
          <w:jc w:val="center"/>
        </w:trPr>
        <w:tc>
          <w:tcPr>
            <w:tcW w:w="2280" w:type="dxa"/>
            <w:vAlign w:val="center"/>
          </w:tcPr>
          <w:p w14:paraId="6E2E01B3">
            <w:pPr>
              <w:spacing w:line="312" w:lineRule="auto"/>
              <w:jc w:val="center"/>
              <w:rPr>
                <w:rFonts w:hint="default" w:ascii="宋体" w:hAnsi="宋体" w:eastAsia="宋体" w:cs="宋体"/>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磋商</w:t>
            </w:r>
            <w:r>
              <w:rPr>
                <w:rFonts w:hint="eastAsia" w:ascii="宋体" w:hAnsi="宋体" w:cs="宋体"/>
                <w:color w:val="auto"/>
                <w:sz w:val="21"/>
                <w:szCs w:val="21"/>
                <w:highlight w:val="none"/>
                <w:lang w:val="en-US" w:eastAsia="zh-CN"/>
              </w:rPr>
              <w:t>有效期</w:t>
            </w:r>
          </w:p>
        </w:tc>
        <w:tc>
          <w:tcPr>
            <w:tcW w:w="6480" w:type="dxa"/>
            <w:vAlign w:val="center"/>
          </w:tcPr>
          <w:p w14:paraId="3DC72F44">
            <w:pPr>
              <w:spacing w:line="312" w:lineRule="auto"/>
              <w:rPr>
                <w:rFonts w:ascii="宋体" w:hAnsi="宋体" w:cs="宋体"/>
                <w:color w:val="auto"/>
                <w:sz w:val="21"/>
                <w:szCs w:val="21"/>
                <w:highlight w:val="none"/>
              </w:rPr>
            </w:pPr>
          </w:p>
        </w:tc>
      </w:tr>
      <w:tr w14:paraId="7CA6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exact"/>
          <w:jc w:val="center"/>
        </w:trPr>
        <w:tc>
          <w:tcPr>
            <w:tcW w:w="2280" w:type="dxa"/>
            <w:vAlign w:val="center"/>
          </w:tcPr>
          <w:p w14:paraId="0EB36DA7">
            <w:pPr>
              <w:spacing w:line="312"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备注</w:t>
            </w:r>
          </w:p>
        </w:tc>
        <w:tc>
          <w:tcPr>
            <w:tcW w:w="6480" w:type="dxa"/>
            <w:vAlign w:val="center"/>
          </w:tcPr>
          <w:p w14:paraId="2DA91AF1">
            <w:pPr>
              <w:spacing w:line="312" w:lineRule="auto"/>
              <w:rPr>
                <w:rFonts w:ascii="宋体" w:hAnsi="宋体" w:cs="宋体"/>
                <w:color w:val="auto"/>
                <w:sz w:val="21"/>
                <w:szCs w:val="21"/>
                <w:highlight w:val="none"/>
              </w:rPr>
            </w:pPr>
          </w:p>
        </w:tc>
      </w:tr>
    </w:tbl>
    <w:p w14:paraId="698E570F">
      <w:pPr>
        <w:pStyle w:val="18"/>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Theme="minorEastAsia" w:hAnsiTheme="minorEastAsia" w:eastAsiaTheme="minorEastAsia" w:cstheme="minorEastAsia"/>
          <w:color w:val="auto"/>
          <w:szCs w:val="21"/>
          <w:highlight w:val="none"/>
        </w:rPr>
      </w:pPr>
      <w:bookmarkStart w:id="1076" w:name="_Toc466298161"/>
      <w:bookmarkStart w:id="1077" w:name="_Toc2481"/>
      <w:bookmarkStart w:id="1078" w:name="_Toc144974860"/>
      <w:bookmarkStart w:id="1079" w:name="_Toc31033"/>
      <w:bookmarkStart w:id="1080" w:name="_Toc287367268"/>
      <w:bookmarkStart w:id="1081" w:name="_Toc152045791"/>
      <w:bookmarkStart w:id="1082" w:name="_Toc152042580"/>
    </w:p>
    <w:p w14:paraId="02769681">
      <w:pPr>
        <w:pStyle w:val="18"/>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Theme="minorEastAsia" w:hAnsiTheme="minorEastAsia" w:eastAsiaTheme="minorEastAsia" w:cstheme="minorEastAsia"/>
          <w:color w:val="auto"/>
          <w:szCs w:val="21"/>
          <w:highlight w:val="none"/>
        </w:rPr>
      </w:pPr>
    </w:p>
    <w:p w14:paraId="6646FCF6">
      <w:pPr>
        <w:pStyle w:val="18"/>
        <w:keepNext w:val="0"/>
        <w:keepLines w:val="0"/>
        <w:pageBreakBefore w:val="0"/>
        <w:widowControl w:val="0"/>
        <w:kinsoku/>
        <w:wordWrap/>
        <w:overflowPunct/>
        <w:topLinePunct w:val="0"/>
        <w:autoSpaceDE/>
        <w:autoSpaceDN/>
        <w:bidi w:val="0"/>
        <w:adjustRightInd/>
        <w:snapToGrid/>
        <w:spacing w:line="360" w:lineRule="auto"/>
        <w:ind w:left="0" w:leftChars="0" w:firstLine="4620" w:firstLineChars="2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（单位电子签章）</w:t>
      </w:r>
    </w:p>
    <w:p w14:paraId="6AF33B5B">
      <w:pPr>
        <w:pStyle w:val="18"/>
        <w:keepNext w:val="0"/>
        <w:keepLines w:val="0"/>
        <w:pageBreakBefore w:val="0"/>
        <w:widowControl w:val="0"/>
        <w:kinsoku/>
        <w:wordWrap/>
        <w:overflowPunct/>
        <w:topLinePunct w:val="0"/>
        <w:autoSpaceDE/>
        <w:autoSpaceDN/>
        <w:bidi w:val="0"/>
        <w:adjustRightInd/>
        <w:snapToGrid/>
        <w:spacing w:line="360" w:lineRule="auto"/>
        <w:ind w:left="0" w:leftChars="0" w:firstLine="4620" w:firstLineChars="2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（电子签名或盖章）</w:t>
      </w:r>
    </w:p>
    <w:p w14:paraId="46373F74">
      <w:pPr>
        <w:spacing w:line="360" w:lineRule="auto"/>
        <w:ind w:left="0" w:leftChars="0" w:firstLine="4620" w:firstLineChars="2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2"/>
          <w:sz w:val="21"/>
          <w:szCs w:val="21"/>
          <w:highlight w:val="none"/>
          <w:lang w:val="en-US" w:eastAsia="zh-CN" w:bidi="ar-SA"/>
        </w:rPr>
        <w:t>日  期：</w:t>
      </w:r>
      <w:r>
        <w:rPr>
          <w:rFonts w:hint="eastAsia" w:asciiTheme="minorEastAsia" w:hAnsiTheme="minorEastAsia" w:eastAsiaTheme="minorEastAsia" w:cstheme="minorEastAsia"/>
          <w:color w:val="auto"/>
          <w:kern w:val="2"/>
          <w:sz w:val="21"/>
          <w:szCs w:val="21"/>
          <w:highlight w:val="none"/>
          <w:u w:val="single"/>
          <w:lang w:val="en-US" w:eastAsia="zh-CN" w:bidi="ar-SA"/>
        </w:rPr>
        <w:t xml:space="preserve">      </w:t>
      </w:r>
      <w:r>
        <w:rPr>
          <w:rFonts w:hint="eastAsia" w:asciiTheme="minorEastAsia" w:hAnsiTheme="minorEastAsia" w:eastAsiaTheme="minorEastAsia" w:cstheme="minorEastAsia"/>
          <w:color w:val="auto"/>
          <w:kern w:val="2"/>
          <w:sz w:val="21"/>
          <w:szCs w:val="21"/>
          <w:highlight w:val="none"/>
          <w:lang w:val="en-US" w:eastAsia="zh-CN" w:bidi="ar-SA"/>
        </w:rPr>
        <w:t>年</w:t>
      </w:r>
      <w:r>
        <w:rPr>
          <w:rFonts w:hint="eastAsia" w:asciiTheme="minorEastAsia" w:hAnsiTheme="minorEastAsia" w:eastAsiaTheme="minorEastAsia" w:cstheme="minorEastAsia"/>
          <w:color w:val="auto"/>
          <w:kern w:val="2"/>
          <w:sz w:val="21"/>
          <w:szCs w:val="21"/>
          <w:highlight w:val="none"/>
          <w:u w:val="single"/>
          <w:lang w:val="en-US" w:eastAsia="zh-CN" w:bidi="ar-SA"/>
        </w:rPr>
        <w:t xml:space="preserve">     </w:t>
      </w:r>
      <w:r>
        <w:rPr>
          <w:rFonts w:hint="eastAsia" w:asciiTheme="minorEastAsia" w:hAnsiTheme="minorEastAsia" w:eastAsiaTheme="minorEastAsia" w:cstheme="minorEastAsia"/>
          <w:color w:val="auto"/>
          <w:kern w:val="2"/>
          <w:sz w:val="21"/>
          <w:szCs w:val="21"/>
          <w:highlight w:val="none"/>
          <w:lang w:val="en-US" w:eastAsia="zh-CN" w:bidi="ar-SA"/>
        </w:rPr>
        <w:t>月</w:t>
      </w:r>
      <w:r>
        <w:rPr>
          <w:rFonts w:hint="eastAsia" w:asciiTheme="minorEastAsia" w:hAnsiTheme="minorEastAsia" w:eastAsiaTheme="minorEastAsia" w:cstheme="minorEastAsia"/>
          <w:color w:val="auto"/>
          <w:kern w:val="2"/>
          <w:sz w:val="21"/>
          <w:szCs w:val="21"/>
          <w:highlight w:val="none"/>
          <w:u w:val="single"/>
          <w:lang w:val="en-US" w:eastAsia="zh-CN" w:bidi="ar-SA"/>
        </w:rPr>
        <w:t xml:space="preserve">     </w:t>
      </w:r>
      <w:r>
        <w:rPr>
          <w:rFonts w:hint="eastAsia" w:asciiTheme="minorEastAsia" w:hAnsiTheme="minorEastAsia" w:eastAsiaTheme="minorEastAsia" w:cstheme="minorEastAsia"/>
          <w:color w:val="auto"/>
          <w:kern w:val="2"/>
          <w:sz w:val="21"/>
          <w:szCs w:val="21"/>
          <w:highlight w:val="none"/>
          <w:lang w:val="en-US" w:eastAsia="zh-CN" w:bidi="ar-SA"/>
        </w:rPr>
        <w:t>日</w:t>
      </w:r>
    </w:p>
    <w:p w14:paraId="2833C1DA">
      <w:pPr>
        <w:pStyle w:val="48"/>
        <w:numPr>
          <w:ilvl w:val="1"/>
          <w:numId w:val="0"/>
        </w:numPr>
        <w:ind w:left="0" w:leftChars="0" w:firstLine="0" w:firstLineChars="0"/>
        <w:jc w:val="center"/>
        <w:rPr>
          <w:rFonts w:hint="eastAsia" w:asciiTheme="minorEastAsia" w:hAnsiTheme="minorEastAsia" w:eastAsiaTheme="minorEastAsia" w:cstheme="minorEastAsia"/>
          <w:b/>
          <w:color w:val="auto"/>
          <w:szCs w:val="28"/>
          <w:highlight w:val="none"/>
        </w:rPr>
      </w:pPr>
      <w:r>
        <w:rPr>
          <w:rFonts w:hint="eastAsia" w:asciiTheme="minorEastAsia" w:hAnsiTheme="minorEastAsia" w:eastAsiaTheme="minorEastAsia" w:cstheme="minorEastAsia"/>
          <w:color w:val="auto"/>
          <w:szCs w:val="21"/>
          <w:highlight w:val="none"/>
        </w:rPr>
        <w:br w:type="page"/>
      </w:r>
      <w:bookmarkEnd w:id="1076"/>
      <w:bookmarkEnd w:id="1077"/>
      <w:bookmarkEnd w:id="1078"/>
      <w:bookmarkEnd w:id="1079"/>
      <w:bookmarkEnd w:id="1080"/>
      <w:bookmarkEnd w:id="1081"/>
      <w:bookmarkEnd w:id="1082"/>
      <w:bookmarkStart w:id="1083" w:name="_Toc29067"/>
      <w:r>
        <w:rPr>
          <w:rFonts w:hint="eastAsia" w:asciiTheme="minorEastAsia" w:hAnsiTheme="minorEastAsia" w:eastAsiaTheme="minorEastAsia" w:cstheme="minorEastAsia"/>
          <w:b/>
          <w:color w:val="auto"/>
          <w:szCs w:val="28"/>
          <w:highlight w:val="none"/>
        </w:rPr>
        <w:t>二、法定代表人（单位负责人）身份证明（适用于无委托代理人的情况）</w:t>
      </w:r>
      <w:bookmarkEnd w:id="1083"/>
    </w:p>
    <w:p w14:paraId="21F4F973">
      <w:pPr>
        <w:spacing w:line="440" w:lineRule="exact"/>
        <w:jc w:val="center"/>
        <w:rPr>
          <w:rFonts w:hint="eastAsia" w:asciiTheme="minorEastAsia" w:hAnsiTheme="minorEastAsia" w:eastAsiaTheme="minorEastAsia" w:cstheme="minorEastAsia"/>
          <w:color w:val="auto"/>
          <w:szCs w:val="21"/>
          <w:highlight w:val="none"/>
        </w:rPr>
      </w:pPr>
    </w:p>
    <w:p w14:paraId="4F536EA0">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供应商名称：</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w:t>
      </w:r>
    </w:p>
    <w:p w14:paraId="57CF3AE2">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单位性质：</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w:t>
      </w:r>
    </w:p>
    <w:p w14:paraId="6A7B4C75">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地址：</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p>
    <w:p w14:paraId="6B978B3A">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成立时间：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月</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rPr>
        <w:t xml:space="preserve"> 日</w:t>
      </w:r>
    </w:p>
    <w:p w14:paraId="2C09FD78">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经营期限：</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p>
    <w:p w14:paraId="09CFEDC9">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姓名：</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rPr>
        <w:t xml:space="preserve"> 性别：</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年龄：</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职务：</w:t>
      </w:r>
      <w:r>
        <w:rPr>
          <w:rFonts w:hint="eastAsia" w:asciiTheme="minorEastAsia" w:hAnsiTheme="minorEastAsia" w:eastAsiaTheme="minorEastAsia" w:cstheme="minorEastAsia"/>
          <w:color w:val="auto"/>
          <w:szCs w:val="21"/>
          <w:highlight w:val="none"/>
          <w:u w:val="single"/>
        </w:rPr>
        <w:t xml:space="preserve">        </w:t>
      </w:r>
    </w:p>
    <w:p w14:paraId="44CAAEEA">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系</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（供应商名称）的法定代表人。</w:t>
      </w:r>
    </w:p>
    <w:p w14:paraId="5BB4DA46">
      <w:pPr>
        <w:spacing w:line="360" w:lineRule="auto"/>
        <w:ind w:left="0" w:leftChars="0" w:firstLine="2100" w:firstLineChars="1000"/>
        <w:rPr>
          <w:rFonts w:hint="eastAsia" w:asciiTheme="minorEastAsia" w:hAnsiTheme="minorEastAsia" w:eastAsiaTheme="minorEastAsia" w:cstheme="minorEastAsia"/>
          <w:color w:val="auto"/>
          <w:szCs w:val="21"/>
          <w:highlight w:val="none"/>
        </w:rPr>
      </w:pPr>
    </w:p>
    <w:p w14:paraId="712FF775">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特此证明。</w:t>
      </w:r>
    </w:p>
    <w:p w14:paraId="47980793">
      <w:pPr>
        <w:spacing w:line="440" w:lineRule="exact"/>
        <w:rPr>
          <w:rFonts w:hint="eastAsia" w:asciiTheme="minorEastAsia" w:hAnsiTheme="minorEastAsia" w:eastAsiaTheme="minorEastAsia" w:cstheme="minorEastAsia"/>
          <w:color w:val="auto"/>
          <w:szCs w:val="21"/>
          <w:highlight w:val="none"/>
        </w:rPr>
      </w:pPr>
    </w:p>
    <w:p w14:paraId="14213781">
      <w:pPr>
        <w:pStyle w:val="18"/>
        <w:keepNext w:val="0"/>
        <w:keepLines w:val="0"/>
        <w:pageBreakBefore w:val="0"/>
        <w:widowControl w:val="0"/>
        <w:kinsoku/>
        <w:wordWrap/>
        <w:overflowPunct/>
        <w:topLinePunct w:val="0"/>
        <w:autoSpaceDE/>
        <w:autoSpaceDN/>
        <w:bidi w:val="0"/>
        <w:adjustRightInd/>
        <w:snapToGrid/>
        <w:spacing w:line="360" w:lineRule="auto"/>
        <w:ind w:left="0" w:leftChars="0" w:firstLine="4620" w:firstLineChars="2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（单位电子签章）</w:t>
      </w:r>
    </w:p>
    <w:p w14:paraId="33B399B4">
      <w:pPr>
        <w:pStyle w:val="18"/>
        <w:keepNext w:val="0"/>
        <w:keepLines w:val="0"/>
        <w:pageBreakBefore w:val="0"/>
        <w:widowControl w:val="0"/>
        <w:kinsoku/>
        <w:wordWrap/>
        <w:overflowPunct/>
        <w:topLinePunct w:val="0"/>
        <w:autoSpaceDE/>
        <w:autoSpaceDN/>
        <w:bidi w:val="0"/>
        <w:adjustRightInd/>
        <w:snapToGrid/>
        <w:spacing w:line="360" w:lineRule="auto"/>
        <w:ind w:left="0" w:leftChars="0" w:firstLine="4620" w:firstLineChars="2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（电子签名或盖章）</w:t>
      </w:r>
    </w:p>
    <w:p w14:paraId="5168ECAD">
      <w:pPr>
        <w:spacing w:line="440" w:lineRule="exact"/>
        <w:ind w:left="0" w:leftChars="0" w:firstLine="4620" w:firstLineChars="2200"/>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2"/>
          <w:sz w:val="21"/>
          <w:szCs w:val="21"/>
          <w:highlight w:val="none"/>
          <w:lang w:val="en-US" w:eastAsia="zh-CN" w:bidi="ar-SA"/>
        </w:rPr>
        <w:t>日  期：</w:t>
      </w:r>
      <w:r>
        <w:rPr>
          <w:rFonts w:hint="eastAsia" w:asciiTheme="minorEastAsia" w:hAnsiTheme="minorEastAsia" w:eastAsiaTheme="minorEastAsia" w:cstheme="minorEastAsia"/>
          <w:color w:val="auto"/>
          <w:kern w:val="2"/>
          <w:sz w:val="21"/>
          <w:szCs w:val="21"/>
          <w:highlight w:val="none"/>
          <w:u w:val="single"/>
          <w:lang w:val="en-US" w:eastAsia="zh-CN" w:bidi="ar-SA"/>
        </w:rPr>
        <w:t xml:space="preserve">      </w:t>
      </w:r>
      <w:r>
        <w:rPr>
          <w:rFonts w:hint="eastAsia" w:asciiTheme="minorEastAsia" w:hAnsiTheme="minorEastAsia" w:eastAsiaTheme="minorEastAsia" w:cstheme="minorEastAsia"/>
          <w:color w:val="auto"/>
          <w:kern w:val="2"/>
          <w:sz w:val="21"/>
          <w:szCs w:val="21"/>
          <w:highlight w:val="none"/>
          <w:lang w:val="en-US" w:eastAsia="zh-CN" w:bidi="ar-SA"/>
        </w:rPr>
        <w:t>年</w:t>
      </w:r>
      <w:r>
        <w:rPr>
          <w:rFonts w:hint="eastAsia" w:asciiTheme="minorEastAsia" w:hAnsiTheme="minorEastAsia" w:eastAsiaTheme="minorEastAsia" w:cstheme="minorEastAsia"/>
          <w:color w:val="auto"/>
          <w:kern w:val="2"/>
          <w:sz w:val="21"/>
          <w:szCs w:val="21"/>
          <w:highlight w:val="none"/>
          <w:u w:val="single"/>
          <w:lang w:val="en-US" w:eastAsia="zh-CN" w:bidi="ar-SA"/>
        </w:rPr>
        <w:t xml:space="preserve">     </w:t>
      </w:r>
      <w:r>
        <w:rPr>
          <w:rFonts w:hint="eastAsia" w:asciiTheme="minorEastAsia" w:hAnsiTheme="minorEastAsia" w:eastAsiaTheme="minorEastAsia" w:cstheme="minorEastAsia"/>
          <w:color w:val="auto"/>
          <w:kern w:val="2"/>
          <w:sz w:val="21"/>
          <w:szCs w:val="21"/>
          <w:highlight w:val="none"/>
          <w:lang w:val="en-US" w:eastAsia="zh-CN" w:bidi="ar-SA"/>
        </w:rPr>
        <w:t>月</w:t>
      </w:r>
      <w:r>
        <w:rPr>
          <w:rFonts w:hint="eastAsia" w:asciiTheme="minorEastAsia" w:hAnsiTheme="minorEastAsia" w:eastAsiaTheme="minorEastAsia" w:cstheme="minorEastAsia"/>
          <w:color w:val="auto"/>
          <w:kern w:val="2"/>
          <w:sz w:val="21"/>
          <w:szCs w:val="21"/>
          <w:highlight w:val="none"/>
          <w:u w:val="single"/>
          <w:lang w:val="en-US" w:eastAsia="zh-CN" w:bidi="ar-SA"/>
        </w:rPr>
        <w:t xml:space="preserve">     </w:t>
      </w:r>
      <w:r>
        <w:rPr>
          <w:rFonts w:hint="eastAsia" w:asciiTheme="minorEastAsia" w:hAnsiTheme="minorEastAsia" w:eastAsiaTheme="minorEastAsia" w:cstheme="minorEastAsia"/>
          <w:color w:val="auto"/>
          <w:kern w:val="2"/>
          <w:sz w:val="21"/>
          <w:szCs w:val="21"/>
          <w:highlight w:val="none"/>
          <w:lang w:val="en-US" w:eastAsia="zh-CN" w:bidi="ar-SA"/>
        </w:rPr>
        <w:t>日</w:t>
      </w:r>
      <w:r>
        <w:rPr>
          <w:rFonts w:hint="eastAsia" w:asciiTheme="minorEastAsia" w:hAnsiTheme="minorEastAsia" w:eastAsiaTheme="minorEastAsia" w:cstheme="minorEastAsia"/>
          <w:color w:val="auto"/>
          <w:szCs w:val="21"/>
          <w:highlight w:val="none"/>
        </w:rPr>
        <w:t xml:space="preserve"> </w:t>
      </w:r>
    </w:p>
    <w:p w14:paraId="01AF602D">
      <w:pPr>
        <w:spacing w:line="440" w:lineRule="exact"/>
        <w:rPr>
          <w:rFonts w:hint="eastAsia" w:asciiTheme="minorEastAsia" w:hAnsiTheme="minorEastAsia" w:eastAsiaTheme="minorEastAsia" w:cstheme="minorEastAsia"/>
          <w:color w:val="auto"/>
          <w:szCs w:val="21"/>
          <w:highlight w:val="none"/>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2FAC9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9" w:hRule="atLeast"/>
          <w:jc w:val="center"/>
        </w:trPr>
        <w:tc>
          <w:tcPr>
            <w:tcW w:w="8528" w:type="dxa"/>
            <w:noWrap w:val="0"/>
            <w:vAlign w:val="center"/>
          </w:tcPr>
          <w:p w14:paraId="3F0125DF">
            <w:pPr>
              <w:spacing w:line="4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法定代表人身份证扫描件</w:t>
            </w:r>
          </w:p>
          <w:p w14:paraId="55F7D371">
            <w:pPr>
              <w:spacing w:line="440" w:lineRule="exact"/>
              <w:jc w:val="center"/>
              <w:rPr>
                <w:rFonts w:hint="eastAsia" w:asciiTheme="minorEastAsia" w:hAnsiTheme="minorEastAsia" w:eastAsiaTheme="minorEastAsia" w:cstheme="minorEastAsia"/>
                <w:color w:val="auto"/>
                <w:szCs w:val="21"/>
                <w:highlight w:val="none"/>
              </w:rPr>
            </w:pPr>
          </w:p>
        </w:tc>
      </w:tr>
    </w:tbl>
    <w:p w14:paraId="54C69F6D">
      <w:pPr>
        <w:spacing w:line="440" w:lineRule="exact"/>
        <w:rPr>
          <w:rFonts w:hint="eastAsia" w:asciiTheme="minorEastAsia" w:hAnsiTheme="minorEastAsia" w:eastAsiaTheme="minorEastAsia" w:cstheme="minorEastAsia"/>
          <w:color w:val="auto"/>
          <w:sz w:val="20"/>
          <w:szCs w:val="20"/>
          <w:highlight w:val="none"/>
        </w:rPr>
      </w:pPr>
    </w:p>
    <w:p w14:paraId="4216C43F">
      <w:pPr>
        <w:keepNext/>
        <w:keepLines/>
        <w:pageBreakBefore w:val="0"/>
        <w:widowControl w:val="0"/>
        <w:numPr>
          <w:ilvl w:val="1"/>
          <w:numId w:val="0"/>
        </w:numPr>
        <w:tabs>
          <w:tab w:val="left" w:pos="2712"/>
          <w:tab w:val="left" w:pos="4658"/>
          <w:tab w:val="left" w:pos="5157"/>
          <w:tab w:val="left" w:pos="6554"/>
        </w:tabs>
        <w:kinsoku/>
        <w:wordWrap/>
        <w:overflowPunct/>
        <w:topLinePunct w:val="0"/>
        <w:autoSpaceDE/>
        <w:autoSpaceDN/>
        <w:bidi w:val="0"/>
        <w:adjustRightInd/>
        <w:snapToGrid/>
        <w:ind w:left="0" w:leftChars="0" w:firstLine="0" w:firstLineChars="0"/>
        <w:textAlignment w:val="auto"/>
        <w:outlineLvl w:val="9"/>
        <w:rPr>
          <w:rFonts w:hint="eastAsia" w:asciiTheme="minorEastAsia" w:hAnsiTheme="minorEastAsia" w:eastAsiaTheme="minorEastAsia" w:cstheme="minorEastAsia"/>
          <w:b/>
          <w:bCs w:val="0"/>
          <w:i w:val="0"/>
          <w:color w:val="auto"/>
          <w:kern w:val="2"/>
          <w:sz w:val="30"/>
          <w:szCs w:val="30"/>
          <w:highlight w:val="none"/>
          <w:lang w:val="zh-CN" w:eastAsia="zh-CN" w:bidi="zh-CN"/>
        </w:rPr>
        <w:sectPr>
          <w:pgSz w:w="11905" w:h="16838"/>
          <w:pgMar w:top="1134" w:right="1417" w:bottom="1417" w:left="1417" w:header="850" w:footer="850" w:gutter="0"/>
          <w:pgBorders>
            <w:top w:val="none" w:sz="0" w:space="0"/>
            <w:left w:val="none" w:sz="0" w:space="0"/>
            <w:bottom w:val="none" w:sz="0" w:space="0"/>
            <w:right w:val="none" w:sz="0" w:space="0"/>
          </w:pgBorders>
          <w:pgNumType w:fmt="decimal"/>
          <w:cols w:space="0" w:num="1"/>
          <w:rtlGutter w:val="0"/>
          <w:docGrid w:type="lines" w:linePitch="317" w:charSpace="0"/>
        </w:sectPr>
      </w:pPr>
      <w:bookmarkStart w:id="1084" w:name="_Toc202941490"/>
      <w:bookmarkStart w:id="1085" w:name="_Toc4123"/>
      <w:bookmarkStart w:id="1086" w:name="_Toc466298162"/>
      <w:bookmarkStart w:id="1087" w:name="_Toc441791190"/>
      <w:bookmarkStart w:id="1088" w:name="_Toc318989765"/>
      <w:bookmarkStart w:id="1089" w:name="_Toc26203"/>
      <w:bookmarkStart w:id="1090" w:name="_Toc29453"/>
      <w:r>
        <w:rPr>
          <w:rFonts w:hint="eastAsia" w:asciiTheme="minorEastAsia" w:hAnsiTheme="minorEastAsia" w:eastAsiaTheme="minorEastAsia" w:cstheme="minorEastAsia"/>
          <w:b/>
          <w:bCs w:val="0"/>
          <w:i w:val="0"/>
          <w:color w:val="auto"/>
          <w:kern w:val="2"/>
          <w:sz w:val="30"/>
          <w:szCs w:val="30"/>
          <w:highlight w:val="none"/>
          <w:lang w:val="zh-CN" w:eastAsia="zh-CN" w:bidi="zh-CN"/>
        </w:rPr>
        <w:t xml:space="preserve">    </w:t>
      </w:r>
    </w:p>
    <w:p w14:paraId="0884DC51">
      <w:pPr>
        <w:pStyle w:val="6"/>
        <w:numPr>
          <w:ilvl w:val="1"/>
          <w:numId w:val="0"/>
        </w:numPr>
        <w:bidi w:val="0"/>
        <w:ind w:left="0" w:leftChars="0" w:firstLine="0" w:firstLineChars="0"/>
        <w:rPr>
          <w:rFonts w:hint="eastAsia" w:asciiTheme="minorEastAsia" w:hAnsiTheme="minorEastAsia" w:eastAsiaTheme="minorEastAsia" w:cstheme="minorEastAsia"/>
          <w:b/>
          <w:bCs w:val="0"/>
          <w:color w:val="auto"/>
          <w:highlight w:val="none"/>
        </w:rPr>
      </w:pPr>
      <w:r>
        <w:rPr>
          <w:rFonts w:hint="eastAsia" w:asciiTheme="minorEastAsia" w:hAnsiTheme="minorEastAsia" w:eastAsiaTheme="minorEastAsia" w:cstheme="minorEastAsia"/>
          <w:b/>
          <w:bCs w:val="0"/>
          <w:color w:val="auto"/>
          <w:highlight w:val="none"/>
          <w:lang w:eastAsia="zh-CN"/>
        </w:rPr>
        <w:t>二</w:t>
      </w:r>
      <w:r>
        <w:rPr>
          <w:rFonts w:hint="eastAsia" w:asciiTheme="minorEastAsia" w:hAnsiTheme="minorEastAsia" w:eastAsiaTheme="minorEastAsia" w:cstheme="minorEastAsia"/>
          <w:b/>
          <w:bCs w:val="0"/>
          <w:color w:val="auto"/>
          <w:highlight w:val="none"/>
        </w:rPr>
        <w:t>、</w:t>
      </w:r>
      <w:r>
        <w:rPr>
          <w:rFonts w:hint="eastAsia" w:asciiTheme="minorEastAsia" w:hAnsiTheme="minorEastAsia" w:eastAsiaTheme="minorEastAsia" w:cstheme="minorEastAsia"/>
          <w:b/>
          <w:bCs w:val="0"/>
          <w:color w:val="auto"/>
          <w:highlight w:val="none"/>
          <w:lang w:eastAsia="zh-CN"/>
        </w:rPr>
        <w:t>法定代表人</w:t>
      </w:r>
      <w:r>
        <w:rPr>
          <w:rFonts w:hint="eastAsia" w:asciiTheme="minorEastAsia" w:hAnsiTheme="minorEastAsia" w:eastAsiaTheme="minorEastAsia" w:cstheme="minorEastAsia"/>
          <w:b/>
          <w:bCs w:val="0"/>
          <w:color w:val="auto"/>
          <w:highlight w:val="none"/>
        </w:rPr>
        <w:t>授权书</w:t>
      </w:r>
      <w:bookmarkEnd w:id="1084"/>
      <w:bookmarkEnd w:id="1085"/>
      <w:bookmarkEnd w:id="1086"/>
      <w:bookmarkEnd w:id="1087"/>
      <w:bookmarkEnd w:id="1088"/>
      <w:bookmarkEnd w:id="1089"/>
      <w:r>
        <w:rPr>
          <w:rFonts w:hint="eastAsia" w:asciiTheme="minorEastAsia" w:hAnsiTheme="minorEastAsia" w:eastAsiaTheme="minorEastAsia" w:cstheme="minorEastAsia"/>
          <w:b/>
          <w:bCs w:val="0"/>
          <w:color w:val="auto"/>
          <w:highlight w:val="none"/>
        </w:rPr>
        <w:t>（适用于</w:t>
      </w:r>
      <w:r>
        <w:rPr>
          <w:rFonts w:hint="eastAsia" w:asciiTheme="minorEastAsia" w:hAnsiTheme="minorEastAsia" w:eastAsiaTheme="minorEastAsia" w:cstheme="minorEastAsia"/>
          <w:b/>
          <w:bCs w:val="0"/>
          <w:color w:val="auto"/>
          <w:highlight w:val="none"/>
          <w:lang w:eastAsia="zh-CN"/>
        </w:rPr>
        <w:t>有</w:t>
      </w:r>
      <w:r>
        <w:rPr>
          <w:rFonts w:hint="eastAsia" w:asciiTheme="minorEastAsia" w:hAnsiTheme="minorEastAsia" w:eastAsiaTheme="minorEastAsia" w:cstheme="minorEastAsia"/>
          <w:b/>
          <w:bCs w:val="0"/>
          <w:color w:val="auto"/>
          <w:highlight w:val="none"/>
        </w:rPr>
        <w:t>委托代理人的情况）</w:t>
      </w:r>
      <w:bookmarkEnd w:id="1090"/>
    </w:p>
    <w:p w14:paraId="2987C6A0">
      <w:pPr>
        <w:topLinePunct/>
        <w:spacing w:line="360" w:lineRule="auto"/>
        <w:ind w:firstLine="420" w:firstLineChars="200"/>
        <w:rPr>
          <w:rFonts w:hint="eastAsia" w:asciiTheme="minorEastAsia" w:hAnsiTheme="minorEastAsia" w:eastAsiaTheme="minorEastAsia" w:cstheme="minorEastAsia"/>
          <w:color w:val="auto"/>
          <w:szCs w:val="21"/>
          <w:highlight w:val="none"/>
        </w:rPr>
      </w:pPr>
    </w:p>
    <w:p w14:paraId="2895149C">
      <w:pPr>
        <w:topLinePunct/>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本人</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（姓名）系</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（供应商名称）的法定代表人，现委托</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（姓名）为我方代理人。代理人根据授权，以我方名义签署、澄清、说明、补正、递交、撤回、修改</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（项目名称）响应文件、签订合同和处理有关事宜，其法律后果由我方承担。</w:t>
      </w:r>
    </w:p>
    <w:p w14:paraId="6B23B24E">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委托期限：</w:t>
      </w:r>
      <w:r>
        <w:rPr>
          <w:rFonts w:hint="eastAsia" w:asciiTheme="minorEastAsia" w:hAnsiTheme="minorEastAsia" w:eastAsiaTheme="minorEastAsia" w:cstheme="minorEastAsia"/>
          <w:color w:val="auto"/>
          <w:highlight w:val="none"/>
        </w:rPr>
        <w:t>自本委托书签署之日起至</w:t>
      </w:r>
      <w:r>
        <w:rPr>
          <w:rFonts w:hint="eastAsia" w:asciiTheme="minorEastAsia" w:hAnsiTheme="minorEastAsia" w:eastAsiaTheme="minorEastAsia" w:cstheme="minorEastAsia"/>
          <w:color w:val="auto"/>
          <w:highlight w:val="none"/>
          <w:lang w:eastAsia="zh-CN"/>
        </w:rPr>
        <w:t>磋商</w:t>
      </w:r>
      <w:r>
        <w:rPr>
          <w:rFonts w:hint="eastAsia" w:asciiTheme="minorEastAsia" w:hAnsiTheme="minorEastAsia" w:eastAsiaTheme="minorEastAsia" w:cstheme="minorEastAsia"/>
          <w:color w:val="auto"/>
          <w:highlight w:val="none"/>
        </w:rPr>
        <w:t>有效期期满。</w:t>
      </w:r>
    </w:p>
    <w:p w14:paraId="1F2B98FB">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代理人无转委托权。</w:t>
      </w:r>
    </w:p>
    <w:p w14:paraId="23F111EB">
      <w:pPr>
        <w:spacing w:line="440" w:lineRule="exact"/>
        <w:rPr>
          <w:rFonts w:hint="eastAsia" w:asciiTheme="minorEastAsia" w:hAnsiTheme="minorEastAsia" w:eastAsiaTheme="minorEastAsia" w:cstheme="minorEastAsia"/>
          <w:color w:val="auto"/>
          <w:szCs w:val="21"/>
          <w:highlight w:val="none"/>
        </w:rPr>
      </w:pPr>
    </w:p>
    <w:p w14:paraId="649BBD7B">
      <w:pPr>
        <w:spacing w:line="440" w:lineRule="exact"/>
        <w:rPr>
          <w:rFonts w:hint="eastAsia" w:asciiTheme="minorEastAsia" w:hAnsiTheme="minorEastAsia" w:eastAsiaTheme="minorEastAsia" w:cstheme="minorEastAsia"/>
          <w:color w:val="auto"/>
          <w:szCs w:val="21"/>
          <w:highlight w:val="none"/>
        </w:rPr>
      </w:pPr>
    </w:p>
    <w:p w14:paraId="15121385">
      <w:pPr>
        <w:spacing w:line="360" w:lineRule="auto"/>
        <w:ind w:left="0" w:leftChars="0" w:firstLine="3360" w:firstLineChars="1600"/>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应</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商：</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（单位电子签章）</w:t>
      </w:r>
    </w:p>
    <w:p w14:paraId="682D5C76">
      <w:pPr>
        <w:spacing w:line="360" w:lineRule="auto"/>
        <w:ind w:left="0" w:leftChars="0" w:firstLine="3360" w:firstLineChars="1600"/>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（电子签名或盖章）</w:t>
      </w:r>
    </w:p>
    <w:p w14:paraId="7A14B3B2">
      <w:pPr>
        <w:spacing w:line="360" w:lineRule="auto"/>
        <w:ind w:left="0" w:leftChars="0" w:firstLine="3360" w:firstLineChars="16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身份证号码：</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p>
    <w:p w14:paraId="5DB03426">
      <w:pPr>
        <w:spacing w:line="360" w:lineRule="auto"/>
        <w:ind w:left="0" w:leftChars="0" w:firstLine="3360" w:firstLineChars="1600"/>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委托代理人：</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签字</w:t>
      </w:r>
      <w:r>
        <w:rPr>
          <w:rFonts w:hint="eastAsia" w:asciiTheme="minorEastAsia" w:hAnsiTheme="minorEastAsia" w:eastAsiaTheme="minorEastAsia" w:cstheme="minorEastAsia"/>
          <w:color w:val="auto"/>
          <w:szCs w:val="21"/>
          <w:highlight w:val="none"/>
        </w:rPr>
        <w:t>或盖章）</w:t>
      </w:r>
    </w:p>
    <w:p w14:paraId="12BCB316">
      <w:pPr>
        <w:spacing w:line="360" w:lineRule="auto"/>
        <w:ind w:left="0" w:leftChars="0" w:firstLine="3360" w:firstLineChars="16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身份证号码：</w:t>
      </w:r>
      <w:r>
        <w:rPr>
          <w:rFonts w:hint="eastAsia" w:asciiTheme="minorEastAsia" w:hAnsiTheme="minorEastAsia" w:eastAsiaTheme="minorEastAsia" w:cstheme="minorEastAsia"/>
          <w:color w:val="auto"/>
          <w:szCs w:val="21"/>
          <w:highlight w:val="none"/>
          <w:u w:val="single"/>
        </w:rPr>
        <w:t xml:space="preserve">                                        </w:t>
      </w:r>
    </w:p>
    <w:p w14:paraId="1A423258">
      <w:pPr>
        <w:spacing w:line="360" w:lineRule="auto"/>
        <w:ind w:left="0" w:leftChars="0" w:firstLine="3360" w:firstLineChars="1600"/>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2"/>
          <w:sz w:val="21"/>
          <w:szCs w:val="21"/>
          <w:highlight w:val="none"/>
          <w:lang w:val="en-US" w:eastAsia="zh-CN" w:bidi="ar-SA"/>
        </w:rPr>
        <w:t>日      期：</w:t>
      </w:r>
      <w:r>
        <w:rPr>
          <w:rFonts w:hint="eastAsia" w:asciiTheme="minorEastAsia" w:hAnsiTheme="minorEastAsia" w:eastAsiaTheme="minorEastAsia" w:cstheme="minorEastAsia"/>
          <w:color w:val="auto"/>
          <w:kern w:val="2"/>
          <w:sz w:val="21"/>
          <w:szCs w:val="21"/>
          <w:highlight w:val="none"/>
          <w:u w:val="single"/>
          <w:lang w:val="en-US" w:eastAsia="zh-CN" w:bidi="ar-SA"/>
        </w:rPr>
        <w:t xml:space="preserve">      </w:t>
      </w:r>
      <w:r>
        <w:rPr>
          <w:rFonts w:hint="eastAsia" w:asciiTheme="minorEastAsia" w:hAnsiTheme="minorEastAsia" w:eastAsiaTheme="minorEastAsia" w:cstheme="minorEastAsia"/>
          <w:color w:val="auto"/>
          <w:kern w:val="2"/>
          <w:sz w:val="21"/>
          <w:szCs w:val="21"/>
          <w:highlight w:val="none"/>
          <w:lang w:val="en-US" w:eastAsia="zh-CN" w:bidi="ar-SA"/>
        </w:rPr>
        <w:t>年</w:t>
      </w:r>
      <w:r>
        <w:rPr>
          <w:rFonts w:hint="eastAsia" w:asciiTheme="minorEastAsia" w:hAnsiTheme="minorEastAsia" w:eastAsiaTheme="minorEastAsia" w:cstheme="minorEastAsia"/>
          <w:color w:val="auto"/>
          <w:kern w:val="2"/>
          <w:sz w:val="21"/>
          <w:szCs w:val="21"/>
          <w:highlight w:val="none"/>
          <w:u w:val="single"/>
          <w:lang w:val="en-US" w:eastAsia="zh-CN" w:bidi="ar-SA"/>
        </w:rPr>
        <w:t xml:space="preserve">     </w:t>
      </w:r>
      <w:r>
        <w:rPr>
          <w:rFonts w:hint="eastAsia" w:asciiTheme="minorEastAsia" w:hAnsiTheme="minorEastAsia" w:eastAsiaTheme="minorEastAsia" w:cstheme="minorEastAsia"/>
          <w:color w:val="auto"/>
          <w:kern w:val="2"/>
          <w:sz w:val="21"/>
          <w:szCs w:val="21"/>
          <w:highlight w:val="none"/>
          <w:lang w:val="en-US" w:eastAsia="zh-CN" w:bidi="ar-SA"/>
        </w:rPr>
        <w:t>月</w:t>
      </w:r>
      <w:r>
        <w:rPr>
          <w:rFonts w:hint="eastAsia" w:asciiTheme="minorEastAsia" w:hAnsiTheme="minorEastAsia" w:eastAsiaTheme="minorEastAsia" w:cstheme="minorEastAsia"/>
          <w:color w:val="auto"/>
          <w:kern w:val="2"/>
          <w:sz w:val="21"/>
          <w:szCs w:val="21"/>
          <w:highlight w:val="none"/>
          <w:u w:val="single"/>
          <w:lang w:val="en-US" w:eastAsia="zh-CN" w:bidi="ar-SA"/>
        </w:rPr>
        <w:t xml:space="preserve">     </w:t>
      </w:r>
      <w:r>
        <w:rPr>
          <w:rFonts w:hint="eastAsia" w:asciiTheme="minorEastAsia" w:hAnsiTheme="minorEastAsia" w:eastAsiaTheme="minorEastAsia" w:cstheme="minorEastAsia"/>
          <w:color w:val="auto"/>
          <w:kern w:val="2"/>
          <w:sz w:val="21"/>
          <w:szCs w:val="21"/>
          <w:highlight w:val="none"/>
          <w:lang w:val="en-US" w:eastAsia="zh-CN" w:bidi="ar-SA"/>
        </w:rPr>
        <w:t>日</w:t>
      </w:r>
    </w:p>
    <w:p w14:paraId="5FFD731C">
      <w:pPr>
        <w:pStyle w:val="2"/>
        <w:rPr>
          <w:rFonts w:hint="eastAsia" w:asciiTheme="minorEastAsia" w:hAnsiTheme="minorEastAsia" w:eastAsiaTheme="minorEastAsia" w:cstheme="minorEastAsia"/>
          <w:color w:val="auto"/>
          <w:highlight w:val="none"/>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60E06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5" w:hRule="atLeast"/>
          <w:jc w:val="center"/>
        </w:trPr>
        <w:tc>
          <w:tcPr>
            <w:tcW w:w="8528" w:type="dxa"/>
            <w:noWrap w:val="0"/>
            <w:vAlign w:val="center"/>
          </w:tcPr>
          <w:p w14:paraId="389B8712">
            <w:pPr>
              <w:spacing w:line="440" w:lineRule="exact"/>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委托代理人身份证扫描件</w:t>
            </w:r>
            <w:r>
              <w:rPr>
                <w:rFonts w:hint="eastAsia" w:asciiTheme="minorEastAsia" w:hAnsiTheme="minorEastAsia" w:eastAsiaTheme="minorEastAsia" w:cstheme="minorEastAsia"/>
                <w:color w:val="auto"/>
                <w:szCs w:val="21"/>
                <w:highlight w:val="none"/>
                <w:lang w:eastAsia="zh-CN"/>
              </w:rPr>
              <w:t>及法人身份证</w:t>
            </w:r>
            <w:r>
              <w:rPr>
                <w:rFonts w:hint="eastAsia" w:asciiTheme="minorEastAsia" w:hAnsiTheme="minorEastAsia" w:eastAsiaTheme="minorEastAsia" w:cstheme="minorEastAsia"/>
                <w:color w:val="auto"/>
                <w:szCs w:val="21"/>
                <w:highlight w:val="none"/>
              </w:rPr>
              <w:t>扫描件</w:t>
            </w:r>
          </w:p>
          <w:p w14:paraId="0C3AA4CB">
            <w:pPr>
              <w:spacing w:line="440" w:lineRule="exact"/>
              <w:jc w:val="center"/>
              <w:rPr>
                <w:rFonts w:hint="eastAsia" w:asciiTheme="minorEastAsia" w:hAnsiTheme="minorEastAsia" w:eastAsiaTheme="minorEastAsia" w:cstheme="minorEastAsia"/>
                <w:color w:val="auto"/>
                <w:szCs w:val="21"/>
                <w:highlight w:val="none"/>
              </w:rPr>
            </w:pPr>
          </w:p>
        </w:tc>
      </w:tr>
    </w:tbl>
    <w:p w14:paraId="71F8AFBE">
      <w:pPr>
        <w:rPr>
          <w:rFonts w:hint="eastAsia" w:asciiTheme="minorEastAsia" w:hAnsiTheme="minorEastAsia" w:eastAsiaTheme="minorEastAsia" w:cstheme="minorEastAsia"/>
          <w:color w:val="auto"/>
          <w:highlight w:val="none"/>
        </w:rPr>
      </w:pPr>
      <w:bookmarkStart w:id="1091" w:name="_Toc144974862"/>
    </w:p>
    <w:bookmarkEnd w:id="1091"/>
    <w:p w14:paraId="6009215A">
      <w:pPr>
        <w:pStyle w:val="6"/>
        <w:numPr>
          <w:ilvl w:val="1"/>
          <w:numId w:val="0"/>
        </w:numPr>
        <w:bidi w:val="0"/>
        <w:ind w:left="0" w:leftChars="0" w:firstLine="0" w:firstLineChars="0"/>
        <w:jc w:val="center"/>
        <w:rPr>
          <w:rFonts w:hint="eastAsia" w:asciiTheme="minorEastAsia" w:hAnsiTheme="minorEastAsia" w:eastAsiaTheme="minorEastAsia" w:cstheme="minorEastAsia"/>
          <w:b/>
          <w:bCs w:val="0"/>
          <w:color w:val="auto"/>
          <w:highlight w:val="none"/>
          <w:lang w:eastAsia="zh-CN"/>
        </w:rPr>
        <w:sectPr>
          <w:pgSz w:w="11905" w:h="16838"/>
          <w:pgMar w:top="1134" w:right="1417" w:bottom="1417" w:left="1417" w:header="850" w:footer="850" w:gutter="0"/>
          <w:pgBorders>
            <w:top w:val="none" w:sz="0" w:space="0"/>
            <w:left w:val="none" w:sz="0" w:space="0"/>
            <w:bottom w:val="none" w:sz="0" w:space="0"/>
            <w:right w:val="none" w:sz="0" w:space="0"/>
          </w:pgBorders>
          <w:pgNumType w:fmt="decimal"/>
          <w:cols w:space="0" w:num="1"/>
          <w:rtlGutter w:val="0"/>
          <w:docGrid w:type="lines" w:linePitch="317" w:charSpace="0"/>
        </w:sectPr>
      </w:pPr>
      <w:bookmarkStart w:id="1092" w:name="_Toc17889"/>
      <w:bookmarkStart w:id="1093" w:name="_Toc475624455"/>
      <w:bookmarkStart w:id="1094" w:name="_Toc21839"/>
      <w:bookmarkStart w:id="1095" w:name="_Toc25711"/>
    </w:p>
    <w:p w14:paraId="0EED9949">
      <w:pPr>
        <w:keepNext w:val="0"/>
        <w:keepLines w:val="0"/>
        <w:pageBreakBefore w:val="0"/>
        <w:widowControl w:val="0"/>
        <w:kinsoku/>
        <w:wordWrap w:val="0"/>
        <w:overflowPunct/>
        <w:topLinePunct/>
        <w:autoSpaceDE/>
        <w:autoSpaceDN/>
        <w:bidi w:val="0"/>
        <w:adjustRightInd/>
        <w:snapToGrid/>
        <w:spacing w:after="120" w:line="600" w:lineRule="exact"/>
        <w:ind w:firstLine="0" w:firstLineChars="0"/>
        <w:jc w:val="center"/>
        <w:textAlignment w:val="auto"/>
        <w:outlineLvl w:val="1"/>
        <w:rPr>
          <w:rFonts w:ascii="宋体" w:hAnsi="宋体" w:eastAsia="宋体" w:cs="宋体"/>
          <w:b/>
          <w:color w:val="auto"/>
          <w:kern w:val="2"/>
          <w:sz w:val="28"/>
          <w:szCs w:val="28"/>
          <w:highlight w:val="none"/>
          <w:lang w:val="en-US" w:eastAsia="zh-CN" w:bidi="ar-SA"/>
        </w:rPr>
      </w:pPr>
      <w:bookmarkStart w:id="1096" w:name="_Toc2356"/>
      <w:r>
        <w:rPr>
          <w:rFonts w:hint="eastAsia" w:ascii="宋体" w:hAnsi="宋体" w:cs="宋体"/>
          <w:b/>
          <w:color w:val="auto"/>
          <w:kern w:val="2"/>
          <w:sz w:val="28"/>
          <w:szCs w:val="28"/>
          <w:highlight w:val="none"/>
          <w:lang w:val="en-US" w:eastAsia="zh-CN" w:bidi="ar-SA"/>
        </w:rPr>
        <w:t>三</w:t>
      </w:r>
      <w:r>
        <w:rPr>
          <w:rFonts w:hint="eastAsia" w:ascii="宋体" w:hAnsi="宋体" w:eastAsia="宋体" w:cs="宋体"/>
          <w:b/>
          <w:color w:val="auto"/>
          <w:kern w:val="2"/>
          <w:sz w:val="28"/>
          <w:szCs w:val="28"/>
          <w:highlight w:val="none"/>
          <w:lang w:val="en-US" w:eastAsia="zh-CN" w:bidi="ar-SA"/>
        </w:rPr>
        <w:t>、商务及技术参数偏差表</w:t>
      </w:r>
      <w:bookmarkEnd w:id="1096"/>
    </w:p>
    <w:p w14:paraId="091FE90A">
      <w:pPr>
        <w:pageBreakBefore w:val="0"/>
        <w:widowControl w:val="0"/>
        <w:kinsoku/>
        <w:wordWrap w:val="0"/>
        <w:overflowPunct/>
        <w:topLinePunct/>
        <w:autoSpaceDE/>
        <w:autoSpaceDN/>
        <w:bidi w:val="0"/>
        <w:spacing w:after="120" w:line="600" w:lineRule="exact"/>
        <w:ind w:firstLine="0" w:firstLineChars="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（一）商务偏差表</w:t>
      </w:r>
    </w:p>
    <w:tbl>
      <w:tblPr>
        <w:tblStyle w:val="31"/>
        <w:tblW w:w="9278" w:type="dxa"/>
        <w:tblInd w:w="-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9"/>
        <w:gridCol w:w="1727"/>
        <w:gridCol w:w="2354"/>
        <w:gridCol w:w="2799"/>
        <w:gridCol w:w="1449"/>
      </w:tblGrid>
      <w:tr w14:paraId="72223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exact"/>
        </w:trPr>
        <w:tc>
          <w:tcPr>
            <w:tcW w:w="949" w:type="dxa"/>
            <w:noWrap w:val="0"/>
            <w:vAlign w:val="center"/>
          </w:tcPr>
          <w:p w14:paraId="6AB3AD39">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宋体" w:hAnsi="宋体" w:eastAsia="宋体" w:cs="宋体"/>
                <w:color w:val="000000"/>
                <w:szCs w:val="22"/>
                <w:highlight w:val="none"/>
              </w:rPr>
            </w:pPr>
            <w:r>
              <w:rPr>
                <w:rFonts w:hint="eastAsia" w:ascii="宋体" w:hAnsi="宋体" w:eastAsia="宋体" w:cs="宋体"/>
                <w:color w:val="000000"/>
                <w:szCs w:val="22"/>
                <w:highlight w:val="none"/>
              </w:rPr>
              <w:t>序号</w:t>
            </w:r>
          </w:p>
        </w:tc>
        <w:tc>
          <w:tcPr>
            <w:tcW w:w="1727" w:type="dxa"/>
            <w:noWrap w:val="0"/>
            <w:vAlign w:val="center"/>
          </w:tcPr>
          <w:p w14:paraId="1503F53C">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宋体" w:hAnsi="宋体" w:eastAsia="宋体" w:cs="宋体"/>
                <w:color w:val="000000"/>
                <w:szCs w:val="22"/>
                <w:highlight w:val="none"/>
              </w:rPr>
            </w:pPr>
            <w:r>
              <w:rPr>
                <w:rFonts w:hint="eastAsia" w:ascii="宋体" w:hAnsi="宋体" w:eastAsia="宋体" w:cs="宋体"/>
                <w:color w:val="000000"/>
                <w:szCs w:val="22"/>
                <w:highlight w:val="none"/>
                <w:lang w:val="en-US" w:eastAsia="zh-CN"/>
              </w:rPr>
              <w:t>项目名称</w:t>
            </w:r>
          </w:p>
        </w:tc>
        <w:tc>
          <w:tcPr>
            <w:tcW w:w="2354" w:type="dxa"/>
            <w:noWrap w:val="0"/>
            <w:vAlign w:val="center"/>
          </w:tcPr>
          <w:p w14:paraId="742E0206">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宋体" w:hAnsi="宋体" w:eastAsia="宋体" w:cs="宋体"/>
                <w:color w:val="000000"/>
                <w:szCs w:val="22"/>
                <w:highlight w:val="none"/>
              </w:rPr>
            </w:pPr>
            <w:r>
              <w:rPr>
                <w:rFonts w:hint="eastAsia" w:ascii="宋体" w:hAnsi="宋体" w:eastAsia="宋体" w:cs="宋体"/>
                <w:color w:val="000000"/>
                <w:szCs w:val="22"/>
                <w:highlight w:val="none"/>
                <w:lang w:val="en-US" w:eastAsia="zh-CN"/>
              </w:rPr>
              <w:t>磋商</w:t>
            </w:r>
            <w:r>
              <w:rPr>
                <w:rFonts w:hint="eastAsia" w:ascii="宋体" w:hAnsi="宋体" w:eastAsia="宋体" w:cs="宋体"/>
                <w:color w:val="000000"/>
                <w:szCs w:val="22"/>
                <w:highlight w:val="none"/>
              </w:rPr>
              <w:t>文件要求</w:t>
            </w:r>
          </w:p>
        </w:tc>
        <w:tc>
          <w:tcPr>
            <w:tcW w:w="2799" w:type="dxa"/>
            <w:noWrap w:val="0"/>
            <w:vAlign w:val="center"/>
          </w:tcPr>
          <w:p w14:paraId="5525AD64">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宋体" w:hAnsi="宋体" w:eastAsia="宋体" w:cs="宋体"/>
                <w:color w:val="000000"/>
                <w:szCs w:val="22"/>
                <w:highlight w:val="none"/>
              </w:rPr>
            </w:pPr>
            <w:r>
              <w:rPr>
                <w:rFonts w:hint="eastAsia" w:ascii="宋体" w:hAnsi="宋体" w:eastAsia="宋体" w:cs="宋体"/>
                <w:color w:val="000000"/>
                <w:szCs w:val="22"/>
                <w:highlight w:val="none"/>
                <w:lang w:val="en-US" w:eastAsia="zh-CN"/>
              </w:rPr>
              <w:t>响应</w:t>
            </w:r>
            <w:r>
              <w:rPr>
                <w:rFonts w:hint="eastAsia" w:ascii="宋体" w:hAnsi="宋体" w:eastAsia="宋体" w:cs="宋体"/>
                <w:color w:val="000000"/>
                <w:szCs w:val="22"/>
                <w:highlight w:val="none"/>
              </w:rPr>
              <w:t>文件响应</w:t>
            </w:r>
          </w:p>
        </w:tc>
        <w:tc>
          <w:tcPr>
            <w:tcW w:w="1449" w:type="dxa"/>
            <w:noWrap w:val="0"/>
            <w:vAlign w:val="center"/>
          </w:tcPr>
          <w:p w14:paraId="7B47B408">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宋体" w:hAnsi="宋体" w:eastAsia="宋体" w:cs="宋体"/>
                <w:color w:val="000000"/>
                <w:szCs w:val="22"/>
                <w:highlight w:val="none"/>
              </w:rPr>
            </w:pPr>
            <w:r>
              <w:rPr>
                <w:rFonts w:hint="eastAsia" w:ascii="宋体" w:hAnsi="宋体" w:eastAsia="宋体" w:cs="宋体"/>
                <w:color w:val="000000"/>
                <w:szCs w:val="22"/>
                <w:highlight w:val="none"/>
              </w:rPr>
              <w:t>偏差结论</w:t>
            </w:r>
          </w:p>
        </w:tc>
      </w:tr>
      <w:tr w14:paraId="4F9C6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exact"/>
        </w:trPr>
        <w:tc>
          <w:tcPr>
            <w:tcW w:w="949" w:type="dxa"/>
            <w:noWrap w:val="0"/>
            <w:vAlign w:val="center"/>
          </w:tcPr>
          <w:p w14:paraId="4B4DB52A">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lang w:val="en-US" w:eastAsia="zh-CN"/>
              </w:rPr>
            </w:pPr>
            <w:r>
              <w:rPr>
                <w:rFonts w:hint="eastAsia" w:ascii="宋体" w:hAnsi="宋体" w:eastAsia="宋体" w:cs="宋体"/>
                <w:color w:val="000000"/>
                <w:szCs w:val="22"/>
                <w:highlight w:val="none"/>
                <w:lang w:val="en-US" w:eastAsia="zh-CN"/>
              </w:rPr>
              <w:t>1</w:t>
            </w:r>
          </w:p>
        </w:tc>
        <w:tc>
          <w:tcPr>
            <w:tcW w:w="1727" w:type="dxa"/>
            <w:noWrap w:val="0"/>
            <w:vAlign w:val="center"/>
          </w:tcPr>
          <w:p w14:paraId="0F824C7C">
            <w:pPr>
              <w:keepNext w:val="0"/>
              <w:keepLines w:val="0"/>
              <w:pageBreakBefore w:val="0"/>
              <w:kinsoku/>
              <w:wordWrap/>
              <w:overflowPunct/>
              <w:topLinePunct w:val="0"/>
              <w:bidi w:val="0"/>
              <w:spacing w:line="360" w:lineRule="exact"/>
              <w:ind w:left="0" w:leftChars="0" w:right="0" w:rightChars="0"/>
              <w:jc w:val="center"/>
              <w:textAlignment w:val="auto"/>
              <w:rPr>
                <w:rFonts w:hint="eastAsia" w:ascii="宋体" w:hAnsi="宋体" w:eastAsia="宋体" w:cs="宋体"/>
                <w:color w:val="000000"/>
                <w:szCs w:val="22"/>
                <w:highlight w:val="none"/>
              </w:rPr>
            </w:pPr>
            <w:r>
              <w:rPr>
                <w:rFonts w:hint="eastAsia" w:asciiTheme="minorEastAsia" w:hAnsiTheme="minorEastAsia" w:eastAsiaTheme="minorEastAsia" w:cstheme="minorEastAsia"/>
                <w:color w:val="auto"/>
                <w:sz w:val="21"/>
                <w:szCs w:val="21"/>
                <w:highlight w:val="none"/>
              </w:rPr>
              <w:t>响应内容</w:t>
            </w:r>
          </w:p>
        </w:tc>
        <w:tc>
          <w:tcPr>
            <w:tcW w:w="2354" w:type="dxa"/>
            <w:noWrap w:val="0"/>
            <w:vAlign w:val="center"/>
          </w:tcPr>
          <w:p w14:paraId="57F71D17">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c>
          <w:tcPr>
            <w:tcW w:w="2799" w:type="dxa"/>
            <w:noWrap w:val="0"/>
            <w:vAlign w:val="center"/>
          </w:tcPr>
          <w:p w14:paraId="376D9047">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c>
          <w:tcPr>
            <w:tcW w:w="1449" w:type="dxa"/>
            <w:noWrap w:val="0"/>
            <w:vAlign w:val="center"/>
          </w:tcPr>
          <w:p w14:paraId="1B3B173A">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r>
      <w:tr w14:paraId="294C5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exact"/>
        </w:trPr>
        <w:tc>
          <w:tcPr>
            <w:tcW w:w="949" w:type="dxa"/>
            <w:noWrap w:val="0"/>
            <w:vAlign w:val="center"/>
          </w:tcPr>
          <w:p w14:paraId="35E8AF82">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宋体" w:hAnsi="宋体" w:eastAsia="宋体" w:cs="宋体"/>
                <w:color w:val="000000"/>
                <w:szCs w:val="22"/>
                <w:highlight w:val="none"/>
                <w:lang w:val="en-US" w:eastAsia="zh-CN"/>
              </w:rPr>
            </w:pPr>
            <w:r>
              <w:rPr>
                <w:rFonts w:hint="eastAsia" w:ascii="宋体" w:hAnsi="宋体" w:eastAsia="宋体" w:cs="宋体"/>
                <w:color w:val="000000"/>
                <w:szCs w:val="22"/>
                <w:highlight w:val="none"/>
                <w:lang w:val="en-US" w:eastAsia="zh-CN"/>
              </w:rPr>
              <w:t>2</w:t>
            </w:r>
          </w:p>
        </w:tc>
        <w:tc>
          <w:tcPr>
            <w:tcW w:w="1727" w:type="dxa"/>
            <w:noWrap w:val="0"/>
            <w:vAlign w:val="center"/>
          </w:tcPr>
          <w:p w14:paraId="5A2118F4">
            <w:pPr>
              <w:keepNext w:val="0"/>
              <w:keepLines w:val="0"/>
              <w:pageBreakBefore w:val="0"/>
              <w:kinsoku/>
              <w:wordWrap/>
              <w:overflowPunct/>
              <w:topLinePunct w:val="0"/>
              <w:bidi w:val="0"/>
              <w:spacing w:line="360" w:lineRule="exact"/>
              <w:ind w:left="0" w:leftChars="0" w:right="0" w:rightChars="0"/>
              <w:jc w:val="center"/>
              <w:textAlignment w:val="auto"/>
              <w:rPr>
                <w:rFonts w:hint="eastAsia" w:ascii="宋体" w:hAnsi="宋体" w:eastAsia="宋体" w:cs="宋体"/>
                <w:color w:val="000000"/>
                <w:szCs w:val="22"/>
                <w:highlight w:val="none"/>
              </w:rPr>
            </w:pPr>
            <w:r>
              <w:rPr>
                <w:rFonts w:hint="eastAsia" w:asciiTheme="minorEastAsia" w:hAnsiTheme="minorEastAsia" w:eastAsiaTheme="minorEastAsia" w:cstheme="minorEastAsia"/>
                <w:color w:val="auto"/>
                <w:sz w:val="21"/>
                <w:szCs w:val="21"/>
                <w:highlight w:val="none"/>
                <w:lang w:val="en-US" w:eastAsia="zh-CN"/>
              </w:rPr>
              <w:t>服务期</w:t>
            </w:r>
          </w:p>
        </w:tc>
        <w:tc>
          <w:tcPr>
            <w:tcW w:w="2354" w:type="dxa"/>
            <w:noWrap w:val="0"/>
            <w:vAlign w:val="center"/>
          </w:tcPr>
          <w:p w14:paraId="05D6CBC4">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c>
          <w:tcPr>
            <w:tcW w:w="2799" w:type="dxa"/>
            <w:noWrap w:val="0"/>
            <w:vAlign w:val="center"/>
          </w:tcPr>
          <w:p w14:paraId="23EEF81C">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c>
          <w:tcPr>
            <w:tcW w:w="1449" w:type="dxa"/>
            <w:noWrap w:val="0"/>
            <w:vAlign w:val="center"/>
          </w:tcPr>
          <w:p w14:paraId="750F5DB5">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r>
      <w:tr w14:paraId="188F4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exact"/>
        </w:trPr>
        <w:tc>
          <w:tcPr>
            <w:tcW w:w="949" w:type="dxa"/>
            <w:noWrap w:val="0"/>
            <w:vAlign w:val="center"/>
          </w:tcPr>
          <w:p w14:paraId="3A047983">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lang w:val="en-US" w:eastAsia="zh-CN"/>
              </w:rPr>
            </w:pPr>
            <w:r>
              <w:rPr>
                <w:rFonts w:hint="eastAsia" w:ascii="宋体" w:hAnsi="宋体" w:eastAsia="宋体" w:cs="宋体"/>
                <w:color w:val="000000"/>
                <w:szCs w:val="22"/>
                <w:highlight w:val="none"/>
                <w:lang w:val="en-US" w:eastAsia="zh-CN"/>
              </w:rPr>
              <w:t>3</w:t>
            </w:r>
          </w:p>
        </w:tc>
        <w:tc>
          <w:tcPr>
            <w:tcW w:w="1727" w:type="dxa"/>
            <w:noWrap w:val="0"/>
            <w:vAlign w:val="center"/>
          </w:tcPr>
          <w:p w14:paraId="0E524AC9">
            <w:pPr>
              <w:keepNext w:val="0"/>
              <w:keepLines w:val="0"/>
              <w:pageBreakBefore w:val="0"/>
              <w:kinsoku/>
              <w:wordWrap/>
              <w:overflowPunct/>
              <w:topLinePunct w:val="0"/>
              <w:bidi w:val="0"/>
              <w:spacing w:line="360" w:lineRule="exact"/>
              <w:ind w:left="0" w:leftChars="0" w:right="0" w:rightChars="0"/>
              <w:jc w:val="center"/>
              <w:textAlignment w:val="auto"/>
              <w:rPr>
                <w:rFonts w:hint="eastAsia" w:ascii="宋体" w:hAnsi="宋体" w:eastAsia="宋体" w:cs="宋体"/>
                <w:color w:val="000000"/>
                <w:szCs w:val="22"/>
                <w:highlight w:val="none"/>
              </w:rPr>
            </w:pPr>
            <w:r>
              <w:rPr>
                <w:rFonts w:hint="eastAsia" w:asciiTheme="minorEastAsia" w:hAnsiTheme="minorEastAsia" w:eastAsiaTheme="minorEastAsia" w:cstheme="minorEastAsia"/>
                <w:color w:val="auto"/>
                <w:sz w:val="21"/>
                <w:szCs w:val="21"/>
                <w:highlight w:val="none"/>
                <w:lang w:val="en-US" w:eastAsia="zh-CN"/>
              </w:rPr>
              <w:t>服务标准</w:t>
            </w:r>
          </w:p>
        </w:tc>
        <w:tc>
          <w:tcPr>
            <w:tcW w:w="2354" w:type="dxa"/>
            <w:noWrap w:val="0"/>
            <w:vAlign w:val="center"/>
          </w:tcPr>
          <w:p w14:paraId="78B8EDC5">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c>
          <w:tcPr>
            <w:tcW w:w="2799" w:type="dxa"/>
            <w:noWrap w:val="0"/>
            <w:vAlign w:val="center"/>
          </w:tcPr>
          <w:p w14:paraId="0C499A05">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c>
          <w:tcPr>
            <w:tcW w:w="1449" w:type="dxa"/>
            <w:noWrap w:val="0"/>
            <w:vAlign w:val="center"/>
          </w:tcPr>
          <w:p w14:paraId="171DD950">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r>
      <w:tr w14:paraId="41924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exact"/>
        </w:trPr>
        <w:tc>
          <w:tcPr>
            <w:tcW w:w="949" w:type="dxa"/>
            <w:noWrap w:val="0"/>
            <w:vAlign w:val="center"/>
          </w:tcPr>
          <w:p w14:paraId="68C76A3E">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lang w:val="en-US" w:eastAsia="zh-CN"/>
              </w:rPr>
            </w:pPr>
            <w:r>
              <w:rPr>
                <w:rFonts w:hint="eastAsia" w:ascii="宋体" w:hAnsi="宋体" w:eastAsia="宋体" w:cs="宋体"/>
                <w:color w:val="000000"/>
                <w:szCs w:val="22"/>
                <w:highlight w:val="none"/>
                <w:lang w:val="en-US" w:eastAsia="zh-CN"/>
              </w:rPr>
              <w:t>4</w:t>
            </w:r>
          </w:p>
        </w:tc>
        <w:tc>
          <w:tcPr>
            <w:tcW w:w="1727" w:type="dxa"/>
            <w:noWrap w:val="0"/>
            <w:vAlign w:val="center"/>
          </w:tcPr>
          <w:p w14:paraId="2102C368">
            <w:pPr>
              <w:keepNext w:val="0"/>
              <w:keepLines w:val="0"/>
              <w:pageBreakBefore w:val="0"/>
              <w:kinsoku/>
              <w:wordWrap/>
              <w:overflowPunct/>
              <w:topLinePunct w:val="0"/>
              <w:bidi w:val="0"/>
              <w:spacing w:line="360" w:lineRule="exact"/>
              <w:ind w:left="0" w:leftChars="0" w:right="0" w:rightChars="0"/>
              <w:jc w:val="center"/>
              <w:textAlignment w:val="auto"/>
              <w:rPr>
                <w:rFonts w:hint="eastAsia" w:ascii="宋体" w:hAnsi="宋体" w:eastAsia="宋体" w:cs="宋体"/>
                <w:color w:val="000000"/>
                <w:szCs w:val="22"/>
                <w:highlight w:val="none"/>
              </w:rPr>
            </w:pPr>
            <w:r>
              <w:rPr>
                <w:rFonts w:hint="eastAsia" w:asciiTheme="minorEastAsia" w:hAnsiTheme="minorEastAsia" w:eastAsiaTheme="minorEastAsia" w:cstheme="minorEastAsia"/>
                <w:color w:val="auto"/>
                <w:sz w:val="21"/>
                <w:szCs w:val="21"/>
                <w:highlight w:val="none"/>
              </w:rPr>
              <w:t>磋商有效期</w:t>
            </w:r>
          </w:p>
        </w:tc>
        <w:tc>
          <w:tcPr>
            <w:tcW w:w="2354" w:type="dxa"/>
            <w:noWrap w:val="0"/>
            <w:vAlign w:val="center"/>
          </w:tcPr>
          <w:p w14:paraId="3040F853">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c>
          <w:tcPr>
            <w:tcW w:w="2799" w:type="dxa"/>
            <w:noWrap w:val="0"/>
            <w:vAlign w:val="center"/>
          </w:tcPr>
          <w:p w14:paraId="60B25B61">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c>
          <w:tcPr>
            <w:tcW w:w="1449" w:type="dxa"/>
            <w:noWrap w:val="0"/>
            <w:vAlign w:val="center"/>
          </w:tcPr>
          <w:p w14:paraId="33833872">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r>
      <w:tr w14:paraId="75626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exact"/>
        </w:trPr>
        <w:tc>
          <w:tcPr>
            <w:tcW w:w="949" w:type="dxa"/>
            <w:noWrap w:val="0"/>
            <w:vAlign w:val="center"/>
          </w:tcPr>
          <w:p w14:paraId="7933DB96">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lang w:eastAsia="zh-CN"/>
              </w:rPr>
            </w:pPr>
            <w:r>
              <w:rPr>
                <w:rFonts w:hint="eastAsia" w:ascii="宋体" w:hAnsi="宋体" w:eastAsia="宋体" w:cs="宋体"/>
                <w:color w:val="000000"/>
                <w:szCs w:val="22"/>
                <w:highlight w:val="none"/>
                <w:lang w:val="en-US" w:eastAsia="zh-CN"/>
              </w:rPr>
              <w:t>5</w:t>
            </w:r>
          </w:p>
        </w:tc>
        <w:tc>
          <w:tcPr>
            <w:tcW w:w="1727" w:type="dxa"/>
            <w:noWrap w:val="0"/>
            <w:vAlign w:val="center"/>
          </w:tcPr>
          <w:p w14:paraId="0DF02986">
            <w:pPr>
              <w:keepNext w:val="0"/>
              <w:keepLines w:val="0"/>
              <w:pageBreakBefore w:val="0"/>
              <w:kinsoku/>
              <w:wordWrap/>
              <w:overflowPunct/>
              <w:topLinePunct w:val="0"/>
              <w:bidi w:val="0"/>
              <w:spacing w:line="360" w:lineRule="exact"/>
              <w:ind w:left="0" w:leftChars="0" w:right="0" w:rightChars="0"/>
              <w:jc w:val="center"/>
              <w:textAlignment w:val="auto"/>
              <w:rPr>
                <w:rFonts w:hint="eastAsia" w:ascii="宋体" w:hAnsi="宋体" w:eastAsia="宋体" w:cs="宋体"/>
                <w:color w:val="000000"/>
                <w:szCs w:val="22"/>
                <w:highlight w:val="none"/>
              </w:rPr>
            </w:pPr>
          </w:p>
        </w:tc>
        <w:tc>
          <w:tcPr>
            <w:tcW w:w="2354" w:type="dxa"/>
            <w:noWrap w:val="0"/>
            <w:vAlign w:val="center"/>
          </w:tcPr>
          <w:p w14:paraId="3A09A413">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c>
          <w:tcPr>
            <w:tcW w:w="2799" w:type="dxa"/>
            <w:noWrap w:val="0"/>
            <w:vAlign w:val="center"/>
          </w:tcPr>
          <w:p w14:paraId="5C4C6EBB">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c>
          <w:tcPr>
            <w:tcW w:w="1449" w:type="dxa"/>
            <w:noWrap w:val="0"/>
            <w:vAlign w:val="center"/>
          </w:tcPr>
          <w:p w14:paraId="7D239C51">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r>
      <w:tr w14:paraId="48848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exact"/>
        </w:trPr>
        <w:tc>
          <w:tcPr>
            <w:tcW w:w="949" w:type="dxa"/>
            <w:noWrap w:val="0"/>
            <w:vAlign w:val="center"/>
          </w:tcPr>
          <w:p w14:paraId="04F0BF38">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right="0" w:firstLine="0" w:firstLineChars="0"/>
              <w:jc w:val="center"/>
              <w:textAlignment w:val="auto"/>
              <w:rPr>
                <w:rFonts w:hint="eastAsia" w:ascii="宋体" w:hAnsi="宋体" w:eastAsia="宋体" w:cs="宋体"/>
                <w:color w:val="000000"/>
                <w:szCs w:val="22"/>
                <w:highlight w:val="none"/>
              </w:rPr>
            </w:pPr>
            <w:r>
              <w:rPr>
                <w:rFonts w:hint="eastAsia" w:ascii="宋体" w:hAnsi="宋体" w:eastAsia="宋体" w:cs="宋体"/>
                <w:color w:val="000000"/>
                <w:szCs w:val="22"/>
                <w:highlight w:val="none"/>
              </w:rPr>
              <w:t>…</w:t>
            </w:r>
          </w:p>
        </w:tc>
        <w:tc>
          <w:tcPr>
            <w:tcW w:w="1727" w:type="dxa"/>
            <w:noWrap w:val="0"/>
            <w:vAlign w:val="center"/>
          </w:tcPr>
          <w:p w14:paraId="2DB46B60">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s="宋体"/>
                <w:color w:val="000000"/>
                <w:szCs w:val="22"/>
                <w:highlight w:val="none"/>
              </w:rPr>
            </w:pPr>
          </w:p>
        </w:tc>
        <w:tc>
          <w:tcPr>
            <w:tcW w:w="2354" w:type="dxa"/>
            <w:noWrap w:val="0"/>
            <w:vAlign w:val="center"/>
          </w:tcPr>
          <w:p w14:paraId="6C159948">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s="宋体"/>
                <w:color w:val="000000"/>
                <w:szCs w:val="22"/>
                <w:highlight w:val="none"/>
              </w:rPr>
            </w:pPr>
          </w:p>
        </w:tc>
        <w:tc>
          <w:tcPr>
            <w:tcW w:w="2799" w:type="dxa"/>
            <w:noWrap w:val="0"/>
            <w:vAlign w:val="center"/>
          </w:tcPr>
          <w:p w14:paraId="1EB79F46">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s="宋体"/>
                <w:color w:val="000000"/>
                <w:szCs w:val="22"/>
                <w:highlight w:val="none"/>
              </w:rPr>
            </w:pPr>
          </w:p>
        </w:tc>
        <w:tc>
          <w:tcPr>
            <w:tcW w:w="1449" w:type="dxa"/>
            <w:noWrap w:val="0"/>
            <w:vAlign w:val="center"/>
          </w:tcPr>
          <w:p w14:paraId="23AD2760">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s="宋体"/>
                <w:color w:val="000000"/>
                <w:szCs w:val="22"/>
                <w:highlight w:val="none"/>
              </w:rPr>
            </w:pPr>
          </w:p>
        </w:tc>
      </w:tr>
    </w:tbl>
    <w:p w14:paraId="386F3FAC">
      <w:pPr>
        <w:pageBreakBefore w:val="0"/>
        <w:widowControl w:val="0"/>
        <w:kinsoku/>
        <w:wordWrap w:val="0"/>
        <w:overflowPunct/>
        <w:topLinePunct/>
        <w:autoSpaceDE/>
        <w:autoSpaceDN/>
        <w:bidi w:val="0"/>
        <w:spacing w:before="1" w:after="120" w:line="600" w:lineRule="exact"/>
        <w:ind w:firstLine="420" w:firstLineChars="200"/>
        <w:jc w:val="both"/>
        <w:rPr>
          <w:rFonts w:hint="eastAsia" w:ascii="宋体" w:hAnsi="宋体" w:eastAsia="宋体" w:cs="宋体"/>
          <w:color w:val="auto"/>
          <w:kern w:val="2"/>
          <w:sz w:val="21"/>
          <w:szCs w:val="21"/>
          <w:highlight w:val="none"/>
          <w:lang w:val="en-US" w:eastAsia="zh-CN" w:bidi="ar-SA"/>
        </w:rPr>
      </w:pPr>
    </w:p>
    <w:p w14:paraId="43042C73">
      <w:pPr>
        <w:pageBreakBefore w:val="0"/>
        <w:widowControl w:val="0"/>
        <w:kinsoku/>
        <w:wordWrap w:val="0"/>
        <w:overflowPunct/>
        <w:topLinePunct/>
        <w:autoSpaceDE/>
        <w:autoSpaceDN/>
        <w:bidi w:val="0"/>
        <w:spacing w:before="1" w:after="120" w:line="600" w:lineRule="exact"/>
        <w:ind w:firstLine="422" w:firstLineChars="200"/>
        <w:jc w:val="both"/>
        <w:rPr>
          <w:rFonts w:hint="eastAsia" w:ascii="宋体" w:hAnsi="宋体" w:eastAsia="宋体" w:cs="宋体"/>
          <w:b/>
          <w:bCs/>
          <w:color w:val="auto"/>
          <w:kern w:val="2"/>
          <w:sz w:val="4"/>
          <w:szCs w:val="22"/>
          <w:highlight w:val="none"/>
          <w:lang w:val="en-US" w:eastAsia="zh-CN" w:bidi="ar-SA"/>
        </w:rPr>
      </w:pPr>
      <w:r>
        <w:rPr>
          <w:rFonts w:hint="eastAsia" w:ascii="宋体" w:hAnsi="宋体" w:eastAsia="宋体" w:cs="宋体"/>
          <w:b/>
          <w:bCs/>
          <w:color w:val="auto"/>
          <w:kern w:val="2"/>
          <w:sz w:val="21"/>
          <w:szCs w:val="21"/>
          <w:highlight w:val="none"/>
          <w:lang w:val="en-US" w:eastAsia="zh-CN" w:bidi="ar-SA"/>
        </w:rPr>
        <w:t>注：1.“偏差结论”栏中描述为“正偏差或负偏差或无偏差”。</w:t>
      </w:r>
    </w:p>
    <w:p w14:paraId="4148D76F">
      <w:pPr>
        <w:pageBreakBefore w:val="0"/>
        <w:widowControl w:val="0"/>
        <w:kinsoku/>
        <w:wordWrap w:val="0"/>
        <w:overflowPunct/>
        <w:topLinePunct/>
        <w:autoSpaceDE/>
        <w:autoSpaceDN/>
        <w:bidi w:val="0"/>
        <w:spacing w:after="120" w:line="600" w:lineRule="exact"/>
        <w:ind w:firstLine="823" w:firstLineChars="392"/>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2.本表中出现负偏离，视为无效响应。</w:t>
      </w:r>
    </w:p>
    <w:p w14:paraId="1DF6C5EA">
      <w:pPr>
        <w:pageBreakBefore w:val="0"/>
        <w:widowControl w:val="0"/>
        <w:kinsoku/>
        <w:wordWrap w:val="0"/>
        <w:overflowPunct/>
        <w:topLinePunct/>
        <w:autoSpaceDE/>
        <w:autoSpaceDN/>
        <w:bidi w:val="0"/>
        <w:spacing w:after="120" w:line="600" w:lineRule="exact"/>
        <w:ind w:firstLine="403" w:firstLineChars="192"/>
        <w:jc w:val="center"/>
        <w:rPr>
          <w:rFonts w:ascii="宋体" w:hAnsi="宋体" w:eastAsia="宋体" w:cs="宋体"/>
          <w:color w:val="auto"/>
          <w:kern w:val="2"/>
          <w:sz w:val="21"/>
          <w:szCs w:val="21"/>
          <w:highlight w:val="none"/>
          <w:lang w:val="en-US" w:eastAsia="zh-CN" w:bidi="ar-SA"/>
        </w:rPr>
      </w:pPr>
    </w:p>
    <w:p w14:paraId="75F463CE">
      <w:pPr>
        <w:pageBreakBefore w:val="0"/>
        <w:widowControl w:val="0"/>
        <w:kinsoku/>
        <w:wordWrap w:val="0"/>
        <w:overflowPunct/>
        <w:topLinePunct/>
        <w:autoSpaceDE/>
        <w:autoSpaceDN/>
        <w:bidi w:val="0"/>
        <w:spacing w:after="120" w:line="600" w:lineRule="exact"/>
        <w:ind w:firstLine="403" w:firstLineChars="192"/>
        <w:jc w:val="center"/>
        <w:rPr>
          <w:rFonts w:ascii="宋体" w:hAnsi="宋体" w:eastAsia="宋体" w:cs="宋体"/>
          <w:color w:val="auto"/>
          <w:kern w:val="2"/>
          <w:sz w:val="21"/>
          <w:szCs w:val="21"/>
          <w:highlight w:val="none"/>
          <w:lang w:val="en-US" w:eastAsia="zh-CN" w:bidi="ar-SA"/>
        </w:rPr>
      </w:pPr>
    </w:p>
    <w:p w14:paraId="41414D01">
      <w:pPr>
        <w:pageBreakBefore w:val="0"/>
        <w:kinsoku/>
        <w:wordWrap w:val="0"/>
        <w:overflowPunct/>
        <w:topLinePunct/>
        <w:autoSpaceDE/>
        <w:autoSpaceDN/>
        <w:bidi w:val="0"/>
        <w:spacing w:line="400" w:lineRule="exact"/>
        <w:ind w:firstLine="3570" w:firstLineChars="1700"/>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（单位电子签章）</w:t>
      </w:r>
    </w:p>
    <w:p w14:paraId="6563A662">
      <w:pPr>
        <w:pageBreakBefore w:val="0"/>
        <w:kinsoku/>
        <w:wordWrap w:val="0"/>
        <w:overflowPunct/>
        <w:topLinePunct/>
        <w:autoSpaceDE/>
        <w:autoSpaceDN/>
        <w:bidi w:val="0"/>
        <w:spacing w:line="400" w:lineRule="exact"/>
        <w:ind w:firstLine="3885" w:firstLineChars="1850"/>
        <w:rPr>
          <w:rFonts w:ascii="宋体" w:hAnsi="宋体" w:eastAsia="宋体" w:cs="宋体"/>
          <w:color w:val="auto"/>
          <w:szCs w:val="21"/>
          <w:highlight w:val="none"/>
        </w:rPr>
      </w:pPr>
    </w:p>
    <w:p w14:paraId="3B96C2B0">
      <w:pPr>
        <w:pageBreakBefore w:val="0"/>
        <w:tabs>
          <w:tab w:val="left" w:pos="1469"/>
        </w:tabs>
        <w:kinsoku/>
        <w:wordWrap w:val="0"/>
        <w:overflowPunct/>
        <w:topLinePunct/>
        <w:autoSpaceDE/>
        <w:autoSpaceDN/>
        <w:bidi w:val="0"/>
        <w:spacing w:line="400" w:lineRule="exact"/>
        <w:ind w:firstLine="1680" w:firstLineChars="800"/>
        <w:rPr>
          <w:rFonts w:ascii="宋体" w:hAnsi="宋体" w:eastAsia="宋体" w:cs="宋体"/>
          <w:color w:val="auto"/>
          <w:szCs w:val="21"/>
          <w:highlight w:val="none"/>
        </w:rPr>
      </w:pPr>
      <w:r>
        <w:rPr>
          <w:rFonts w:hint="eastAsia" w:ascii="宋体" w:hAnsi="宋体" w:eastAsia="宋体" w:cs="宋体"/>
          <w:color w:val="auto"/>
          <w:szCs w:val="21"/>
          <w:highlight w:val="none"/>
          <w:lang w:eastAsia="zh-CN"/>
        </w:rPr>
        <w:tab/>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法定代表人或其委托代理人：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（电子签名或盖章）</w:t>
      </w:r>
    </w:p>
    <w:p w14:paraId="16A5B662">
      <w:pPr>
        <w:pageBreakBefore w:val="0"/>
        <w:widowControl w:val="0"/>
        <w:kinsoku/>
        <w:wordWrap w:val="0"/>
        <w:overflowPunct/>
        <w:topLinePunct/>
        <w:autoSpaceDE/>
        <w:autoSpaceDN/>
        <w:bidi w:val="0"/>
        <w:spacing w:after="120" w:line="600" w:lineRule="exact"/>
        <w:ind w:left="0" w:leftChars="0" w:firstLine="6090" w:firstLineChars="29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   年  月   日</w:t>
      </w:r>
    </w:p>
    <w:p w14:paraId="742F9789">
      <w:pPr>
        <w:keepNext w:val="0"/>
        <w:keepLines w:val="0"/>
        <w:pageBreakBefore w:val="0"/>
        <w:widowControl w:val="0"/>
        <w:suppressLineNumbers w:val="0"/>
        <w:kinsoku/>
        <w:wordWrap w:val="0"/>
        <w:overflowPunct/>
        <w:topLinePunct/>
        <w:autoSpaceDE/>
        <w:autoSpaceDN/>
        <w:bidi w:val="0"/>
        <w:spacing w:after="120" w:afterLines="0" w:afterAutospacing="0" w:line="240" w:lineRule="auto"/>
        <w:ind w:left="420" w:leftChars="200" w:firstLine="600" w:firstLineChars="200"/>
        <w:jc w:val="both"/>
        <w:rPr>
          <w:rFonts w:hint="default" w:ascii="宋体" w:hAnsi="宋体" w:eastAsia="宋体" w:cs="宋体"/>
          <w:color w:val="auto"/>
          <w:kern w:val="0"/>
          <w:sz w:val="30"/>
          <w:szCs w:val="21"/>
          <w:highlight w:val="none"/>
          <w:lang w:val="en-US" w:eastAsia="zh-CN" w:bidi="ar"/>
        </w:rPr>
      </w:pPr>
    </w:p>
    <w:p w14:paraId="4E686912">
      <w:pPr>
        <w:pageBreakBefore w:val="0"/>
        <w:kinsoku/>
        <w:wordWrap w:val="0"/>
        <w:overflowPunct/>
        <w:topLinePunct/>
        <w:autoSpaceDE/>
        <w:autoSpaceDN/>
        <w:bidi w:val="0"/>
        <w:spacing w:line="600" w:lineRule="exact"/>
        <w:ind w:firstLine="420" w:firstLineChars="200"/>
        <w:rPr>
          <w:rFonts w:ascii="宋体" w:hAnsi="宋体" w:eastAsia="宋体" w:cs="宋体"/>
          <w:color w:val="auto"/>
          <w:szCs w:val="21"/>
          <w:highlight w:val="none"/>
        </w:rPr>
      </w:pPr>
    </w:p>
    <w:p w14:paraId="463696D2">
      <w:pPr>
        <w:pageBreakBefore w:val="0"/>
        <w:kinsoku/>
        <w:wordWrap w:val="0"/>
        <w:overflowPunct/>
        <w:topLinePunct/>
        <w:autoSpaceDE/>
        <w:autoSpaceDN/>
        <w:bidi w:val="0"/>
        <w:ind w:firstLine="0" w:firstLineChars="0"/>
        <w:jc w:val="center"/>
        <w:rPr>
          <w:rFonts w:hint="eastAsia" w:ascii="宋体" w:hAnsi="宋体" w:eastAsia="宋体" w:cs="宋体"/>
          <w:color w:val="auto"/>
          <w:szCs w:val="21"/>
          <w:highlight w:val="none"/>
        </w:rPr>
        <w:sectPr>
          <w:pgSz w:w="11911" w:h="16838"/>
          <w:pgMar w:top="1440" w:right="1417" w:bottom="1440" w:left="1417" w:header="879" w:footer="1219" w:gutter="0"/>
          <w:pgBorders>
            <w:top w:val="none" w:sz="0" w:space="0"/>
            <w:left w:val="none" w:sz="0" w:space="0"/>
            <w:bottom w:val="none" w:sz="0" w:space="0"/>
            <w:right w:val="none" w:sz="0" w:space="0"/>
          </w:pgBorders>
          <w:pgNumType w:fmt="decimal"/>
          <w:cols w:space="720" w:num="1"/>
          <w:rtlGutter w:val="0"/>
          <w:docGrid w:linePitch="411" w:charSpace="0"/>
        </w:sectPr>
      </w:pPr>
    </w:p>
    <w:p w14:paraId="1016AF8E">
      <w:pPr>
        <w:pageBreakBefore w:val="0"/>
        <w:widowControl w:val="0"/>
        <w:kinsoku/>
        <w:wordWrap w:val="0"/>
        <w:overflowPunct/>
        <w:topLinePunct/>
        <w:autoSpaceDE/>
        <w:autoSpaceDN/>
        <w:bidi w:val="0"/>
        <w:spacing w:after="120" w:line="600" w:lineRule="exact"/>
        <w:ind w:firstLine="0" w:firstLineChars="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（二）技术偏差表</w:t>
      </w:r>
    </w:p>
    <w:p w14:paraId="5AC22EC0">
      <w:pPr>
        <w:pageBreakBefore w:val="0"/>
        <w:tabs>
          <w:tab w:val="left" w:pos="926"/>
          <w:tab w:val="left" w:pos="4335"/>
          <w:tab w:val="left" w:pos="7227"/>
        </w:tabs>
        <w:kinsoku/>
        <w:wordWrap w:val="0"/>
        <w:overflowPunct/>
        <w:topLinePunct/>
        <w:autoSpaceDE/>
        <w:autoSpaceDN/>
        <w:bidi w:val="0"/>
        <w:spacing w:line="40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项目名称：                                              </w:t>
      </w:r>
    </w:p>
    <w:tbl>
      <w:tblPr>
        <w:tblStyle w:val="31"/>
        <w:tblW w:w="9278" w:type="dxa"/>
        <w:tblInd w:w="-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9"/>
        <w:gridCol w:w="1596"/>
        <w:gridCol w:w="2485"/>
        <w:gridCol w:w="2799"/>
        <w:gridCol w:w="1449"/>
      </w:tblGrid>
      <w:tr w14:paraId="23E79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exact"/>
        </w:trPr>
        <w:tc>
          <w:tcPr>
            <w:tcW w:w="949" w:type="dxa"/>
            <w:noWrap w:val="0"/>
            <w:vAlign w:val="center"/>
          </w:tcPr>
          <w:p w14:paraId="2BBE1947">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宋体" w:hAnsi="宋体" w:eastAsia="宋体" w:cs="宋体"/>
                <w:color w:val="000000"/>
                <w:szCs w:val="22"/>
                <w:highlight w:val="none"/>
              </w:rPr>
            </w:pPr>
            <w:r>
              <w:rPr>
                <w:rFonts w:hint="eastAsia" w:ascii="宋体" w:hAnsi="宋体" w:eastAsia="宋体" w:cs="宋体"/>
                <w:color w:val="000000"/>
                <w:szCs w:val="22"/>
                <w:highlight w:val="none"/>
              </w:rPr>
              <w:t>序号</w:t>
            </w:r>
          </w:p>
        </w:tc>
        <w:tc>
          <w:tcPr>
            <w:tcW w:w="1596" w:type="dxa"/>
            <w:noWrap w:val="0"/>
            <w:vAlign w:val="center"/>
          </w:tcPr>
          <w:p w14:paraId="3F6783E9">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宋体" w:hAnsi="宋体" w:eastAsia="宋体" w:cs="宋体"/>
                <w:color w:val="000000"/>
                <w:szCs w:val="22"/>
                <w:highlight w:val="none"/>
              </w:rPr>
            </w:pPr>
            <w:r>
              <w:rPr>
                <w:rFonts w:hint="eastAsia" w:ascii="宋体" w:hAnsi="宋体" w:eastAsia="宋体" w:cs="宋体"/>
                <w:color w:val="000000"/>
                <w:szCs w:val="22"/>
                <w:highlight w:val="none"/>
                <w:lang w:val="en-US" w:eastAsia="zh-CN"/>
              </w:rPr>
              <w:t>条款号</w:t>
            </w:r>
          </w:p>
        </w:tc>
        <w:tc>
          <w:tcPr>
            <w:tcW w:w="2485" w:type="dxa"/>
            <w:noWrap w:val="0"/>
            <w:vAlign w:val="center"/>
          </w:tcPr>
          <w:p w14:paraId="2DF0557F">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宋体" w:hAnsi="宋体" w:eastAsia="宋体" w:cs="宋体"/>
                <w:color w:val="000000"/>
                <w:szCs w:val="22"/>
                <w:highlight w:val="none"/>
              </w:rPr>
            </w:pPr>
            <w:r>
              <w:rPr>
                <w:rFonts w:hint="eastAsia" w:ascii="宋体" w:hAnsi="宋体" w:eastAsia="宋体" w:cs="宋体"/>
                <w:color w:val="000000"/>
                <w:szCs w:val="22"/>
                <w:highlight w:val="none"/>
                <w:lang w:val="en-US" w:eastAsia="zh-CN"/>
              </w:rPr>
              <w:t>磋商</w:t>
            </w:r>
            <w:r>
              <w:rPr>
                <w:rFonts w:hint="eastAsia" w:ascii="宋体" w:hAnsi="宋体" w:eastAsia="宋体" w:cs="宋体"/>
                <w:color w:val="000000"/>
                <w:szCs w:val="22"/>
                <w:highlight w:val="none"/>
              </w:rPr>
              <w:t>文件</w:t>
            </w:r>
            <w:r>
              <w:rPr>
                <w:rFonts w:hint="eastAsia" w:ascii="宋体" w:hAnsi="宋体" w:eastAsia="宋体" w:cs="宋体"/>
                <w:color w:val="000000"/>
                <w:szCs w:val="22"/>
                <w:highlight w:val="none"/>
                <w:lang w:val="en-US" w:eastAsia="zh-CN"/>
              </w:rPr>
              <w:t>采购</w:t>
            </w:r>
            <w:r>
              <w:rPr>
                <w:rFonts w:hint="eastAsia" w:ascii="宋体" w:hAnsi="宋体" w:eastAsia="宋体" w:cs="宋体"/>
                <w:color w:val="000000"/>
                <w:szCs w:val="22"/>
                <w:highlight w:val="none"/>
              </w:rPr>
              <w:t>要求</w:t>
            </w:r>
          </w:p>
        </w:tc>
        <w:tc>
          <w:tcPr>
            <w:tcW w:w="2799" w:type="dxa"/>
            <w:noWrap w:val="0"/>
            <w:vAlign w:val="center"/>
          </w:tcPr>
          <w:p w14:paraId="2F3FA5AD">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宋体" w:hAnsi="宋体" w:eastAsia="宋体" w:cs="宋体"/>
                <w:color w:val="000000"/>
                <w:szCs w:val="22"/>
                <w:highlight w:val="none"/>
              </w:rPr>
            </w:pPr>
            <w:r>
              <w:rPr>
                <w:rFonts w:hint="eastAsia" w:ascii="宋体" w:hAnsi="宋体" w:eastAsia="宋体" w:cs="宋体"/>
                <w:color w:val="000000"/>
                <w:szCs w:val="22"/>
                <w:highlight w:val="none"/>
                <w:lang w:val="en-US" w:eastAsia="zh-CN"/>
              </w:rPr>
              <w:t>响应</w:t>
            </w:r>
            <w:r>
              <w:rPr>
                <w:rFonts w:hint="eastAsia" w:ascii="宋体" w:hAnsi="宋体" w:eastAsia="宋体" w:cs="宋体"/>
                <w:color w:val="000000"/>
                <w:szCs w:val="22"/>
                <w:highlight w:val="none"/>
              </w:rPr>
              <w:t>文件响应</w:t>
            </w:r>
          </w:p>
        </w:tc>
        <w:tc>
          <w:tcPr>
            <w:tcW w:w="1449" w:type="dxa"/>
            <w:noWrap w:val="0"/>
            <w:vAlign w:val="center"/>
          </w:tcPr>
          <w:p w14:paraId="3E260008">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600" w:lineRule="exact"/>
              <w:ind w:left="0" w:leftChars="0" w:right="0" w:firstLine="0" w:firstLineChars="0"/>
              <w:jc w:val="center"/>
              <w:textAlignment w:val="auto"/>
              <w:rPr>
                <w:rFonts w:hint="eastAsia" w:ascii="宋体" w:hAnsi="宋体" w:eastAsia="宋体" w:cs="宋体"/>
                <w:color w:val="000000"/>
                <w:szCs w:val="22"/>
                <w:highlight w:val="none"/>
              </w:rPr>
            </w:pPr>
            <w:r>
              <w:rPr>
                <w:rFonts w:hint="eastAsia" w:ascii="宋体" w:hAnsi="宋体" w:eastAsia="宋体" w:cs="宋体"/>
                <w:color w:val="000000"/>
                <w:szCs w:val="22"/>
                <w:highlight w:val="none"/>
              </w:rPr>
              <w:t>偏差结论</w:t>
            </w:r>
          </w:p>
        </w:tc>
      </w:tr>
      <w:tr w14:paraId="10D62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exact"/>
        </w:trPr>
        <w:tc>
          <w:tcPr>
            <w:tcW w:w="949" w:type="dxa"/>
            <w:noWrap w:val="0"/>
            <w:vAlign w:val="center"/>
          </w:tcPr>
          <w:p w14:paraId="66FA1501">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lang w:val="en-US" w:eastAsia="zh-CN"/>
              </w:rPr>
            </w:pPr>
            <w:r>
              <w:rPr>
                <w:rFonts w:hint="eastAsia" w:ascii="宋体" w:hAnsi="宋体" w:eastAsia="宋体" w:cs="宋体"/>
                <w:color w:val="000000"/>
                <w:szCs w:val="22"/>
                <w:highlight w:val="none"/>
                <w:lang w:val="en-US" w:eastAsia="zh-CN"/>
              </w:rPr>
              <w:t>1</w:t>
            </w:r>
          </w:p>
        </w:tc>
        <w:tc>
          <w:tcPr>
            <w:tcW w:w="1596" w:type="dxa"/>
            <w:noWrap w:val="0"/>
            <w:vAlign w:val="center"/>
          </w:tcPr>
          <w:p w14:paraId="06BD3F08">
            <w:pPr>
              <w:keepNext w:val="0"/>
              <w:keepLines w:val="0"/>
              <w:pageBreakBefore w:val="0"/>
              <w:kinsoku/>
              <w:wordWrap/>
              <w:overflowPunct/>
              <w:topLinePunct w:val="0"/>
              <w:bidi w:val="0"/>
              <w:spacing w:line="360" w:lineRule="exact"/>
              <w:ind w:left="0" w:leftChars="0" w:right="0" w:rightChars="0"/>
              <w:jc w:val="center"/>
              <w:textAlignment w:val="auto"/>
              <w:rPr>
                <w:rFonts w:hint="eastAsia" w:ascii="宋体" w:hAnsi="宋体" w:eastAsia="宋体" w:cs="宋体"/>
                <w:color w:val="000000"/>
                <w:szCs w:val="22"/>
                <w:highlight w:val="none"/>
              </w:rPr>
            </w:pPr>
          </w:p>
        </w:tc>
        <w:tc>
          <w:tcPr>
            <w:tcW w:w="2485" w:type="dxa"/>
            <w:noWrap w:val="0"/>
            <w:vAlign w:val="center"/>
          </w:tcPr>
          <w:p w14:paraId="6E3DB8DE">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c>
          <w:tcPr>
            <w:tcW w:w="2799" w:type="dxa"/>
            <w:noWrap w:val="0"/>
            <w:vAlign w:val="center"/>
          </w:tcPr>
          <w:p w14:paraId="703B3D28">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c>
          <w:tcPr>
            <w:tcW w:w="1449" w:type="dxa"/>
            <w:noWrap w:val="0"/>
            <w:vAlign w:val="center"/>
          </w:tcPr>
          <w:p w14:paraId="488A7CFF">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r>
      <w:tr w14:paraId="4A2D1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exact"/>
        </w:trPr>
        <w:tc>
          <w:tcPr>
            <w:tcW w:w="949" w:type="dxa"/>
            <w:noWrap w:val="0"/>
            <w:vAlign w:val="center"/>
          </w:tcPr>
          <w:p w14:paraId="3AA446E7">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ascii="宋体" w:hAnsi="宋体" w:eastAsia="宋体" w:cs="宋体"/>
                <w:color w:val="000000"/>
                <w:szCs w:val="22"/>
                <w:highlight w:val="none"/>
                <w:lang w:val="en-US" w:eastAsia="zh-CN"/>
              </w:rPr>
            </w:pPr>
            <w:r>
              <w:rPr>
                <w:rFonts w:hint="eastAsia" w:ascii="宋体" w:hAnsi="宋体" w:eastAsia="宋体" w:cs="宋体"/>
                <w:color w:val="000000"/>
                <w:szCs w:val="22"/>
                <w:highlight w:val="none"/>
                <w:lang w:val="en-US" w:eastAsia="zh-CN"/>
              </w:rPr>
              <w:t>2</w:t>
            </w:r>
          </w:p>
        </w:tc>
        <w:tc>
          <w:tcPr>
            <w:tcW w:w="1596" w:type="dxa"/>
            <w:noWrap w:val="0"/>
            <w:vAlign w:val="center"/>
          </w:tcPr>
          <w:p w14:paraId="5B74082A">
            <w:pPr>
              <w:keepNext w:val="0"/>
              <w:keepLines w:val="0"/>
              <w:pageBreakBefore w:val="0"/>
              <w:kinsoku/>
              <w:wordWrap/>
              <w:overflowPunct/>
              <w:topLinePunct w:val="0"/>
              <w:bidi w:val="0"/>
              <w:spacing w:line="360" w:lineRule="exact"/>
              <w:ind w:left="0" w:leftChars="0" w:right="0" w:rightChars="0"/>
              <w:jc w:val="center"/>
              <w:textAlignment w:val="auto"/>
              <w:rPr>
                <w:rFonts w:hint="eastAsia" w:ascii="宋体" w:hAnsi="宋体" w:eastAsia="宋体" w:cs="宋体"/>
                <w:color w:val="000000"/>
                <w:szCs w:val="22"/>
                <w:highlight w:val="none"/>
              </w:rPr>
            </w:pPr>
          </w:p>
        </w:tc>
        <w:tc>
          <w:tcPr>
            <w:tcW w:w="2485" w:type="dxa"/>
            <w:noWrap w:val="0"/>
            <w:vAlign w:val="center"/>
          </w:tcPr>
          <w:p w14:paraId="7B1A857C">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c>
          <w:tcPr>
            <w:tcW w:w="2799" w:type="dxa"/>
            <w:noWrap w:val="0"/>
            <w:vAlign w:val="center"/>
          </w:tcPr>
          <w:p w14:paraId="2B9515BC">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c>
          <w:tcPr>
            <w:tcW w:w="1449" w:type="dxa"/>
            <w:noWrap w:val="0"/>
            <w:vAlign w:val="center"/>
          </w:tcPr>
          <w:p w14:paraId="06770CFA">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r>
      <w:tr w14:paraId="7B131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exact"/>
        </w:trPr>
        <w:tc>
          <w:tcPr>
            <w:tcW w:w="949" w:type="dxa"/>
            <w:noWrap w:val="0"/>
            <w:vAlign w:val="center"/>
          </w:tcPr>
          <w:p w14:paraId="6D9F3267">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lang w:val="en-US" w:eastAsia="zh-CN"/>
              </w:rPr>
            </w:pPr>
            <w:r>
              <w:rPr>
                <w:rFonts w:hint="eastAsia" w:ascii="宋体" w:hAnsi="宋体" w:eastAsia="宋体" w:cs="宋体"/>
                <w:color w:val="000000"/>
                <w:szCs w:val="22"/>
                <w:highlight w:val="none"/>
                <w:lang w:val="en-US" w:eastAsia="zh-CN"/>
              </w:rPr>
              <w:t>3</w:t>
            </w:r>
          </w:p>
        </w:tc>
        <w:tc>
          <w:tcPr>
            <w:tcW w:w="1596" w:type="dxa"/>
            <w:noWrap w:val="0"/>
            <w:vAlign w:val="center"/>
          </w:tcPr>
          <w:p w14:paraId="47B944DF">
            <w:pPr>
              <w:keepNext w:val="0"/>
              <w:keepLines w:val="0"/>
              <w:pageBreakBefore w:val="0"/>
              <w:kinsoku/>
              <w:wordWrap/>
              <w:overflowPunct/>
              <w:topLinePunct w:val="0"/>
              <w:bidi w:val="0"/>
              <w:spacing w:line="360" w:lineRule="exact"/>
              <w:ind w:left="0" w:leftChars="0" w:right="0" w:rightChars="0"/>
              <w:jc w:val="center"/>
              <w:textAlignment w:val="auto"/>
              <w:rPr>
                <w:rFonts w:hint="eastAsia" w:ascii="宋体" w:hAnsi="宋体" w:eastAsia="宋体" w:cs="宋体"/>
                <w:color w:val="000000"/>
                <w:szCs w:val="22"/>
                <w:highlight w:val="none"/>
              </w:rPr>
            </w:pPr>
          </w:p>
        </w:tc>
        <w:tc>
          <w:tcPr>
            <w:tcW w:w="2485" w:type="dxa"/>
            <w:noWrap w:val="0"/>
            <w:vAlign w:val="center"/>
          </w:tcPr>
          <w:p w14:paraId="7E909AD3">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c>
          <w:tcPr>
            <w:tcW w:w="2799" w:type="dxa"/>
            <w:noWrap w:val="0"/>
            <w:vAlign w:val="center"/>
          </w:tcPr>
          <w:p w14:paraId="722B63F0">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c>
          <w:tcPr>
            <w:tcW w:w="1449" w:type="dxa"/>
            <w:noWrap w:val="0"/>
            <w:vAlign w:val="center"/>
          </w:tcPr>
          <w:p w14:paraId="3E99AC5B">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r>
      <w:tr w14:paraId="4575C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exact"/>
        </w:trPr>
        <w:tc>
          <w:tcPr>
            <w:tcW w:w="949" w:type="dxa"/>
            <w:noWrap w:val="0"/>
            <w:vAlign w:val="center"/>
          </w:tcPr>
          <w:p w14:paraId="72C85252">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lang w:val="en-US" w:eastAsia="zh-CN"/>
              </w:rPr>
            </w:pPr>
            <w:r>
              <w:rPr>
                <w:rFonts w:hint="eastAsia" w:ascii="宋体" w:hAnsi="宋体" w:eastAsia="宋体" w:cs="宋体"/>
                <w:color w:val="000000"/>
                <w:szCs w:val="22"/>
                <w:highlight w:val="none"/>
                <w:lang w:val="en-US" w:eastAsia="zh-CN"/>
              </w:rPr>
              <w:t>4</w:t>
            </w:r>
          </w:p>
        </w:tc>
        <w:tc>
          <w:tcPr>
            <w:tcW w:w="1596" w:type="dxa"/>
            <w:noWrap w:val="0"/>
            <w:vAlign w:val="center"/>
          </w:tcPr>
          <w:p w14:paraId="5CF0B282">
            <w:pPr>
              <w:keepNext w:val="0"/>
              <w:keepLines w:val="0"/>
              <w:pageBreakBefore w:val="0"/>
              <w:kinsoku/>
              <w:wordWrap/>
              <w:overflowPunct/>
              <w:topLinePunct w:val="0"/>
              <w:bidi w:val="0"/>
              <w:spacing w:line="360" w:lineRule="exact"/>
              <w:ind w:left="0" w:leftChars="0" w:right="0" w:rightChars="0"/>
              <w:jc w:val="center"/>
              <w:textAlignment w:val="auto"/>
              <w:rPr>
                <w:rFonts w:hint="eastAsia" w:ascii="宋体" w:hAnsi="宋体" w:eastAsia="宋体" w:cs="宋体"/>
                <w:color w:val="000000"/>
                <w:szCs w:val="22"/>
                <w:highlight w:val="none"/>
              </w:rPr>
            </w:pPr>
          </w:p>
        </w:tc>
        <w:tc>
          <w:tcPr>
            <w:tcW w:w="2485" w:type="dxa"/>
            <w:noWrap w:val="0"/>
            <w:vAlign w:val="center"/>
          </w:tcPr>
          <w:p w14:paraId="580FF910">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c>
          <w:tcPr>
            <w:tcW w:w="2799" w:type="dxa"/>
            <w:noWrap w:val="0"/>
            <w:vAlign w:val="center"/>
          </w:tcPr>
          <w:p w14:paraId="2307C46D">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c>
          <w:tcPr>
            <w:tcW w:w="1449" w:type="dxa"/>
            <w:noWrap w:val="0"/>
            <w:vAlign w:val="center"/>
          </w:tcPr>
          <w:p w14:paraId="770593D4">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r>
      <w:tr w14:paraId="28C67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exact"/>
        </w:trPr>
        <w:tc>
          <w:tcPr>
            <w:tcW w:w="949" w:type="dxa"/>
            <w:noWrap w:val="0"/>
            <w:vAlign w:val="center"/>
          </w:tcPr>
          <w:p w14:paraId="5380011F">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lang w:eastAsia="zh-CN"/>
              </w:rPr>
            </w:pPr>
            <w:r>
              <w:rPr>
                <w:rFonts w:hint="eastAsia" w:ascii="宋体" w:hAnsi="宋体" w:eastAsia="宋体" w:cs="宋体"/>
                <w:color w:val="000000"/>
                <w:szCs w:val="22"/>
                <w:highlight w:val="none"/>
                <w:lang w:val="en-US" w:eastAsia="zh-CN"/>
              </w:rPr>
              <w:t>5</w:t>
            </w:r>
          </w:p>
        </w:tc>
        <w:tc>
          <w:tcPr>
            <w:tcW w:w="1596" w:type="dxa"/>
            <w:noWrap w:val="0"/>
            <w:vAlign w:val="center"/>
          </w:tcPr>
          <w:p w14:paraId="491E488D">
            <w:pPr>
              <w:keepNext w:val="0"/>
              <w:keepLines w:val="0"/>
              <w:pageBreakBefore w:val="0"/>
              <w:kinsoku/>
              <w:wordWrap/>
              <w:overflowPunct/>
              <w:topLinePunct w:val="0"/>
              <w:bidi w:val="0"/>
              <w:spacing w:line="360" w:lineRule="exact"/>
              <w:ind w:left="0" w:leftChars="0" w:right="0" w:rightChars="0"/>
              <w:jc w:val="center"/>
              <w:textAlignment w:val="auto"/>
              <w:rPr>
                <w:rFonts w:hint="eastAsia" w:ascii="宋体" w:hAnsi="宋体" w:eastAsia="宋体" w:cs="宋体"/>
                <w:color w:val="000000"/>
                <w:szCs w:val="22"/>
                <w:highlight w:val="none"/>
              </w:rPr>
            </w:pPr>
          </w:p>
        </w:tc>
        <w:tc>
          <w:tcPr>
            <w:tcW w:w="2485" w:type="dxa"/>
            <w:noWrap w:val="0"/>
            <w:vAlign w:val="center"/>
          </w:tcPr>
          <w:p w14:paraId="19BF605E">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c>
          <w:tcPr>
            <w:tcW w:w="2799" w:type="dxa"/>
            <w:noWrap w:val="0"/>
            <w:vAlign w:val="center"/>
          </w:tcPr>
          <w:p w14:paraId="1EA4BDF7">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c>
          <w:tcPr>
            <w:tcW w:w="1449" w:type="dxa"/>
            <w:noWrap w:val="0"/>
            <w:vAlign w:val="center"/>
          </w:tcPr>
          <w:p w14:paraId="72C03004">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000000"/>
                <w:szCs w:val="22"/>
                <w:highlight w:val="none"/>
              </w:rPr>
            </w:pPr>
          </w:p>
        </w:tc>
      </w:tr>
      <w:tr w14:paraId="3FBC8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exact"/>
        </w:trPr>
        <w:tc>
          <w:tcPr>
            <w:tcW w:w="949" w:type="dxa"/>
            <w:noWrap w:val="0"/>
            <w:vAlign w:val="center"/>
          </w:tcPr>
          <w:p w14:paraId="0624F073">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right="0" w:firstLine="0" w:firstLineChars="0"/>
              <w:jc w:val="center"/>
              <w:textAlignment w:val="auto"/>
              <w:rPr>
                <w:rFonts w:hint="eastAsia" w:ascii="宋体" w:hAnsi="宋体" w:eastAsia="宋体" w:cs="宋体"/>
                <w:color w:val="000000"/>
                <w:szCs w:val="22"/>
                <w:highlight w:val="none"/>
              </w:rPr>
            </w:pPr>
            <w:r>
              <w:rPr>
                <w:rFonts w:hint="eastAsia" w:ascii="宋体" w:hAnsi="宋体" w:eastAsia="宋体" w:cs="宋体"/>
                <w:color w:val="000000"/>
                <w:szCs w:val="22"/>
                <w:highlight w:val="none"/>
              </w:rPr>
              <w:t>…</w:t>
            </w:r>
          </w:p>
        </w:tc>
        <w:tc>
          <w:tcPr>
            <w:tcW w:w="1596" w:type="dxa"/>
            <w:noWrap w:val="0"/>
            <w:vAlign w:val="center"/>
          </w:tcPr>
          <w:p w14:paraId="337CC2DE">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s="宋体"/>
                <w:color w:val="000000"/>
                <w:szCs w:val="22"/>
                <w:highlight w:val="none"/>
              </w:rPr>
            </w:pPr>
          </w:p>
        </w:tc>
        <w:tc>
          <w:tcPr>
            <w:tcW w:w="2485" w:type="dxa"/>
            <w:noWrap w:val="0"/>
            <w:vAlign w:val="center"/>
          </w:tcPr>
          <w:p w14:paraId="111B306E">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s="宋体"/>
                <w:color w:val="000000"/>
                <w:szCs w:val="22"/>
                <w:highlight w:val="none"/>
              </w:rPr>
            </w:pPr>
          </w:p>
        </w:tc>
        <w:tc>
          <w:tcPr>
            <w:tcW w:w="2799" w:type="dxa"/>
            <w:noWrap w:val="0"/>
            <w:vAlign w:val="center"/>
          </w:tcPr>
          <w:p w14:paraId="0D99FC88">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s="宋体"/>
                <w:color w:val="000000"/>
                <w:szCs w:val="22"/>
                <w:highlight w:val="none"/>
              </w:rPr>
            </w:pPr>
          </w:p>
        </w:tc>
        <w:tc>
          <w:tcPr>
            <w:tcW w:w="1449" w:type="dxa"/>
            <w:noWrap w:val="0"/>
            <w:vAlign w:val="center"/>
          </w:tcPr>
          <w:p w14:paraId="17FB3D03">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s="宋体"/>
                <w:color w:val="000000"/>
                <w:szCs w:val="22"/>
                <w:highlight w:val="none"/>
              </w:rPr>
            </w:pPr>
          </w:p>
        </w:tc>
      </w:tr>
    </w:tbl>
    <w:p w14:paraId="0FADA4B0">
      <w:pPr>
        <w:pageBreakBefore w:val="0"/>
        <w:kinsoku/>
        <w:wordWrap w:val="0"/>
        <w:overflowPunct/>
        <w:topLinePunct/>
        <w:autoSpaceDE/>
        <w:autoSpaceDN/>
        <w:bidi w:val="0"/>
        <w:spacing w:line="6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34EA0B23">
      <w:pPr>
        <w:pageBreakBefore w:val="0"/>
        <w:kinsoku/>
        <w:wordWrap w:val="0"/>
        <w:overflowPunct/>
        <w:topLinePunct/>
        <w:autoSpaceDE/>
        <w:autoSpaceDN/>
        <w:bidi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注：</w:t>
      </w:r>
      <w:r>
        <w:rPr>
          <w:rFonts w:hint="eastAsia" w:ascii="宋体" w:hAnsi="宋体" w:eastAsia="宋体" w:cs="宋体"/>
          <w:color w:val="auto"/>
          <w:szCs w:val="21"/>
          <w:highlight w:val="none"/>
          <w:lang w:val="en-US" w:eastAsia="zh-CN"/>
        </w:rPr>
        <w:t>1.供应商应按采购文件中的第五章内容进行逐条响应，注明无偏离、正偏离或负偏离，并在备注中注明偏离的具体内容。</w:t>
      </w:r>
    </w:p>
    <w:p w14:paraId="135AA773">
      <w:pPr>
        <w:pageBreakBefore w:val="0"/>
        <w:kinsoku/>
        <w:wordWrap w:val="0"/>
        <w:overflowPunct/>
        <w:topLinePunct/>
        <w:autoSpaceDE/>
        <w:autoSpaceDN/>
        <w:bidi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2.本表中出现负偏离，视为无效响应。</w:t>
      </w:r>
    </w:p>
    <w:p w14:paraId="0B80295A">
      <w:pPr>
        <w:keepNext/>
        <w:keepLines/>
        <w:pageBreakBefore w:val="0"/>
        <w:widowControl w:val="0"/>
        <w:numPr>
          <w:ilvl w:val="1"/>
          <w:numId w:val="0"/>
        </w:numPr>
        <w:kinsoku/>
        <w:wordWrap w:val="0"/>
        <w:overflowPunct/>
        <w:topLinePunct/>
        <w:autoSpaceDE/>
        <w:autoSpaceDN/>
        <w:bidi w:val="0"/>
        <w:adjustRightInd/>
        <w:snapToGrid/>
        <w:spacing w:before="60" w:after="60" w:line="400" w:lineRule="exact"/>
        <w:ind w:firstLine="422" w:firstLineChars="200"/>
        <w:jc w:val="both"/>
        <w:textAlignment w:val="auto"/>
        <w:outlineLvl w:val="9"/>
        <w:rPr>
          <w:rFonts w:hint="eastAsia" w:ascii="宋体" w:hAnsi="宋体" w:eastAsia="宋体" w:cs="宋体"/>
          <w:b/>
          <w:color w:val="auto"/>
          <w:kern w:val="2"/>
          <w:sz w:val="21"/>
          <w:szCs w:val="21"/>
          <w:highlight w:val="none"/>
          <w:lang w:val="en-US" w:eastAsia="zh-CN" w:bidi="ar-SA"/>
        </w:rPr>
      </w:pPr>
    </w:p>
    <w:p w14:paraId="038F3A5D">
      <w:pPr>
        <w:pageBreakBefore w:val="0"/>
        <w:kinsoku/>
        <w:wordWrap w:val="0"/>
        <w:overflowPunct/>
        <w:topLinePunct/>
        <w:autoSpaceDE/>
        <w:autoSpaceDN/>
        <w:bidi w:val="0"/>
        <w:spacing w:line="400" w:lineRule="exact"/>
        <w:ind w:firstLine="3885" w:firstLineChars="1850"/>
        <w:rPr>
          <w:rFonts w:hint="eastAsia" w:ascii="宋体" w:hAnsi="宋体" w:eastAsia="宋体" w:cs="宋体"/>
          <w:color w:val="auto"/>
          <w:szCs w:val="21"/>
          <w:highlight w:val="none"/>
        </w:rPr>
      </w:pPr>
    </w:p>
    <w:p w14:paraId="28904C15">
      <w:pPr>
        <w:pageBreakBefore w:val="0"/>
        <w:kinsoku/>
        <w:wordWrap w:val="0"/>
        <w:overflowPunct/>
        <w:topLinePunct/>
        <w:autoSpaceDE/>
        <w:autoSpaceDN/>
        <w:bidi w:val="0"/>
        <w:spacing w:line="400" w:lineRule="exact"/>
        <w:ind w:firstLine="3885" w:firstLineChars="1850"/>
        <w:rPr>
          <w:rFonts w:hint="eastAsia" w:ascii="宋体" w:hAnsi="宋体" w:eastAsia="宋体" w:cs="宋体"/>
          <w:color w:val="auto"/>
          <w:szCs w:val="21"/>
          <w:highlight w:val="none"/>
        </w:rPr>
      </w:pPr>
    </w:p>
    <w:p w14:paraId="0FC64B1D">
      <w:pPr>
        <w:pageBreakBefore w:val="0"/>
        <w:kinsoku/>
        <w:wordWrap w:val="0"/>
        <w:overflowPunct/>
        <w:topLinePunct/>
        <w:autoSpaceDE/>
        <w:autoSpaceDN/>
        <w:bidi w:val="0"/>
        <w:spacing w:line="400" w:lineRule="exact"/>
        <w:ind w:firstLine="3885" w:firstLineChars="1850"/>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（单位电子签章）</w:t>
      </w:r>
    </w:p>
    <w:p w14:paraId="1E7E66B4">
      <w:pPr>
        <w:pageBreakBefore w:val="0"/>
        <w:kinsoku/>
        <w:wordWrap w:val="0"/>
        <w:overflowPunct/>
        <w:topLinePunct/>
        <w:autoSpaceDE/>
        <w:autoSpaceDN/>
        <w:bidi w:val="0"/>
        <w:spacing w:line="400" w:lineRule="exact"/>
        <w:ind w:firstLine="3885" w:firstLineChars="1850"/>
        <w:rPr>
          <w:rFonts w:ascii="宋体" w:hAnsi="宋体" w:eastAsia="宋体" w:cs="宋体"/>
          <w:color w:val="auto"/>
          <w:szCs w:val="21"/>
          <w:highlight w:val="none"/>
        </w:rPr>
      </w:pPr>
    </w:p>
    <w:p w14:paraId="20D96293">
      <w:pPr>
        <w:pageBreakBefore w:val="0"/>
        <w:kinsoku/>
        <w:wordWrap w:val="0"/>
        <w:overflowPunct/>
        <w:topLinePunct/>
        <w:autoSpaceDE/>
        <w:autoSpaceDN/>
        <w:bidi w:val="0"/>
        <w:spacing w:line="400" w:lineRule="exact"/>
        <w:ind w:firstLine="3885" w:firstLineChars="1850"/>
        <w:rPr>
          <w:rFonts w:ascii="宋体" w:hAnsi="宋体" w:eastAsia="宋体" w:cs="宋体"/>
          <w:color w:val="auto"/>
          <w:szCs w:val="21"/>
          <w:highlight w:val="none"/>
        </w:rPr>
      </w:pPr>
      <w:r>
        <w:rPr>
          <w:rFonts w:hint="eastAsia" w:ascii="宋体" w:hAnsi="宋体" w:eastAsia="宋体" w:cs="宋体"/>
          <w:color w:val="auto"/>
          <w:szCs w:val="21"/>
          <w:highlight w:val="none"/>
        </w:rPr>
        <w:t>法定代表人或其委托代理人：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（电子签名或盖章）</w:t>
      </w:r>
    </w:p>
    <w:p w14:paraId="1481263D">
      <w:pPr>
        <w:pageBreakBefore w:val="0"/>
        <w:widowControl w:val="0"/>
        <w:kinsoku/>
        <w:wordWrap w:val="0"/>
        <w:overflowPunct/>
        <w:topLinePunct/>
        <w:autoSpaceDE/>
        <w:autoSpaceDN/>
        <w:bidi w:val="0"/>
        <w:spacing w:after="120" w:line="600" w:lineRule="exact"/>
        <w:ind w:left="0" w:leftChars="0" w:firstLine="6090" w:firstLineChars="29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 年  月   日</w:t>
      </w:r>
    </w:p>
    <w:p w14:paraId="024AED17">
      <w:pPr>
        <w:keepNext w:val="0"/>
        <w:keepLines w:val="0"/>
        <w:pageBreakBefore w:val="0"/>
        <w:widowControl w:val="0"/>
        <w:suppressLineNumbers w:val="0"/>
        <w:kinsoku/>
        <w:wordWrap w:val="0"/>
        <w:overflowPunct/>
        <w:topLinePunct/>
        <w:autoSpaceDE/>
        <w:autoSpaceDN/>
        <w:bidi w:val="0"/>
        <w:spacing w:after="120" w:afterLines="0" w:afterAutospacing="0" w:line="240" w:lineRule="auto"/>
        <w:ind w:left="420" w:leftChars="200" w:firstLine="600" w:firstLineChars="200"/>
        <w:jc w:val="both"/>
        <w:rPr>
          <w:rFonts w:hint="default" w:ascii="宋体" w:hAnsi="宋体" w:eastAsia="宋体" w:cs="宋体"/>
          <w:color w:val="auto"/>
          <w:kern w:val="0"/>
          <w:sz w:val="30"/>
          <w:szCs w:val="21"/>
          <w:highlight w:val="none"/>
          <w:lang w:val="en-US" w:eastAsia="zh-CN" w:bidi="ar"/>
        </w:rPr>
      </w:pPr>
      <w:bookmarkStart w:id="1097" w:name="_Toc150653531"/>
    </w:p>
    <w:bookmarkEnd w:id="1097"/>
    <w:p w14:paraId="38CCD639">
      <w:pPr>
        <w:pageBreakBefore w:val="0"/>
        <w:kinsoku/>
        <w:wordWrap w:val="0"/>
        <w:overflowPunct/>
        <w:topLinePunct/>
        <w:autoSpaceDE/>
        <w:autoSpaceDN/>
        <w:bidi w:val="0"/>
        <w:spacing w:line="400" w:lineRule="exact"/>
        <w:ind w:firstLine="281"/>
        <w:jc w:val="center"/>
        <w:rPr>
          <w:rFonts w:hint="eastAsia" w:ascii="宋体" w:hAnsi="宋体" w:eastAsia="宋体" w:cs="宋体"/>
          <w:b/>
          <w:color w:val="auto"/>
          <w:sz w:val="28"/>
          <w:szCs w:val="28"/>
          <w:highlight w:val="none"/>
        </w:rPr>
        <w:sectPr>
          <w:pgSz w:w="11911" w:h="16838"/>
          <w:pgMar w:top="1440" w:right="1417" w:bottom="1440" w:left="1417" w:header="879" w:footer="1219" w:gutter="0"/>
          <w:pgBorders>
            <w:top w:val="none" w:sz="0" w:space="0"/>
            <w:left w:val="none" w:sz="0" w:space="0"/>
            <w:bottom w:val="none" w:sz="0" w:space="0"/>
            <w:right w:val="none" w:sz="0" w:space="0"/>
          </w:pgBorders>
          <w:pgNumType w:fmt="decimal"/>
          <w:cols w:space="720" w:num="1"/>
          <w:rtlGutter w:val="0"/>
          <w:docGrid w:linePitch="411" w:charSpace="0"/>
        </w:sectPr>
      </w:pPr>
    </w:p>
    <w:bookmarkEnd w:id="1092"/>
    <w:bookmarkEnd w:id="1093"/>
    <w:bookmarkEnd w:id="1094"/>
    <w:bookmarkEnd w:id="1095"/>
    <w:p w14:paraId="7BB53F3B">
      <w:pPr>
        <w:pStyle w:val="6"/>
        <w:numPr>
          <w:ilvl w:val="1"/>
          <w:numId w:val="0"/>
        </w:numPr>
        <w:jc w:val="center"/>
        <w:rPr>
          <w:rFonts w:hint="eastAsia" w:asciiTheme="minorEastAsia" w:hAnsiTheme="minorEastAsia" w:eastAsiaTheme="minorEastAsia" w:cstheme="minorEastAsia"/>
          <w:b/>
          <w:bCs/>
          <w:color w:val="auto"/>
          <w:sz w:val="28"/>
          <w:highlight w:val="none"/>
          <w:lang w:val="en-US" w:eastAsia="zh-CN"/>
        </w:rPr>
      </w:pPr>
      <w:bookmarkStart w:id="1098" w:name="_Toc5450"/>
      <w:bookmarkStart w:id="1099" w:name="_Toc22948"/>
      <w:bookmarkStart w:id="1100" w:name="_Toc5445"/>
      <w:bookmarkStart w:id="1101" w:name="_Toc475624456"/>
      <w:r>
        <w:rPr>
          <w:rFonts w:hint="eastAsia" w:asciiTheme="minorEastAsia" w:hAnsiTheme="minorEastAsia" w:eastAsiaTheme="minorEastAsia" w:cstheme="minorEastAsia"/>
          <w:b/>
          <w:bCs/>
          <w:color w:val="auto"/>
          <w:sz w:val="28"/>
          <w:highlight w:val="none"/>
          <w:lang w:val="en-US" w:eastAsia="zh-CN"/>
        </w:rPr>
        <w:t>四</w:t>
      </w:r>
      <w:r>
        <w:rPr>
          <w:rFonts w:hint="eastAsia" w:asciiTheme="minorEastAsia" w:hAnsiTheme="minorEastAsia" w:eastAsiaTheme="minorEastAsia" w:cstheme="minorEastAsia"/>
          <w:b/>
          <w:bCs/>
          <w:color w:val="auto"/>
          <w:sz w:val="28"/>
          <w:highlight w:val="none"/>
        </w:rPr>
        <w:t>、</w:t>
      </w:r>
      <w:bookmarkEnd w:id="1098"/>
      <w:bookmarkEnd w:id="1099"/>
      <w:bookmarkEnd w:id="1100"/>
      <w:bookmarkEnd w:id="1101"/>
      <w:r>
        <w:rPr>
          <w:rFonts w:hint="eastAsia" w:asciiTheme="minorEastAsia" w:hAnsiTheme="minorEastAsia" w:eastAsiaTheme="minorEastAsia" w:cstheme="minorEastAsia"/>
          <w:b/>
          <w:bCs/>
          <w:color w:val="auto"/>
          <w:sz w:val="28"/>
          <w:highlight w:val="none"/>
        </w:rPr>
        <w:t>技术部分</w:t>
      </w:r>
    </w:p>
    <w:p w14:paraId="1846BAF5">
      <w:pPr>
        <w:spacing w:line="420" w:lineRule="exact"/>
        <w:jc w:val="center"/>
        <w:rPr>
          <w:rFonts w:hint="eastAsia" w:asciiTheme="minorEastAsia" w:hAnsiTheme="minorEastAsia" w:eastAsiaTheme="minorEastAsia" w:cstheme="minorEastAsia"/>
          <w:color w:val="auto"/>
          <w:sz w:val="24"/>
          <w:szCs w:val="21"/>
          <w:highlight w:val="none"/>
          <w:lang w:eastAsia="zh-CN"/>
        </w:rPr>
      </w:pPr>
      <w:r>
        <w:rPr>
          <w:rFonts w:hint="eastAsia" w:asciiTheme="minorEastAsia" w:hAnsiTheme="minorEastAsia" w:eastAsiaTheme="minorEastAsia" w:cstheme="minorEastAsia"/>
          <w:color w:val="auto"/>
          <w:sz w:val="24"/>
          <w:szCs w:val="21"/>
          <w:highlight w:val="none"/>
          <w:lang w:eastAsia="zh-CN"/>
        </w:rPr>
        <w:t>（格式自拟）</w:t>
      </w:r>
    </w:p>
    <w:p w14:paraId="177C77E6">
      <w:pPr>
        <w:spacing w:line="420" w:lineRule="exact"/>
        <w:ind w:firstLine="480" w:firstLineChars="200"/>
        <w:rPr>
          <w:rFonts w:hint="eastAsia" w:asciiTheme="minorEastAsia" w:hAnsiTheme="minorEastAsia" w:eastAsiaTheme="minorEastAsia" w:cstheme="minorEastAsia"/>
          <w:color w:val="auto"/>
          <w:sz w:val="24"/>
          <w:szCs w:val="21"/>
          <w:highlight w:val="none"/>
        </w:rPr>
      </w:pPr>
    </w:p>
    <w:p w14:paraId="25E89813">
      <w:pPr>
        <w:spacing w:line="420" w:lineRule="exact"/>
        <w:rPr>
          <w:rFonts w:hint="eastAsia" w:asciiTheme="minorEastAsia" w:hAnsiTheme="minorEastAsia" w:eastAsiaTheme="minorEastAsia" w:cstheme="minorEastAsia"/>
          <w:color w:val="auto"/>
          <w:szCs w:val="21"/>
          <w:highlight w:val="none"/>
        </w:rPr>
      </w:pPr>
    </w:p>
    <w:p w14:paraId="41E4E18C">
      <w:pPr>
        <w:spacing w:line="420" w:lineRule="exact"/>
        <w:rPr>
          <w:rFonts w:hint="eastAsia" w:asciiTheme="minorEastAsia" w:hAnsiTheme="minorEastAsia" w:eastAsiaTheme="minorEastAsia" w:cstheme="minorEastAsia"/>
          <w:color w:val="auto"/>
          <w:szCs w:val="21"/>
          <w:highlight w:val="none"/>
        </w:rPr>
      </w:pPr>
    </w:p>
    <w:p w14:paraId="495F3F4E">
      <w:pPr>
        <w:spacing w:line="420" w:lineRule="exact"/>
        <w:rPr>
          <w:rFonts w:hint="eastAsia" w:asciiTheme="minorEastAsia" w:hAnsiTheme="minorEastAsia" w:eastAsiaTheme="minorEastAsia" w:cstheme="minorEastAsia"/>
          <w:color w:val="auto"/>
          <w:szCs w:val="21"/>
          <w:highlight w:val="none"/>
        </w:rPr>
      </w:pPr>
    </w:p>
    <w:p w14:paraId="3FF08CF3">
      <w:pPr>
        <w:spacing w:line="420" w:lineRule="exact"/>
        <w:rPr>
          <w:rFonts w:hint="eastAsia" w:asciiTheme="minorEastAsia" w:hAnsiTheme="minorEastAsia" w:eastAsiaTheme="minorEastAsia" w:cstheme="minorEastAsia"/>
          <w:color w:val="auto"/>
          <w:szCs w:val="21"/>
          <w:highlight w:val="none"/>
        </w:rPr>
      </w:pPr>
    </w:p>
    <w:p w14:paraId="6FA840B4">
      <w:pPr>
        <w:spacing w:line="420" w:lineRule="exact"/>
        <w:rPr>
          <w:rFonts w:hint="eastAsia" w:asciiTheme="minorEastAsia" w:hAnsiTheme="minorEastAsia" w:eastAsiaTheme="minorEastAsia" w:cstheme="minorEastAsia"/>
          <w:color w:val="auto"/>
          <w:szCs w:val="21"/>
          <w:highlight w:val="none"/>
        </w:rPr>
      </w:pPr>
    </w:p>
    <w:p w14:paraId="72B37DFF">
      <w:pPr>
        <w:spacing w:line="420" w:lineRule="exact"/>
        <w:rPr>
          <w:rFonts w:hint="eastAsia" w:asciiTheme="minorEastAsia" w:hAnsiTheme="minorEastAsia" w:eastAsiaTheme="minorEastAsia" w:cstheme="minorEastAsia"/>
          <w:color w:val="auto"/>
          <w:szCs w:val="21"/>
          <w:highlight w:val="none"/>
        </w:rPr>
      </w:pPr>
    </w:p>
    <w:p w14:paraId="23DE8C8D">
      <w:pPr>
        <w:spacing w:line="420" w:lineRule="exact"/>
        <w:rPr>
          <w:rFonts w:hint="eastAsia" w:asciiTheme="minorEastAsia" w:hAnsiTheme="minorEastAsia" w:eastAsiaTheme="minorEastAsia" w:cstheme="minorEastAsia"/>
          <w:color w:val="auto"/>
          <w:szCs w:val="21"/>
          <w:highlight w:val="none"/>
        </w:rPr>
      </w:pPr>
    </w:p>
    <w:p w14:paraId="249EBC7B">
      <w:pPr>
        <w:spacing w:line="420" w:lineRule="exact"/>
        <w:rPr>
          <w:rFonts w:hint="eastAsia" w:asciiTheme="minorEastAsia" w:hAnsiTheme="minorEastAsia" w:eastAsiaTheme="minorEastAsia" w:cstheme="minorEastAsia"/>
          <w:color w:val="auto"/>
          <w:szCs w:val="21"/>
          <w:highlight w:val="none"/>
        </w:rPr>
      </w:pPr>
    </w:p>
    <w:p w14:paraId="3F8A09CE">
      <w:pPr>
        <w:spacing w:line="420" w:lineRule="exact"/>
        <w:rPr>
          <w:rFonts w:hint="eastAsia" w:asciiTheme="minorEastAsia" w:hAnsiTheme="minorEastAsia" w:eastAsiaTheme="minorEastAsia" w:cstheme="minorEastAsia"/>
          <w:color w:val="auto"/>
          <w:szCs w:val="21"/>
          <w:highlight w:val="none"/>
        </w:rPr>
      </w:pPr>
    </w:p>
    <w:p w14:paraId="5976E38E">
      <w:pPr>
        <w:spacing w:line="420" w:lineRule="exact"/>
        <w:rPr>
          <w:rFonts w:hint="eastAsia" w:asciiTheme="minorEastAsia" w:hAnsiTheme="minorEastAsia" w:eastAsiaTheme="minorEastAsia" w:cstheme="minorEastAsia"/>
          <w:color w:val="auto"/>
          <w:szCs w:val="21"/>
          <w:highlight w:val="none"/>
        </w:rPr>
      </w:pPr>
    </w:p>
    <w:p w14:paraId="5B88DE92">
      <w:pPr>
        <w:spacing w:line="420" w:lineRule="exact"/>
        <w:rPr>
          <w:rFonts w:hint="eastAsia" w:asciiTheme="minorEastAsia" w:hAnsiTheme="minorEastAsia" w:eastAsiaTheme="minorEastAsia" w:cstheme="minorEastAsia"/>
          <w:color w:val="auto"/>
          <w:szCs w:val="21"/>
          <w:highlight w:val="none"/>
        </w:rPr>
      </w:pPr>
    </w:p>
    <w:p w14:paraId="1AE26003">
      <w:pPr>
        <w:spacing w:line="420" w:lineRule="exact"/>
        <w:rPr>
          <w:rFonts w:hint="eastAsia" w:asciiTheme="minorEastAsia" w:hAnsiTheme="minorEastAsia" w:eastAsiaTheme="minorEastAsia" w:cstheme="minorEastAsia"/>
          <w:color w:val="auto"/>
          <w:szCs w:val="21"/>
          <w:highlight w:val="none"/>
        </w:rPr>
      </w:pPr>
    </w:p>
    <w:p w14:paraId="2CFC2668">
      <w:pPr>
        <w:spacing w:line="420" w:lineRule="exact"/>
        <w:rPr>
          <w:rFonts w:hint="eastAsia" w:asciiTheme="minorEastAsia" w:hAnsiTheme="minorEastAsia" w:eastAsiaTheme="minorEastAsia" w:cstheme="minorEastAsia"/>
          <w:color w:val="auto"/>
          <w:szCs w:val="21"/>
          <w:highlight w:val="none"/>
        </w:rPr>
      </w:pPr>
    </w:p>
    <w:p w14:paraId="6ECE2729">
      <w:pPr>
        <w:spacing w:line="420" w:lineRule="exact"/>
        <w:rPr>
          <w:rFonts w:hint="eastAsia" w:asciiTheme="minorEastAsia" w:hAnsiTheme="minorEastAsia" w:eastAsiaTheme="minorEastAsia" w:cstheme="minorEastAsia"/>
          <w:color w:val="auto"/>
          <w:szCs w:val="21"/>
          <w:highlight w:val="none"/>
        </w:rPr>
      </w:pPr>
    </w:p>
    <w:p w14:paraId="6DFDC714">
      <w:pPr>
        <w:spacing w:line="420" w:lineRule="exact"/>
        <w:rPr>
          <w:rFonts w:hint="eastAsia" w:asciiTheme="minorEastAsia" w:hAnsiTheme="minorEastAsia" w:eastAsiaTheme="minorEastAsia" w:cstheme="minorEastAsia"/>
          <w:color w:val="auto"/>
          <w:szCs w:val="21"/>
          <w:highlight w:val="none"/>
        </w:rPr>
      </w:pPr>
    </w:p>
    <w:p w14:paraId="7C0DA939">
      <w:pPr>
        <w:spacing w:line="420" w:lineRule="exact"/>
        <w:rPr>
          <w:rFonts w:hint="eastAsia" w:asciiTheme="minorEastAsia" w:hAnsiTheme="minorEastAsia" w:eastAsiaTheme="minorEastAsia" w:cstheme="minorEastAsia"/>
          <w:color w:val="auto"/>
          <w:szCs w:val="21"/>
          <w:highlight w:val="none"/>
        </w:rPr>
      </w:pPr>
    </w:p>
    <w:p w14:paraId="37F51D68">
      <w:pPr>
        <w:spacing w:line="420" w:lineRule="exact"/>
        <w:rPr>
          <w:rFonts w:hint="eastAsia" w:asciiTheme="minorEastAsia" w:hAnsiTheme="minorEastAsia" w:eastAsiaTheme="minorEastAsia" w:cstheme="minorEastAsia"/>
          <w:color w:val="auto"/>
          <w:szCs w:val="21"/>
          <w:highlight w:val="none"/>
        </w:rPr>
      </w:pPr>
    </w:p>
    <w:p w14:paraId="22044CE0">
      <w:pPr>
        <w:spacing w:line="420" w:lineRule="exact"/>
        <w:rPr>
          <w:rFonts w:hint="eastAsia" w:asciiTheme="minorEastAsia" w:hAnsiTheme="minorEastAsia" w:eastAsiaTheme="minorEastAsia" w:cstheme="minorEastAsia"/>
          <w:color w:val="auto"/>
          <w:szCs w:val="21"/>
          <w:highlight w:val="none"/>
        </w:rPr>
      </w:pPr>
    </w:p>
    <w:p w14:paraId="39ECA5A7">
      <w:pPr>
        <w:spacing w:line="420" w:lineRule="exact"/>
        <w:rPr>
          <w:rFonts w:hint="eastAsia" w:asciiTheme="minorEastAsia" w:hAnsiTheme="minorEastAsia" w:eastAsiaTheme="minorEastAsia" w:cstheme="minorEastAsia"/>
          <w:color w:val="auto"/>
          <w:szCs w:val="21"/>
          <w:highlight w:val="none"/>
        </w:rPr>
      </w:pPr>
    </w:p>
    <w:p w14:paraId="55E61127">
      <w:pPr>
        <w:spacing w:line="420" w:lineRule="exact"/>
        <w:rPr>
          <w:rFonts w:hint="eastAsia" w:asciiTheme="minorEastAsia" w:hAnsiTheme="minorEastAsia" w:eastAsiaTheme="minorEastAsia" w:cstheme="minorEastAsia"/>
          <w:color w:val="auto"/>
          <w:szCs w:val="21"/>
          <w:highlight w:val="none"/>
        </w:rPr>
      </w:pPr>
    </w:p>
    <w:p w14:paraId="2C636172">
      <w:pPr>
        <w:spacing w:line="420" w:lineRule="exact"/>
        <w:rPr>
          <w:rFonts w:hint="eastAsia" w:asciiTheme="minorEastAsia" w:hAnsiTheme="minorEastAsia" w:eastAsiaTheme="minorEastAsia" w:cstheme="minorEastAsia"/>
          <w:color w:val="auto"/>
          <w:szCs w:val="21"/>
          <w:highlight w:val="none"/>
        </w:rPr>
      </w:pPr>
    </w:p>
    <w:p w14:paraId="2BE47929">
      <w:pPr>
        <w:spacing w:line="420" w:lineRule="exact"/>
        <w:rPr>
          <w:rFonts w:hint="eastAsia" w:asciiTheme="minorEastAsia" w:hAnsiTheme="minorEastAsia" w:eastAsiaTheme="minorEastAsia" w:cstheme="minorEastAsia"/>
          <w:color w:val="auto"/>
          <w:szCs w:val="21"/>
          <w:highlight w:val="none"/>
        </w:rPr>
      </w:pPr>
    </w:p>
    <w:p w14:paraId="52088A8A">
      <w:pPr>
        <w:pStyle w:val="29"/>
        <w:rPr>
          <w:rFonts w:hint="eastAsia" w:asciiTheme="minorEastAsia" w:hAnsiTheme="minorEastAsia" w:eastAsiaTheme="minorEastAsia" w:cstheme="minorEastAsia"/>
          <w:color w:val="auto"/>
          <w:highlight w:val="none"/>
        </w:rPr>
      </w:pPr>
    </w:p>
    <w:p w14:paraId="67047A0A">
      <w:pPr>
        <w:spacing w:line="420" w:lineRule="exact"/>
        <w:rPr>
          <w:rFonts w:hint="eastAsia" w:asciiTheme="minorEastAsia" w:hAnsiTheme="minorEastAsia" w:eastAsiaTheme="minorEastAsia" w:cstheme="minorEastAsia"/>
          <w:color w:val="auto"/>
          <w:szCs w:val="21"/>
          <w:highlight w:val="none"/>
        </w:rPr>
      </w:pPr>
    </w:p>
    <w:p w14:paraId="344101A2">
      <w:pPr>
        <w:spacing w:line="420" w:lineRule="exact"/>
        <w:rPr>
          <w:rFonts w:hint="eastAsia" w:asciiTheme="minorEastAsia" w:hAnsiTheme="minorEastAsia" w:eastAsiaTheme="minorEastAsia" w:cstheme="minorEastAsia"/>
          <w:color w:val="auto"/>
          <w:szCs w:val="21"/>
          <w:highlight w:val="none"/>
        </w:rPr>
      </w:pPr>
    </w:p>
    <w:p w14:paraId="7785F179">
      <w:pPr>
        <w:pStyle w:val="6"/>
        <w:numPr>
          <w:ilvl w:val="1"/>
          <w:numId w:val="0"/>
        </w:numPr>
        <w:spacing w:before="0" w:beforeLines="0" w:after="0" w:afterLines="0" w:line="360" w:lineRule="auto"/>
        <w:jc w:val="center"/>
        <w:rPr>
          <w:rFonts w:hint="eastAsia" w:asciiTheme="minorEastAsia" w:hAnsiTheme="minorEastAsia" w:eastAsiaTheme="minorEastAsia" w:cstheme="minorEastAsia"/>
          <w:b/>
          <w:bCs/>
          <w:color w:val="auto"/>
          <w:sz w:val="28"/>
          <w:highlight w:val="none"/>
          <w:lang w:eastAsia="zh-CN"/>
        </w:rPr>
        <w:sectPr>
          <w:pgSz w:w="11905" w:h="16838"/>
          <w:pgMar w:top="1134" w:right="1417" w:bottom="1417" w:left="1417" w:header="850" w:footer="850" w:gutter="0"/>
          <w:pgBorders>
            <w:top w:val="none" w:sz="0" w:space="0"/>
            <w:left w:val="none" w:sz="0" w:space="0"/>
            <w:bottom w:val="none" w:sz="0" w:space="0"/>
            <w:right w:val="none" w:sz="0" w:space="0"/>
          </w:pgBorders>
          <w:pgNumType w:fmt="decimal"/>
          <w:cols w:space="0" w:num="1"/>
          <w:rtlGutter w:val="0"/>
          <w:docGrid w:type="lines" w:linePitch="317" w:charSpace="0"/>
        </w:sectPr>
      </w:pPr>
      <w:bookmarkStart w:id="1102" w:name="_Toc5603"/>
      <w:bookmarkStart w:id="1103" w:name="_Toc9642"/>
      <w:bookmarkStart w:id="1104" w:name="_Toc475624457"/>
      <w:bookmarkStart w:id="1105" w:name="_Toc7110"/>
    </w:p>
    <w:bookmarkEnd w:id="1102"/>
    <w:bookmarkEnd w:id="1103"/>
    <w:bookmarkEnd w:id="1104"/>
    <w:bookmarkEnd w:id="1105"/>
    <w:p w14:paraId="6AFBF6C9">
      <w:pPr>
        <w:pStyle w:val="6"/>
        <w:numPr>
          <w:ilvl w:val="1"/>
          <w:numId w:val="0"/>
        </w:numPr>
        <w:jc w:val="center"/>
        <w:rPr>
          <w:rFonts w:hint="eastAsia" w:asciiTheme="minorEastAsia" w:hAnsiTheme="minorEastAsia" w:eastAsiaTheme="minorEastAsia" w:cstheme="minorEastAsia"/>
          <w:b/>
          <w:bCs/>
          <w:color w:val="auto"/>
          <w:sz w:val="28"/>
          <w:highlight w:val="none"/>
        </w:rPr>
      </w:pPr>
      <w:bookmarkStart w:id="1106" w:name="_Toc5437"/>
      <w:bookmarkStart w:id="1107" w:name="_Toc475624458"/>
      <w:bookmarkStart w:id="1108" w:name="_Toc18178"/>
      <w:bookmarkStart w:id="1109" w:name="_Toc11835"/>
      <w:r>
        <w:rPr>
          <w:rFonts w:hint="eastAsia" w:asciiTheme="minorEastAsia" w:hAnsiTheme="minorEastAsia" w:eastAsiaTheme="minorEastAsia" w:cstheme="minorEastAsia"/>
          <w:b/>
          <w:bCs/>
          <w:color w:val="auto"/>
          <w:sz w:val="28"/>
          <w:highlight w:val="none"/>
          <w:lang w:val="en-US" w:eastAsia="zh-CN"/>
        </w:rPr>
        <w:t>五</w:t>
      </w:r>
      <w:r>
        <w:rPr>
          <w:rFonts w:hint="eastAsia" w:asciiTheme="minorEastAsia" w:hAnsiTheme="minorEastAsia" w:eastAsiaTheme="minorEastAsia" w:cstheme="minorEastAsia"/>
          <w:b/>
          <w:bCs/>
          <w:color w:val="auto"/>
          <w:sz w:val="28"/>
          <w:highlight w:val="none"/>
          <w:lang w:eastAsia="zh-CN"/>
        </w:rPr>
        <w:t>、</w:t>
      </w:r>
      <w:r>
        <w:rPr>
          <w:rFonts w:hint="eastAsia" w:asciiTheme="minorEastAsia" w:hAnsiTheme="minorEastAsia" w:eastAsiaTheme="minorEastAsia" w:cstheme="minorEastAsia"/>
          <w:b/>
          <w:bCs/>
          <w:color w:val="auto"/>
          <w:sz w:val="28"/>
          <w:highlight w:val="none"/>
        </w:rPr>
        <w:t>资格</w:t>
      </w:r>
      <w:bookmarkEnd w:id="1106"/>
      <w:bookmarkEnd w:id="1107"/>
      <w:r>
        <w:rPr>
          <w:rFonts w:hint="eastAsia" w:asciiTheme="minorEastAsia" w:hAnsiTheme="minorEastAsia" w:eastAsiaTheme="minorEastAsia" w:cstheme="minorEastAsia"/>
          <w:b/>
          <w:bCs/>
          <w:color w:val="auto"/>
          <w:sz w:val="28"/>
          <w:highlight w:val="none"/>
          <w:lang w:eastAsia="zh-CN"/>
        </w:rPr>
        <w:t>证明材料</w:t>
      </w:r>
      <w:bookmarkEnd w:id="1108"/>
      <w:bookmarkEnd w:id="1109"/>
    </w:p>
    <w:p w14:paraId="0CAE64C0">
      <w:pPr>
        <w:keepNext/>
        <w:keepLines/>
        <w:pageBreakBefore w:val="0"/>
        <w:widowControl w:val="0"/>
        <w:numPr>
          <w:ilvl w:val="3"/>
          <w:numId w:val="0"/>
        </w:numPr>
        <w:tabs>
          <w:tab w:val="left" w:pos="2712"/>
          <w:tab w:val="left" w:pos="4658"/>
          <w:tab w:val="left" w:pos="5157"/>
          <w:tab w:val="left" w:pos="6554"/>
        </w:tabs>
        <w:kinsoku/>
        <w:wordWrap/>
        <w:overflowPunct/>
        <w:topLinePunct w:val="0"/>
        <w:autoSpaceDE/>
        <w:autoSpaceDN/>
        <w:bidi w:val="0"/>
        <w:adjustRightInd/>
        <w:snapToGrid/>
        <w:spacing w:before="0" w:beforeLines="0" w:after="0" w:afterLines="0" w:line="360" w:lineRule="auto"/>
        <w:jc w:val="center"/>
        <w:textAlignment w:val="auto"/>
        <w:outlineLvl w:val="9"/>
        <w:rPr>
          <w:rFonts w:hint="eastAsia" w:asciiTheme="minorEastAsia" w:hAnsiTheme="minorEastAsia" w:eastAsiaTheme="minorEastAsia" w:cstheme="minorEastAsia"/>
          <w:b/>
          <w:bCs/>
          <w:color w:val="auto"/>
          <w:sz w:val="24"/>
          <w:szCs w:val="24"/>
          <w:highlight w:val="none"/>
        </w:rPr>
      </w:pPr>
      <w:bookmarkStart w:id="1110" w:name="_Toc456185719"/>
      <w:r>
        <w:rPr>
          <w:rFonts w:hint="eastAsia" w:asciiTheme="minorEastAsia" w:hAnsiTheme="minorEastAsia" w:eastAsiaTheme="minorEastAsia" w:cstheme="minorEastAsia"/>
          <w:b/>
          <w:bCs/>
          <w:color w:val="auto"/>
          <w:sz w:val="24"/>
          <w:szCs w:val="24"/>
          <w:highlight w:val="none"/>
        </w:rPr>
        <w:t>供应商基本情况表</w:t>
      </w:r>
      <w:bookmarkEnd w:id="1110"/>
    </w:p>
    <w:tbl>
      <w:tblPr>
        <w:tblStyle w:val="31"/>
        <w:tblW w:w="95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077"/>
        <w:gridCol w:w="3055"/>
        <w:gridCol w:w="1265"/>
        <w:gridCol w:w="2153"/>
      </w:tblGrid>
      <w:tr w14:paraId="009E0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980" w:type="dxa"/>
            <w:noWrap w:val="0"/>
            <w:vAlign w:val="center"/>
          </w:tcPr>
          <w:p w14:paraId="1A7670F9">
            <w:pPr>
              <w:shd w:val="clear" w:color="auto" w:fill="auto"/>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供应商</w:t>
            </w:r>
            <w:r>
              <w:rPr>
                <w:rFonts w:hint="eastAsia" w:ascii="宋体" w:hAnsi="宋体" w:eastAsia="宋体" w:cs="宋体"/>
                <w:color w:val="000000"/>
                <w:sz w:val="21"/>
                <w:szCs w:val="21"/>
                <w:highlight w:val="none"/>
              </w:rPr>
              <w:t>名称</w:t>
            </w:r>
          </w:p>
        </w:tc>
        <w:tc>
          <w:tcPr>
            <w:tcW w:w="7550" w:type="dxa"/>
            <w:gridSpan w:val="4"/>
            <w:noWrap w:val="0"/>
            <w:vAlign w:val="center"/>
          </w:tcPr>
          <w:p w14:paraId="4650F9E3">
            <w:pPr>
              <w:shd w:val="clear" w:color="auto" w:fill="auto"/>
              <w:spacing w:line="360" w:lineRule="auto"/>
              <w:jc w:val="center"/>
              <w:rPr>
                <w:rFonts w:hint="eastAsia" w:ascii="宋体" w:hAnsi="宋体" w:eastAsia="宋体" w:cs="宋体"/>
                <w:color w:val="000000"/>
                <w:sz w:val="21"/>
                <w:szCs w:val="21"/>
                <w:highlight w:val="none"/>
              </w:rPr>
            </w:pPr>
          </w:p>
        </w:tc>
      </w:tr>
      <w:tr w14:paraId="7D77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980" w:type="dxa"/>
            <w:noWrap w:val="0"/>
            <w:vAlign w:val="center"/>
          </w:tcPr>
          <w:p w14:paraId="6387DE38">
            <w:pPr>
              <w:shd w:val="clear" w:color="auto" w:fill="auto"/>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注册地址</w:t>
            </w:r>
          </w:p>
        </w:tc>
        <w:tc>
          <w:tcPr>
            <w:tcW w:w="4132" w:type="dxa"/>
            <w:gridSpan w:val="2"/>
            <w:noWrap w:val="0"/>
            <w:vAlign w:val="center"/>
          </w:tcPr>
          <w:p w14:paraId="5A193D29">
            <w:pPr>
              <w:shd w:val="clear" w:color="auto" w:fill="auto"/>
              <w:spacing w:line="360" w:lineRule="auto"/>
              <w:jc w:val="center"/>
              <w:rPr>
                <w:rFonts w:hint="eastAsia" w:ascii="宋体" w:hAnsi="宋体" w:eastAsia="宋体" w:cs="宋体"/>
                <w:color w:val="000000"/>
                <w:sz w:val="21"/>
                <w:szCs w:val="21"/>
                <w:highlight w:val="none"/>
              </w:rPr>
            </w:pPr>
          </w:p>
        </w:tc>
        <w:tc>
          <w:tcPr>
            <w:tcW w:w="1265" w:type="dxa"/>
            <w:noWrap w:val="0"/>
            <w:vAlign w:val="center"/>
          </w:tcPr>
          <w:p w14:paraId="46F27048">
            <w:pPr>
              <w:shd w:val="clear" w:color="auto" w:fill="auto"/>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邮政编码</w:t>
            </w:r>
          </w:p>
        </w:tc>
        <w:tc>
          <w:tcPr>
            <w:tcW w:w="2153" w:type="dxa"/>
            <w:noWrap w:val="0"/>
            <w:vAlign w:val="center"/>
          </w:tcPr>
          <w:p w14:paraId="78BA432D">
            <w:pPr>
              <w:shd w:val="clear" w:color="auto" w:fill="auto"/>
              <w:spacing w:line="360" w:lineRule="auto"/>
              <w:jc w:val="center"/>
              <w:rPr>
                <w:rFonts w:hint="eastAsia" w:ascii="宋体" w:hAnsi="宋体" w:eastAsia="宋体" w:cs="宋体"/>
                <w:color w:val="000000"/>
                <w:sz w:val="21"/>
                <w:szCs w:val="21"/>
                <w:highlight w:val="none"/>
              </w:rPr>
            </w:pPr>
          </w:p>
        </w:tc>
      </w:tr>
      <w:tr w14:paraId="1849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980" w:type="dxa"/>
            <w:vMerge w:val="restart"/>
            <w:noWrap w:val="0"/>
            <w:vAlign w:val="center"/>
          </w:tcPr>
          <w:p w14:paraId="59A39A07">
            <w:pPr>
              <w:shd w:val="clear" w:color="auto" w:fill="auto"/>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联系方式</w:t>
            </w:r>
          </w:p>
        </w:tc>
        <w:tc>
          <w:tcPr>
            <w:tcW w:w="1077" w:type="dxa"/>
            <w:noWrap w:val="0"/>
            <w:vAlign w:val="center"/>
          </w:tcPr>
          <w:p w14:paraId="336D17B9">
            <w:pPr>
              <w:shd w:val="clear" w:color="auto" w:fill="auto"/>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联系人</w:t>
            </w:r>
          </w:p>
        </w:tc>
        <w:tc>
          <w:tcPr>
            <w:tcW w:w="3055" w:type="dxa"/>
            <w:noWrap w:val="0"/>
            <w:vAlign w:val="center"/>
          </w:tcPr>
          <w:p w14:paraId="32CB808C">
            <w:pPr>
              <w:shd w:val="clear" w:color="auto" w:fill="auto"/>
              <w:spacing w:line="360" w:lineRule="auto"/>
              <w:jc w:val="center"/>
              <w:rPr>
                <w:rFonts w:hint="eastAsia" w:ascii="宋体" w:hAnsi="宋体" w:eastAsia="宋体" w:cs="宋体"/>
                <w:color w:val="000000"/>
                <w:sz w:val="21"/>
                <w:szCs w:val="21"/>
                <w:highlight w:val="none"/>
              </w:rPr>
            </w:pPr>
          </w:p>
        </w:tc>
        <w:tc>
          <w:tcPr>
            <w:tcW w:w="1265" w:type="dxa"/>
            <w:noWrap w:val="0"/>
            <w:vAlign w:val="center"/>
          </w:tcPr>
          <w:p w14:paraId="51A47E11">
            <w:pPr>
              <w:shd w:val="clear" w:color="auto" w:fill="auto"/>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电话</w:t>
            </w:r>
          </w:p>
        </w:tc>
        <w:tc>
          <w:tcPr>
            <w:tcW w:w="2153" w:type="dxa"/>
            <w:noWrap w:val="0"/>
            <w:vAlign w:val="center"/>
          </w:tcPr>
          <w:p w14:paraId="7BD2CA6E">
            <w:pPr>
              <w:shd w:val="clear" w:color="auto" w:fill="auto"/>
              <w:spacing w:line="360" w:lineRule="auto"/>
              <w:jc w:val="center"/>
              <w:rPr>
                <w:rFonts w:hint="eastAsia" w:ascii="宋体" w:hAnsi="宋体" w:eastAsia="宋体" w:cs="宋体"/>
                <w:color w:val="000000"/>
                <w:sz w:val="21"/>
                <w:szCs w:val="21"/>
                <w:highlight w:val="none"/>
              </w:rPr>
            </w:pPr>
          </w:p>
        </w:tc>
      </w:tr>
      <w:tr w14:paraId="6C11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980" w:type="dxa"/>
            <w:vMerge w:val="continue"/>
            <w:noWrap w:val="0"/>
            <w:vAlign w:val="center"/>
          </w:tcPr>
          <w:p w14:paraId="62C42ACF">
            <w:pPr>
              <w:shd w:val="clear" w:color="auto" w:fill="auto"/>
              <w:spacing w:line="360" w:lineRule="auto"/>
              <w:jc w:val="center"/>
              <w:rPr>
                <w:rFonts w:hint="eastAsia" w:ascii="宋体" w:hAnsi="宋体" w:eastAsia="宋体" w:cs="宋体"/>
                <w:color w:val="000000"/>
                <w:sz w:val="21"/>
                <w:szCs w:val="21"/>
                <w:highlight w:val="none"/>
              </w:rPr>
            </w:pPr>
          </w:p>
        </w:tc>
        <w:tc>
          <w:tcPr>
            <w:tcW w:w="1077" w:type="dxa"/>
            <w:noWrap w:val="0"/>
            <w:vAlign w:val="center"/>
          </w:tcPr>
          <w:p w14:paraId="7C961C57">
            <w:pPr>
              <w:shd w:val="clear" w:color="auto" w:fill="auto"/>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传真</w:t>
            </w:r>
          </w:p>
        </w:tc>
        <w:tc>
          <w:tcPr>
            <w:tcW w:w="3055" w:type="dxa"/>
            <w:noWrap w:val="0"/>
            <w:vAlign w:val="center"/>
          </w:tcPr>
          <w:p w14:paraId="75B739A9">
            <w:pPr>
              <w:shd w:val="clear" w:color="auto" w:fill="auto"/>
              <w:spacing w:line="360" w:lineRule="auto"/>
              <w:jc w:val="center"/>
              <w:rPr>
                <w:rFonts w:hint="eastAsia" w:ascii="宋体" w:hAnsi="宋体" w:eastAsia="宋体" w:cs="宋体"/>
                <w:color w:val="000000"/>
                <w:sz w:val="21"/>
                <w:szCs w:val="21"/>
                <w:highlight w:val="none"/>
              </w:rPr>
            </w:pPr>
          </w:p>
        </w:tc>
        <w:tc>
          <w:tcPr>
            <w:tcW w:w="1265" w:type="dxa"/>
            <w:noWrap w:val="0"/>
            <w:vAlign w:val="center"/>
          </w:tcPr>
          <w:p w14:paraId="31875BE6">
            <w:pPr>
              <w:shd w:val="clear" w:color="auto" w:fill="auto"/>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网址</w:t>
            </w:r>
          </w:p>
        </w:tc>
        <w:tc>
          <w:tcPr>
            <w:tcW w:w="2153" w:type="dxa"/>
            <w:noWrap w:val="0"/>
            <w:vAlign w:val="center"/>
          </w:tcPr>
          <w:p w14:paraId="0DE602BC">
            <w:pPr>
              <w:shd w:val="clear" w:color="auto" w:fill="auto"/>
              <w:spacing w:line="360" w:lineRule="auto"/>
              <w:jc w:val="center"/>
              <w:rPr>
                <w:rFonts w:hint="eastAsia" w:ascii="宋体" w:hAnsi="宋体" w:eastAsia="宋体" w:cs="宋体"/>
                <w:color w:val="000000"/>
                <w:sz w:val="21"/>
                <w:szCs w:val="21"/>
                <w:highlight w:val="none"/>
              </w:rPr>
            </w:pPr>
          </w:p>
        </w:tc>
      </w:tr>
      <w:tr w14:paraId="520A6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980" w:type="dxa"/>
            <w:noWrap w:val="0"/>
            <w:vAlign w:val="center"/>
          </w:tcPr>
          <w:p w14:paraId="588167EC">
            <w:pPr>
              <w:shd w:val="clear" w:color="auto" w:fill="auto"/>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法定代表人</w:t>
            </w:r>
          </w:p>
        </w:tc>
        <w:tc>
          <w:tcPr>
            <w:tcW w:w="1077" w:type="dxa"/>
            <w:noWrap w:val="0"/>
            <w:vAlign w:val="center"/>
          </w:tcPr>
          <w:p w14:paraId="146ADABE">
            <w:pPr>
              <w:shd w:val="clear" w:color="auto" w:fill="auto"/>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姓名</w:t>
            </w:r>
          </w:p>
        </w:tc>
        <w:tc>
          <w:tcPr>
            <w:tcW w:w="3055" w:type="dxa"/>
            <w:noWrap w:val="0"/>
            <w:vAlign w:val="center"/>
          </w:tcPr>
          <w:p w14:paraId="081657C3">
            <w:pPr>
              <w:shd w:val="clear" w:color="auto" w:fill="auto"/>
              <w:spacing w:line="360" w:lineRule="auto"/>
              <w:jc w:val="center"/>
              <w:rPr>
                <w:rFonts w:hint="eastAsia" w:ascii="宋体" w:hAnsi="宋体" w:eastAsia="宋体" w:cs="宋体"/>
                <w:color w:val="000000"/>
                <w:sz w:val="21"/>
                <w:szCs w:val="21"/>
                <w:highlight w:val="none"/>
              </w:rPr>
            </w:pPr>
          </w:p>
        </w:tc>
        <w:tc>
          <w:tcPr>
            <w:tcW w:w="1265" w:type="dxa"/>
            <w:noWrap w:val="0"/>
            <w:vAlign w:val="center"/>
          </w:tcPr>
          <w:p w14:paraId="690F0BAC">
            <w:pPr>
              <w:shd w:val="clear" w:color="auto" w:fill="auto"/>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电话</w:t>
            </w:r>
          </w:p>
        </w:tc>
        <w:tc>
          <w:tcPr>
            <w:tcW w:w="2153" w:type="dxa"/>
            <w:noWrap w:val="0"/>
            <w:vAlign w:val="center"/>
          </w:tcPr>
          <w:p w14:paraId="715D2F34">
            <w:pPr>
              <w:shd w:val="clear" w:color="auto" w:fill="auto"/>
              <w:spacing w:line="360" w:lineRule="auto"/>
              <w:jc w:val="center"/>
              <w:rPr>
                <w:rFonts w:hint="eastAsia" w:ascii="宋体" w:hAnsi="宋体" w:eastAsia="宋体" w:cs="宋体"/>
                <w:color w:val="000000"/>
                <w:sz w:val="21"/>
                <w:szCs w:val="21"/>
                <w:highlight w:val="none"/>
              </w:rPr>
            </w:pPr>
          </w:p>
        </w:tc>
      </w:tr>
      <w:tr w14:paraId="371E8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980" w:type="dxa"/>
            <w:noWrap w:val="0"/>
            <w:vAlign w:val="center"/>
          </w:tcPr>
          <w:p w14:paraId="3D26A9F7">
            <w:pPr>
              <w:shd w:val="clear" w:color="auto" w:fill="auto"/>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成立时间</w:t>
            </w:r>
          </w:p>
        </w:tc>
        <w:tc>
          <w:tcPr>
            <w:tcW w:w="7550" w:type="dxa"/>
            <w:gridSpan w:val="4"/>
            <w:noWrap w:val="0"/>
            <w:vAlign w:val="center"/>
          </w:tcPr>
          <w:p w14:paraId="1A121B8B">
            <w:pPr>
              <w:shd w:val="clear" w:color="auto" w:fill="auto"/>
              <w:spacing w:line="360" w:lineRule="auto"/>
              <w:jc w:val="center"/>
              <w:rPr>
                <w:rFonts w:hint="eastAsia" w:ascii="宋体" w:hAnsi="宋体" w:eastAsia="宋体" w:cs="宋体"/>
                <w:color w:val="000000"/>
                <w:sz w:val="21"/>
                <w:szCs w:val="21"/>
                <w:highlight w:val="none"/>
              </w:rPr>
            </w:pPr>
          </w:p>
        </w:tc>
      </w:tr>
      <w:tr w14:paraId="2C5C7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1980" w:type="dxa"/>
            <w:noWrap w:val="0"/>
            <w:vAlign w:val="center"/>
          </w:tcPr>
          <w:p w14:paraId="4A611700">
            <w:pPr>
              <w:shd w:val="clear" w:color="auto" w:fill="auto"/>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营业执照号</w:t>
            </w:r>
          </w:p>
        </w:tc>
        <w:tc>
          <w:tcPr>
            <w:tcW w:w="7550" w:type="dxa"/>
            <w:gridSpan w:val="4"/>
            <w:noWrap w:val="0"/>
            <w:vAlign w:val="center"/>
          </w:tcPr>
          <w:p w14:paraId="7E67FD53">
            <w:pPr>
              <w:shd w:val="clear" w:color="auto" w:fill="auto"/>
              <w:spacing w:line="360" w:lineRule="auto"/>
              <w:jc w:val="center"/>
              <w:rPr>
                <w:rFonts w:hint="eastAsia" w:ascii="宋体" w:hAnsi="宋体" w:eastAsia="宋体" w:cs="宋体"/>
                <w:color w:val="000000"/>
                <w:sz w:val="21"/>
                <w:szCs w:val="21"/>
                <w:highlight w:val="none"/>
              </w:rPr>
            </w:pPr>
          </w:p>
        </w:tc>
      </w:tr>
      <w:tr w14:paraId="3F7EB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980" w:type="dxa"/>
            <w:noWrap w:val="0"/>
            <w:vAlign w:val="center"/>
          </w:tcPr>
          <w:p w14:paraId="715FE487">
            <w:pPr>
              <w:shd w:val="clear" w:color="auto" w:fill="auto"/>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注册资金</w:t>
            </w:r>
          </w:p>
        </w:tc>
        <w:tc>
          <w:tcPr>
            <w:tcW w:w="7550" w:type="dxa"/>
            <w:gridSpan w:val="4"/>
            <w:noWrap w:val="0"/>
            <w:vAlign w:val="center"/>
          </w:tcPr>
          <w:p w14:paraId="1E34ADFF">
            <w:pPr>
              <w:shd w:val="clear" w:color="auto" w:fill="auto"/>
              <w:spacing w:line="360" w:lineRule="auto"/>
              <w:jc w:val="center"/>
              <w:rPr>
                <w:rFonts w:hint="eastAsia" w:ascii="宋体" w:hAnsi="宋体" w:eastAsia="宋体" w:cs="宋体"/>
                <w:color w:val="000000"/>
                <w:sz w:val="21"/>
                <w:szCs w:val="21"/>
                <w:highlight w:val="none"/>
              </w:rPr>
            </w:pPr>
          </w:p>
        </w:tc>
      </w:tr>
      <w:tr w14:paraId="523F1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980" w:type="dxa"/>
            <w:noWrap w:val="0"/>
            <w:vAlign w:val="center"/>
          </w:tcPr>
          <w:p w14:paraId="7D783F78">
            <w:pPr>
              <w:shd w:val="clear" w:color="auto" w:fill="auto"/>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开户银行</w:t>
            </w:r>
          </w:p>
        </w:tc>
        <w:tc>
          <w:tcPr>
            <w:tcW w:w="7550" w:type="dxa"/>
            <w:gridSpan w:val="4"/>
            <w:noWrap w:val="0"/>
            <w:vAlign w:val="center"/>
          </w:tcPr>
          <w:p w14:paraId="67CB452E">
            <w:pPr>
              <w:shd w:val="clear" w:color="auto" w:fill="auto"/>
              <w:spacing w:line="360" w:lineRule="auto"/>
              <w:jc w:val="center"/>
              <w:rPr>
                <w:rFonts w:hint="eastAsia" w:ascii="宋体" w:hAnsi="宋体" w:eastAsia="宋体" w:cs="宋体"/>
                <w:color w:val="000000"/>
                <w:sz w:val="21"/>
                <w:szCs w:val="21"/>
                <w:highlight w:val="none"/>
              </w:rPr>
            </w:pPr>
          </w:p>
        </w:tc>
      </w:tr>
      <w:tr w14:paraId="6C24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1980" w:type="dxa"/>
            <w:noWrap w:val="0"/>
            <w:vAlign w:val="center"/>
          </w:tcPr>
          <w:p w14:paraId="392AC517">
            <w:pPr>
              <w:shd w:val="clear" w:color="auto" w:fill="auto"/>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账号</w:t>
            </w:r>
          </w:p>
        </w:tc>
        <w:tc>
          <w:tcPr>
            <w:tcW w:w="7550" w:type="dxa"/>
            <w:gridSpan w:val="4"/>
            <w:noWrap w:val="0"/>
            <w:vAlign w:val="center"/>
          </w:tcPr>
          <w:p w14:paraId="08D95FF6">
            <w:pPr>
              <w:shd w:val="clear" w:color="auto" w:fill="auto"/>
              <w:spacing w:line="360" w:lineRule="auto"/>
              <w:jc w:val="center"/>
              <w:rPr>
                <w:rFonts w:hint="eastAsia" w:ascii="宋体" w:hAnsi="宋体" w:eastAsia="宋体" w:cs="宋体"/>
                <w:color w:val="000000"/>
                <w:sz w:val="21"/>
                <w:szCs w:val="21"/>
                <w:highlight w:val="none"/>
              </w:rPr>
            </w:pPr>
          </w:p>
        </w:tc>
      </w:tr>
      <w:tr w14:paraId="3593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2" w:hRule="atLeast"/>
        </w:trPr>
        <w:tc>
          <w:tcPr>
            <w:tcW w:w="1980" w:type="dxa"/>
            <w:noWrap w:val="0"/>
            <w:vAlign w:val="center"/>
          </w:tcPr>
          <w:p w14:paraId="60CDAF5D">
            <w:pPr>
              <w:shd w:val="clear" w:color="auto" w:fill="auto"/>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经营范围备注</w:t>
            </w:r>
          </w:p>
        </w:tc>
        <w:tc>
          <w:tcPr>
            <w:tcW w:w="7550" w:type="dxa"/>
            <w:gridSpan w:val="4"/>
            <w:noWrap w:val="0"/>
            <w:vAlign w:val="top"/>
          </w:tcPr>
          <w:p w14:paraId="6535A408">
            <w:pPr>
              <w:shd w:val="clear" w:color="auto" w:fill="auto"/>
              <w:spacing w:line="360" w:lineRule="auto"/>
              <w:ind w:firstLine="420" w:firstLineChars="200"/>
              <w:rPr>
                <w:rFonts w:hint="eastAsia" w:ascii="宋体" w:hAnsi="宋体" w:eastAsia="宋体" w:cs="宋体"/>
                <w:color w:val="000000"/>
                <w:sz w:val="21"/>
                <w:szCs w:val="21"/>
                <w:highlight w:val="none"/>
              </w:rPr>
            </w:pPr>
          </w:p>
        </w:tc>
      </w:tr>
    </w:tbl>
    <w:p w14:paraId="7367604C">
      <w:pPr>
        <w:pStyle w:val="2"/>
        <w:keepNext w:val="0"/>
        <w:keepLines w:val="0"/>
        <w:pageBreakBefore w:val="0"/>
        <w:widowControl w:val="0"/>
        <w:kinsoku/>
        <w:wordWrap/>
        <w:overflowPunct/>
        <w:topLinePunct w:val="0"/>
        <w:autoSpaceDE/>
        <w:autoSpaceDN/>
        <w:bidi w:val="0"/>
        <w:adjustRightInd/>
        <w:snapToGrid/>
        <w:spacing w:after="0" w:line="50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注：</w:t>
      </w:r>
      <w:bookmarkStart w:id="1111" w:name="_Toc456185720"/>
      <w:r>
        <w:rPr>
          <w:rFonts w:hint="eastAsia" w:asciiTheme="minorEastAsia" w:hAnsiTheme="minorEastAsia" w:eastAsiaTheme="minorEastAsia" w:cstheme="minorEastAsia"/>
          <w:color w:val="auto"/>
          <w:sz w:val="21"/>
          <w:szCs w:val="21"/>
          <w:highlight w:val="none"/>
          <w:lang w:val="en-US" w:eastAsia="zh-CN"/>
        </w:rPr>
        <w:t>后附资格审查证明材料。</w:t>
      </w:r>
      <w:r>
        <w:rPr>
          <w:rFonts w:hint="eastAsia" w:asciiTheme="minorEastAsia" w:hAnsiTheme="minorEastAsia" w:eastAsiaTheme="minorEastAsia" w:cstheme="minorEastAsia"/>
          <w:color w:val="auto"/>
          <w:sz w:val="21"/>
          <w:szCs w:val="21"/>
          <w:highlight w:val="none"/>
          <w:lang w:val="en-US" w:eastAsia="zh-CN"/>
        </w:rPr>
        <w:tab/>
      </w:r>
    </w:p>
    <w:p w14:paraId="43E91A55">
      <w:pPr>
        <w:pStyle w:val="29"/>
        <w:ind w:left="0" w:leftChars="0" w:firstLine="0" w:firstLineChars="0"/>
        <w:rPr>
          <w:rFonts w:hint="eastAsia" w:asciiTheme="minorEastAsia" w:hAnsiTheme="minorEastAsia" w:eastAsiaTheme="minorEastAsia" w:cstheme="minorEastAsia"/>
          <w:color w:val="auto"/>
          <w:szCs w:val="21"/>
          <w:highlight w:val="none"/>
        </w:rPr>
      </w:pPr>
    </w:p>
    <w:bookmarkEnd w:id="1111"/>
    <w:p w14:paraId="341EA988">
      <w:pPr>
        <w:pStyle w:val="6"/>
        <w:numPr>
          <w:ilvl w:val="1"/>
          <w:numId w:val="0"/>
        </w:numPr>
        <w:jc w:val="center"/>
        <w:rPr>
          <w:rFonts w:hint="eastAsia" w:asciiTheme="minorEastAsia" w:hAnsiTheme="minorEastAsia" w:eastAsiaTheme="minorEastAsia" w:cstheme="minorEastAsia"/>
          <w:b/>
          <w:bCs/>
          <w:color w:val="auto"/>
          <w:sz w:val="32"/>
          <w:szCs w:val="32"/>
          <w:highlight w:val="none"/>
          <w:lang w:eastAsia="zh-CN"/>
        </w:rPr>
        <w:sectPr>
          <w:pgSz w:w="11905" w:h="16838"/>
          <w:pgMar w:top="1134" w:right="1417" w:bottom="1417" w:left="1417" w:header="850" w:footer="850" w:gutter="0"/>
          <w:pgBorders>
            <w:top w:val="none" w:sz="0" w:space="0"/>
            <w:left w:val="none" w:sz="0" w:space="0"/>
            <w:bottom w:val="none" w:sz="0" w:space="0"/>
            <w:right w:val="none" w:sz="0" w:space="0"/>
          </w:pgBorders>
          <w:pgNumType w:fmt="decimal"/>
          <w:cols w:space="0" w:num="1"/>
          <w:rtlGutter w:val="0"/>
          <w:docGrid w:type="lines" w:linePitch="317" w:charSpace="0"/>
        </w:sectPr>
      </w:pPr>
      <w:bookmarkStart w:id="1112" w:name="_Toc23603"/>
      <w:bookmarkStart w:id="1113" w:name="_Toc29238"/>
      <w:bookmarkStart w:id="1114" w:name="_Toc475624464"/>
      <w:bookmarkStart w:id="1115" w:name="_Toc2332"/>
    </w:p>
    <w:p w14:paraId="7C5D0E83">
      <w:pPr>
        <w:pStyle w:val="6"/>
        <w:numPr>
          <w:ilvl w:val="1"/>
          <w:numId w:val="0"/>
        </w:numPr>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lang w:val="en-US" w:eastAsia="zh-CN"/>
        </w:rPr>
        <w:t>六</w:t>
      </w:r>
      <w:r>
        <w:rPr>
          <w:rFonts w:hint="eastAsia" w:asciiTheme="minorEastAsia" w:hAnsiTheme="minorEastAsia" w:eastAsiaTheme="minorEastAsia" w:cstheme="minorEastAsia"/>
          <w:b/>
          <w:bCs/>
          <w:color w:val="auto"/>
          <w:sz w:val="32"/>
          <w:szCs w:val="32"/>
          <w:highlight w:val="none"/>
        </w:rPr>
        <w:t>、其他材料</w:t>
      </w:r>
      <w:bookmarkEnd w:id="1112"/>
      <w:bookmarkEnd w:id="1113"/>
      <w:bookmarkEnd w:id="1114"/>
      <w:bookmarkEnd w:id="1115"/>
    </w:p>
    <w:p w14:paraId="2A2A4731">
      <w:pPr>
        <w:keepNext/>
        <w:keepLines/>
        <w:pageBreakBefore w:val="0"/>
        <w:widowControl w:val="0"/>
        <w:numPr>
          <w:ilvl w:val="3"/>
          <w:numId w:val="0"/>
        </w:numPr>
        <w:tabs>
          <w:tab w:val="left" w:pos="2712"/>
          <w:tab w:val="left" w:pos="4658"/>
          <w:tab w:val="left" w:pos="5157"/>
          <w:tab w:val="left" w:pos="6554"/>
        </w:tabs>
        <w:kinsoku/>
        <w:wordWrap/>
        <w:overflowPunct/>
        <w:topLinePunct w:val="0"/>
        <w:autoSpaceDE/>
        <w:autoSpaceDN/>
        <w:bidi w:val="0"/>
        <w:adjustRightInd/>
        <w:snapToGrid/>
        <w:spacing w:before="0" w:beforeLines="0" w:after="0" w:afterLines="0" w:line="360" w:lineRule="auto"/>
        <w:jc w:val="center"/>
        <w:textAlignment w:val="auto"/>
        <w:outlineLvl w:val="2"/>
        <w:rPr>
          <w:rFonts w:hint="eastAsia" w:asciiTheme="minorEastAsia" w:hAnsiTheme="minorEastAsia" w:eastAsiaTheme="minorEastAsia" w:cstheme="minorEastAsia"/>
          <w:b/>
          <w:bCs/>
          <w:color w:val="auto"/>
          <w:szCs w:val="21"/>
          <w:highlight w:val="none"/>
        </w:rPr>
      </w:pPr>
      <w:bookmarkStart w:id="1116" w:name="_Toc457469585"/>
      <w:r>
        <w:rPr>
          <w:rFonts w:hint="eastAsia" w:asciiTheme="minorEastAsia" w:hAnsiTheme="minorEastAsia" w:eastAsiaTheme="minorEastAsia" w:cstheme="minorEastAsia"/>
          <w:b/>
          <w:bCs/>
          <w:color w:val="auto"/>
          <w:sz w:val="24"/>
          <w:szCs w:val="24"/>
          <w:highlight w:val="none"/>
        </w:rPr>
        <w:t>1、反商业贿赂承诺书</w:t>
      </w:r>
      <w:bookmarkEnd w:id="1116"/>
    </w:p>
    <w:p w14:paraId="020A3D20">
      <w:pPr>
        <w:autoSpaceDE w:val="0"/>
        <w:autoSpaceDN w:val="0"/>
        <w:adjustRightInd w:val="0"/>
        <w:spacing w:line="360" w:lineRule="auto"/>
        <w:jc w:val="left"/>
        <w:rPr>
          <w:rFonts w:hint="eastAsia" w:asciiTheme="minorEastAsia" w:hAnsiTheme="minorEastAsia" w:eastAsiaTheme="minorEastAsia" w:cstheme="minorEastAsia"/>
          <w:color w:val="auto"/>
          <w:szCs w:val="21"/>
          <w:highlight w:val="none"/>
          <w:lang w:val="zh-CN"/>
        </w:rPr>
      </w:pPr>
      <w:r>
        <w:rPr>
          <w:rFonts w:hint="eastAsia" w:asciiTheme="minorEastAsia" w:hAnsiTheme="minorEastAsia" w:eastAsiaTheme="minorEastAsia" w:cstheme="minorEastAsia"/>
          <w:color w:val="auto"/>
          <w:szCs w:val="21"/>
          <w:highlight w:val="none"/>
          <w:lang w:val="zh-CN"/>
        </w:rPr>
        <w:t>我方承诺：</w:t>
      </w:r>
    </w:p>
    <w:p w14:paraId="2764ADB8">
      <w:pPr>
        <w:autoSpaceDE w:val="0"/>
        <w:autoSpaceDN w:val="0"/>
        <w:adjustRightInd w:val="0"/>
        <w:spacing w:line="360" w:lineRule="auto"/>
        <w:ind w:firstLine="630" w:firstLineChars="300"/>
        <w:jc w:val="left"/>
        <w:rPr>
          <w:rFonts w:hint="eastAsia" w:asciiTheme="minorEastAsia" w:hAnsiTheme="minorEastAsia" w:eastAsiaTheme="minorEastAsia" w:cstheme="minorEastAsia"/>
          <w:color w:val="auto"/>
          <w:szCs w:val="21"/>
          <w:highlight w:val="none"/>
          <w:lang w:val="zh-CN"/>
        </w:rPr>
      </w:pPr>
      <w:r>
        <w:rPr>
          <w:rFonts w:hint="eastAsia" w:asciiTheme="minorEastAsia" w:hAnsiTheme="minorEastAsia" w:eastAsiaTheme="minorEastAsia" w:cstheme="minorEastAsia"/>
          <w:color w:val="auto"/>
          <w:szCs w:val="21"/>
          <w:highlight w:val="none"/>
          <w:lang w:val="zh-CN"/>
        </w:rPr>
        <w:t>在</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zh-CN"/>
        </w:rPr>
        <w:t>（项目名称）</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zh-CN"/>
        </w:rPr>
        <w:t>（</w:t>
      </w:r>
      <w:r>
        <w:rPr>
          <w:rFonts w:hint="eastAsia" w:asciiTheme="minorEastAsia" w:hAnsiTheme="minorEastAsia" w:eastAsiaTheme="minorEastAsia" w:cstheme="minorEastAsia"/>
          <w:color w:val="auto"/>
          <w:szCs w:val="21"/>
          <w:highlight w:val="none"/>
          <w:u w:val="single"/>
          <w:lang w:val="en-US" w:eastAsia="zh-CN"/>
        </w:rPr>
        <w:t>采购</w:t>
      </w:r>
      <w:r>
        <w:rPr>
          <w:rFonts w:hint="eastAsia" w:asciiTheme="minorEastAsia" w:hAnsiTheme="minorEastAsia" w:eastAsiaTheme="minorEastAsia" w:cstheme="minorEastAsia"/>
          <w:color w:val="auto"/>
          <w:szCs w:val="21"/>
          <w:highlight w:val="none"/>
          <w:u w:val="single"/>
          <w:lang w:val="zh-CN"/>
        </w:rPr>
        <w:t>编号：  ）</w:t>
      </w:r>
      <w:r>
        <w:rPr>
          <w:rFonts w:hint="eastAsia" w:asciiTheme="minorEastAsia" w:hAnsiTheme="minorEastAsia" w:eastAsiaTheme="minorEastAsia" w:cstheme="minorEastAsia"/>
          <w:color w:val="auto"/>
          <w:szCs w:val="21"/>
          <w:highlight w:val="none"/>
          <w:lang w:val="zh-CN"/>
        </w:rPr>
        <w:t>磋商活动中，我方保证做到：</w:t>
      </w:r>
    </w:p>
    <w:p w14:paraId="3F3C6E04">
      <w:pPr>
        <w:keepNext w:val="0"/>
        <w:keepLines w:val="0"/>
        <w:pageBreakBefore w:val="0"/>
        <w:widowControl w:val="0"/>
        <w:kinsoku/>
        <w:wordWrap/>
        <w:overflowPunct/>
        <w:topLinePunct w:val="0"/>
        <w:autoSpaceDE w:val="0"/>
        <w:autoSpaceDN w:val="0"/>
        <w:bidi w:val="0"/>
        <w:adjustRightInd w:val="0"/>
        <w:snapToGrid/>
        <w:spacing w:line="360" w:lineRule="auto"/>
        <w:ind w:firstLine="630" w:firstLineChars="300"/>
        <w:jc w:val="left"/>
        <w:textAlignment w:val="auto"/>
        <w:outlineLvl w:val="9"/>
        <w:rPr>
          <w:rFonts w:hint="eastAsia" w:asciiTheme="minorEastAsia" w:hAnsiTheme="minorEastAsia" w:eastAsiaTheme="minorEastAsia" w:cstheme="minorEastAsia"/>
          <w:color w:val="auto"/>
          <w:szCs w:val="21"/>
          <w:highlight w:val="none"/>
          <w:lang w:val="zh-CN"/>
        </w:rPr>
      </w:pPr>
      <w:bookmarkStart w:id="1117" w:name="_Toc24408"/>
      <w:r>
        <w:rPr>
          <w:rFonts w:hint="eastAsia" w:asciiTheme="minorEastAsia" w:hAnsiTheme="minorEastAsia" w:eastAsiaTheme="minorEastAsia" w:cstheme="minorEastAsia"/>
          <w:color w:val="auto"/>
          <w:szCs w:val="21"/>
          <w:highlight w:val="none"/>
          <w:lang w:val="zh-CN"/>
        </w:rPr>
        <w:t>一、公平竞争参加本次磋商采购活动。</w:t>
      </w:r>
      <w:bookmarkEnd w:id="1117"/>
    </w:p>
    <w:p w14:paraId="295B27A3">
      <w:pPr>
        <w:autoSpaceDE w:val="0"/>
        <w:autoSpaceDN w:val="0"/>
        <w:adjustRightInd w:val="0"/>
        <w:spacing w:line="360" w:lineRule="auto"/>
        <w:ind w:firstLine="630" w:firstLineChars="300"/>
        <w:jc w:val="left"/>
        <w:rPr>
          <w:rFonts w:hint="eastAsia" w:asciiTheme="minorEastAsia" w:hAnsiTheme="minorEastAsia" w:eastAsiaTheme="minorEastAsia" w:cstheme="minorEastAsia"/>
          <w:color w:val="auto"/>
          <w:szCs w:val="21"/>
          <w:highlight w:val="none"/>
          <w:lang w:val="zh-CN"/>
        </w:rPr>
      </w:pPr>
      <w:r>
        <w:rPr>
          <w:rFonts w:hint="eastAsia" w:asciiTheme="minorEastAsia" w:hAnsiTheme="minorEastAsia" w:eastAsiaTheme="minorEastAsia" w:cstheme="minorEastAsia"/>
          <w:color w:val="auto"/>
          <w:szCs w:val="21"/>
          <w:highlight w:val="none"/>
          <w:lang w:val="zh-CN"/>
        </w:rPr>
        <w:t>二、杜绝任何形式的商业贿赂行为。不向国家工作人员、政府采购代理机构工作人员、评审专家及其亲属提供礼品礼金、有价证券、购物券、回扣、佣金、咨询费、劳务费、赞助费、宣传费、宴请等；不为其报销各种消费凭证，不支付其旅游、娱乐等费用。</w:t>
      </w:r>
    </w:p>
    <w:p w14:paraId="2E6594AE">
      <w:pPr>
        <w:autoSpaceDE w:val="0"/>
        <w:autoSpaceDN w:val="0"/>
        <w:adjustRightInd w:val="0"/>
        <w:spacing w:line="360" w:lineRule="auto"/>
        <w:ind w:firstLine="630" w:firstLineChars="300"/>
        <w:jc w:val="left"/>
        <w:rPr>
          <w:rFonts w:hint="eastAsia" w:asciiTheme="minorEastAsia" w:hAnsiTheme="minorEastAsia" w:eastAsiaTheme="minorEastAsia" w:cstheme="minorEastAsia"/>
          <w:color w:val="auto"/>
          <w:szCs w:val="21"/>
          <w:highlight w:val="none"/>
          <w:lang w:val="zh-CN"/>
        </w:rPr>
      </w:pPr>
      <w:r>
        <w:rPr>
          <w:rFonts w:hint="eastAsia" w:asciiTheme="minorEastAsia" w:hAnsiTheme="minorEastAsia" w:eastAsiaTheme="minorEastAsia" w:cstheme="minorEastAsia"/>
          <w:color w:val="auto"/>
          <w:szCs w:val="21"/>
          <w:highlight w:val="none"/>
          <w:lang w:val="zh-CN"/>
        </w:rPr>
        <w:t>三、</w:t>
      </w:r>
      <w:r>
        <w:rPr>
          <w:rFonts w:hint="eastAsia" w:asciiTheme="minorEastAsia" w:hAnsiTheme="minorEastAsia" w:eastAsiaTheme="minorEastAsia" w:cstheme="minorEastAsia"/>
          <w:color w:val="auto"/>
          <w:spacing w:val="-6"/>
          <w:sz w:val="21"/>
          <w:szCs w:val="21"/>
          <w:highlight w:val="none"/>
          <w:lang w:val="zh-CN"/>
        </w:rPr>
        <w:t>若出现上述行为，我方及参与投标的工作人员愿意接受按照国家法律法规等有关规定给予的处罚。</w:t>
      </w:r>
    </w:p>
    <w:p w14:paraId="42099006">
      <w:pPr>
        <w:spacing w:line="360" w:lineRule="auto"/>
        <w:ind w:left="645"/>
        <w:outlineLvl w:val="9"/>
        <w:rPr>
          <w:rFonts w:hint="eastAsia" w:asciiTheme="minorEastAsia" w:hAnsiTheme="minorEastAsia" w:eastAsiaTheme="minorEastAsia" w:cstheme="minorEastAsia"/>
          <w:color w:val="auto"/>
          <w:szCs w:val="21"/>
          <w:highlight w:val="none"/>
        </w:rPr>
      </w:pPr>
    </w:p>
    <w:p w14:paraId="05BB4E48">
      <w:pPr>
        <w:spacing w:line="360" w:lineRule="auto"/>
        <w:ind w:left="645"/>
        <w:outlineLvl w:val="9"/>
        <w:rPr>
          <w:rFonts w:hint="eastAsia" w:asciiTheme="minorEastAsia" w:hAnsiTheme="minorEastAsia" w:eastAsiaTheme="minorEastAsia" w:cstheme="minorEastAsia"/>
          <w:color w:val="auto"/>
          <w:szCs w:val="21"/>
          <w:highlight w:val="none"/>
        </w:rPr>
      </w:pPr>
    </w:p>
    <w:p w14:paraId="0728BB9A">
      <w:pPr>
        <w:spacing w:line="360" w:lineRule="auto"/>
        <w:ind w:left="645"/>
        <w:outlineLvl w:val="9"/>
        <w:rPr>
          <w:rFonts w:hint="eastAsia" w:asciiTheme="minorEastAsia" w:hAnsiTheme="minorEastAsia" w:eastAsiaTheme="minorEastAsia" w:cstheme="minorEastAsia"/>
          <w:color w:val="auto"/>
          <w:szCs w:val="21"/>
          <w:highlight w:val="none"/>
        </w:rPr>
      </w:pPr>
    </w:p>
    <w:p w14:paraId="2CEB199C">
      <w:pPr>
        <w:spacing w:line="360" w:lineRule="auto"/>
        <w:ind w:left="645"/>
        <w:outlineLvl w:val="9"/>
        <w:rPr>
          <w:rFonts w:hint="eastAsia" w:asciiTheme="minorEastAsia" w:hAnsiTheme="minorEastAsia" w:eastAsiaTheme="minorEastAsia" w:cstheme="minorEastAsia"/>
          <w:color w:val="auto"/>
          <w:szCs w:val="21"/>
          <w:highlight w:val="none"/>
        </w:rPr>
      </w:pPr>
    </w:p>
    <w:p w14:paraId="5642E17F">
      <w:pPr>
        <w:spacing w:line="360" w:lineRule="auto"/>
        <w:outlineLvl w:val="9"/>
        <w:rPr>
          <w:rFonts w:hint="eastAsia" w:asciiTheme="minorEastAsia" w:hAnsiTheme="minorEastAsia" w:eastAsiaTheme="minorEastAsia" w:cstheme="minorEastAsia"/>
          <w:color w:val="auto"/>
          <w:szCs w:val="21"/>
          <w:highlight w:val="none"/>
        </w:rPr>
      </w:pPr>
    </w:p>
    <w:p w14:paraId="450A0CAE">
      <w:pPr>
        <w:pStyle w:val="18"/>
        <w:keepNext w:val="0"/>
        <w:keepLines w:val="0"/>
        <w:pageBreakBefore w:val="0"/>
        <w:widowControl w:val="0"/>
        <w:kinsoku/>
        <w:wordWrap/>
        <w:overflowPunct/>
        <w:topLinePunct w:val="0"/>
        <w:autoSpaceDE/>
        <w:autoSpaceDN/>
        <w:bidi w:val="0"/>
        <w:adjustRightInd/>
        <w:snapToGrid/>
        <w:spacing w:line="360" w:lineRule="auto"/>
        <w:ind w:left="0" w:leftChars="0" w:firstLine="4620" w:firstLineChars="2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应</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商：</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（单位电子签章）</w:t>
      </w:r>
    </w:p>
    <w:p w14:paraId="0B8A1279">
      <w:pPr>
        <w:pStyle w:val="18"/>
        <w:keepNext w:val="0"/>
        <w:keepLines w:val="0"/>
        <w:pageBreakBefore w:val="0"/>
        <w:widowControl w:val="0"/>
        <w:kinsoku/>
        <w:wordWrap/>
        <w:overflowPunct/>
        <w:topLinePunct w:val="0"/>
        <w:autoSpaceDE/>
        <w:autoSpaceDN/>
        <w:bidi w:val="0"/>
        <w:adjustRightInd/>
        <w:snapToGrid/>
        <w:spacing w:line="360" w:lineRule="auto"/>
        <w:ind w:left="0" w:leftChars="0" w:firstLine="4620" w:firstLineChars="2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（电子签名或盖章）</w:t>
      </w:r>
    </w:p>
    <w:p w14:paraId="19A708E0">
      <w:pPr>
        <w:keepNext w:val="0"/>
        <w:keepLines w:val="0"/>
        <w:pageBreakBefore w:val="0"/>
        <w:widowControl w:val="0"/>
        <w:kinsoku/>
        <w:wordWrap/>
        <w:overflowPunct/>
        <w:topLinePunct w:val="0"/>
        <w:autoSpaceDE/>
        <w:autoSpaceDN/>
        <w:bidi w:val="0"/>
        <w:adjustRightInd/>
        <w:snapToGrid/>
        <w:spacing w:line="360" w:lineRule="auto"/>
        <w:ind w:left="0" w:leftChars="0" w:firstLine="4620" w:firstLineChars="2200"/>
        <w:textAlignment w:val="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2"/>
          <w:sz w:val="21"/>
          <w:szCs w:val="21"/>
          <w:highlight w:val="none"/>
          <w:lang w:val="en-US" w:eastAsia="zh-CN" w:bidi="ar-SA"/>
        </w:rPr>
        <w:t>日    期：</w:t>
      </w:r>
      <w:r>
        <w:rPr>
          <w:rFonts w:hint="eastAsia" w:asciiTheme="minorEastAsia" w:hAnsiTheme="minorEastAsia" w:eastAsiaTheme="minorEastAsia" w:cstheme="minorEastAsia"/>
          <w:color w:val="auto"/>
          <w:kern w:val="2"/>
          <w:sz w:val="21"/>
          <w:szCs w:val="21"/>
          <w:highlight w:val="none"/>
          <w:u w:val="single"/>
          <w:lang w:val="en-US" w:eastAsia="zh-CN" w:bidi="ar-SA"/>
        </w:rPr>
        <w:t xml:space="preserve">      </w:t>
      </w:r>
      <w:r>
        <w:rPr>
          <w:rFonts w:hint="eastAsia" w:asciiTheme="minorEastAsia" w:hAnsiTheme="minorEastAsia" w:eastAsiaTheme="minorEastAsia" w:cstheme="minorEastAsia"/>
          <w:color w:val="auto"/>
          <w:kern w:val="2"/>
          <w:sz w:val="21"/>
          <w:szCs w:val="21"/>
          <w:highlight w:val="none"/>
          <w:lang w:val="en-US" w:eastAsia="zh-CN" w:bidi="ar-SA"/>
        </w:rPr>
        <w:t>年</w:t>
      </w:r>
      <w:r>
        <w:rPr>
          <w:rFonts w:hint="eastAsia" w:asciiTheme="minorEastAsia" w:hAnsiTheme="minorEastAsia" w:eastAsiaTheme="minorEastAsia" w:cstheme="minorEastAsia"/>
          <w:color w:val="auto"/>
          <w:kern w:val="2"/>
          <w:sz w:val="21"/>
          <w:szCs w:val="21"/>
          <w:highlight w:val="none"/>
          <w:u w:val="single"/>
          <w:lang w:val="en-US" w:eastAsia="zh-CN" w:bidi="ar-SA"/>
        </w:rPr>
        <w:t xml:space="preserve">     </w:t>
      </w:r>
      <w:r>
        <w:rPr>
          <w:rFonts w:hint="eastAsia" w:asciiTheme="minorEastAsia" w:hAnsiTheme="minorEastAsia" w:eastAsiaTheme="minorEastAsia" w:cstheme="minorEastAsia"/>
          <w:color w:val="auto"/>
          <w:kern w:val="2"/>
          <w:sz w:val="21"/>
          <w:szCs w:val="21"/>
          <w:highlight w:val="none"/>
          <w:lang w:val="en-US" w:eastAsia="zh-CN" w:bidi="ar-SA"/>
        </w:rPr>
        <w:t>月</w:t>
      </w:r>
      <w:r>
        <w:rPr>
          <w:rFonts w:hint="eastAsia" w:asciiTheme="minorEastAsia" w:hAnsiTheme="minorEastAsia" w:eastAsiaTheme="minorEastAsia" w:cstheme="minorEastAsia"/>
          <w:color w:val="auto"/>
          <w:kern w:val="2"/>
          <w:sz w:val="21"/>
          <w:szCs w:val="21"/>
          <w:highlight w:val="none"/>
          <w:u w:val="single"/>
          <w:lang w:val="en-US" w:eastAsia="zh-CN" w:bidi="ar-SA"/>
        </w:rPr>
        <w:t xml:space="preserve">     </w:t>
      </w:r>
      <w:r>
        <w:rPr>
          <w:rFonts w:hint="eastAsia" w:asciiTheme="minorEastAsia" w:hAnsiTheme="minorEastAsia" w:eastAsiaTheme="minorEastAsia" w:cstheme="minorEastAsia"/>
          <w:color w:val="auto"/>
          <w:kern w:val="2"/>
          <w:sz w:val="21"/>
          <w:szCs w:val="21"/>
          <w:highlight w:val="none"/>
          <w:lang w:val="en-US" w:eastAsia="zh-CN" w:bidi="ar-SA"/>
        </w:rPr>
        <w:t>日</w:t>
      </w:r>
    </w:p>
    <w:p w14:paraId="2879D201">
      <w:pPr>
        <w:spacing w:line="360" w:lineRule="auto"/>
        <w:ind w:left="645"/>
        <w:outlineLvl w:val="9"/>
        <w:rPr>
          <w:rFonts w:hint="eastAsia" w:asciiTheme="minorEastAsia" w:hAnsiTheme="minorEastAsia" w:eastAsiaTheme="minorEastAsia" w:cstheme="minorEastAsia"/>
          <w:color w:val="auto"/>
          <w:szCs w:val="21"/>
          <w:highlight w:val="none"/>
        </w:rPr>
      </w:pPr>
    </w:p>
    <w:p w14:paraId="1B327369">
      <w:pPr>
        <w:pStyle w:val="29"/>
        <w:ind w:firstLine="210"/>
        <w:rPr>
          <w:rFonts w:hint="eastAsia" w:asciiTheme="minorEastAsia" w:hAnsiTheme="minorEastAsia" w:eastAsiaTheme="minorEastAsia" w:cstheme="minorEastAsia"/>
          <w:color w:val="auto"/>
          <w:szCs w:val="21"/>
          <w:highlight w:val="none"/>
        </w:rPr>
      </w:pPr>
    </w:p>
    <w:p w14:paraId="13660E7F">
      <w:pPr>
        <w:pStyle w:val="29"/>
        <w:ind w:firstLine="210"/>
        <w:rPr>
          <w:rFonts w:hint="eastAsia" w:asciiTheme="minorEastAsia" w:hAnsiTheme="minorEastAsia" w:eastAsiaTheme="minorEastAsia" w:cstheme="minorEastAsia"/>
          <w:color w:val="auto"/>
          <w:szCs w:val="21"/>
          <w:highlight w:val="none"/>
        </w:rPr>
      </w:pPr>
    </w:p>
    <w:p w14:paraId="10FB880A">
      <w:pPr>
        <w:pStyle w:val="29"/>
        <w:ind w:firstLine="0" w:firstLineChars="0"/>
        <w:rPr>
          <w:rFonts w:hint="eastAsia" w:asciiTheme="minorEastAsia" w:hAnsiTheme="minorEastAsia" w:eastAsiaTheme="minorEastAsia" w:cstheme="minorEastAsia"/>
          <w:color w:val="auto"/>
          <w:szCs w:val="21"/>
          <w:highlight w:val="none"/>
        </w:rPr>
      </w:pPr>
    </w:p>
    <w:p w14:paraId="53997DB9">
      <w:pPr>
        <w:pStyle w:val="8"/>
        <w:numPr>
          <w:ilvl w:val="3"/>
          <w:numId w:val="0"/>
        </w:numPr>
        <w:spacing w:before="0" w:beforeLines="0" w:after="0" w:afterLines="0" w:line="360" w:lineRule="auto"/>
        <w:jc w:val="center"/>
        <w:rPr>
          <w:rFonts w:hint="eastAsia" w:asciiTheme="minorEastAsia" w:hAnsiTheme="minorEastAsia" w:eastAsiaTheme="minorEastAsia" w:cstheme="minorEastAsia"/>
          <w:b/>
          <w:bCs/>
          <w:color w:val="auto"/>
          <w:sz w:val="24"/>
          <w:szCs w:val="24"/>
          <w:highlight w:val="none"/>
        </w:rPr>
        <w:sectPr>
          <w:pgSz w:w="11905" w:h="16838"/>
          <w:pgMar w:top="1134" w:right="1417" w:bottom="1417" w:left="1417" w:header="850" w:footer="850" w:gutter="0"/>
          <w:pgBorders>
            <w:top w:val="none" w:sz="0" w:space="0"/>
            <w:left w:val="none" w:sz="0" w:space="0"/>
            <w:bottom w:val="none" w:sz="0" w:space="0"/>
            <w:right w:val="none" w:sz="0" w:space="0"/>
          </w:pgBorders>
          <w:pgNumType w:fmt="decimal"/>
          <w:cols w:space="0" w:num="1"/>
          <w:rtlGutter w:val="0"/>
          <w:docGrid w:type="lines" w:linePitch="317" w:charSpace="0"/>
        </w:sectPr>
      </w:pPr>
      <w:bookmarkStart w:id="1118" w:name="_Toc525210051"/>
      <w:bookmarkStart w:id="1119" w:name="_Toc523494085"/>
    </w:p>
    <w:p w14:paraId="4BD3D7C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after="120" w:afterLines="50" w:line="520" w:lineRule="exact"/>
        <w:jc w:val="center"/>
        <w:textAlignment w:val="auto"/>
        <w:outlineLvl w:val="2"/>
        <w:rPr>
          <w:rFonts w:hint="eastAsia" w:ascii="宋体" w:hAnsi="宋体" w:eastAsia="宋体" w:cs="宋体"/>
          <w:b/>
          <w:color w:val="000000"/>
          <w:sz w:val="24"/>
          <w:szCs w:val="24"/>
          <w:highlight w:val="none"/>
          <w:shd w:val="clear" w:color="auto" w:fill="FFFFFF"/>
        </w:rPr>
      </w:pPr>
      <w:r>
        <w:rPr>
          <w:rFonts w:hint="eastAsia" w:asciiTheme="minorEastAsia" w:hAnsiTheme="minorEastAsia" w:eastAsiaTheme="minorEastAsia" w:cstheme="minorEastAsia"/>
          <w:b/>
          <w:bCs/>
          <w:color w:val="auto"/>
          <w:sz w:val="24"/>
          <w:szCs w:val="24"/>
          <w:highlight w:val="none"/>
        </w:rPr>
        <w:t>2、</w:t>
      </w:r>
      <w:bookmarkEnd w:id="1118"/>
      <w:bookmarkEnd w:id="1119"/>
      <w:r>
        <w:rPr>
          <w:rFonts w:hint="eastAsia" w:ascii="宋体" w:hAnsi="宋体" w:eastAsia="宋体" w:cs="宋体"/>
          <w:b/>
          <w:color w:val="000000"/>
          <w:sz w:val="24"/>
          <w:szCs w:val="24"/>
          <w:highlight w:val="none"/>
          <w:shd w:val="clear" w:color="auto" w:fill="FFFFFF"/>
        </w:rPr>
        <w:drawing>
          <wp:anchor distT="0" distB="0" distL="114300" distR="114300" simplePos="0" relativeHeight="251661312" behindDoc="1" locked="0" layoutInCell="1" allowOverlap="1">
            <wp:simplePos x="0" y="0"/>
            <wp:positionH relativeFrom="page">
              <wp:posOffset>-12700</wp:posOffset>
            </wp:positionH>
            <wp:positionV relativeFrom="page">
              <wp:posOffset>10668000</wp:posOffset>
            </wp:positionV>
            <wp:extent cx="38100" cy="38100"/>
            <wp:effectExtent l="0" t="0" r="13335" b="13335"/>
            <wp:wrapNone/>
            <wp:docPr id="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pic:cNvPicPr>
                      <a:picLocks noChangeAspect="1"/>
                    </pic:cNvPicPr>
                  </pic:nvPicPr>
                  <pic:blipFill>
                    <a:blip r:embed="rId10"/>
                    <a:stretch>
                      <a:fillRect/>
                    </a:stretch>
                  </pic:blipFill>
                  <pic:spPr>
                    <a:xfrm>
                      <a:off x="0" y="0"/>
                      <a:ext cx="38100" cy="38100"/>
                    </a:xfrm>
                    <a:prstGeom prst="rect">
                      <a:avLst/>
                    </a:prstGeom>
                    <a:noFill/>
                    <a:ln>
                      <a:noFill/>
                    </a:ln>
                  </pic:spPr>
                </pic:pic>
              </a:graphicData>
            </a:graphic>
          </wp:anchor>
        </w:drawing>
      </w:r>
      <w:r>
        <w:rPr>
          <w:rFonts w:hint="eastAsia" w:ascii="宋体" w:hAnsi="宋体" w:eastAsia="宋体" w:cs="宋体"/>
          <w:b/>
          <w:color w:val="000000"/>
          <w:sz w:val="24"/>
          <w:szCs w:val="24"/>
          <w:highlight w:val="none"/>
          <w:shd w:val="clear" w:color="auto" w:fill="FFFFFF"/>
        </w:rPr>
        <w:t>中小企业声明函（服务）</w:t>
      </w:r>
    </w:p>
    <w:p w14:paraId="553AD0DC">
      <w:pPr>
        <w:spacing w:line="360" w:lineRule="auto"/>
        <w:jc w:val="left"/>
        <w:rPr>
          <w:rFonts w:hint="eastAsia" w:ascii="宋体" w:hAnsi="宋体" w:eastAsia="宋体" w:cs="宋体"/>
          <w:color w:val="000000"/>
          <w:sz w:val="21"/>
          <w:szCs w:val="21"/>
        </w:rPr>
      </w:pPr>
    </w:p>
    <w:p w14:paraId="6E1B042A">
      <w:pPr>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本公司（联合体）郑重声明，根据《政府采购促进中小企业发展管理办法》（财库﹝2020﹞46 号）的规定，本公司（联合体）参加</w:t>
      </w:r>
      <w:r>
        <w:rPr>
          <w:rFonts w:hint="eastAsia" w:ascii="宋体" w:hAnsi="宋体" w:eastAsia="宋体" w:cs="宋体"/>
          <w:color w:val="000000"/>
          <w:sz w:val="21"/>
          <w:szCs w:val="21"/>
          <w:u w:val="single"/>
        </w:rPr>
        <w:t>（单位名称）</w:t>
      </w:r>
      <w:r>
        <w:rPr>
          <w:rFonts w:hint="eastAsia" w:ascii="宋体" w:hAnsi="宋体" w:eastAsia="宋体" w:cs="宋体"/>
          <w:color w:val="000000"/>
          <w:sz w:val="21"/>
          <w:szCs w:val="21"/>
        </w:rPr>
        <w:t>的</w:t>
      </w:r>
      <w:r>
        <w:rPr>
          <w:rFonts w:hint="eastAsia" w:ascii="宋体" w:hAnsi="宋体" w:eastAsia="宋体" w:cs="宋体"/>
          <w:color w:val="000000"/>
          <w:sz w:val="21"/>
          <w:szCs w:val="21"/>
          <w:u w:val="single"/>
        </w:rPr>
        <w:t>（项目名称）</w:t>
      </w:r>
      <w:r>
        <w:rPr>
          <w:rFonts w:hint="eastAsia" w:ascii="宋体" w:hAnsi="宋体" w:eastAsia="宋体" w:cs="宋体"/>
          <w:color w:val="000000"/>
          <w:sz w:val="21"/>
          <w:szCs w:val="21"/>
        </w:rPr>
        <w:t>采购活动，服务全部由符合政策要求的中小企业承接。相关企业（含联合体中的中小企业、签订分包意向协议的中小企业）的具体情况如下：</w:t>
      </w:r>
    </w:p>
    <w:p w14:paraId="27AA678C">
      <w:pPr>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 </w:t>
      </w:r>
      <w:r>
        <w:rPr>
          <w:rFonts w:hint="eastAsia" w:ascii="宋体" w:hAnsi="宋体" w:eastAsia="宋体" w:cs="宋体"/>
          <w:color w:val="000000"/>
          <w:sz w:val="21"/>
          <w:szCs w:val="21"/>
          <w:u w:val="single"/>
        </w:rPr>
        <w:t xml:space="preserve">（标的名称） </w:t>
      </w:r>
      <w:r>
        <w:rPr>
          <w:rFonts w:hint="eastAsia" w:ascii="宋体" w:hAnsi="宋体" w:eastAsia="宋体" w:cs="宋体"/>
          <w:color w:val="000000"/>
          <w:sz w:val="21"/>
          <w:szCs w:val="21"/>
        </w:rPr>
        <w:t>，属于（</w:t>
      </w:r>
      <w:r>
        <w:rPr>
          <w:rFonts w:hint="eastAsia" w:ascii="宋体" w:hAnsi="宋体" w:eastAsia="宋体" w:cs="宋体"/>
          <w:color w:val="000000"/>
          <w:sz w:val="21"/>
          <w:szCs w:val="21"/>
          <w:u w:val="single"/>
        </w:rPr>
        <w:t>采购文件中明确的所属行业</w:t>
      </w:r>
      <w:r>
        <w:rPr>
          <w:rFonts w:hint="eastAsia" w:ascii="宋体" w:hAnsi="宋体" w:eastAsia="宋体" w:cs="宋体"/>
          <w:color w:val="000000"/>
          <w:sz w:val="21"/>
          <w:szCs w:val="21"/>
        </w:rPr>
        <w:t>）；承接企业为</w:t>
      </w:r>
      <w:r>
        <w:rPr>
          <w:rFonts w:hint="eastAsia" w:ascii="宋体" w:hAnsi="宋体" w:eastAsia="宋体" w:cs="宋体"/>
          <w:color w:val="000000"/>
          <w:sz w:val="21"/>
          <w:szCs w:val="21"/>
          <w:u w:val="single"/>
        </w:rPr>
        <w:t>（企业名称</w:t>
      </w:r>
      <w:r>
        <w:rPr>
          <w:rFonts w:hint="eastAsia" w:ascii="宋体" w:hAnsi="宋体" w:eastAsia="宋体" w:cs="宋体"/>
          <w:color w:val="000000"/>
          <w:sz w:val="21"/>
          <w:szCs w:val="21"/>
        </w:rPr>
        <w:t>），从业人员</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人，营业收入为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万元，资产总额为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万元</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HYPERLINK  \l "br10"</w:instrText>
      </w:r>
      <w:r>
        <w:rPr>
          <w:rFonts w:hint="eastAsia" w:ascii="宋体" w:hAnsi="宋体" w:eastAsia="宋体" w:cs="宋体"/>
          <w:sz w:val="21"/>
          <w:szCs w:val="21"/>
        </w:rPr>
        <w:fldChar w:fldCharType="separate"/>
      </w:r>
      <w:r>
        <w:rPr>
          <w:rFonts w:hint="eastAsia" w:ascii="宋体" w:hAnsi="宋体" w:eastAsia="宋体" w:cs="宋体"/>
          <w:color w:val="000000"/>
          <w:sz w:val="21"/>
          <w:szCs w:val="21"/>
          <w:vertAlign w:val="superscript"/>
        </w:rPr>
        <w:t>1</w:t>
      </w:r>
      <w:r>
        <w:rPr>
          <w:rFonts w:hint="eastAsia" w:ascii="宋体" w:hAnsi="宋体" w:eastAsia="宋体" w:cs="宋体"/>
          <w:sz w:val="21"/>
          <w:szCs w:val="21"/>
        </w:rPr>
        <w:fldChar w:fldCharType="end"/>
      </w:r>
      <w:r>
        <w:rPr>
          <w:rFonts w:hint="eastAsia" w:ascii="宋体" w:hAnsi="宋体" w:eastAsia="宋体" w:cs="宋体"/>
          <w:color w:val="000000"/>
          <w:sz w:val="21"/>
          <w:szCs w:val="21"/>
        </w:rPr>
        <w:t>，属于</w:t>
      </w:r>
      <w:r>
        <w:rPr>
          <w:rFonts w:hint="eastAsia" w:ascii="宋体" w:hAnsi="宋体" w:eastAsia="宋体" w:cs="宋体"/>
          <w:color w:val="000000"/>
          <w:sz w:val="21"/>
          <w:szCs w:val="21"/>
          <w:u w:val="single"/>
        </w:rPr>
        <w:t>（中型企业、小型企业、微型企业</w:t>
      </w:r>
      <w:r>
        <w:rPr>
          <w:rFonts w:hint="eastAsia" w:ascii="宋体" w:hAnsi="宋体" w:eastAsia="宋体" w:cs="宋体"/>
          <w:color w:val="000000"/>
          <w:sz w:val="21"/>
          <w:szCs w:val="21"/>
        </w:rPr>
        <w:t>）；</w:t>
      </w:r>
    </w:p>
    <w:p w14:paraId="3E327EB3">
      <w:pPr>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2. </w:t>
      </w:r>
      <w:r>
        <w:rPr>
          <w:rFonts w:hint="eastAsia" w:ascii="宋体" w:hAnsi="宋体" w:eastAsia="宋体" w:cs="宋体"/>
          <w:color w:val="000000"/>
          <w:sz w:val="21"/>
          <w:szCs w:val="21"/>
          <w:u w:val="single"/>
        </w:rPr>
        <w:t xml:space="preserve">（标的名称） </w:t>
      </w:r>
      <w:r>
        <w:rPr>
          <w:rFonts w:hint="eastAsia" w:ascii="宋体" w:hAnsi="宋体" w:eastAsia="宋体" w:cs="宋体"/>
          <w:color w:val="000000"/>
          <w:sz w:val="21"/>
          <w:szCs w:val="21"/>
        </w:rPr>
        <w:t>，属于（</w:t>
      </w:r>
      <w:r>
        <w:rPr>
          <w:rFonts w:hint="eastAsia" w:ascii="宋体" w:hAnsi="宋体" w:eastAsia="宋体" w:cs="宋体"/>
          <w:color w:val="000000"/>
          <w:sz w:val="21"/>
          <w:szCs w:val="21"/>
          <w:u w:val="single"/>
        </w:rPr>
        <w:t>采购文件中明确的所属行业</w:t>
      </w:r>
      <w:r>
        <w:rPr>
          <w:rFonts w:hint="eastAsia" w:ascii="宋体" w:hAnsi="宋体" w:eastAsia="宋体" w:cs="宋体"/>
          <w:color w:val="000000"/>
          <w:sz w:val="21"/>
          <w:szCs w:val="21"/>
        </w:rPr>
        <w:t>）；承接企业为</w:t>
      </w:r>
      <w:r>
        <w:rPr>
          <w:rFonts w:hint="eastAsia" w:ascii="宋体" w:hAnsi="宋体" w:eastAsia="宋体" w:cs="宋体"/>
          <w:color w:val="000000"/>
          <w:sz w:val="21"/>
          <w:szCs w:val="21"/>
          <w:u w:val="single"/>
        </w:rPr>
        <w:t>（企业名称</w:t>
      </w:r>
      <w:r>
        <w:rPr>
          <w:rFonts w:hint="eastAsia" w:ascii="宋体" w:hAnsi="宋体" w:eastAsia="宋体" w:cs="宋体"/>
          <w:color w:val="000000"/>
          <w:sz w:val="21"/>
          <w:szCs w:val="21"/>
        </w:rPr>
        <w:t>），从业人员</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人，营业收入为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万元，资产总额为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万元，属于</w:t>
      </w:r>
      <w:r>
        <w:rPr>
          <w:rFonts w:hint="eastAsia" w:ascii="宋体" w:hAnsi="宋体" w:eastAsia="宋体" w:cs="宋体"/>
          <w:color w:val="000000"/>
          <w:sz w:val="21"/>
          <w:szCs w:val="21"/>
          <w:u w:val="single"/>
        </w:rPr>
        <w:t>（中型企业、小型企业、微型企业</w:t>
      </w:r>
      <w:r>
        <w:rPr>
          <w:rFonts w:hint="eastAsia" w:ascii="宋体" w:hAnsi="宋体" w:eastAsia="宋体" w:cs="宋体"/>
          <w:color w:val="000000"/>
          <w:sz w:val="21"/>
          <w:szCs w:val="21"/>
        </w:rPr>
        <w:t>）；……</w:t>
      </w:r>
    </w:p>
    <w:p w14:paraId="78760376">
      <w:pPr>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以上企业，不属于大企业的分支机构，不存在控股股东为大企业的情形，也不存在与大企业的负责人为同一人的情形。</w:t>
      </w:r>
    </w:p>
    <w:p w14:paraId="68E6754D">
      <w:pPr>
        <w:spacing w:line="360" w:lineRule="auto"/>
        <w:jc w:val="left"/>
        <w:rPr>
          <w:rFonts w:hint="eastAsia" w:ascii="宋体" w:hAnsi="宋体" w:eastAsia="宋体" w:cs="宋体"/>
          <w:color w:val="000000"/>
          <w:sz w:val="21"/>
          <w:szCs w:val="21"/>
        </w:rPr>
      </w:pPr>
    </w:p>
    <w:p w14:paraId="5AE95BF3">
      <w:pPr>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本企业对上述声明内容的真实性负责。如有虚假，将依法承担相应责任。</w:t>
      </w:r>
    </w:p>
    <w:p w14:paraId="2CAA8E94">
      <w:pPr>
        <w:spacing w:line="360" w:lineRule="auto"/>
        <w:jc w:val="left"/>
        <w:rPr>
          <w:rFonts w:hint="eastAsia" w:ascii="宋体" w:hAnsi="宋体" w:eastAsia="宋体" w:cs="宋体"/>
          <w:color w:val="000000"/>
          <w:sz w:val="21"/>
          <w:szCs w:val="21"/>
        </w:rPr>
      </w:pPr>
    </w:p>
    <w:p w14:paraId="28B7A054">
      <w:p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企业名称（盖章）：</w:t>
      </w:r>
    </w:p>
    <w:p w14:paraId="60115E26">
      <w:p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日 期：</w:t>
      </w:r>
    </w:p>
    <w:p w14:paraId="60B0C6BE">
      <w:pPr>
        <w:spacing w:line="360" w:lineRule="auto"/>
        <w:jc w:val="left"/>
        <w:rPr>
          <w:rFonts w:hint="eastAsia" w:ascii="宋体" w:hAnsi="宋体" w:eastAsia="宋体" w:cs="宋体"/>
          <w:color w:val="000000"/>
          <w:sz w:val="21"/>
          <w:szCs w:val="21"/>
          <w:vertAlign w:val="superscript"/>
        </w:rPr>
      </w:pPr>
    </w:p>
    <w:p w14:paraId="5A9E217C">
      <w:pPr>
        <w:widowControl w:val="0"/>
        <w:spacing w:after="120" w:line="360" w:lineRule="auto"/>
        <w:ind w:left="0" w:leftChars="0" w:firstLine="0" w:firstLineChars="0"/>
        <w:jc w:val="both"/>
        <w:rPr>
          <w:rFonts w:hint="eastAsia" w:ascii="宋体" w:hAnsi="宋体" w:eastAsia="宋体" w:cs="宋体"/>
          <w:kern w:val="2"/>
          <w:sz w:val="21"/>
          <w:szCs w:val="21"/>
          <w:lang w:val="en-US" w:eastAsia="zh-CN" w:bidi="ar-SA"/>
        </w:rPr>
      </w:pPr>
      <w:r>
        <w:rPr>
          <w:rFonts w:hint="eastAsia" w:ascii="宋体" w:hAnsi="宋体" w:eastAsia="宋体" w:cs="宋体"/>
          <w:b/>
          <w:kern w:val="2"/>
          <w:sz w:val="21"/>
          <w:szCs w:val="21"/>
          <w:lang w:val="en-US" w:eastAsia="zh-CN" w:bidi="ar-SA"/>
        </w:rPr>
        <w:t>说明：</w:t>
      </w:r>
      <w:r>
        <w:rPr>
          <w:rFonts w:hint="eastAsia" w:ascii="宋体" w:hAnsi="宋体" w:eastAsia="宋体" w:cs="宋体"/>
          <w:kern w:val="2"/>
          <w:sz w:val="21"/>
          <w:szCs w:val="21"/>
          <w:lang w:val="en-US" w:eastAsia="zh-CN" w:bidi="ar-SA"/>
        </w:rPr>
        <w:t>1. 从业人员、营业收入、资产总额填报上一年度数据，无上一年度数据的新成立企业可不填报。</w:t>
      </w:r>
    </w:p>
    <w:p w14:paraId="2008751A">
      <w:pPr>
        <w:spacing w:line="360" w:lineRule="auto"/>
        <w:ind w:firstLine="632" w:firstLineChars="300"/>
        <w:rPr>
          <w:rFonts w:hint="eastAsia" w:ascii="宋体" w:hAnsi="宋体" w:eastAsia="宋体" w:cs="宋体"/>
          <w:b/>
          <w:bCs/>
          <w:kern w:val="0"/>
          <w:sz w:val="21"/>
          <w:szCs w:val="21"/>
          <w:lang w:val="en-US" w:eastAsia="zh-CN"/>
        </w:rPr>
      </w:pPr>
      <w:r>
        <w:rPr>
          <w:rFonts w:hint="eastAsia" w:ascii="宋体" w:hAnsi="宋体" w:eastAsia="宋体" w:cs="宋体"/>
          <w:b/>
          <w:sz w:val="21"/>
          <w:szCs w:val="21"/>
          <w:lang w:val="en-US" w:eastAsia="zh-CN"/>
        </w:rPr>
        <w:t>2.本项目专门面对中小企业采购，参加本项目的中小企业须提供《中小企业声明函》。</w:t>
      </w:r>
    </w:p>
    <w:p w14:paraId="36AB1B70">
      <w:pPr>
        <w:widowControl w:val="0"/>
        <w:spacing w:after="120" w:line="480" w:lineRule="auto"/>
        <w:jc w:val="both"/>
        <w:rPr>
          <w:rFonts w:hint="eastAsia" w:ascii="宋体" w:hAnsi="宋体" w:eastAsia="宋体" w:cs="宋体"/>
          <w:b/>
          <w:bCs/>
          <w:color w:val="000000"/>
          <w:kern w:val="2"/>
          <w:sz w:val="21"/>
          <w:szCs w:val="21"/>
          <w:highlight w:val="none"/>
          <w:lang w:val="en-US" w:eastAsia="zh-CN" w:bidi="ar-SA"/>
        </w:rPr>
      </w:pPr>
    </w:p>
    <w:p w14:paraId="23F13117">
      <w:pPr>
        <w:widowControl w:val="0"/>
        <w:spacing w:after="120"/>
        <w:jc w:val="both"/>
        <w:rPr>
          <w:rFonts w:hint="eastAsia" w:ascii="宋体" w:hAnsi="宋体" w:eastAsia="宋体" w:cs="宋体"/>
          <w:b/>
          <w:bCs/>
          <w:color w:val="000000"/>
          <w:kern w:val="2"/>
          <w:sz w:val="21"/>
          <w:szCs w:val="21"/>
          <w:highlight w:val="none"/>
          <w:lang w:val="en-US" w:eastAsia="zh-CN" w:bidi="ar-SA"/>
        </w:rPr>
      </w:pPr>
    </w:p>
    <w:p w14:paraId="6CE2D76E">
      <w:pPr>
        <w:widowControl w:val="0"/>
        <w:spacing w:after="120" w:line="480" w:lineRule="auto"/>
        <w:jc w:val="both"/>
        <w:rPr>
          <w:rFonts w:hint="eastAsia" w:ascii="宋体" w:hAnsi="宋体" w:eastAsia="宋体" w:cs="宋体"/>
          <w:b/>
          <w:bCs/>
          <w:color w:val="000000"/>
          <w:kern w:val="2"/>
          <w:sz w:val="21"/>
          <w:szCs w:val="21"/>
          <w:highlight w:val="none"/>
          <w:lang w:val="en-US" w:eastAsia="zh-CN" w:bidi="ar-SA"/>
        </w:rPr>
      </w:pPr>
    </w:p>
    <w:p w14:paraId="7D17FEB4">
      <w:pPr>
        <w:widowControl w:val="0"/>
        <w:spacing w:after="120"/>
        <w:jc w:val="both"/>
        <w:rPr>
          <w:rFonts w:hint="eastAsia" w:ascii="宋体" w:hAnsi="宋体" w:eastAsia="宋体" w:cs="宋体"/>
          <w:kern w:val="2"/>
          <w:sz w:val="21"/>
          <w:szCs w:val="20"/>
          <w:lang w:val="en-US" w:eastAsia="zh-CN" w:bidi="ar-SA"/>
        </w:rPr>
      </w:pPr>
    </w:p>
    <w:p w14:paraId="25B9DCC6">
      <w:pPr>
        <w:widowControl w:val="0"/>
        <w:spacing w:after="120" w:line="480" w:lineRule="auto"/>
        <w:jc w:val="both"/>
        <w:rPr>
          <w:rFonts w:hint="eastAsia" w:ascii="宋体" w:hAnsi="宋体" w:eastAsia="宋体" w:cs="宋体"/>
          <w:kern w:val="2"/>
          <w:sz w:val="21"/>
          <w:szCs w:val="20"/>
          <w:lang w:val="en-US" w:eastAsia="zh-CN" w:bidi="ar-SA"/>
        </w:rPr>
      </w:pPr>
    </w:p>
    <w:p w14:paraId="6EDE304C">
      <w:pPr>
        <w:widowControl w:val="0"/>
        <w:spacing w:after="120"/>
        <w:jc w:val="both"/>
        <w:rPr>
          <w:rFonts w:hint="eastAsia" w:ascii="宋体" w:hAnsi="宋体" w:eastAsia="宋体" w:cs="宋体"/>
          <w:kern w:val="2"/>
          <w:sz w:val="21"/>
          <w:szCs w:val="20"/>
          <w:lang w:val="en-US" w:eastAsia="zh-CN" w:bidi="ar-SA"/>
        </w:rPr>
      </w:pPr>
    </w:p>
    <w:p w14:paraId="73D63B30">
      <w:pPr>
        <w:widowControl w:val="0"/>
        <w:spacing w:after="120" w:line="480" w:lineRule="auto"/>
        <w:jc w:val="both"/>
        <w:rPr>
          <w:rFonts w:hint="eastAsia" w:ascii="宋体" w:hAnsi="宋体" w:eastAsia="宋体" w:cs="宋体"/>
          <w:kern w:val="2"/>
          <w:sz w:val="21"/>
          <w:szCs w:val="20"/>
          <w:lang w:val="en-US" w:eastAsia="zh-CN" w:bidi="ar-SA"/>
        </w:rPr>
      </w:pPr>
    </w:p>
    <w:p w14:paraId="79CE0DD3">
      <w:pPr>
        <w:shd w:val="clear" w:color="auto" w:fill="auto"/>
        <w:spacing w:before="150"/>
        <w:ind w:left="861" w:right="270" w:firstLine="0"/>
        <w:jc w:val="center"/>
        <w:rPr>
          <w:rFonts w:hint="eastAsia" w:ascii="宋体" w:hAnsi="宋体" w:eastAsia="宋体" w:cs="宋体"/>
          <w:color w:val="000000"/>
          <w:sz w:val="30"/>
          <w:highlight w:val="none"/>
        </w:rPr>
        <w:sectPr>
          <w:footerReference r:id="rId7" w:type="default"/>
          <w:pgSz w:w="11910" w:h="16840"/>
          <w:pgMar w:top="1540" w:right="940" w:bottom="1380" w:left="1280" w:header="0" w:footer="510" w:gutter="0"/>
          <w:pgBorders>
            <w:top w:val="none" w:sz="0" w:space="0"/>
            <w:left w:val="none" w:sz="0" w:space="0"/>
            <w:bottom w:val="none" w:sz="0" w:space="0"/>
            <w:right w:val="none" w:sz="0" w:space="0"/>
          </w:pgBorders>
          <w:pgNumType w:fmt="decimal"/>
          <w:cols w:space="720" w:num="1"/>
        </w:sectPr>
      </w:pPr>
    </w:p>
    <w:p w14:paraId="3070B905">
      <w:pPr>
        <w:shd w:val="clear" w:color="auto" w:fill="auto"/>
        <w:spacing w:before="150"/>
        <w:ind w:left="861" w:right="270" w:firstLine="0"/>
        <w:jc w:val="center"/>
        <w:rPr>
          <w:rFonts w:hint="eastAsia" w:ascii="宋体" w:hAnsi="宋体" w:eastAsia="宋体" w:cs="宋体"/>
          <w:color w:val="000000"/>
          <w:sz w:val="30"/>
          <w:highlight w:val="none"/>
        </w:rPr>
      </w:pPr>
      <w:r>
        <w:rPr>
          <w:rFonts w:hint="eastAsia" w:ascii="宋体" w:hAnsi="宋体" w:eastAsia="宋体" w:cs="宋体"/>
          <w:color w:val="000000"/>
          <w:sz w:val="30"/>
          <w:highlight w:val="none"/>
        </w:rPr>
        <w:t>国家统计局《统计上大中小微型企业划分标准》</w:t>
      </w:r>
    </w:p>
    <w:p w14:paraId="7883B0C9">
      <w:pPr>
        <w:widowControl w:val="0"/>
        <w:shd w:val="clear" w:color="auto" w:fill="auto"/>
        <w:spacing w:before="3" w:after="120"/>
        <w:jc w:val="both"/>
        <w:rPr>
          <w:rFonts w:hint="eastAsia" w:ascii="宋体" w:hAnsi="宋体" w:eastAsia="宋体" w:cs="宋体"/>
          <w:color w:val="000000"/>
          <w:kern w:val="2"/>
          <w:sz w:val="9"/>
          <w:szCs w:val="20"/>
          <w:highlight w:val="none"/>
          <w:lang w:val="en-US" w:eastAsia="zh-CN" w:bidi="ar-SA"/>
        </w:rPr>
      </w:pPr>
    </w:p>
    <w:tbl>
      <w:tblPr>
        <w:tblStyle w:val="31"/>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74"/>
        <w:gridCol w:w="1365"/>
        <w:gridCol w:w="652"/>
        <w:gridCol w:w="1125"/>
        <w:gridCol w:w="1701"/>
        <w:gridCol w:w="1426"/>
        <w:gridCol w:w="992"/>
      </w:tblGrid>
      <w:tr w14:paraId="3F5B1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2174" w:type="dxa"/>
            <w:tcBorders>
              <w:left w:val="nil"/>
            </w:tcBorders>
            <w:noWrap w:val="0"/>
            <w:vAlign w:val="top"/>
          </w:tcPr>
          <w:p w14:paraId="4C06C211">
            <w:pPr>
              <w:pStyle w:val="58"/>
              <w:shd w:val="clear" w:color="auto" w:fill="auto"/>
              <w:spacing w:before="7"/>
              <w:rPr>
                <w:rFonts w:hint="eastAsia" w:ascii="宋体" w:hAnsi="宋体" w:eastAsia="宋体" w:cs="宋体"/>
                <w:color w:val="000000"/>
                <w:sz w:val="15"/>
                <w:highlight w:val="none"/>
              </w:rPr>
            </w:pPr>
          </w:p>
          <w:p w14:paraId="51F29A78">
            <w:pPr>
              <w:pStyle w:val="58"/>
              <w:shd w:val="clear" w:color="auto" w:fill="auto"/>
              <w:spacing w:before="1"/>
              <w:ind w:left="911"/>
              <w:rPr>
                <w:rFonts w:hint="eastAsia" w:ascii="宋体" w:hAnsi="宋体" w:eastAsia="宋体" w:cs="宋体"/>
                <w:b/>
                <w:color w:val="000000"/>
                <w:sz w:val="18"/>
                <w:highlight w:val="none"/>
              </w:rPr>
            </w:pPr>
            <w:r>
              <w:rPr>
                <w:rFonts w:hint="eastAsia" w:ascii="宋体" w:hAnsi="宋体" w:eastAsia="宋体" w:cs="宋体"/>
                <w:b/>
                <w:color w:val="000000"/>
                <w:sz w:val="18"/>
                <w:highlight w:val="none"/>
              </w:rPr>
              <w:t>行业名称</w:t>
            </w:r>
          </w:p>
        </w:tc>
        <w:tc>
          <w:tcPr>
            <w:tcW w:w="1365" w:type="dxa"/>
            <w:noWrap w:val="0"/>
            <w:vAlign w:val="top"/>
          </w:tcPr>
          <w:p w14:paraId="1044E48A">
            <w:pPr>
              <w:pStyle w:val="58"/>
              <w:shd w:val="clear" w:color="auto" w:fill="auto"/>
              <w:spacing w:before="11"/>
              <w:rPr>
                <w:rFonts w:hint="eastAsia" w:ascii="宋体" w:hAnsi="宋体" w:eastAsia="宋体" w:cs="宋体"/>
                <w:color w:val="000000"/>
                <w:sz w:val="14"/>
                <w:highlight w:val="none"/>
              </w:rPr>
            </w:pPr>
          </w:p>
          <w:p w14:paraId="6DC368B0">
            <w:pPr>
              <w:pStyle w:val="58"/>
              <w:shd w:val="clear" w:color="auto" w:fill="auto"/>
              <w:ind w:left="166" w:right="156"/>
              <w:jc w:val="center"/>
              <w:rPr>
                <w:rFonts w:hint="eastAsia" w:ascii="宋体" w:hAnsi="宋体" w:eastAsia="宋体" w:cs="宋体"/>
                <w:b/>
                <w:color w:val="000000"/>
                <w:sz w:val="18"/>
                <w:highlight w:val="none"/>
              </w:rPr>
            </w:pPr>
            <w:r>
              <w:rPr>
                <w:rFonts w:hint="eastAsia" w:ascii="宋体" w:hAnsi="宋体" w:eastAsia="宋体" w:cs="宋体"/>
                <w:b/>
                <w:color w:val="000000"/>
                <w:sz w:val="18"/>
                <w:highlight w:val="none"/>
              </w:rPr>
              <w:t>指标名称</w:t>
            </w:r>
          </w:p>
        </w:tc>
        <w:tc>
          <w:tcPr>
            <w:tcW w:w="652" w:type="dxa"/>
            <w:noWrap w:val="0"/>
            <w:vAlign w:val="top"/>
          </w:tcPr>
          <w:p w14:paraId="4CDA89FF">
            <w:pPr>
              <w:pStyle w:val="58"/>
              <w:shd w:val="clear" w:color="auto" w:fill="auto"/>
              <w:spacing w:before="41"/>
              <w:ind w:left="146"/>
              <w:rPr>
                <w:rFonts w:hint="eastAsia" w:ascii="宋体" w:hAnsi="宋体" w:eastAsia="宋体" w:cs="宋体"/>
                <w:b/>
                <w:color w:val="000000"/>
                <w:sz w:val="18"/>
                <w:highlight w:val="none"/>
              </w:rPr>
            </w:pPr>
            <w:r>
              <w:rPr>
                <w:rFonts w:hint="eastAsia" w:ascii="宋体" w:hAnsi="宋体" w:eastAsia="宋体" w:cs="宋体"/>
                <w:b/>
                <w:color w:val="000000"/>
                <w:w w:val="95"/>
                <w:sz w:val="18"/>
                <w:highlight w:val="none"/>
              </w:rPr>
              <w:t>计量</w:t>
            </w:r>
          </w:p>
          <w:p w14:paraId="35414F9B">
            <w:pPr>
              <w:pStyle w:val="58"/>
              <w:shd w:val="clear" w:color="auto" w:fill="auto"/>
              <w:spacing w:before="82"/>
              <w:ind w:left="146"/>
              <w:rPr>
                <w:rFonts w:hint="eastAsia" w:ascii="宋体" w:hAnsi="宋体" w:eastAsia="宋体" w:cs="宋体"/>
                <w:b/>
                <w:color w:val="000000"/>
                <w:sz w:val="18"/>
                <w:highlight w:val="none"/>
              </w:rPr>
            </w:pPr>
            <w:r>
              <w:rPr>
                <w:rFonts w:hint="eastAsia" w:ascii="宋体" w:hAnsi="宋体" w:eastAsia="宋体" w:cs="宋体"/>
                <w:b/>
                <w:color w:val="000000"/>
                <w:w w:val="95"/>
                <w:sz w:val="18"/>
                <w:highlight w:val="none"/>
              </w:rPr>
              <w:t>单位</w:t>
            </w:r>
          </w:p>
        </w:tc>
        <w:tc>
          <w:tcPr>
            <w:tcW w:w="1125" w:type="dxa"/>
            <w:noWrap w:val="0"/>
            <w:vAlign w:val="top"/>
          </w:tcPr>
          <w:p w14:paraId="6B08D6B3">
            <w:pPr>
              <w:pStyle w:val="58"/>
              <w:shd w:val="clear" w:color="auto" w:fill="auto"/>
              <w:spacing w:before="11"/>
              <w:rPr>
                <w:rFonts w:hint="eastAsia" w:ascii="宋体" w:hAnsi="宋体" w:eastAsia="宋体" w:cs="宋体"/>
                <w:color w:val="000000"/>
                <w:sz w:val="14"/>
                <w:highlight w:val="none"/>
              </w:rPr>
            </w:pPr>
          </w:p>
          <w:p w14:paraId="60B0276B">
            <w:pPr>
              <w:pStyle w:val="58"/>
              <w:shd w:val="clear" w:color="auto" w:fill="auto"/>
              <w:ind w:left="137" w:right="127"/>
              <w:jc w:val="center"/>
              <w:rPr>
                <w:rFonts w:hint="eastAsia" w:ascii="宋体" w:hAnsi="宋体" w:eastAsia="宋体" w:cs="宋体"/>
                <w:b/>
                <w:color w:val="000000"/>
                <w:sz w:val="18"/>
                <w:highlight w:val="none"/>
              </w:rPr>
            </w:pPr>
            <w:r>
              <w:rPr>
                <w:rFonts w:hint="eastAsia" w:ascii="宋体" w:hAnsi="宋体" w:eastAsia="宋体" w:cs="宋体"/>
                <w:b/>
                <w:color w:val="000000"/>
                <w:sz w:val="18"/>
                <w:highlight w:val="none"/>
              </w:rPr>
              <w:t>大型</w:t>
            </w:r>
          </w:p>
        </w:tc>
        <w:tc>
          <w:tcPr>
            <w:tcW w:w="1701" w:type="dxa"/>
            <w:noWrap w:val="0"/>
            <w:vAlign w:val="top"/>
          </w:tcPr>
          <w:p w14:paraId="18039C7C">
            <w:pPr>
              <w:pStyle w:val="58"/>
              <w:shd w:val="clear" w:color="auto" w:fill="auto"/>
              <w:spacing w:before="11"/>
              <w:rPr>
                <w:rFonts w:hint="eastAsia" w:ascii="宋体" w:hAnsi="宋体" w:eastAsia="宋体" w:cs="宋体"/>
                <w:color w:val="000000"/>
                <w:sz w:val="14"/>
                <w:highlight w:val="none"/>
              </w:rPr>
            </w:pPr>
          </w:p>
          <w:p w14:paraId="0C6A0489">
            <w:pPr>
              <w:pStyle w:val="58"/>
              <w:shd w:val="clear" w:color="auto" w:fill="auto"/>
              <w:ind w:left="151" w:right="145"/>
              <w:jc w:val="center"/>
              <w:rPr>
                <w:rFonts w:hint="eastAsia" w:ascii="宋体" w:hAnsi="宋体" w:eastAsia="宋体" w:cs="宋体"/>
                <w:b/>
                <w:color w:val="000000"/>
                <w:sz w:val="18"/>
                <w:highlight w:val="none"/>
              </w:rPr>
            </w:pPr>
            <w:r>
              <w:rPr>
                <w:rFonts w:hint="eastAsia" w:ascii="宋体" w:hAnsi="宋体" w:eastAsia="宋体" w:cs="宋体"/>
                <w:b/>
                <w:color w:val="000000"/>
                <w:sz w:val="18"/>
                <w:highlight w:val="none"/>
              </w:rPr>
              <w:t>中型</w:t>
            </w:r>
          </w:p>
        </w:tc>
        <w:tc>
          <w:tcPr>
            <w:tcW w:w="1426" w:type="dxa"/>
            <w:noWrap w:val="0"/>
            <w:vAlign w:val="top"/>
          </w:tcPr>
          <w:p w14:paraId="0E13F3FA">
            <w:pPr>
              <w:pStyle w:val="58"/>
              <w:shd w:val="clear" w:color="auto" w:fill="auto"/>
              <w:spacing w:before="11"/>
              <w:rPr>
                <w:rFonts w:hint="eastAsia" w:ascii="宋体" w:hAnsi="宋体" w:eastAsia="宋体" w:cs="宋体"/>
                <w:color w:val="000000"/>
                <w:sz w:val="14"/>
                <w:highlight w:val="none"/>
              </w:rPr>
            </w:pPr>
          </w:p>
          <w:p w14:paraId="437F5CEE">
            <w:pPr>
              <w:pStyle w:val="58"/>
              <w:shd w:val="clear" w:color="auto" w:fill="auto"/>
              <w:ind w:left="107" w:right="98"/>
              <w:jc w:val="center"/>
              <w:rPr>
                <w:rFonts w:hint="eastAsia" w:ascii="宋体" w:hAnsi="宋体" w:eastAsia="宋体" w:cs="宋体"/>
                <w:b/>
                <w:color w:val="000000"/>
                <w:sz w:val="18"/>
                <w:highlight w:val="none"/>
              </w:rPr>
            </w:pPr>
            <w:r>
              <w:rPr>
                <w:rFonts w:hint="eastAsia" w:ascii="宋体" w:hAnsi="宋体" w:eastAsia="宋体" w:cs="宋体"/>
                <w:b/>
                <w:color w:val="000000"/>
                <w:sz w:val="18"/>
                <w:highlight w:val="none"/>
              </w:rPr>
              <w:t>小型</w:t>
            </w:r>
          </w:p>
        </w:tc>
        <w:tc>
          <w:tcPr>
            <w:tcW w:w="992" w:type="dxa"/>
            <w:tcBorders>
              <w:right w:val="nil"/>
            </w:tcBorders>
            <w:noWrap w:val="0"/>
            <w:vAlign w:val="top"/>
          </w:tcPr>
          <w:p w14:paraId="5624F9E4">
            <w:pPr>
              <w:pStyle w:val="58"/>
              <w:shd w:val="clear" w:color="auto" w:fill="auto"/>
              <w:spacing w:before="11"/>
              <w:rPr>
                <w:rFonts w:hint="eastAsia" w:ascii="宋体" w:hAnsi="宋体" w:eastAsia="宋体" w:cs="宋体"/>
                <w:color w:val="000000"/>
                <w:sz w:val="14"/>
                <w:highlight w:val="none"/>
              </w:rPr>
            </w:pPr>
          </w:p>
          <w:p w14:paraId="419AA5D1">
            <w:pPr>
              <w:pStyle w:val="58"/>
              <w:shd w:val="clear" w:color="auto" w:fill="auto"/>
              <w:ind w:left="160" w:right="155"/>
              <w:jc w:val="center"/>
              <w:rPr>
                <w:rFonts w:hint="eastAsia" w:ascii="宋体" w:hAnsi="宋体" w:eastAsia="宋体" w:cs="宋体"/>
                <w:b/>
                <w:color w:val="000000"/>
                <w:sz w:val="18"/>
                <w:highlight w:val="none"/>
              </w:rPr>
            </w:pPr>
            <w:r>
              <w:rPr>
                <w:rFonts w:hint="eastAsia" w:ascii="宋体" w:hAnsi="宋体" w:eastAsia="宋体" w:cs="宋体"/>
                <w:b/>
                <w:color w:val="000000"/>
                <w:sz w:val="18"/>
                <w:highlight w:val="none"/>
              </w:rPr>
              <w:t>微型</w:t>
            </w:r>
          </w:p>
        </w:tc>
      </w:tr>
      <w:tr w14:paraId="015A9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2174" w:type="dxa"/>
            <w:tcBorders>
              <w:left w:val="nil"/>
            </w:tcBorders>
            <w:noWrap w:val="0"/>
            <w:vAlign w:val="top"/>
          </w:tcPr>
          <w:p w14:paraId="54BC21EA">
            <w:pPr>
              <w:pStyle w:val="58"/>
              <w:shd w:val="clear" w:color="auto" w:fill="auto"/>
              <w:spacing w:before="86"/>
              <w:ind w:left="472"/>
              <w:rPr>
                <w:rFonts w:hint="eastAsia" w:ascii="宋体" w:hAnsi="宋体" w:eastAsia="宋体" w:cs="宋体"/>
                <w:color w:val="000000"/>
                <w:sz w:val="18"/>
                <w:highlight w:val="none"/>
              </w:rPr>
            </w:pPr>
            <w:r>
              <w:rPr>
                <w:rFonts w:hint="eastAsia" w:ascii="宋体" w:hAnsi="宋体" w:eastAsia="宋体" w:cs="宋体"/>
                <w:color w:val="000000"/>
                <w:sz w:val="18"/>
                <w:highlight w:val="none"/>
              </w:rPr>
              <w:t>农、林、牧、渔业</w:t>
            </w:r>
          </w:p>
        </w:tc>
        <w:tc>
          <w:tcPr>
            <w:tcW w:w="1365" w:type="dxa"/>
            <w:noWrap w:val="0"/>
            <w:vAlign w:val="top"/>
          </w:tcPr>
          <w:p w14:paraId="071EF2FE">
            <w:pPr>
              <w:pStyle w:val="58"/>
              <w:shd w:val="clear" w:color="auto" w:fill="auto"/>
              <w:spacing w:before="77"/>
              <w:ind w:left="166" w:right="158"/>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营业收入(Y)</w:t>
            </w:r>
          </w:p>
        </w:tc>
        <w:tc>
          <w:tcPr>
            <w:tcW w:w="652" w:type="dxa"/>
            <w:noWrap w:val="0"/>
            <w:vAlign w:val="top"/>
          </w:tcPr>
          <w:p w14:paraId="44388233">
            <w:pPr>
              <w:pStyle w:val="58"/>
              <w:shd w:val="clear" w:color="auto" w:fill="auto"/>
              <w:spacing w:before="77"/>
              <w:ind w:left="126" w:right="115"/>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万元</w:t>
            </w:r>
          </w:p>
        </w:tc>
        <w:tc>
          <w:tcPr>
            <w:tcW w:w="1125" w:type="dxa"/>
            <w:noWrap w:val="0"/>
            <w:vAlign w:val="top"/>
          </w:tcPr>
          <w:p w14:paraId="4EF4B0F4">
            <w:pPr>
              <w:pStyle w:val="58"/>
              <w:shd w:val="clear" w:color="auto" w:fill="auto"/>
              <w:spacing w:before="77"/>
              <w:ind w:left="137" w:right="128"/>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Y≥20000</w:t>
            </w:r>
          </w:p>
        </w:tc>
        <w:tc>
          <w:tcPr>
            <w:tcW w:w="1701" w:type="dxa"/>
            <w:noWrap w:val="0"/>
            <w:vAlign w:val="top"/>
          </w:tcPr>
          <w:p w14:paraId="3484F69A">
            <w:pPr>
              <w:pStyle w:val="58"/>
              <w:shd w:val="clear" w:color="auto" w:fill="auto"/>
              <w:spacing w:before="77"/>
              <w:ind w:left="265"/>
              <w:rPr>
                <w:rFonts w:hint="eastAsia" w:ascii="宋体" w:hAnsi="宋体" w:eastAsia="宋体" w:cs="宋体"/>
                <w:color w:val="000000"/>
                <w:sz w:val="18"/>
                <w:highlight w:val="none"/>
              </w:rPr>
            </w:pPr>
            <w:r>
              <w:rPr>
                <w:rFonts w:hint="eastAsia" w:ascii="宋体" w:hAnsi="宋体" w:eastAsia="宋体" w:cs="宋体"/>
                <w:color w:val="000000"/>
                <w:sz w:val="18"/>
                <w:highlight w:val="none"/>
              </w:rPr>
              <w:t>500≤Y＜20000</w:t>
            </w:r>
          </w:p>
        </w:tc>
        <w:tc>
          <w:tcPr>
            <w:tcW w:w="1426" w:type="dxa"/>
            <w:noWrap w:val="0"/>
            <w:vAlign w:val="top"/>
          </w:tcPr>
          <w:p w14:paraId="15230529">
            <w:pPr>
              <w:pStyle w:val="58"/>
              <w:shd w:val="clear" w:color="auto" w:fill="auto"/>
              <w:spacing w:before="77"/>
              <w:ind w:left="106" w:right="98"/>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50≤Y＜500</w:t>
            </w:r>
          </w:p>
        </w:tc>
        <w:tc>
          <w:tcPr>
            <w:tcW w:w="992" w:type="dxa"/>
            <w:tcBorders>
              <w:right w:val="nil"/>
            </w:tcBorders>
            <w:noWrap w:val="0"/>
            <w:vAlign w:val="top"/>
          </w:tcPr>
          <w:p w14:paraId="0B463D11">
            <w:pPr>
              <w:pStyle w:val="58"/>
              <w:shd w:val="clear" w:color="auto" w:fill="auto"/>
              <w:spacing w:before="77"/>
              <w:ind w:left="160" w:right="156"/>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Y＜50</w:t>
            </w:r>
          </w:p>
        </w:tc>
      </w:tr>
      <w:tr w14:paraId="19C0B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2174" w:type="dxa"/>
            <w:tcBorders>
              <w:left w:val="nil"/>
            </w:tcBorders>
            <w:noWrap w:val="0"/>
            <w:vAlign w:val="top"/>
          </w:tcPr>
          <w:p w14:paraId="01907677">
            <w:pPr>
              <w:pStyle w:val="58"/>
              <w:shd w:val="clear" w:color="auto" w:fill="auto"/>
              <w:spacing w:before="3"/>
              <w:rPr>
                <w:rFonts w:hint="eastAsia" w:ascii="宋体" w:hAnsi="宋体" w:eastAsia="宋体" w:cs="宋体"/>
                <w:color w:val="000000"/>
                <w:sz w:val="22"/>
                <w:highlight w:val="none"/>
              </w:rPr>
            </w:pPr>
          </w:p>
          <w:p w14:paraId="4B151ED6">
            <w:pPr>
              <w:pStyle w:val="58"/>
              <w:shd w:val="clear" w:color="auto" w:fill="auto"/>
              <w:ind w:left="472"/>
              <w:rPr>
                <w:rFonts w:hint="eastAsia" w:ascii="宋体" w:hAnsi="宋体" w:eastAsia="宋体" w:cs="宋体"/>
                <w:color w:val="000000"/>
                <w:sz w:val="18"/>
                <w:highlight w:val="none"/>
              </w:rPr>
            </w:pPr>
            <w:r>
              <w:rPr>
                <w:rFonts w:hint="eastAsia" w:ascii="宋体" w:hAnsi="宋体" w:eastAsia="宋体" w:cs="宋体"/>
                <w:color w:val="000000"/>
                <w:sz w:val="18"/>
                <w:highlight w:val="none"/>
              </w:rPr>
              <w:t>工业 *</w:t>
            </w:r>
          </w:p>
        </w:tc>
        <w:tc>
          <w:tcPr>
            <w:tcW w:w="1365" w:type="dxa"/>
            <w:noWrap w:val="0"/>
            <w:vAlign w:val="top"/>
          </w:tcPr>
          <w:p w14:paraId="4F96B97A">
            <w:pPr>
              <w:pStyle w:val="58"/>
              <w:shd w:val="clear" w:color="auto" w:fill="auto"/>
              <w:spacing w:before="78"/>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从业人员</w:t>
            </w:r>
            <w:r>
              <w:rPr>
                <w:rFonts w:hint="eastAsia" w:ascii="宋体" w:hAnsi="宋体" w:eastAsia="宋体" w:cs="宋体"/>
                <w:color w:val="000000"/>
                <w:sz w:val="18"/>
                <w:highlight w:val="none"/>
              </w:rPr>
              <w:t>(X)</w:t>
            </w:r>
          </w:p>
          <w:p w14:paraId="5DA7AECA">
            <w:pPr>
              <w:pStyle w:val="58"/>
              <w:shd w:val="clear" w:color="auto" w:fill="auto"/>
              <w:spacing w:before="9"/>
              <w:rPr>
                <w:rFonts w:hint="eastAsia" w:ascii="宋体" w:hAnsi="宋体" w:eastAsia="宋体" w:cs="宋体"/>
                <w:color w:val="000000"/>
                <w:sz w:val="13"/>
                <w:highlight w:val="none"/>
              </w:rPr>
            </w:pPr>
          </w:p>
          <w:p w14:paraId="2D5E7271">
            <w:pPr>
              <w:pStyle w:val="58"/>
              <w:shd w:val="clear" w:color="auto" w:fill="auto"/>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营业收入</w:t>
            </w:r>
            <w:r>
              <w:rPr>
                <w:rFonts w:hint="eastAsia" w:ascii="宋体" w:hAnsi="宋体" w:eastAsia="宋体" w:cs="宋体"/>
                <w:color w:val="000000"/>
                <w:sz w:val="18"/>
                <w:highlight w:val="none"/>
              </w:rPr>
              <w:t>(Y)</w:t>
            </w:r>
          </w:p>
        </w:tc>
        <w:tc>
          <w:tcPr>
            <w:tcW w:w="652" w:type="dxa"/>
            <w:noWrap w:val="0"/>
            <w:vAlign w:val="top"/>
          </w:tcPr>
          <w:p w14:paraId="318F5F02">
            <w:pPr>
              <w:pStyle w:val="58"/>
              <w:shd w:val="clear" w:color="auto" w:fill="auto"/>
              <w:spacing w:before="78"/>
              <w:ind w:left="9"/>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人</w:t>
            </w:r>
          </w:p>
          <w:p w14:paraId="0AD379CE">
            <w:pPr>
              <w:pStyle w:val="58"/>
              <w:shd w:val="clear" w:color="auto" w:fill="auto"/>
              <w:spacing w:before="12"/>
              <w:rPr>
                <w:rFonts w:hint="eastAsia" w:ascii="宋体" w:hAnsi="宋体" w:eastAsia="宋体" w:cs="宋体"/>
                <w:color w:val="000000"/>
                <w:sz w:val="12"/>
                <w:highlight w:val="none"/>
              </w:rPr>
            </w:pPr>
          </w:p>
          <w:p w14:paraId="01C47E9F">
            <w:pPr>
              <w:pStyle w:val="58"/>
              <w:shd w:val="clear" w:color="auto" w:fill="auto"/>
              <w:ind w:left="126" w:right="115"/>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万元</w:t>
            </w:r>
          </w:p>
        </w:tc>
        <w:tc>
          <w:tcPr>
            <w:tcW w:w="1125" w:type="dxa"/>
            <w:noWrap w:val="0"/>
            <w:vAlign w:val="top"/>
          </w:tcPr>
          <w:p w14:paraId="56682E05">
            <w:pPr>
              <w:pStyle w:val="58"/>
              <w:shd w:val="clear" w:color="auto" w:fill="auto"/>
              <w:spacing w:before="78"/>
              <w:ind w:left="245"/>
              <w:rPr>
                <w:rFonts w:hint="eastAsia" w:ascii="宋体" w:hAnsi="宋体" w:eastAsia="宋体" w:cs="宋体"/>
                <w:color w:val="000000"/>
                <w:sz w:val="18"/>
                <w:highlight w:val="none"/>
              </w:rPr>
            </w:pPr>
            <w:r>
              <w:rPr>
                <w:rFonts w:hint="eastAsia" w:ascii="宋体" w:hAnsi="宋体" w:eastAsia="宋体" w:cs="宋体"/>
                <w:color w:val="000000"/>
                <w:sz w:val="18"/>
                <w:highlight w:val="none"/>
              </w:rPr>
              <w:t>X≥1000</w:t>
            </w:r>
          </w:p>
          <w:p w14:paraId="6BD188E5">
            <w:pPr>
              <w:pStyle w:val="58"/>
              <w:shd w:val="clear" w:color="auto" w:fill="auto"/>
              <w:spacing w:before="12"/>
              <w:rPr>
                <w:rFonts w:hint="eastAsia" w:ascii="宋体" w:hAnsi="宋体" w:eastAsia="宋体" w:cs="宋体"/>
                <w:color w:val="000000"/>
                <w:sz w:val="12"/>
                <w:highlight w:val="none"/>
              </w:rPr>
            </w:pPr>
          </w:p>
          <w:p w14:paraId="7A81B18F">
            <w:pPr>
              <w:pStyle w:val="58"/>
              <w:shd w:val="clear" w:color="auto" w:fill="auto"/>
              <w:ind w:left="202"/>
              <w:rPr>
                <w:rFonts w:hint="eastAsia" w:ascii="宋体" w:hAnsi="宋体" w:eastAsia="宋体" w:cs="宋体"/>
                <w:color w:val="000000"/>
                <w:sz w:val="18"/>
                <w:highlight w:val="none"/>
              </w:rPr>
            </w:pPr>
            <w:r>
              <w:rPr>
                <w:rFonts w:hint="eastAsia" w:ascii="宋体" w:hAnsi="宋体" w:eastAsia="宋体" w:cs="宋体"/>
                <w:color w:val="000000"/>
                <w:sz w:val="18"/>
                <w:highlight w:val="none"/>
              </w:rPr>
              <w:t>Y≥40000</w:t>
            </w:r>
          </w:p>
        </w:tc>
        <w:tc>
          <w:tcPr>
            <w:tcW w:w="1701" w:type="dxa"/>
            <w:noWrap w:val="0"/>
            <w:vAlign w:val="top"/>
          </w:tcPr>
          <w:p w14:paraId="75F7805B">
            <w:pPr>
              <w:pStyle w:val="58"/>
              <w:shd w:val="clear" w:color="auto" w:fill="auto"/>
              <w:spacing w:before="78"/>
              <w:ind w:left="308"/>
              <w:rPr>
                <w:rFonts w:hint="eastAsia" w:ascii="宋体" w:hAnsi="宋体" w:eastAsia="宋体" w:cs="宋体"/>
                <w:color w:val="000000"/>
                <w:sz w:val="18"/>
                <w:highlight w:val="none"/>
              </w:rPr>
            </w:pPr>
            <w:r>
              <w:rPr>
                <w:rFonts w:hint="eastAsia" w:ascii="宋体" w:hAnsi="宋体" w:eastAsia="宋体" w:cs="宋体"/>
                <w:color w:val="000000"/>
                <w:sz w:val="18"/>
                <w:highlight w:val="none"/>
              </w:rPr>
              <w:t>300≤X＜1000</w:t>
            </w:r>
          </w:p>
          <w:p w14:paraId="5F0787AD">
            <w:pPr>
              <w:pStyle w:val="58"/>
              <w:shd w:val="clear" w:color="auto" w:fill="auto"/>
              <w:spacing w:before="12"/>
              <w:rPr>
                <w:rFonts w:hint="eastAsia" w:ascii="宋体" w:hAnsi="宋体" w:eastAsia="宋体" w:cs="宋体"/>
                <w:color w:val="000000"/>
                <w:sz w:val="12"/>
                <w:highlight w:val="none"/>
              </w:rPr>
            </w:pPr>
          </w:p>
          <w:p w14:paraId="09279F41">
            <w:pPr>
              <w:pStyle w:val="58"/>
              <w:shd w:val="clear" w:color="auto" w:fill="auto"/>
              <w:ind w:left="220"/>
              <w:rPr>
                <w:rFonts w:hint="eastAsia" w:ascii="宋体" w:hAnsi="宋体" w:eastAsia="宋体" w:cs="宋体"/>
                <w:color w:val="000000"/>
                <w:sz w:val="18"/>
                <w:highlight w:val="none"/>
              </w:rPr>
            </w:pPr>
            <w:r>
              <w:rPr>
                <w:rFonts w:hint="eastAsia" w:ascii="宋体" w:hAnsi="宋体" w:eastAsia="宋体" w:cs="宋体"/>
                <w:color w:val="000000"/>
                <w:sz w:val="18"/>
                <w:highlight w:val="none"/>
              </w:rPr>
              <w:t>2000≤Y＜40000</w:t>
            </w:r>
          </w:p>
        </w:tc>
        <w:tc>
          <w:tcPr>
            <w:tcW w:w="1426" w:type="dxa"/>
            <w:noWrap w:val="0"/>
            <w:vAlign w:val="top"/>
          </w:tcPr>
          <w:p w14:paraId="7DAF70F8">
            <w:pPr>
              <w:pStyle w:val="58"/>
              <w:shd w:val="clear" w:color="auto" w:fill="auto"/>
              <w:spacing w:before="78"/>
              <w:ind w:left="261"/>
              <w:rPr>
                <w:rFonts w:hint="eastAsia" w:ascii="宋体" w:hAnsi="宋体" w:eastAsia="宋体" w:cs="宋体"/>
                <w:color w:val="000000"/>
                <w:sz w:val="18"/>
                <w:highlight w:val="none"/>
              </w:rPr>
            </w:pPr>
            <w:r>
              <w:rPr>
                <w:rFonts w:hint="eastAsia" w:ascii="宋体" w:hAnsi="宋体" w:eastAsia="宋体" w:cs="宋体"/>
                <w:color w:val="000000"/>
                <w:sz w:val="18"/>
                <w:highlight w:val="none"/>
              </w:rPr>
              <w:t>20≤X＜300</w:t>
            </w:r>
          </w:p>
          <w:p w14:paraId="0D6A17CB">
            <w:pPr>
              <w:pStyle w:val="58"/>
              <w:shd w:val="clear" w:color="auto" w:fill="auto"/>
              <w:spacing w:before="12"/>
              <w:rPr>
                <w:rFonts w:hint="eastAsia" w:ascii="宋体" w:hAnsi="宋体" w:eastAsia="宋体" w:cs="宋体"/>
                <w:color w:val="000000"/>
                <w:sz w:val="12"/>
                <w:highlight w:val="none"/>
              </w:rPr>
            </w:pPr>
          </w:p>
          <w:p w14:paraId="315D6862">
            <w:pPr>
              <w:pStyle w:val="58"/>
              <w:shd w:val="clear" w:color="auto" w:fill="auto"/>
              <w:ind w:left="172"/>
              <w:rPr>
                <w:rFonts w:hint="eastAsia" w:ascii="宋体" w:hAnsi="宋体" w:eastAsia="宋体" w:cs="宋体"/>
                <w:color w:val="000000"/>
                <w:sz w:val="18"/>
                <w:highlight w:val="none"/>
              </w:rPr>
            </w:pPr>
            <w:r>
              <w:rPr>
                <w:rFonts w:hint="eastAsia" w:ascii="宋体" w:hAnsi="宋体" w:eastAsia="宋体" w:cs="宋体"/>
                <w:color w:val="000000"/>
                <w:sz w:val="18"/>
                <w:highlight w:val="none"/>
              </w:rPr>
              <w:t>300≤Y＜2000</w:t>
            </w:r>
          </w:p>
        </w:tc>
        <w:tc>
          <w:tcPr>
            <w:tcW w:w="992" w:type="dxa"/>
            <w:tcBorders>
              <w:right w:val="nil"/>
            </w:tcBorders>
            <w:noWrap w:val="0"/>
            <w:vAlign w:val="top"/>
          </w:tcPr>
          <w:p w14:paraId="1F9AAEBE">
            <w:pPr>
              <w:pStyle w:val="58"/>
              <w:shd w:val="clear" w:color="auto" w:fill="auto"/>
              <w:spacing w:before="78"/>
              <w:ind w:left="270"/>
              <w:rPr>
                <w:rFonts w:hint="eastAsia" w:ascii="宋体" w:hAnsi="宋体" w:eastAsia="宋体" w:cs="宋体"/>
                <w:color w:val="000000"/>
                <w:sz w:val="18"/>
                <w:highlight w:val="none"/>
              </w:rPr>
            </w:pPr>
            <w:r>
              <w:rPr>
                <w:rFonts w:hint="eastAsia" w:ascii="宋体" w:hAnsi="宋体" w:eastAsia="宋体" w:cs="宋体"/>
                <w:color w:val="000000"/>
                <w:sz w:val="18"/>
                <w:highlight w:val="none"/>
              </w:rPr>
              <w:t>X＜20</w:t>
            </w:r>
          </w:p>
          <w:p w14:paraId="244C1918">
            <w:pPr>
              <w:pStyle w:val="58"/>
              <w:shd w:val="clear" w:color="auto" w:fill="auto"/>
              <w:spacing w:before="12"/>
              <w:rPr>
                <w:rFonts w:hint="eastAsia" w:ascii="宋体" w:hAnsi="宋体" w:eastAsia="宋体" w:cs="宋体"/>
                <w:color w:val="000000"/>
                <w:sz w:val="12"/>
                <w:highlight w:val="none"/>
              </w:rPr>
            </w:pPr>
          </w:p>
          <w:p w14:paraId="61139E3C">
            <w:pPr>
              <w:pStyle w:val="58"/>
              <w:shd w:val="clear" w:color="auto" w:fill="auto"/>
              <w:ind w:left="225"/>
              <w:rPr>
                <w:rFonts w:hint="eastAsia" w:ascii="宋体" w:hAnsi="宋体" w:eastAsia="宋体" w:cs="宋体"/>
                <w:color w:val="000000"/>
                <w:sz w:val="18"/>
                <w:highlight w:val="none"/>
              </w:rPr>
            </w:pPr>
            <w:r>
              <w:rPr>
                <w:rFonts w:hint="eastAsia" w:ascii="宋体" w:hAnsi="宋体" w:eastAsia="宋体" w:cs="宋体"/>
                <w:color w:val="000000"/>
                <w:sz w:val="18"/>
                <w:highlight w:val="none"/>
              </w:rPr>
              <w:t>Y＜300</w:t>
            </w:r>
          </w:p>
        </w:tc>
      </w:tr>
      <w:tr w14:paraId="2EF8D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2174" w:type="dxa"/>
            <w:tcBorders>
              <w:left w:val="nil"/>
            </w:tcBorders>
            <w:noWrap w:val="0"/>
            <w:vAlign w:val="top"/>
          </w:tcPr>
          <w:p w14:paraId="4EA625BA">
            <w:pPr>
              <w:pStyle w:val="58"/>
              <w:shd w:val="clear" w:color="auto" w:fill="auto"/>
              <w:spacing w:before="3"/>
              <w:rPr>
                <w:rFonts w:hint="eastAsia" w:ascii="宋体" w:hAnsi="宋体" w:eastAsia="宋体" w:cs="宋体"/>
                <w:color w:val="000000"/>
                <w:sz w:val="22"/>
                <w:highlight w:val="none"/>
              </w:rPr>
            </w:pPr>
          </w:p>
          <w:p w14:paraId="578A5013">
            <w:pPr>
              <w:pStyle w:val="58"/>
              <w:shd w:val="clear" w:color="auto" w:fill="auto"/>
              <w:ind w:left="472"/>
              <w:rPr>
                <w:rFonts w:hint="eastAsia" w:ascii="宋体" w:hAnsi="宋体" w:eastAsia="宋体" w:cs="宋体"/>
                <w:color w:val="000000"/>
                <w:sz w:val="18"/>
                <w:highlight w:val="none"/>
              </w:rPr>
            </w:pPr>
            <w:r>
              <w:rPr>
                <w:rFonts w:hint="eastAsia" w:ascii="宋体" w:hAnsi="宋体" w:eastAsia="宋体" w:cs="宋体"/>
                <w:color w:val="000000"/>
                <w:sz w:val="18"/>
                <w:highlight w:val="none"/>
              </w:rPr>
              <w:t>建筑业</w:t>
            </w:r>
          </w:p>
        </w:tc>
        <w:tc>
          <w:tcPr>
            <w:tcW w:w="1365" w:type="dxa"/>
            <w:noWrap w:val="0"/>
            <w:vAlign w:val="top"/>
          </w:tcPr>
          <w:p w14:paraId="3F83D17A">
            <w:pPr>
              <w:pStyle w:val="58"/>
              <w:shd w:val="clear" w:color="auto" w:fill="auto"/>
              <w:spacing w:before="79"/>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营业收入</w:t>
            </w:r>
            <w:r>
              <w:rPr>
                <w:rFonts w:hint="eastAsia" w:ascii="宋体" w:hAnsi="宋体" w:eastAsia="宋体" w:cs="宋体"/>
                <w:color w:val="000000"/>
                <w:sz w:val="18"/>
                <w:highlight w:val="none"/>
              </w:rPr>
              <w:t>(Y)</w:t>
            </w:r>
          </w:p>
          <w:p w14:paraId="3FBD338F">
            <w:pPr>
              <w:pStyle w:val="58"/>
              <w:shd w:val="clear" w:color="auto" w:fill="auto"/>
              <w:spacing w:before="6"/>
              <w:rPr>
                <w:rFonts w:hint="eastAsia" w:ascii="宋体" w:hAnsi="宋体" w:eastAsia="宋体" w:cs="宋体"/>
                <w:color w:val="000000"/>
                <w:sz w:val="13"/>
                <w:highlight w:val="none"/>
              </w:rPr>
            </w:pPr>
          </w:p>
          <w:p w14:paraId="5B7D1058">
            <w:pPr>
              <w:pStyle w:val="58"/>
              <w:shd w:val="clear" w:color="auto" w:fill="auto"/>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资产总额</w:t>
            </w:r>
            <w:r>
              <w:rPr>
                <w:rFonts w:hint="eastAsia" w:ascii="宋体" w:hAnsi="宋体" w:eastAsia="宋体" w:cs="宋体"/>
                <w:color w:val="000000"/>
                <w:sz w:val="18"/>
                <w:highlight w:val="none"/>
              </w:rPr>
              <w:t>(Z)</w:t>
            </w:r>
          </w:p>
        </w:tc>
        <w:tc>
          <w:tcPr>
            <w:tcW w:w="652" w:type="dxa"/>
            <w:noWrap w:val="0"/>
            <w:vAlign w:val="top"/>
          </w:tcPr>
          <w:p w14:paraId="651F4C79">
            <w:pPr>
              <w:pStyle w:val="58"/>
              <w:shd w:val="clear" w:color="auto" w:fill="auto"/>
              <w:spacing w:before="79"/>
              <w:ind w:left="146"/>
              <w:rPr>
                <w:rFonts w:hint="eastAsia" w:ascii="宋体" w:hAnsi="宋体" w:eastAsia="宋体" w:cs="宋体"/>
                <w:color w:val="000000"/>
                <w:sz w:val="18"/>
                <w:highlight w:val="none"/>
              </w:rPr>
            </w:pPr>
            <w:r>
              <w:rPr>
                <w:rFonts w:hint="eastAsia" w:ascii="宋体" w:hAnsi="宋体" w:eastAsia="宋体" w:cs="宋体"/>
                <w:color w:val="000000"/>
                <w:sz w:val="18"/>
                <w:highlight w:val="none"/>
              </w:rPr>
              <w:t>万元</w:t>
            </w:r>
          </w:p>
          <w:p w14:paraId="67938E29">
            <w:pPr>
              <w:pStyle w:val="58"/>
              <w:shd w:val="clear" w:color="auto" w:fill="auto"/>
              <w:spacing w:before="11"/>
              <w:rPr>
                <w:rFonts w:hint="eastAsia" w:ascii="宋体" w:hAnsi="宋体" w:eastAsia="宋体" w:cs="宋体"/>
                <w:color w:val="000000"/>
                <w:sz w:val="12"/>
                <w:highlight w:val="none"/>
              </w:rPr>
            </w:pPr>
          </w:p>
          <w:p w14:paraId="3E912E73">
            <w:pPr>
              <w:pStyle w:val="58"/>
              <w:shd w:val="clear" w:color="auto" w:fill="auto"/>
              <w:ind w:left="146"/>
              <w:rPr>
                <w:rFonts w:hint="eastAsia" w:ascii="宋体" w:hAnsi="宋体" w:eastAsia="宋体" w:cs="宋体"/>
                <w:color w:val="000000"/>
                <w:sz w:val="18"/>
                <w:highlight w:val="none"/>
              </w:rPr>
            </w:pPr>
            <w:r>
              <w:rPr>
                <w:rFonts w:hint="eastAsia" w:ascii="宋体" w:hAnsi="宋体" w:eastAsia="宋体" w:cs="宋体"/>
                <w:color w:val="000000"/>
                <w:sz w:val="18"/>
                <w:highlight w:val="none"/>
              </w:rPr>
              <w:t>万元</w:t>
            </w:r>
          </w:p>
        </w:tc>
        <w:tc>
          <w:tcPr>
            <w:tcW w:w="1125" w:type="dxa"/>
            <w:noWrap w:val="0"/>
            <w:vAlign w:val="top"/>
          </w:tcPr>
          <w:p w14:paraId="5F59973C">
            <w:pPr>
              <w:pStyle w:val="58"/>
              <w:shd w:val="clear" w:color="auto" w:fill="auto"/>
              <w:spacing w:before="79"/>
              <w:ind w:left="202"/>
              <w:rPr>
                <w:rFonts w:hint="eastAsia" w:ascii="宋体" w:hAnsi="宋体" w:eastAsia="宋体" w:cs="宋体"/>
                <w:color w:val="000000"/>
                <w:sz w:val="18"/>
                <w:highlight w:val="none"/>
              </w:rPr>
            </w:pPr>
            <w:r>
              <w:rPr>
                <w:rFonts w:hint="eastAsia" w:ascii="宋体" w:hAnsi="宋体" w:eastAsia="宋体" w:cs="宋体"/>
                <w:color w:val="000000"/>
                <w:sz w:val="18"/>
                <w:highlight w:val="none"/>
              </w:rPr>
              <w:t>Y≥80000</w:t>
            </w:r>
          </w:p>
          <w:p w14:paraId="0BA78166">
            <w:pPr>
              <w:pStyle w:val="58"/>
              <w:shd w:val="clear" w:color="auto" w:fill="auto"/>
              <w:spacing w:before="11"/>
              <w:rPr>
                <w:rFonts w:hint="eastAsia" w:ascii="宋体" w:hAnsi="宋体" w:eastAsia="宋体" w:cs="宋体"/>
                <w:color w:val="000000"/>
                <w:sz w:val="12"/>
                <w:highlight w:val="none"/>
              </w:rPr>
            </w:pPr>
          </w:p>
          <w:p w14:paraId="57407C2B">
            <w:pPr>
              <w:pStyle w:val="58"/>
              <w:shd w:val="clear" w:color="auto" w:fill="auto"/>
              <w:ind w:left="202"/>
              <w:rPr>
                <w:rFonts w:hint="eastAsia" w:ascii="宋体" w:hAnsi="宋体" w:eastAsia="宋体" w:cs="宋体"/>
                <w:color w:val="000000"/>
                <w:sz w:val="18"/>
                <w:highlight w:val="none"/>
              </w:rPr>
            </w:pPr>
            <w:r>
              <w:rPr>
                <w:rFonts w:hint="eastAsia" w:ascii="宋体" w:hAnsi="宋体" w:eastAsia="宋体" w:cs="宋体"/>
                <w:color w:val="000000"/>
                <w:sz w:val="18"/>
                <w:highlight w:val="none"/>
              </w:rPr>
              <w:t>Z≥80000</w:t>
            </w:r>
          </w:p>
        </w:tc>
        <w:tc>
          <w:tcPr>
            <w:tcW w:w="1701" w:type="dxa"/>
            <w:noWrap w:val="0"/>
            <w:vAlign w:val="top"/>
          </w:tcPr>
          <w:p w14:paraId="2BE5EA65">
            <w:pPr>
              <w:pStyle w:val="58"/>
              <w:shd w:val="clear" w:color="auto" w:fill="auto"/>
              <w:spacing w:before="79"/>
              <w:ind w:left="220"/>
              <w:rPr>
                <w:rFonts w:hint="eastAsia" w:ascii="宋体" w:hAnsi="宋体" w:eastAsia="宋体" w:cs="宋体"/>
                <w:color w:val="000000"/>
                <w:sz w:val="18"/>
                <w:highlight w:val="none"/>
              </w:rPr>
            </w:pPr>
            <w:r>
              <w:rPr>
                <w:rFonts w:hint="eastAsia" w:ascii="宋体" w:hAnsi="宋体" w:eastAsia="宋体" w:cs="宋体"/>
                <w:color w:val="000000"/>
                <w:sz w:val="18"/>
                <w:highlight w:val="none"/>
              </w:rPr>
              <w:t>6000≤Y＜80000</w:t>
            </w:r>
          </w:p>
          <w:p w14:paraId="6A0F12E1">
            <w:pPr>
              <w:pStyle w:val="58"/>
              <w:shd w:val="clear" w:color="auto" w:fill="auto"/>
              <w:spacing w:before="11"/>
              <w:rPr>
                <w:rFonts w:hint="eastAsia" w:ascii="宋体" w:hAnsi="宋体" w:eastAsia="宋体" w:cs="宋体"/>
                <w:color w:val="000000"/>
                <w:sz w:val="12"/>
                <w:highlight w:val="none"/>
              </w:rPr>
            </w:pPr>
          </w:p>
          <w:p w14:paraId="01F57439">
            <w:pPr>
              <w:pStyle w:val="58"/>
              <w:shd w:val="clear" w:color="auto" w:fill="auto"/>
              <w:ind w:left="220"/>
              <w:rPr>
                <w:rFonts w:hint="eastAsia" w:ascii="宋体" w:hAnsi="宋体" w:eastAsia="宋体" w:cs="宋体"/>
                <w:color w:val="000000"/>
                <w:sz w:val="18"/>
                <w:highlight w:val="none"/>
              </w:rPr>
            </w:pPr>
            <w:r>
              <w:rPr>
                <w:rFonts w:hint="eastAsia" w:ascii="宋体" w:hAnsi="宋体" w:eastAsia="宋体" w:cs="宋体"/>
                <w:color w:val="000000"/>
                <w:sz w:val="18"/>
                <w:highlight w:val="none"/>
              </w:rPr>
              <w:t>5000≤Z＜80000</w:t>
            </w:r>
          </w:p>
        </w:tc>
        <w:tc>
          <w:tcPr>
            <w:tcW w:w="1426" w:type="dxa"/>
            <w:noWrap w:val="0"/>
            <w:vAlign w:val="top"/>
          </w:tcPr>
          <w:p w14:paraId="65C50545">
            <w:pPr>
              <w:pStyle w:val="58"/>
              <w:shd w:val="clear" w:color="auto" w:fill="auto"/>
              <w:spacing w:before="79"/>
              <w:ind w:left="172"/>
              <w:rPr>
                <w:rFonts w:hint="eastAsia" w:ascii="宋体" w:hAnsi="宋体" w:eastAsia="宋体" w:cs="宋体"/>
                <w:color w:val="000000"/>
                <w:sz w:val="18"/>
                <w:highlight w:val="none"/>
              </w:rPr>
            </w:pPr>
            <w:r>
              <w:rPr>
                <w:rFonts w:hint="eastAsia" w:ascii="宋体" w:hAnsi="宋体" w:eastAsia="宋体" w:cs="宋体"/>
                <w:color w:val="000000"/>
                <w:sz w:val="18"/>
                <w:highlight w:val="none"/>
              </w:rPr>
              <w:t>300≤Y＜6000</w:t>
            </w:r>
          </w:p>
          <w:p w14:paraId="227AEE93">
            <w:pPr>
              <w:pStyle w:val="58"/>
              <w:shd w:val="clear" w:color="auto" w:fill="auto"/>
              <w:spacing w:before="11"/>
              <w:rPr>
                <w:rFonts w:hint="eastAsia" w:ascii="宋体" w:hAnsi="宋体" w:eastAsia="宋体" w:cs="宋体"/>
                <w:color w:val="000000"/>
                <w:sz w:val="12"/>
                <w:highlight w:val="none"/>
              </w:rPr>
            </w:pPr>
          </w:p>
          <w:p w14:paraId="3CD21BB1">
            <w:pPr>
              <w:pStyle w:val="58"/>
              <w:shd w:val="clear" w:color="auto" w:fill="auto"/>
              <w:ind w:left="172"/>
              <w:rPr>
                <w:rFonts w:hint="eastAsia" w:ascii="宋体" w:hAnsi="宋体" w:eastAsia="宋体" w:cs="宋体"/>
                <w:color w:val="000000"/>
                <w:sz w:val="18"/>
                <w:highlight w:val="none"/>
              </w:rPr>
            </w:pPr>
            <w:r>
              <w:rPr>
                <w:rFonts w:hint="eastAsia" w:ascii="宋体" w:hAnsi="宋体" w:eastAsia="宋体" w:cs="宋体"/>
                <w:color w:val="000000"/>
                <w:sz w:val="18"/>
                <w:highlight w:val="none"/>
              </w:rPr>
              <w:t>300≤Z＜5000</w:t>
            </w:r>
          </w:p>
        </w:tc>
        <w:tc>
          <w:tcPr>
            <w:tcW w:w="992" w:type="dxa"/>
            <w:tcBorders>
              <w:right w:val="nil"/>
            </w:tcBorders>
            <w:noWrap w:val="0"/>
            <w:vAlign w:val="top"/>
          </w:tcPr>
          <w:p w14:paraId="2CBEE640">
            <w:pPr>
              <w:pStyle w:val="58"/>
              <w:shd w:val="clear" w:color="auto" w:fill="auto"/>
              <w:spacing w:before="79"/>
              <w:ind w:left="225"/>
              <w:rPr>
                <w:rFonts w:hint="eastAsia" w:ascii="宋体" w:hAnsi="宋体" w:eastAsia="宋体" w:cs="宋体"/>
                <w:color w:val="000000"/>
                <w:sz w:val="18"/>
                <w:highlight w:val="none"/>
              </w:rPr>
            </w:pPr>
            <w:r>
              <w:rPr>
                <w:rFonts w:hint="eastAsia" w:ascii="宋体" w:hAnsi="宋体" w:eastAsia="宋体" w:cs="宋体"/>
                <w:color w:val="000000"/>
                <w:sz w:val="18"/>
                <w:highlight w:val="none"/>
              </w:rPr>
              <w:t>Y＜300</w:t>
            </w:r>
          </w:p>
          <w:p w14:paraId="293C594C">
            <w:pPr>
              <w:pStyle w:val="58"/>
              <w:shd w:val="clear" w:color="auto" w:fill="auto"/>
              <w:spacing w:before="11"/>
              <w:rPr>
                <w:rFonts w:hint="eastAsia" w:ascii="宋体" w:hAnsi="宋体" w:eastAsia="宋体" w:cs="宋体"/>
                <w:color w:val="000000"/>
                <w:sz w:val="12"/>
                <w:highlight w:val="none"/>
              </w:rPr>
            </w:pPr>
          </w:p>
          <w:p w14:paraId="765D5066">
            <w:pPr>
              <w:pStyle w:val="58"/>
              <w:shd w:val="clear" w:color="auto" w:fill="auto"/>
              <w:ind w:left="225"/>
              <w:rPr>
                <w:rFonts w:hint="eastAsia" w:ascii="宋体" w:hAnsi="宋体" w:eastAsia="宋体" w:cs="宋体"/>
                <w:color w:val="000000"/>
                <w:sz w:val="18"/>
                <w:highlight w:val="none"/>
              </w:rPr>
            </w:pPr>
            <w:r>
              <w:rPr>
                <w:rFonts w:hint="eastAsia" w:ascii="宋体" w:hAnsi="宋体" w:eastAsia="宋体" w:cs="宋体"/>
                <w:color w:val="000000"/>
                <w:sz w:val="18"/>
                <w:highlight w:val="none"/>
              </w:rPr>
              <w:t>Z＜300</w:t>
            </w:r>
          </w:p>
        </w:tc>
      </w:tr>
      <w:tr w14:paraId="4B2B6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2174" w:type="dxa"/>
            <w:tcBorders>
              <w:left w:val="nil"/>
            </w:tcBorders>
            <w:noWrap w:val="0"/>
            <w:vAlign w:val="top"/>
          </w:tcPr>
          <w:p w14:paraId="6992C6F3">
            <w:pPr>
              <w:pStyle w:val="58"/>
              <w:shd w:val="clear" w:color="auto" w:fill="auto"/>
              <w:spacing w:before="7"/>
              <w:rPr>
                <w:rFonts w:hint="eastAsia" w:ascii="宋体" w:hAnsi="宋体" w:eastAsia="宋体" w:cs="宋体"/>
                <w:color w:val="000000"/>
                <w:sz w:val="26"/>
                <w:highlight w:val="none"/>
              </w:rPr>
            </w:pPr>
          </w:p>
          <w:p w14:paraId="0E99D058">
            <w:pPr>
              <w:pStyle w:val="58"/>
              <w:shd w:val="clear" w:color="auto" w:fill="auto"/>
              <w:spacing w:before="1"/>
              <w:ind w:left="472"/>
              <w:rPr>
                <w:rFonts w:hint="eastAsia" w:ascii="宋体" w:hAnsi="宋体" w:eastAsia="宋体" w:cs="宋体"/>
                <w:color w:val="000000"/>
                <w:sz w:val="18"/>
                <w:highlight w:val="none"/>
              </w:rPr>
            </w:pPr>
            <w:r>
              <w:rPr>
                <w:rFonts w:hint="eastAsia" w:ascii="宋体" w:hAnsi="宋体" w:eastAsia="宋体" w:cs="宋体"/>
                <w:color w:val="000000"/>
                <w:sz w:val="18"/>
                <w:highlight w:val="none"/>
              </w:rPr>
              <w:t>批发业</w:t>
            </w:r>
          </w:p>
        </w:tc>
        <w:tc>
          <w:tcPr>
            <w:tcW w:w="1365" w:type="dxa"/>
            <w:noWrap w:val="0"/>
            <w:vAlign w:val="top"/>
          </w:tcPr>
          <w:p w14:paraId="491A5D66">
            <w:pPr>
              <w:pStyle w:val="58"/>
              <w:shd w:val="clear" w:color="auto" w:fill="auto"/>
              <w:spacing w:before="77"/>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从业人员</w:t>
            </w:r>
            <w:r>
              <w:rPr>
                <w:rFonts w:hint="eastAsia" w:ascii="宋体" w:hAnsi="宋体" w:eastAsia="宋体" w:cs="宋体"/>
                <w:color w:val="000000"/>
                <w:sz w:val="18"/>
                <w:highlight w:val="none"/>
              </w:rPr>
              <w:t>(X)</w:t>
            </w:r>
          </w:p>
          <w:p w14:paraId="0B6DA954">
            <w:pPr>
              <w:pStyle w:val="58"/>
              <w:shd w:val="clear" w:color="auto" w:fill="auto"/>
              <w:spacing w:before="12"/>
              <w:rPr>
                <w:rFonts w:hint="eastAsia" w:ascii="宋体" w:hAnsi="宋体" w:eastAsia="宋体" w:cs="宋体"/>
                <w:color w:val="000000"/>
                <w:sz w:val="17"/>
                <w:highlight w:val="none"/>
              </w:rPr>
            </w:pPr>
          </w:p>
          <w:p w14:paraId="5C7F0E47">
            <w:pPr>
              <w:pStyle w:val="58"/>
              <w:shd w:val="clear" w:color="auto" w:fill="auto"/>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营业收入</w:t>
            </w:r>
            <w:r>
              <w:rPr>
                <w:rFonts w:hint="eastAsia" w:ascii="宋体" w:hAnsi="宋体" w:eastAsia="宋体" w:cs="宋体"/>
                <w:color w:val="000000"/>
                <w:sz w:val="18"/>
                <w:highlight w:val="none"/>
              </w:rPr>
              <w:t>(Y)</w:t>
            </w:r>
          </w:p>
        </w:tc>
        <w:tc>
          <w:tcPr>
            <w:tcW w:w="652" w:type="dxa"/>
            <w:noWrap w:val="0"/>
            <w:vAlign w:val="top"/>
          </w:tcPr>
          <w:p w14:paraId="5DD6CA4B">
            <w:pPr>
              <w:pStyle w:val="58"/>
              <w:shd w:val="clear" w:color="auto" w:fill="auto"/>
              <w:spacing w:before="77"/>
              <w:ind w:left="9"/>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人</w:t>
            </w:r>
          </w:p>
          <w:p w14:paraId="5DFDF37E">
            <w:pPr>
              <w:pStyle w:val="58"/>
              <w:shd w:val="clear" w:color="auto" w:fill="auto"/>
              <w:spacing w:before="5"/>
              <w:rPr>
                <w:rFonts w:hint="eastAsia" w:ascii="宋体" w:hAnsi="宋体" w:eastAsia="宋体" w:cs="宋体"/>
                <w:color w:val="000000"/>
                <w:sz w:val="17"/>
                <w:highlight w:val="none"/>
              </w:rPr>
            </w:pPr>
          </w:p>
          <w:p w14:paraId="36B23444">
            <w:pPr>
              <w:pStyle w:val="58"/>
              <w:shd w:val="clear" w:color="auto" w:fill="auto"/>
              <w:ind w:left="126" w:right="115"/>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万元</w:t>
            </w:r>
          </w:p>
        </w:tc>
        <w:tc>
          <w:tcPr>
            <w:tcW w:w="1125" w:type="dxa"/>
            <w:noWrap w:val="0"/>
            <w:vAlign w:val="top"/>
          </w:tcPr>
          <w:p w14:paraId="6CC40322">
            <w:pPr>
              <w:pStyle w:val="58"/>
              <w:shd w:val="clear" w:color="auto" w:fill="auto"/>
              <w:spacing w:before="77"/>
              <w:ind w:left="291"/>
              <w:rPr>
                <w:rFonts w:hint="eastAsia" w:ascii="宋体" w:hAnsi="宋体" w:eastAsia="宋体" w:cs="宋体"/>
                <w:color w:val="000000"/>
                <w:sz w:val="18"/>
                <w:highlight w:val="none"/>
              </w:rPr>
            </w:pPr>
            <w:r>
              <w:rPr>
                <w:rFonts w:hint="eastAsia" w:ascii="宋体" w:hAnsi="宋体" w:eastAsia="宋体" w:cs="宋体"/>
                <w:color w:val="000000"/>
                <w:sz w:val="18"/>
                <w:highlight w:val="none"/>
              </w:rPr>
              <w:t>X≥200</w:t>
            </w:r>
          </w:p>
          <w:p w14:paraId="2A6D52D8">
            <w:pPr>
              <w:pStyle w:val="58"/>
              <w:shd w:val="clear" w:color="auto" w:fill="auto"/>
              <w:spacing w:before="5"/>
              <w:rPr>
                <w:rFonts w:hint="eastAsia" w:ascii="宋体" w:hAnsi="宋体" w:eastAsia="宋体" w:cs="宋体"/>
                <w:color w:val="000000"/>
                <w:sz w:val="17"/>
                <w:highlight w:val="none"/>
              </w:rPr>
            </w:pPr>
          </w:p>
          <w:p w14:paraId="025D10AC">
            <w:pPr>
              <w:pStyle w:val="58"/>
              <w:shd w:val="clear" w:color="auto" w:fill="auto"/>
              <w:ind w:left="202"/>
              <w:rPr>
                <w:rFonts w:hint="eastAsia" w:ascii="宋体" w:hAnsi="宋体" w:eastAsia="宋体" w:cs="宋体"/>
                <w:color w:val="000000"/>
                <w:sz w:val="18"/>
                <w:highlight w:val="none"/>
              </w:rPr>
            </w:pPr>
            <w:r>
              <w:rPr>
                <w:rFonts w:hint="eastAsia" w:ascii="宋体" w:hAnsi="宋体" w:eastAsia="宋体" w:cs="宋体"/>
                <w:color w:val="000000"/>
                <w:sz w:val="18"/>
                <w:highlight w:val="none"/>
              </w:rPr>
              <w:t>Y≥40000</w:t>
            </w:r>
          </w:p>
        </w:tc>
        <w:tc>
          <w:tcPr>
            <w:tcW w:w="1701" w:type="dxa"/>
            <w:noWrap w:val="0"/>
            <w:vAlign w:val="top"/>
          </w:tcPr>
          <w:p w14:paraId="06141C25">
            <w:pPr>
              <w:pStyle w:val="58"/>
              <w:shd w:val="clear" w:color="auto" w:fill="auto"/>
              <w:spacing w:before="77"/>
              <w:ind w:left="153" w:right="145"/>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20≤X＜200</w:t>
            </w:r>
          </w:p>
          <w:p w14:paraId="72A0D123">
            <w:pPr>
              <w:pStyle w:val="58"/>
              <w:shd w:val="clear" w:color="auto" w:fill="auto"/>
              <w:spacing w:before="5"/>
              <w:rPr>
                <w:rFonts w:hint="eastAsia" w:ascii="宋体" w:hAnsi="宋体" w:eastAsia="宋体" w:cs="宋体"/>
                <w:color w:val="000000"/>
                <w:sz w:val="17"/>
                <w:highlight w:val="none"/>
              </w:rPr>
            </w:pPr>
          </w:p>
          <w:p w14:paraId="2B186E63">
            <w:pPr>
              <w:pStyle w:val="58"/>
              <w:shd w:val="clear" w:color="auto" w:fill="auto"/>
              <w:ind w:left="153" w:right="145"/>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5000≤Y＜40000</w:t>
            </w:r>
          </w:p>
        </w:tc>
        <w:tc>
          <w:tcPr>
            <w:tcW w:w="1426" w:type="dxa"/>
            <w:noWrap w:val="0"/>
            <w:vAlign w:val="top"/>
          </w:tcPr>
          <w:p w14:paraId="64E9B6AC">
            <w:pPr>
              <w:pStyle w:val="58"/>
              <w:shd w:val="clear" w:color="auto" w:fill="auto"/>
              <w:spacing w:before="77"/>
              <w:ind w:left="108" w:right="98"/>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5≤X＜20</w:t>
            </w:r>
          </w:p>
          <w:p w14:paraId="0F60291B">
            <w:pPr>
              <w:pStyle w:val="58"/>
              <w:shd w:val="clear" w:color="auto" w:fill="auto"/>
              <w:spacing w:before="5"/>
              <w:rPr>
                <w:rFonts w:hint="eastAsia" w:ascii="宋体" w:hAnsi="宋体" w:eastAsia="宋体" w:cs="宋体"/>
                <w:color w:val="000000"/>
                <w:sz w:val="17"/>
                <w:highlight w:val="none"/>
              </w:rPr>
            </w:pPr>
          </w:p>
          <w:p w14:paraId="33EAD221">
            <w:pPr>
              <w:pStyle w:val="58"/>
              <w:shd w:val="clear" w:color="auto" w:fill="auto"/>
              <w:ind w:left="108" w:right="98"/>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1000≤Y＜5000</w:t>
            </w:r>
          </w:p>
        </w:tc>
        <w:tc>
          <w:tcPr>
            <w:tcW w:w="992" w:type="dxa"/>
            <w:tcBorders>
              <w:right w:val="nil"/>
            </w:tcBorders>
            <w:noWrap w:val="0"/>
            <w:vAlign w:val="top"/>
          </w:tcPr>
          <w:p w14:paraId="6DA4CC68">
            <w:pPr>
              <w:pStyle w:val="58"/>
              <w:shd w:val="clear" w:color="auto" w:fill="auto"/>
              <w:spacing w:before="77"/>
              <w:ind w:left="160" w:right="156"/>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X＜5</w:t>
            </w:r>
          </w:p>
          <w:p w14:paraId="0439A06C">
            <w:pPr>
              <w:pStyle w:val="58"/>
              <w:shd w:val="clear" w:color="auto" w:fill="auto"/>
              <w:spacing w:before="5"/>
              <w:rPr>
                <w:rFonts w:hint="eastAsia" w:ascii="宋体" w:hAnsi="宋体" w:eastAsia="宋体" w:cs="宋体"/>
                <w:color w:val="000000"/>
                <w:sz w:val="17"/>
                <w:highlight w:val="none"/>
              </w:rPr>
            </w:pPr>
          </w:p>
          <w:p w14:paraId="3A75A433">
            <w:pPr>
              <w:pStyle w:val="58"/>
              <w:shd w:val="clear" w:color="auto" w:fill="auto"/>
              <w:ind w:left="160" w:right="156"/>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Y＜1000</w:t>
            </w:r>
          </w:p>
        </w:tc>
      </w:tr>
      <w:tr w14:paraId="1390C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trPr>
        <w:tc>
          <w:tcPr>
            <w:tcW w:w="2174" w:type="dxa"/>
            <w:tcBorders>
              <w:left w:val="nil"/>
            </w:tcBorders>
            <w:noWrap w:val="0"/>
            <w:vAlign w:val="top"/>
          </w:tcPr>
          <w:p w14:paraId="6B4372BF">
            <w:pPr>
              <w:pStyle w:val="58"/>
              <w:shd w:val="clear" w:color="auto" w:fill="auto"/>
              <w:spacing w:before="2"/>
              <w:rPr>
                <w:rFonts w:hint="eastAsia" w:ascii="宋体" w:hAnsi="宋体" w:eastAsia="宋体" w:cs="宋体"/>
                <w:color w:val="000000"/>
                <w:sz w:val="22"/>
                <w:highlight w:val="none"/>
              </w:rPr>
            </w:pPr>
          </w:p>
          <w:p w14:paraId="297D9FF1">
            <w:pPr>
              <w:pStyle w:val="58"/>
              <w:shd w:val="clear" w:color="auto" w:fill="auto"/>
              <w:ind w:left="472"/>
              <w:rPr>
                <w:rFonts w:hint="eastAsia" w:ascii="宋体" w:hAnsi="宋体" w:eastAsia="宋体" w:cs="宋体"/>
                <w:color w:val="000000"/>
                <w:sz w:val="18"/>
                <w:highlight w:val="none"/>
              </w:rPr>
            </w:pPr>
            <w:r>
              <w:rPr>
                <w:rFonts w:hint="eastAsia" w:ascii="宋体" w:hAnsi="宋体" w:eastAsia="宋体" w:cs="宋体"/>
                <w:color w:val="000000"/>
                <w:sz w:val="18"/>
                <w:highlight w:val="none"/>
              </w:rPr>
              <w:t>零售业</w:t>
            </w:r>
          </w:p>
        </w:tc>
        <w:tc>
          <w:tcPr>
            <w:tcW w:w="1365" w:type="dxa"/>
            <w:noWrap w:val="0"/>
            <w:vAlign w:val="top"/>
          </w:tcPr>
          <w:p w14:paraId="242AD16A">
            <w:pPr>
              <w:pStyle w:val="58"/>
              <w:shd w:val="clear" w:color="auto" w:fill="auto"/>
              <w:spacing w:before="77"/>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从业人员</w:t>
            </w:r>
            <w:r>
              <w:rPr>
                <w:rFonts w:hint="eastAsia" w:ascii="宋体" w:hAnsi="宋体" w:eastAsia="宋体" w:cs="宋体"/>
                <w:color w:val="000000"/>
                <w:sz w:val="18"/>
                <w:highlight w:val="none"/>
              </w:rPr>
              <w:t>(X)</w:t>
            </w:r>
          </w:p>
          <w:p w14:paraId="1E654430">
            <w:pPr>
              <w:pStyle w:val="58"/>
              <w:shd w:val="clear" w:color="auto" w:fill="auto"/>
              <w:spacing w:before="9"/>
              <w:rPr>
                <w:rFonts w:hint="eastAsia" w:ascii="宋体" w:hAnsi="宋体" w:eastAsia="宋体" w:cs="宋体"/>
                <w:color w:val="000000"/>
                <w:sz w:val="13"/>
                <w:highlight w:val="none"/>
              </w:rPr>
            </w:pPr>
          </w:p>
          <w:p w14:paraId="002F454C">
            <w:pPr>
              <w:pStyle w:val="58"/>
              <w:shd w:val="clear" w:color="auto" w:fill="auto"/>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营业收入</w:t>
            </w:r>
            <w:r>
              <w:rPr>
                <w:rFonts w:hint="eastAsia" w:ascii="宋体" w:hAnsi="宋体" w:eastAsia="宋体" w:cs="宋体"/>
                <w:color w:val="000000"/>
                <w:sz w:val="18"/>
                <w:highlight w:val="none"/>
              </w:rPr>
              <w:t>(Y)</w:t>
            </w:r>
          </w:p>
        </w:tc>
        <w:tc>
          <w:tcPr>
            <w:tcW w:w="652" w:type="dxa"/>
            <w:noWrap w:val="0"/>
            <w:vAlign w:val="top"/>
          </w:tcPr>
          <w:p w14:paraId="4ADE7CEC">
            <w:pPr>
              <w:pStyle w:val="58"/>
              <w:shd w:val="clear" w:color="auto" w:fill="auto"/>
              <w:spacing w:before="77"/>
              <w:ind w:left="9"/>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人</w:t>
            </w:r>
          </w:p>
          <w:p w14:paraId="7879E8AB">
            <w:pPr>
              <w:pStyle w:val="58"/>
              <w:shd w:val="clear" w:color="auto" w:fill="auto"/>
              <w:spacing w:before="2"/>
              <w:rPr>
                <w:rFonts w:hint="eastAsia" w:ascii="宋体" w:hAnsi="宋体" w:eastAsia="宋体" w:cs="宋体"/>
                <w:color w:val="000000"/>
                <w:sz w:val="13"/>
                <w:highlight w:val="none"/>
              </w:rPr>
            </w:pPr>
          </w:p>
          <w:p w14:paraId="62EF7DB5">
            <w:pPr>
              <w:pStyle w:val="58"/>
              <w:shd w:val="clear" w:color="auto" w:fill="auto"/>
              <w:ind w:left="126" w:right="115"/>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万元</w:t>
            </w:r>
          </w:p>
        </w:tc>
        <w:tc>
          <w:tcPr>
            <w:tcW w:w="1125" w:type="dxa"/>
            <w:noWrap w:val="0"/>
            <w:vAlign w:val="top"/>
          </w:tcPr>
          <w:p w14:paraId="37770932">
            <w:pPr>
              <w:pStyle w:val="58"/>
              <w:shd w:val="clear" w:color="auto" w:fill="auto"/>
              <w:spacing w:before="77"/>
              <w:ind w:left="291"/>
              <w:rPr>
                <w:rFonts w:hint="eastAsia" w:ascii="宋体" w:hAnsi="宋体" w:eastAsia="宋体" w:cs="宋体"/>
                <w:color w:val="000000"/>
                <w:sz w:val="18"/>
                <w:highlight w:val="none"/>
              </w:rPr>
            </w:pPr>
            <w:r>
              <w:rPr>
                <w:rFonts w:hint="eastAsia" w:ascii="宋体" w:hAnsi="宋体" w:eastAsia="宋体" w:cs="宋体"/>
                <w:color w:val="000000"/>
                <w:sz w:val="18"/>
                <w:highlight w:val="none"/>
              </w:rPr>
              <w:t>X≥300</w:t>
            </w:r>
          </w:p>
          <w:p w14:paraId="570254B1">
            <w:pPr>
              <w:pStyle w:val="58"/>
              <w:shd w:val="clear" w:color="auto" w:fill="auto"/>
              <w:spacing w:before="2"/>
              <w:rPr>
                <w:rFonts w:hint="eastAsia" w:ascii="宋体" w:hAnsi="宋体" w:eastAsia="宋体" w:cs="宋体"/>
                <w:color w:val="000000"/>
                <w:sz w:val="13"/>
                <w:highlight w:val="none"/>
              </w:rPr>
            </w:pPr>
          </w:p>
          <w:p w14:paraId="04FEC837">
            <w:pPr>
              <w:pStyle w:val="58"/>
              <w:shd w:val="clear" w:color="auto" w:fill="auto"/>
              <w:ind w:left="202"/>
              <w:rPr>
                <w:rFonts w:hint="eastAsia" w:ascii="宋体" w:hAnsi="宋体" w:eastAsia="宋体" w:cs="宋体"/>
                <w:color w:val="000000"/>
                <w:sz w:val="18"/>
                <w:highlight w:val="none"/>
              </w:rPr>
            </w:pPr>
            <w:r>
              <w:rPr>
                <w:rFonts w:hint="eastAsia" w:ascii="宋体" w:hAnsi="宋体" w:eastAsia="宋体" w:cs="宋体"/>
                <w:color w:val="000000"/>
                <w:sz w:val="18"/>
                <w:highlight w:val="none"/>
              </w:rPr>
              <w:t>Y≥20000</w:t>
            </w:r>
          </w:p>
        </w:tc>
        <w:tc>
          <w:tcPr>
            <w:tcW w:w="1701" w:type="dxa"/>
            <w:noWrap w:val="0"/>
            <w:vAlign w:val="top"/>
          </w:tcPr>
          <w:p w14:paraId="28147921">
            <w:pPr>
              <w:pStyle w:val="58"/>
              <w:shd w:val="clear" w:color="auto" w:fill="auto"/>
              <w:spacing w:before="77"/>
              <w:ind w:left="153" w:right="145"/>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50≤X＜300</w:t>
            </w:r>
          </w:p>
          <w:p w14:paraId="21DFBF0E">
            <w:pPr>
              <w:pStyle w:val="58"/>
              <w:shd w:val="clear" w:color="auto" w:fill="auto"/>
              <w:spacing w:before="2"/>
              <w:rPr>
                <w:rFonts w:hint="eastAsia" w:ascii="宋体" w:hAnsi="宋体" w:eastAsia="宋体" w:cs="宋体"/>
                <w:color w:val="000000"/>
                <w:sz w:val="13"/>
                <w:highlight w:val="none"/>
              </w:rPr>
            </w:pPr>
          </w:p>
          <w:p w14:paraId="23EF9DF6">
            <w:pPr>
              <w:pStyle w:val="58"/>
              <w:shd w:val="clear" w:color="auto" w:fill="auto"/>
              <w:ind w:left="155" w:right="145"/>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500≤Y＜20000</w:t>
            </w:r>
          </w:p>
        </w:tc>
        <w:tc>
          <w:tcPr>
            <w:tcW w:w="1426" w:type="dxa"/>
            <w:noWrap w:val="0"/>
            <w:vAlign w:val="top"/>
          </w:tcPr>
          <w:p w14:paraId="21089118">
            <w:pPr>
              <w:pStyle w:val="58"/>
              <w:shd w:val="clear" w:color="auto" w:fill="auto"/>
              <w:spacing w:before="77"/>
              <w:ind w:left="307"/>
              <w:rPr>
                <w:rFonts w:hint="eastAsia" w:ascii="宋体" w:hAnsi="宋体" w:eastAsia="宋体" w:cs="宋体"/>
                <w:color w:val="000000"/>
                <w:sz w:val="18"/>
                <w:highlight w:val="none"/>
              </w:rPr>
            </w:pPr>
            <w:r>
              <w:rPr>
                <w:rFonts w:hint="eastAsia" w:ascii="宋体" w:hAnsi="宋体" w:eastAsia="宋体" w:cs="宋体"/>
                <w:color w:val="000000"/>
                <w:sz w:val="18"/>
                <w:highlight w:val="none"/>
              </w:rPr>
              <w:t>10≤X＜50</w:t>
            </w:r>
          </w:p>
          <w:p w14:paraId="74298BB4">
            <w:pPr>
              <w:pStyle w:val="58"/>
              <w:shd w:val="clear" w:color="auto" w:fill="auto"/>
              <w:spacing w:before="2"/>
              <w:rPr>
                <w:rFonts w:hint="eastAsia" w:ascii="宋体" w:hAnsi="宋体" w:eastAsia="宋体" w:cs="宋体"/>
                <w:color w:val="000000"/>
                <w:sz w:val="13"/>
                <w:highlight w:val="none"/>
              </w:rPr>
            </w:pPr>
          </w:p>
          <w:p w14:paraId="448A146C">
            <w:pPr>
              <w:pStyle w:val="58"/>
              <w:shd w:val="clear" w:color="auto" w:fill="auto"/>
              <w:ind w:left="218"/>
              <w:rPr>
                <w:rFonts w:hint="eastAsia" w:ascii="宋体" w:hAnsi="宋体" w:eastAsia="宋体" w:cs="宋体"/>
                <w:color w:val="000000"/>
                <w:sz w:val="18"/>
                <w:highlight w:val="none"/>
              </w:rPr>
            </w:pPr>
            <w:r>
              <w:rPr>
                <w:rFonts w:hint="eastAsia" w:ascii="宋体" w:hAnsi="宋体" w:eastAsia="宋体" w:cs="宋体"/>
                <w:color w:val="000000"/>
                <w:sz w:val="18"/>
                <w:highlight w:val="none"/>
              </w:rPr>
              <w:t>100≤Y＜500</w:t>
            </w:r>
          </w:p>
        </w:tc>
        <w:tc>
          <w:tcPr>
            <w:tcW w:w="992" w:type="dxa"/>
            <w:tcBorders>
              <w:right w:val="nil"/>
            </w:tcBorders>
            <w:noWrap w:val="0"/>
            <w:vAlign w:val="top"/>
          </w:tcPr>
          <w:p w14:paraId="3AE0B837">
            <w:pPr>
              <w:pStyle w:val="58"/>
              <w:shd w:val="clear" w:color="auto" w:fill="auto"/>
              <w:spacing w:before="77"/>
              <w:ind w:left="270"/>
              <w:rPr>
                <w:rFonts w:hint="eastAsia" w:ascii="宋体" w:hAnsi="宋体" w:eastAsia="宋体" w:cs="宋体"/>
                <w:color w:val="000000"/>
                <w:sz w:val="18"/>
                <w:highlight w:val="none"/>
              </w:rPr>
            </w:pPr>
            <w:r>
              <w:rPr>
                <w:rFonts w:hint="eastAsia" w:ascii="宋体" w:hAnsi="宋体" w:eastAsia="宋体" w:cs="宋体"/>
                <w:color w:val="000000"/>
                <w:sz w:val="18"/>
                <w:highlight w:val="none"/>
              </w:rPr>
              <w:t>X＜10</w:t>
            </w:r>
          </w:p>
          <w:p w14:paraId="534D7467">
            <w:pPr>
              <w:pStyle w:val="58"/>
              <w:shd w:val="clear" w:color="auto" w:fill="auto"/>
              <w:spacing w:before="2"/>
              <w:rPr>
                <w:rFonts w:hint="eastAsia" w:ascii="宋体" w:hAnsi="宋体" w:eastAsia="宋体" w:cs="宋体"/>
                <w:color w:val="000000"/>
                <w:sz w:val="13"/>
                <w:highlight w:val="none"/>
              </w:rPr>
            </w:pPr>
          </w:p>
          <w:p w14:paraId="7740AB14">
            <w:pPr>
              <w:pStyle w:val="58"/>
              <w:shd w:val="clear" w:color="auto" w:fill="auto"/>
              <w:ind w:left="225"/>
              <w:rPr>
                <w:rFonts w:hint="eastAsia" w:ascii="宋体" w:hAnsi="宋体" w:eastAsia="宋体" w:cs="宋体"/>
                <w:color w:val="000000"/>
                <w:sz w:val="18"/>
                <w:highlight w:val="none"/>
              </w:rPr>
            </w:pPr>
            <w:r>
              <w:rPr>
                <w:rFonts w:hint="eastAsia" w:ascii="宋体" w:hAnsi="宋体" w:eastAsia="宋体" w:cs="宋体"/>
                <w:color w:val="000000"/>
                <w:sz w:val="18"/>
                <w:highlight w:val="none"/>
              </w:rPr>
              <w:t>Y＜100</w:t>
            </w:r>
          </w:p>
        </w:tc>
      </w:tr>
      <w:tr w14:paraId="45B20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trPr>
        <w:tc>
          <w:tcPr>
            <w:tcW w:w="2174" w:type="dxa"/>
            <w:tcBorders>
              <w:left w:val="nil"/>
            </w:tcBorders>
            <w:noWrap w:val="0"/>
            <w:vAlign w:val="top"/>
          </w:tcPr>
          <w:p w14:paraId="3200BA37">
            <w:pPr>
              <w:pStyle w:val="58"/>
              <w:shd w:val="clear" w:color="auto" w:fill="auto"/>
              <w:spacing w:before="2"/>
              <w:rPr>
                <w:rFonts w:hint="eastAsia" w:ascii="宋体" w:hAnsi="宋体" w:eastAsia="宋体" w:cs="宋体"/>
                <w:color w:val="000000"/>
                <w:sz w:val="22"/>
                <w:highlight w:val="none"/>
              </w:rPr>
            </w:pPr>
          </w:p>
          <w:p w14:paraId="41782B03">
            <w:pPr>
              <w:pStyle w:val="58"/>
              <w:shd w:val="clear" w:color="auto" w:fill="auto"/>
              <w:ind w:left="472"/>
              <w:rPr>
                <w:rFonts w:hint="eastAsia" w:ascii="宋体" w:hAnsi="宋体" w:eastAsia="宋体" w:cs="宋体"/>
                <w:color w:val="000000"/>
                <w:sz w:val="18"/>
                <w:highlight w:val="none"/>
              </w:rPr>
            </w:pPr>
            <w:r>
              <w:rPr>
                <w:rFonts w:hint="eastAsia" w:ascii="宋体" w:hAnsi="宋体" w:eastAsia="宋体" w:cs="宋体"/>
                <w:color w:val="000000"/>
                <w:sz w:val="18"/>
                <w:highlight w:val="none"/>
              </w:rPr>
              <w:t>交通运输业 *</w:t>
            </w:r>
          </w:p>
        </w:tc>
        <w:tc>
          <w:tcPr>
            <w:tcW w:w="1365" w:type="dxa"/>
            <w:noWrap w:val="0"/>
            <w:vAlign w:val="top"/>
          </w:tcPr>
          <w:p w14:paraId="37E68301">
            <w:pPr>
              <w:pStyle w:val="58"/>
              <w:shd w:val="clear" w:color="auto" w:fill="auto"/>
              <w:spacing w:before="78"/>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从业人员</w:t>
            </w:r>
            <w:r>
              <w:rPr>
                <w:rFonts w:hint="eastAsia" w:ascii="宋体" w:hAnsi="宋体" w:eastAsia="宋体" w:cs="宋体"/>
                <w:color w:val="000000"/>
                <w:sz w:val="18"/>
                <w:highlight w:val="none"/>
              </w:rPr>
              <w:t>(X)</w:t>
            </w:r>
          </w:p>
          <w:p w14:paraId="7C574476">
            <w:pPr>
              <w:pStyle w:val="58"/>
              <w:shd w:val="clear" w:color="auto" w:fill="auto"/>
              <w:spacing w:before="8"/>
              <w:rPr>
                <w:rFonts w:hint="eastAsia" w:ascii="宋体" w:hAnsi="宋体" w:eastAsia="宋体" w:cs="宋体"/>
                <w:color w:val="000000"/>
                <w:sz w:val="13"/>
                <w:highlight w:val="none"/>
              </w:rPr>
            </w:pPr>
          </w:p>
          <w:p w14:paraId="2EADA107">
            <w:pPr>
              <w:pStyle w:val="58"/>
              <w:shd w:val="clear" w:color="auto" w:fill="auto"/>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营业收入</w:t>
            </w:r>
            <w:r>
              <w:rPr>
                <w:rFonts w:hint="eastAsia" w:ascii="宋体" w:hAnsi="宋体" w:eastAsia="宋体" w:cs="宋体"/>
                <w:color w:val="000000"/>
                <w:sz w:val="18"/>
                <w:highlight w:val="none"/>
              </w:rPr>
              <w:t>(Y)</w:t>
            </w:r>
          </w:p>
        </w:tc>
        <w:tc>
          <w:tcPr>
            <w:tcW w:w="652" w:type="dxa"/>
            <w:noWrap w:val="0"/>
            <w:vAlign w:val="top"/>
          </w:tcPr>
          <w:p w14:paraId="233943F5">
            <w:pPr>
              <w:pStyle w:val="58"/>
              <w:shd w:val="clear" w:color="auto" w:fill="auto"/>
              <w:spacing w:before="78"/>
              <w:ind w:left="9"/>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人</w:t>
            </w:r>
          </w:p>
          <w:p w14:paraId="25942EFD">
            <w:pPr>
              <w:pStyle w:val="58"/>
              <w:shd w:val="clear" w:color="auto" w:fill="auto"/>
              <w:spacing w:before="11"/>
              <w:rPr>
                <w:rFonts w:hint="eastAsia" w:ascii="宋体" w:hAnsi="宋体" w:eastAsia="宋体" w:cs="宋体"/>
                <w:color w:val="000000"/>
                <w:sz w:val="12"/>
                <w:highlight w:val="none"/>
              </w:rPr>
            </w:pPr>
          </w:p>
          <w:p w14:paraId="71B36FE1">
            <w:pPr>
              <w:pStyle w:val="58"/>
              <w:shd w:val="clear" w:color="auto" w:fill="auto"/>
              <w:spacing w:before="1"/>
              <w:ind w:left="126" w:right="115"/>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万元</w:t>
            </w:r>
          </w:p>
        </w:tc>
        <w:tc>
          <w:tcPr>
            <w:tcW w:w="1125" w:type="dxa"/>
            <w:noWrap w:val="0"/>
            <w:vAlign w:val="top"/>
          </w:tcPr>
          <w:p w14:paraId="65EBEDC0">
            <w:pPr>
              <w:pStyle w:val="58"/>
              <w:shd w:val="clear" w:color="auto" w:fill="auto"/>
              <w:spacing w:before="78"/>
              <w:ind w:left="245"/>
              <w:rPr>
                <w:rFonts w:hint="eastAsia" w:ascii="宋体" w:hAnsi="宋体" w:eastAsia="宋体" w:cs="宋体"/>
                <w:color w:val="000000"/>
                <w:sz w:val="18"/>
                <w:highlight w:val="none"/>
              </w:rPr>
            </w:pPr>
            <w:r>
              <w:rPr>
                <w:rFonts w:hint="eastAsia" w:ascii="宋体" w:hAnsi="宋体" w:eastAsia="宋体" w:cs="宋体"/>
                <w:color w:val="000000"/>
                <w:sz w:val="18"/>
                <w:highlight w:val="none"/>
              </w:rPr>
              <w:t>X≥1000</w:t>
            </w:r>
          </w:p>
          <w:p w14:paraId="44FD76B7">
            <w:pPr>
              <w:pStyle w:val="58"/>
              <w:shd w:val="clear" w:color="auto" w:fill="auto"/>
              <w:spacing w:before="11"/>
              <w:rPr>
                <w:rFonts w:hint="eastAsia" w:ascii="宋体" w:hAnsi="宋体" w:eastAsia="宋体" w:cs="宋体"/>
                <w:color w:val="000000"/>
                <w:sz w:val="12"/>
                <w:highlight w:val="none"/>
              </w:rPr>
            </w:pPr>
          </w:p>
          <w:p w14:paraId="3B7C0BA1">
            <w:pPr>
              <w:pStyle w:val="58"/>
              <w:shd w:val="clear" w:color="auto" w:fill="auto"/>
              <w:spacing w:before="1"/>
              <w:ind w:left="202"/>
              <w:rPr>
                <w:rFonts w:hint="eastAsia" w:ascii="宋体" w:hAnsi="宋体" w:eastAsia="宋体" w:cs="宋体"/>
                <w:color w:val="000000"/>
                <w:sz w:val="18"/>
                <w:highlight w:val="none"/>
              </w:rPr>
            </w:pPr>
            <w:r>
              <w:rPr>
                <w:rFonts w:hint="eastAsia" w:ascii="宋体" w:hAnsi="宋体" w:eastAsia="宋体" w:cs="宋体"/>
                <w:color w:val="000000"/>
                <w:sz w:val="18"/>
                <w:highlight w:val="none"/>
              </w:rPr>
              <w:t>Y≥30000</w:t>
            </w:r>
          </w:p>
        </w:tc>
        <w:tc>
          <w:tcPr>
            <w:tcW w:w="1701" w:type="dxa"/>
            <w:noWrap w:val="0"/>
            <w:vAlign w:val="top"/>
          </w:tcPr>
          <w:p w14:paraId="66A3FD5B">
            <w:pPr>
              <w:pStyle w:val="58"/>
              <w:shd w:val="clear" w:color="auto" w:fill="auto"/>
              <w:spacing w:before="78"/>
              <w:ind w:left="308"/>
              <w:rPr>
                <w:rFonts w:hint="eastAsia" w:ascii="宋体" w:hAnsi="宋体" w:eastAsia="宋体" w:cs="宋体"/>
                <w:color w:val="000000"/>
                <w:sz w:val="18"/>
                <w:highlight w:val="none"/>
              </w:rPr>
            </w:pPr>
            <w:r>
              <w:rPr>
                <w:rFonts w:hint="eastAsia" w:ascii="宋体" w:hAnsi="宋体" w:eastAsia="宋体" w:cs="宋体"/>
                <w:color w:val="000000"/>
                <w:sz w:val="18"/>
                <w:highlight w:val="none"/>
              </w:rPr>
              <w:t>300≤X＜1000</w:t>
            </w:r>
          </w:p>
          <w:p w14:paraId="3E9FACAA">
            <w:pPr>
              <w:pStyle w:val="58"/>
              <w:shd w:val="clear" w:color="auto" w:fill="auto"/>
              <w:spacing w:before="11"/>
              <w:rPr>
                <w:rFonts w:hint="eastAsia" w:ascii="宋体" w:hAnsi="宋体" w:eastAsia="宋体" w:cs="宋体"/>
                <w:color w:val="000000"/>
                <w:sz w:val="12"/>
                <w:highlight w:val="none"/>
              </w:rPr>
            </w:pPr>
          </w:p>
          <w:p w14:paraId="5AAF1E94">
            <w:pPr>
              <w:pStyle w:val="58"/>
              <w:shd w:val="clear" w:color="auto" w:fill="auto"/>
              <w:spacing w:before="1"/>
              <w:ind w:left="220"/>
              <w:rPr>
                <w:rFonts w:hint="eastAsia" w:ascii="宋体" w:hAnsi="宋体" w:eastAsia="宋体" w:cs="宋体"/>
                <w:color w:val="000000"/>
                <w:sz w:val="18"/>
                <w:highlight w:val="none"/>
              </w:rPr>
            </w:pPr>
            <w:r>
              <w:rPr>
                <w:rFonts w:hint="eastAsia" w:ascii="宋体" w:hAnsi="宋体" w:eastAsia="宋体" w:cs="宋体"/>
                <w:color w:val="000000"/>
                <w:sz w:val="18"/>
                <w:highlight w:val="none"/>
              </w:rPr>
              <w:t>3000≤Y＜30000</w:t>
            </w:r>
          </w:p>
        </w:tc>
        <w:tc>
          <w:tcPr>
            <w:tcW w:w="1426" w:type="dxa"/>
            <w:noWrap w:val="0"/>
            <w:vAlign w:val="top"/>
          </w:tcPr>
          <w:p w14:paraId="7D491B3E">
            <w:pPr>
              <w:pStyle w:val="58"/>
              <w:shd w:val="clear" w:color="auto" w:fill="auto"/>
              <w:spacing w:before="78"/>
              <w:ind w:left="261"/>
              <w:rPr>
                <w:rFonts w:hint="eastAsia" w:ascii="宋体" w:hAnsi="宋体" w:eastAsia="宋体" w:cs="宋体"/>
                <w:color w:val="000000"/>
                <w:sz w:val="18"/>
                <w:highlight w:val="none"/>
              </w:rPr>
            </w:pPr>
            <w:r>
              <w:rPr>
                <w:rFonts w:hint="eastAsia" w:ascii="宋体" w:hAnsi="宋体" w:eastAsia="宋体" w:cs="宋体"/>
                <w:color w:val="000000"/>
                <w:sz w:val="18"/>
                <w:highlight w:val="none"/>
              </w:rPr>
              <w:t>20≤X＜300</w:t>
            </w:r>
          </w:p>
          <w:p w14:paraId="1C414C25">
            <w:pPr>
              <w:pStyle w:val="58"/>
              <w:shd w:val="clear" w:color="auto" w:fill="auto"/>
              <w:spacing w:before="11"/>
              <w:rPr>
                <w:rFonts w:hint="eastAsia" w:ascii="宋体" w:hAnsi="宋体" w:eastAsia="宋体" w:cs="宋体"/>
                <w:color w:val="000000"/>
                <w:sz w:val="12"/>
                <w:highlight w:val="none"/>
              </w:rPr>
            </w:pPr>
          </w:p>
          <w:p w14:paraId="72F46330">
            <w:pPr>
              <w:pStyle w:val="58"/>
              <w:shd w:val="clear" w:color="auto" w:fill="auto"/>
              <w:spacing w:before="1"/>
              <w:ind w:left="172"/>
              <w:rPr>
                <w:rFonts w:hint="eastAsia" w:ascii="宋体" w:hAnsi="宋体" w:eastAsia="宋体" w:cs="宋体"/>
                <w:color w:val="000000"/>
                <w:sz w:val="18"/>
                <w:highlight w:val="none"/>
              </w:rPr>
            </w:pPr>
            <w:r>
              <w:rPr>
                <w:rFonts w:hint="eastAsia" w:ascii="宋体" w:hAnsi="宋体" w:eastAsia="宋体" w:cs="宋体"/>
                <w:color w:val="000000"/>
                <w:sz w:val="18"/>
                <w:highlight w:val="none"/>
              </w:rPr>
              <w:t>200≤Y＜3000</w:t>
            </w:r>
          </w:p>
        </w:tc>
        <w:tc>
          <w:tcPr>
            <w:tcW w:w="992" w:type="dxa"/>
            <w:tcBorders>
              <w:right w:val="nil"/>
            </w:tcBorders>
            <w:noWrap w:val="0"/>
            <w:vAlign w:val="top"/>
          </w:tcPr>
          <w:p w14:paraId="286B4240">
            <w:pPr>
              <w:pStyle w:val="58"/>
              <w:shd w:val="clear" w:color="auto" w:fill="auto"/>
              <w:spacing w:before="78"/>
              <w:ind w:left="270"/>
              <w:rPr>
                <w:rFonts w:hint="eastAsia" w:ascii="宋体" w:hAnsi="宋体" w:eastAsia="宋体" w:cs="宋体"/>
                <w:color w:val="000000"/>
                <w:sz w:val="18"/>
                <w:highlight w:val="none"/>
              </w:rPr>
            </w:pPr>
            <w:r>
              <w:rPr>
                <w:rFonts w:hint="eastAsia" w:ascii="宋体" w:hAnsi="宋体" w:eastAsia="宋体" w:cs="宋体"/>
                <w:color w:val="000000"/>
                <w:sz w:val="18"/>
                <w:highlight w:val="none"/>
              </w:rPr>
              <w:t>X＜20</w:t>
            </w:r>
          </w:p>
          <w:p w14:paraId="72BF5285">
            <w:pPr>
              <w:pStyle w:val="58"/>
              <w:shd w:val="clear" w:color="auto" w:fill="auto"/>
              <w:spacing w:before="11"/>
              <w:rPr>
                <w:rFonts w:hint="eastAsia" w:ascii="宋体" w:hAnsi="宋体" w:eastAsia="宋体" w:cs="宋体"/>
                <w:color w:val="000000"/>
                <w:sz w:val="12"/>
                <w:highlight w:val="none"/>
              </w:rPr>
            </w:pPr>
          </w:p>
          <w:p w14:paraId="1B473B4D">
            <w:pPr>
              <w:pStyle w:val="58"/>
              <w:shd w:val="clear" w:color="auto" w:fill="auto"/>
              <w:spacing w:before="1"/>
              <w:ind w:left="225"/>
              <w:rPr>
                <w:rFonts w:hint="eastAsia" w:ascii="宋体" w:hAnsi="宋体" w:eastAsia="宋体" w:cs="宋体"/>
                <w:color w:val="000000"/>
                <w:sz w:val="18"/>
                <w:highlight w:val="none"/>
              </w:rPr>
            </w:pPr>
            <w:r>
              <w:rPr>
                <w:rFonts w:hint="eastAsia" w:ascii="宋体" w:hAnsi="宋体" w:eastAsia="宋体" w:cs="宋体"/>
                <w:color w:val="000000"/>
                <w:sz w:val="18"/>
                <w:highlight w:val="none"/>
              </w:rPr>
              <w:t>Y＜200</w:t>
            </w:r>
          </w:p>
        </w:tc>
      </w:tr>
      <w:tr w14:paraId="73F7A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trPr>
        <w:tc>
          <w:tcPr>
            <w:tcW w:w="2174" w:type="dxa"/>
            <w:tcBorders>
              <w:left w:val="nil"/>
            </w:tcBorders>
            <w:noWrap w:val="0"/>
            <w:vAlign w:val="top"/>
          </w:tcPr>
          <w:p w14:paraId="49EAB979">
            <w:pPr>
              <w:pStyle w:val="58"/>
              <w:shd w:val="clear" w:color="auto" w:fill="auto"/>
              <w:spacing w:before="3"/>
              <w:rPr>
                <w:rFonts w:hint="eastAsia" w:ascii="宋体" w:hAnsi="宋体" w:eastAsia="宋体" w:cs="宋体"/>
                <w:color w:val="000000"/>
                <w:sz w:val="22"/>
                <w:highlight w:val="none"/>
              </w:rPr>
            </w:pPr>
          </w:p>
          <w:p w14:paraId="0E6569BB">
            <w:pPr>
              <w:pStyle w:val="58"/>
              <w:shd w:val="clear" w:color="auto" w:fill="auto"/>
              <w:ind w:left="472"/>
              <w:rPr>
                <w:rFonts w:hint="eastAsia" w:ascii="宋体" w:hAnsi="宋体" w:eastAsia="宋体" w:cs="宋体"/>
                <w:color w:val="000000"/>
                <w:sz w:val="18"/>
                <w:highlight w:val="none"/>
              </w:rPr>
            </w:pPr>
            <w:r>
              <w:rPr>
                <w:rFonts w:hint="eastAsia" w:ascii="宋体" w:hAnsi="宋体" w:eastAsia="宋体" w:cs="宋体"/>
                <w:color w:val="000000"/>
                <w:sz w:val="18"/>
                <w:highlight w:val="none"/>
              </w:rPr>
              <w:t>仓储业*</w:t>
            </w:r>
          </w:p>
        </w:tc>
        <w:tc>
          <w:tcPr>
            <w:tcW w:w="1365" w:type="dxa"/>
            <w:noWrap w:val="0"/>
            <w:vAlign w:val="top"/>
          </w:tcPr>
          <w:p w14:paraId="6926E549">
            <w:pPr>
              <w:pStyle w:val="58"/>
              <w:shd w:val="clear" w:color="auto" w:fill="auto"/>
              <w:spacing w:before="78"/>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从业人员</w:t>
            </w:r>
            <w:r>
              <w:rPr>
                <w:rFonts w:hint="eastAsia" w:ascii="宋体" w:hAnsi="宋体" w:eastAsia="宋体" w:cs="宋体"/>
                <w:color w:val="000000"/>
                <w:sz w:val="18"/>
                <w:highlight w:val="none"/>
              </w:rPr>
              <w:t>(X)</w:t>
            </w:r>
          </w:p>
          <w:p w14:paraId="79927EFE">
            <w:pPr>
              <w:pStyle w:val="58"/>
              <w:shd w:val="clear" w:color="auto" w:fill="auto"/>
              <w:spacing w:before="9"/>
              <w:rPr>
                <w:rFonts w:hint="eastAsia" w:ascii="宋体" w:hAnsi="宋体" w:eastAsia="宋体" w:cs="宋体"/>
                <w:color w:val="000000"/>
                <w:sz w:val="13"/>
                <w:highlight w:val="none"/>
              </w:rPr>
            </w:pPr>
          </w:p>
          <w:p w14:paraId="25CB6268">
            <w:pPr>
              <w:pStyle w:val="58"/>
              <w:shd w:val="clear" w:color="auto" w:fill="auto"/>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营业收入</w:t>
            </w:r>
            <w:r>
              <w:rPr>
                <w:rFonts w:hint="eastAsia" w:ascii="宋体" w:hAnsi="宋体" w:eastAsia="宋体" w:cs="宋体"/>
                <w:color w:val="000000"/>
                <w:sz w:val="18"/>
                <w:highlight w:val="none"/>
              </w:rPr>
              <w:t>(Y)</w:t>
            </w:r>
          </w:p>
        </w:tc>
        <w:tc>
          <w:tcPr>
            <w:tcW w:w="652" w:type="dxa"/>
            <w:noWrap w:val="0"/>
            <w:vAlign w:val="top"/>
          </w:tcPr>
          <w:p w14:paraId="2343D7CF">
            <w:pPr>
              <w:pStyle w:val="58"/>
              <w:shd w:val="clear" w:color="auto" w:fill="auto"/>
              <w:spacing w:before="78"/>
              <w:ind w:left="9"/>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人</w:t>
            </w:r>
          </w:p>
          <w:p w14:paraId="40C0746E">
            <w:pPr>
              <w:pStyle w:val="58"/>
              <w:shd w:val="clear" w:color="auto" w:fill="auto"/>
              <w:spacing w:before="12"/>
              <w:rPr>
                <w:rFonts w:hint="eastAsia" w:ascii="宋体" w:hAnsi="宋体" w:eastAsia="宋体" w:cs="宋体"/>
                <w:color w:val="000000"/>
                <w:sz w:val="12"/>
                <w:highlight w:val="none"/>
              </w:rPr>
            </w:pPr>
          </w:p>
          <w:p w14:paraId="7475999F">
            <w:pPr>
              <w:pStyle w:val="58"/>
              <w:shd w:val="clear" w:color="auto" w:fill="auto"/>
              <w:ind w:left="126" w:right="115"/>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万元</w:t>
            </w:r>
          </w:p>
        </w:tc>
        <w:tc>
          <w:tcPr>
            <w:tcW w:w="1125" w:type="dxa"/>
            <w:noWrap w:val="0"/>
            <w:vAlign w:val="top"/>
          </w:tcPr>
          <w:p w14:paraId="518CFBC4">
            <w:pPr>
              <w:pStyle w:val="58"/>
              <w:shd w:val="clear" w:color="auto" w:fill="auto"/>
              <w:spacing w:before="78"/>
              <w:ind w:left="291"/>
              <w:rPr>
                <w:rFonts w:hint="eastAsia" w:ascii="宋体" w:hAnsi="宋体" w:eastAsia="宋体" w:cs="宋体"/>
                <w:color w:val="000000"/>
                <w:sz w:val="18"/>
                <w:highlight w:val="none"/>
              </w:rPr>
            </w:pPr>
            <w:r>
              <w:rPr>
                <w:rFonts w:hint="eastAsia" w:ascii="宋体" w:hAnsi="宋体" w:eastAsia="宋体" w:cs="宋体"/>
                <w:color w:val="000000"/>
                <w:sz w:val="18"/>
                <w:highlight w:val="none"/>
              </w:rPr>
              <w:t>X≥200</w:t>
            </w:r>
          </w:p>
          <w:p w14:paraId="28CF1DD4">
            <w:pPr>
              <w:pStyle w:val="58"/>
              <w:shd w:val="clear" w:color="auto" w:fill="auto"/>
              <w:spacing w:before="12"/>
              <w:rPr>
                <w:rFonts w:hint="eastAsia" w:ascii="宋体" w:hAnsi="宋体" w:eastAsia="宋体" w:cs="宋体"/>
                <w:color w:val="000000"/>
                <w:sz w:val="12"/>
                <w:highlight w:val="none"/>
              </w:rPr>
            </w:pPr>
          </w:p>
          <w:p w14:paraId="3FA95C14">
            <w:pPr>
              <w:pStyle w:val="58"/>
              <w:shd w:val="clear" w:color="auto" w:fill="auto"/>
              <w:ind w:left="202"/>
              <w:rPr>
                <w:rFonts w:hint="eastAsia" w:ascii="宋体" w:hAnsi="宋体" w:eastAsia="宋体" w:cs="宋体"/>
                <w:color w:val="000000"/>
                <w:sz w:val="18"/>
                <w:highlight w:val="none"/>
              </w:rPr>
            </w:pPr>
            <w:r>
              <w:rPr>
                <w:rFonts w:hint="eastAsia" w:ascii="宋体" w:hAnsi="宋体" w:eastAsia="宋体" w:cs="宋体"/>
                <w:color w:val="000000"/>
                <w:sz w:val="18"/>
                <w:highlight w:val="none"/>
              </w:rPr>
              <w:t>Y≥30000</w:t>
            </w:r>
          </w:p>
        </w:tc>
        <w:tc>
          <w:tcPr>
            <w:tcW w:w="1701" w:type="dxa"/>
            <w:noWrap w:val="0"/>
            <w:vAlign w:val="top"/>
          </w:tcPr>
          <w:p w14:paraId="092CCF37">
            <w:pPr>
              <w:pStyle w:val="58"/>
              <w:shd w:val="clear" w:color="auto" w:fill="auto"/>
              <w:spacing w:before="78"/>
              <w:ind w:left="272"/>
              <w:rPr>
                <w:rFonts w:hint="eastAsia" w:ascii="宋体" w:hAnsi="宋体" w:eastAsia="宋体" w:cs="宋体"/>
                <w:color w:val="000000"/>
                <w:sz w:val="18"/>
                <w:highlight w:val="none"/>
              </w:rPr>
            </w:pPr>
            <w:r>
              <w:rPr>
                <w:rFonts w:hint="eastAsia" w:ascii="宋体" w:hAnsi="宋体" w:eastAsia="宋体" w:cs="宋体"/>
                <w:color w:val="000000"/>
                <w:sz w:val="18"/>
                <w:highlight w:val="none"/>
              </w:rPr>
              <w:t>100≤X＜200</w:t>
            </w:r>
          </w:p>
          <w:p w14:paraId="474572A9">
            <w:pPr>
              <w:pStyle w:val="58"/>
              <w:shd w:val="clear" w:color="auto" w:fill="auto"/>
              <w:spacing w:before="12"/>
              <w:rPr>
                <w:rFonts w:hint="eastAsia" w:ascii="宋体" w:hAnsi="宋体" w:eastAsia="宋体" w:cs="宋体"/>
                <w:color w:val="000000"/>
                <w:sz w:val="12"/>
                <w:highlight w:val="none"/>
              </w:rPr>
            </w:pPr>
          </w:p>
          <w:p w14:paraId="00302F19">
            <w:pPr>
              <w:pStyle w:val="58"/>
              <w:shd w:val="clear" w:color="auto" w:fill="auto"/>
              <w:ind w:left="220"/>
              <w:rPr>
                <w:rFonts w:hint="eastAsia" w:ascii="宋体" w:hAnsi="宋体" w:eastAsia="宋体" w:cs="宋体"/>
                <w:color w:val="000000"/>
                <w:sz w:val="18"/>
                <w:highlight w:val="none"/>
              </w:rPr>
            </w:pPr>
            <w:r>
              <w:rPr>
                <w:rFonts w:hint="eastAsia" w:ascii="宋体" w:hAnsi="宋体" w:eastAsia="宋体" w:cs="宋体"/>
                <w:color w:val="000000"/>
                <w:sz w:val="18"/>
                <w:highlight w:val="none"/>
              </w:rPr>
              <w:t>1000≤Y＜30000</w:t>
            </w:r>
          </w:p>
        </w:tc>
        <w:tc>
          <w:tcPr>
            <w:tcW w:w="1426" w:type="dxa"/>
            <w:noWrap w:val="0"/>
            <w:vAlign w:val="top"/>
          </w:tcPr>
          <w:p w14:paraId="7BBE8AB4">
            <w:pPr>
              <w:pStyle w:val="58"/>
              <w:shd w:val="clear" w:color="auto" w:fill="auto"/>
              <w:spacing w:before="78"/>
              <w:ind w:left="261"/>
              <w:rPr>
                <w:rFonts w:hint="eastAsia" w:ascii="宋体" w:hAnsi="宋体" w:eastAsia="宋体" w:cs="宋体"/>
                <w:color w:val="000000"/>
                <w:sz w:val="18"/>
                <w:highlight w:val="none"/>
              </w:rPr>
            </w:pPr>
            <w:r>
              <w:rPr>
                <w:rFonts w:hint="eastAsia" w:ascii="宋体" w:hAnsi="宋体" w:eastAsia="宋体" w:cs="宋体"/>
                <w:color w:val="000000"/>
                <w:sz w:val="18"/>
                <w:highlight w:val="none"/>
              </w:rPr>
              <w:t>20≤X＜100</w:t>
            </w:r>
          </w:p>
          <w:p w14:paraId="1C982151">
            <w:pPr>
              <w:pStyle w:val="58"/>
              <w:shd w:val="clear" w:color="auto" w:fill="auto"/>
              <w:spacing w:before="12"/>
              <w:rPr>
                <w:rFonts w:hint="eastAsia" w:ascii="宋体" w:hAnsi="宋体" w:eastAsia="宋体" w:cs="宋体"/>
                <w:color w:val="000000"/>
                <w:sz w:val="12"/>
                <w:highlight w:val="none"/>
              </w:rPr>
            </w:pPr>
          </w:p>
          <w:p w14:paraId="281B1548">
            <w:pPr>
              <w:pStyle w:val="58"/>
              <w:shd w:val="clear" w:color="auto" w:fill="auto"/>
              <w:ind w:left="172"/>
              <w:rPr>
                <w:rFonts w:hint="eastAsia" w:ascii="宋体" w:hAnsi="宋体" w:eastAsia="宋体" w:cs="宋体"/>
                <w:color w:val="000000"/>
                <w:sz w:val="18"/>
                <w:highlight w:val="none"/>
              </w:rPr>
            </w:pPr>
            <w:r>
              <w:rPr>
                <w:rFonts w:hint="eastAsia" w:ascii="宋体" w:hAnsi="宋体" w:eastAsia="宋体" w:cs="宋体"/>
                <w:color w:val="000000"/>
                <w:sz w:val="18"/>
                <w:highlight w:val="none"/>
              </w:rPr>
              <w:t>100≤Y＜1000</w:t>
            </w:r>
          </w:p>
        </w:tc>
        <w:tc>
          <w:tcPr>
            <w:tcW w:w="992" w:type="dxa"/>
            <w:tcBorders>
              <w:right w:val="nil"/>
            </w:tcBorders>
            <w:noWrap w:val="0"/>
            <w:vAlign w:val="top"/>
          </w:tcPr>
          <w:p w14:paraId="2E7F587B">
            <w:pPr>
              <w:pStyle w:val="58"/>
              <w:shd w:val="clear" w:color="auto" w:fill="auto"/>
              <w:spacing w:before="78"/>
              <w:ind w:left="270"/>
              <w:rPr>
                <w:rFonts w:hint="eastAsia" w:ascii="宋体" w:hAnsi="宋体" w:eastAsia="宋体" w:cs="宋体"/>
                <w:color w:val="000000"/>
                <w:sz w:val="18"/>
                <w:highlight w:val="none"/>
              </w:rPr>
            </w:pPr>
            <w:r>
              <w:rPr>
                <w:rFonts w:hint="eastAsia" w:ascii="宋体" w:hAnsi="宋体" w:eastAsia="宋体" w:cs="宋体"/>
                <w:color w:val="000000"/>
                <w:sz w:val="18"/>
                <w:highlight w:val="none"/>
              </w:rPr>
              <w:t>X＜20</w:t>
            </w:r>
          </w:p>
          <w:p w14:paraId="13BC6423">
            <w:pPr>
              <w:pStyle w:val="58"/>
              <w:shd w:val="clear" w:color="auto" w:fill="auto"/>
              <w:spacing w:before="12"/>
              <w:rPr>
                <w:rFonts w:hint="eastAsia" w:ascii="宋体" w:hAnsi="宋体" w:eastAsia="宋体" w:cs="宋体"/>
                <w:color w:val="000000"/>
                <w:sz w:val="12"/>
                <w:highlight w:val="none"/>
              </w:rPr>
            </w:pPr>
          </w:p>
          <w:p w14:paraId="736BB5B4">
            <w:pPr>
              <w:pStyle w:val="58"/>
              <w:shd w:val="clear" w:color="auto" w:fill="auto"/>
              <w:ind w:left="225"/>
              <w:rPr>
                <w:rFonts w:hint="eastAsia" w:ascii="宋体" w:hAnsi="宋体" w:eastAsia="宋体" w:cs="宋体"/>
                <w:color w:val="000000"/>
                <w:sz w:val="18"/>
                <w:highlight w:val="none"/>
              </w:rPr>
            </w:pPr>
            <w:r>
              <w:rPr>
                <w:rFonts w:hint="eastAsia" w:ascii="宋体" w:hAnsi="宋体" w:eastAsia="宋体" w:cs="宋体"/>
                <w:color w:val="000000"/>
                <w:sz w:val="18"/>
                <w:highlight w:val="none"/>
              </w:rPr>
              <w:t>Y＜100</w:t>
            </w:r>
          </w:p>
        </w:tc>
      </w:tr>
      <w:tr w14:paraId="6BB91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2174" w:type="dxa"/>
            <w:tcBorders>
              <w:left w:val="nil"/>
            </w:tcBorders>
            <w:noWrap w:val="0"/>
            <w:vAlign w:val="top"/>
          </w:tcPr>
          <w:p w14:paraId="202ACE32">
            <w:pPr>
              <w:pStyle w:val="58"/>
              <w:shd w:val="clear" w:color="auto" w:fill="auto"/>
              <w:spacing w:before="3"/>
              <w:rPr>
                <w:rFonts w:hint="eastAsia" w:ascii="宋体" w:hAnsi="宋体" w:eastAsia="宋体" w:cs="宋体"/>
                <w:color w:val="000000"/>
                <w:sz w:val="22"/>
                <w:highlight w:val="none"/>
              </w:rPr>
            </w:pPr>
          </w:p>
          <w:p w14:paraId="499405F8">
            <w:pPr>
              <w:pStyle w:val="58"/>
              <w:shd w:val="clear" w:color="auto" w:fill="auto"/>
              <w:ind w:left="472"/>
              <w:rPr>
                <w:rFonts w:hint="eastAsia" w:ascii="宋体" w:hAnsi="宋体" w:eastAsia="宋体" w:cs="宋体"/>
                <w:color w:val="000000"/>
                <w:sz w:val="18"/>
                <w:highlight w:val="none"/>
              </w:rPr>
            </w:pPr>
            <w:r>
              <w:rPr>
                <w:rFonts w:hint="eastAsia" w:ascii="宋体" w:hAnsi="宋体" w:eastAsia="宋体" w:cs="宋体"/>
                <w:color w:val="000000"/>
                <w:sz w:val="18"/>
                <w:highlight w:val="none"/>
              </w:rPr>
              <w:t>邮政业</w:t>
            </w:r>
          </w:p>
        </w:tc>
        <w:tc>
          <w:tcPr>
            <w:tcW w:w="1365" w:type="dxa"/>
            <w:noWrap w:val="0"/>
            <w:vAlign w:val="top"/>
          </w:tcPr>
          <w:p w14:paraId="390E2773">
            <w:pPr>
              <w:pStyle w:val="58"/>
              <w:shd w:val="clear" w:color="auto" w:fill="auto"/>
              <w:spacing w:before="79"/>
              <w:ind w:left="186"/>
              <w:rPr>
                <w:rFonts w:hint="eastAsia" w:ascii="宋体" w:hAnsi="宋体" w:eastAsia="宋体" w:cs="宋体"/>
                <w:color w:val="000000"/>
                <w:sz w:val="18"/>
                <w:highlight w:val="none"/>
              </w:rPr>
            </w:pPr>
            <w:r>
              <w:rPr>
                <w:rFonts w:hint="eastAsia" w:ascii="宋体" w:hAnsi="宋体" w:eastAsia="宋体" w:cs="宋体"/>
                <w:color w:val="000000"/>
                <w:sz w:val="18"/>
                <w:highlight w:val="none"/>
              </w:rPr>
              <w:t>从业人员(X)</w:t>
            </w:r>
          </w:p>
          <w:p w14:paraId="241CF9ED">
            <w:pPr>
              <w:pStyle w:val="58"/>
              <w:shd w:val="clear" w:color="auto" w:fill="auto"/>
              <w:spacing w:before="6"/>
              <w:rPr>
                <w:rFonts w:hint="eastAsia" w:ascii="宋体" w:hAnsi="宋体" w:eastAsia="宋体" w:cs="宋体"/>
                <w:color w:val="000000"/>
                <w:sz w:val="13"/>
                <w:highlight w:val="none"/>
              </w:rPr>
            </w:pPr>
          </w:p>
          <w:p w14:paraId="7FAEC4B1">
            <w:pPr>
              <w:pStyle w:val="58"/>
              <w:shd w:val="clear" w:color="auto" w:fill="auto"/>
              <w:ind w:left="275"/>
              <w:rPr>
                <w:rFonts w:hint="eastAsia" w:ascii="宋体" w:hAnsi="宋体" w:eastAsia="宋体" w:cs="宋体"/>
                <w:color w:val="000000"/>
                <w:sz w:val="18"/>
                <w:highlight w:val="none"/>
              </w:rPr>
            </w:pPr>
            <w:r>
              <w:rPr>
                <w:rFonts w:hint="eastAsia" w:ascii="宋体" w:hAnsi="宋体" w:eastAsia="宋体" w:cs="宋体"/>
                <w:color w:val="000000"/>
                <w:sz w:val="18"/>
                <w:highlight w:val="none"/>
              </w:rPr>
              <w:t>营业</w:t>
            </w:r>
            <w:r>
              <w:rPr>
                <w:rFonts w:hint="eastAsia" w:ascii="宋体" w:hAnsi="宋体" w:eastAsia="宋体" w:cs="宋体"/>
                <w:color w:val="000000"/>
                <w:sz w:val="18"/>
                <w:highlight w:val="none"/>
                <w:lang w:eastAsia="zh-CN"/>
              </w:rPr>
              <w:t>收入</w:t>
            </w:r>
            <w:r>
              <w:rPr>
                <w:rFonts w:hint="eastAsia" w:ascii="宋体" w:hAnsi="宋体" w:eastAsia="宋体" w:cs="宋体"/>
                <w:color w:val="000000"/>
                <w:sz w:val="18"/>
                <w:highlight w:val="none"/>
              </w:rPr>
              <w:t>(Y)</w:t>
            </w:r>
          </w:p>
        </w:tc>
        <w:tc>
          <w:tcPr>
            <w:tcW w:w="652" w:type="dxa"/>
            <w:noWrap w:val="0"/>
            <w:vAlign w:val="top"/>
          </w:tcPr>
          <w:p w14:paraId="50120BFA">
            <w:pPr>
              <w:pStyle w:val="58"/>
              <w:shd w:val="clear" w:color="auto" w:fill="auto"/>
              <w:spacing w:before="79"/>
              <w:ind w:left="9"/>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人</w:t>
            </w:r>
          </w:p>
          <w:p w14:paraId="44E1B475">
            <w:pPr>
              <w:pStyle w:val="58"/>
              <w:shd w:val="clear" w:color="auto" w:fill="auto"/>
              <w:spacing w:before="11"/>
              <w:rPr>
                <w:rFonts w:hint="eastAsia" w:ascii="宋体" w:hAnsi="宋体" w:eastAsia="宋体" w:cs="宋体"/>
                <w:color w:val="000000"/>
                <w:sz w:val="12"/>
                <w:highlight w:val="none"/>
              </w:rPr>
            </w:pPr>
          </w:p>
          <w:p w14:paraId="431CD45E">
            <w:pPr>
              <w:pStyle w:val="58"/>
              <w:shd w:val="clear" w:color="auto" w:fill="auto"/>
              <w:ind w:left="126" w:right="115"/>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万元</w:t>
            </w:r>
          </w:p>
        </w:tc>
        <w:tc>
          <w:tcPr>
            <w:tcW w:w="1125" w:type="dxa"/>
            <w:noWrap w:val="0"/>
            <w:vAlign w:val="top"/>
          </w:tcPr>
          <w:p w14:paraId="45124F41">
            <w:pPr>
              <w:pStyle w:val="58"/>
              <w:shd w:val="clear" w:color="auto" w:fill="auto"/>
              <w:spacing w:before="79"/>
              <w:ind w:left="245"/>
              <w:rPr>
                <w:rFonts w:hint="eastAsia" w:ascii="宋体" w:hAnsi="宋体" w:eastAsia="宋体" w:cs="宋体"/>
                <w:color w:val="000000"/>
                <w:sz w:val="18"/>
                <w:highlight w:val="none"/>
              </w:rPr>
            </w:pPr>
            <w:r>
              <w:rPr>
                <w:rFonts w:hint="eastAsia" w:ascii="宋体" w:hAnsi="宋体" w:eastAsia="宋体" w:cs="宋体"/>
                <w:color w:val="000000"/>
                <w:sz w:val="18"/>
                <w:highlight w:val="none"/>
              </w:rPr>
              <w:t>X≥1000</w:t>
            </w:r>
          </w:p>
          <w:p w14:paraId="2C2B5007">
            <w:pPr>
              <w:pStyle w:val="58"/>
              <w:shd w:val="clear" w:color="auto" w:fill="auto"/>
              <w:spacing w:before="11"/>
              <w:rPr>
                <w:rFonts w:hint="eastAsia" w:ascii="宋体" w:hAnsi="宋体" w:eastAsia="宋体" w:cs="宋体"/>
                <w:color w:val="000000"/>
                <w:sz w:val="12"/>
                <w:highlight w:val="none"/>
              </w:rPr>
            </w:pPr>
          </w:p>
          <w:p w14:paraId="6C6B1FF0">
            <w:pPr>
              <w:pStyle w:val="58"/>
              <w:shd w:val="clear" w:color="auto" w:fill="auto"/>
              <w:ind w:left="202"/>
              <w:rPr>
                <w:rFonts w:hint="eastAsia" w:ascii="宋体" w:hAnsi="宋体" w:eastAsia="宋体" w:cs="宋体"/>
                <w:color w:val="000000"/>
                <w:sz w:val="18"/>
                <w:highlight w:val="none"/>
              </w:rPr>
            </w:pPr>
            <w:r>
              <w:rPr>
                <w:rFonts w:hint="eastAsia" w:ascii="宋体" w:hAnsi="宋体" w:eastAsia="宋体" w:cs="宋体"/>
                <w:color w:val="000000"/>
                <w:sz w:val="18"/>
                <w:highlight w:val="none"/>
              </w:rPr>
              <w:t>Y≥30000</w:t>
            </w:r>
          </w:p>
        </w:tc>
        <w:tc>
          <w:tcPr>
            <w:tcW w:w="1701" w:type="dxa"/>
            <w:noWrap w:val="0"/>
            <w:vAlign w:val="top"/>
          </w:tcPr>
          <w:p w14:paraId="24784FAB">
            <w:pPr>
              <w:pStyle w:val="58"/>
              <w:shd w:val="clear" w:color="auto" w:fill="auto"/>
              <w:spacing w:before="79"/>
              <w:ind w:left="308"/>
              <w:rPr>
                <w:rFonts w:hint="eastAsia" w:ascii="宋体" w:hAnsi="宋体" w:eastAsia="宋体" w:cs="宋体"/>
                <w:color w:val="000000"/>
                <w:sz w:val="18"/>
                <w:highlight w:val="none"/>
              </w:rPr>
            </w:pPr>
            <w:r>
              <w:rPr>
                <w:rFonts w:hint="eastAsia" w:ascii="宋体" w:hAnsi="宋体" w:eastAsia="宋体" w:cs="宋体"/>
                <w:color w:val="000000"/>
                <w:sz w:val="18"/>
                <w:highlight w:val="none"/>
              </w:rPr>
              <w:t>300≤X＜1000</w:t>
            </w:r>
          </w:p>
          <w:p w14:paraId="0D503A25">
            <w:pPr>
              <w:pStyle w:val="58"/>
              <w:shd w:val="clear" w:color="auto" w:fill="auto"/>
              <w:spacing w:before="11"/>
              <w:rPr>
                <w:rFonts w:hint="eastAsia" w:ascii="宋体" w:hAnsi="宋体" w:eastAsia="宋体" w:cs="宋体"/>
                <w:color w:val="000000"/>
                <w:sz w:val="12"/>
                <w:highlight w:val="none"/>
              </w:rPr>
            </w:pPr>
          </w:p>
          <w:p w14:paraId="20967748">
            <w:pPr>
              <w:pStyle w:val="58"/>
              <w:shd w:val="clear" w:color="auto" w:fill="auto"/>
              <w:ind w:left="220"/>
              <w:rPr>
                <w:rFonts w:hint="eastAsia" w:ascii="宋体" w:hAnsi="宋体" w:eastAsia="宋体" w:cs="宋体"/>
                <w:color w:val="000000"/>
                <w:sz w:val="18"/>
                <w:highlight w:val="none"/>
              </w:rPr>
            </w:pPr>
            <w:r>
              <w:rPr>
                <w:rFonts w:hint="eastAsia" w:ascii="宋体" w:hAnsi="宋体" w:eastAsia="宋体" w:cs="宋体"/>
                <w:color w:val="000000"/>
                <w:sz w:val="18"/>
                <w:highlight w:val="none"/>
              </w:rPr>
              <w:t>2000≤Y＜30000</w:t>
            </w:r>
          </w:p>
        </w:tc>
        <w:tc>
          <w:tcPr>
            <w:tcW w:w="1426" w:type="dxa"/>
            <w:noWrap w:val="0"/>
            <w:vAlign w:val="top"/>
          </w:tcPr>
          <w:p w14:paraId="58F166C5">
            <w:pPr>
              <w:pStyle w:val="58"/>
              <w:shd w:val="clear" w:color="auto" w:fill="auto"/>
              <w:spacing w:before="79"/>
              <w:ind w:left="261"/>
              <w:rPr>
                <w:rFonts w:hint="eastAsia" w:ascii="宋体" w:hAnsi="宋体" w:eastAsia="宋体" w:cs="宋体"/>
                <w:color w:val="000000"/>
                <w:sz w:val="18"/>
                <w:highlight w:val="none"/>
              </w:rPr>
            </w:pPr>
            <w:r>
              <w:rPr>
                <w:rFonts w:hint="eastAsia" w:ascii="宋体" w:hAnsi="宋体" w:eastAsia="宋体" w:cs="宋体"/>
                <w:color w:val="000000"/>
                <w:sz w:val="18"/>
                <w:highlight w:val="none"/>
              </w:rPr>
              <w:t>20≤X＜300</w:t>
            </w:r>
          </w:p>
          <w:p w14:paraId="4CB5EBA2">
            <w:pPr>
              <w:pStyle w:val="58"/>
              <w:shd w:val="clear" w:color="auto" w:fill="auto"/>
              <w:spacing w:before="11"/>
              <w:rPr>
                <w:rFonts w:hint="eastAsia" w:ascii="宋体" w:hAnsi="宋体" w:eastAsia="宋体" w:cs="宋体"/>
                <w:color w:val="000000"/>
                <w:sz w:val="12"/>
                <w:highlight w:val="none"/>
              </w:rPr>
            </w:pPr>
          </w:p>
          <w:p w14:paraId="488E52C5">
            <w:pPr>
              <w:pStyle w:val="58"/>
              <w:shd w:val="clear" w:color="auto" w:fill="auto"/>
              <w:ind w:left="172"/>
              <w:rPr>
                <w:rFonts w:hint="eastAsia" w:ascii="宋体" w:hAnsi="宋体" w:eastAsia="宋体" w:cs="宋体"/>
                <w:color w:val="000000"/>
                <w:sz w:val="18"/>
                <w:highlight w:val="none"/>
              </w:rPr>
            </w:pPr>
            <w:r>
              <w:rPr>
                <w:rFonts w:hint="eastAsia" w:ascii="宋体" w:hAnsi="宋体" w:eastAsia="宋体" w:cs="宋体"/>
                <w:color w:val="000000"/>
                <w:sz w:val="18"/>
                <w:highlight w:val="none"/>
              </w:rPr>
              <w:t>100≤Y＜2000</w:t>
            </w:r>
          </w:p>
        </w:tc>
        <w:tc>
          <w:tcPr>
            <w:tcW w:w="992" w:type="dxa"/>
            <w:tcBorders>
              <w:right w:val="nil"/>
            </w:tcBorders>
            <w:noWrap w:val="0"/>
            <w:vAlign w:val="top"/>
          </w:tcPr>
          <w:p w14:paraId="1CFE4A82">
            <w:pPr>
              <w:pStyle w:val="58"/>
              <w:shd w:val="clear" w:color="auto" w:fill="auto"/>
              <w:spacing w:before="79"/>
              <w:ind w:left="270"/>
              <w:rPr>
                <w:rFonts w:hint="eastAsia" w:ascii="宋体" w:hAnsi="宋体" w:eastAsia="宋体" w:cs="宋体"/>
                <w:color w:val="000000"/>
                <w:sz w:val="18"/>
                <w:highlight w:val="none"/>
              </w:rPr>
            </w:pPr>
            <w:r>
              <w:rPr>
                <w:rFonts w:hint="eastAsia" w:ascii="宋体" w:hAnsi="宋体" w:eastAsia="宋体" w:cs="宋体"/>
                <w:color w:val="000000"/>
                <w:sz w:val="18"/>
                <w:highlight w:val="none"/>
              </w:rPr>
              <w:t>X＜20</w:t>
            </w:r>
          </w:p>
          <w:p w14:paraId="14F8097C">
            <w:pPr>
              <w:pStyle w:val="58"/>
              <w:shd w:val="clear" w:color="auto" w:fill="auto"/>
              <w:spacing w:before="11"/>
              <w:rPr>
                <w:rFonts w:hint="eastAsia" w:ascii="宋体" w:hAnsi="宋体" w:eastAsia="宋体" w:cs="宋体"/>
                <w:color w:val="000000"/>
                <w:sz w:val="12"/>
                <w:highlight w:val="none"/>
              </w:rPr>
            </w:pPr>
          </w:p>
          <w:p w14:paraId="2255FCED">
            <w:pPr>
              <w:pStyle w:val="58"/>
              <w:shd w:val="clear" w:color="auto" w:fill="auto"/>
              <w:ind w:left="225"/>
              <w:rPr>
                <w:rFonts w:hint="eastAsia" w:ascii="宋体" w:hAnsi="宋体" w:eastAsia="宋体" w:cs="宋体"/>
                <w:color w:val="000000"/>
                <w:sz w:val="18"/>
                <w:highlight w:val="none"/>
              </w:rPr>
            </w:pPr>
            <w:r>
              <w:rPr>
                <w:rFonts w:hint="eastAsia" w:ascii="宋体" w:hAnsi="宋体" w:eastAsia="宋体" w:cs="宋体"/>
                <w:color w:val="000000"/>
                <w:sz w:val="18"/>
                <w:highlight w:val="none"/>
              </w:rPr>
              <w:t>Y＜100</w:t>
            </w:r>
          </w:p>
        </w:tc>
      </w:tr>
      <w:tr w14:paraId="43275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trPr>
        <w:tc>
          <w:tcPr>
            <w:tcW w:w="2174" w:type="dxa"/>
            <w:tcBorders>
              <w:left w:val="nil"/>
            </w:tcBorders>
            <w:noWrap w:val="0"/>
            <w:vAlign w:val="top"/>
          </w:tcPr>
          <w:p w14:paraId="4547DDEF">
            <w:pPr>
              <w:pStyle w:val="58"/>
              <w:shd w:val="clear" w:color="auto" w:fill="auto"/>
              <w:spacing w:before="3"/>
              <w:rPr>
                <w:rFonts w:hint="eastAsia" w:ascii="宋体" w:hAnsi="宋体" w:eastAsia="宋体" w:cs="宋体"/>
                <w:color w:val="000000"/>
                <w:sz w:val="22"/>
                <w:highlight w:val="none"/>
              </w:rPr>
            </w:pPr>
          </w:p>
          <w:p w14:paraId="5FF6D239">
            <w:pPr>
              <w:pStyle w:val="58"/>
              <w:shd w:val="clear" w:color="auto" w:fill="auto"/>
              <w:spacing w:before="1"/>
              <w:ind w:left="472"/>
              <w:rPr>
                <w:rFonts w:hint="eastAsia" w:ascii="宋体" w:hAnsi="宋体" w:eastAsia="宋体" w:cs="宋体"/>
                <w:color w:val="000000"/>
                <w:sz w:val="18"/>
                <w:highlight w:val="none"/>
              </w:rPr>
            </w:pPr>
            <w:r>
              <w:rPr>
                <w:rFonts w:hint="eastAsia" w:ascii="宋体" w:hAnsi="宋体" w:eastAsia="宋体" w:cs="宋体"/>
                <w:color w:val="000000"/>
                <w:sz w:val="18"/>
                <w:highlight w:val="none"/>
              </w:rPr>
              <w:t>住宿业</w:t>
            </w:r>
          </w:p>
        </w:tc>
        <w:tc>
          <w:tcPr>
            <w:tcW w:w="1365" w:type="dxa"/>
            <w:noWrap w:val="0"/>
            <w:vAlign w:val="top"/>
          </w:tcPr>
          <w:p w14:paraId="2365E289">
            <w:pPr>
              <w:pStyle w:val="58"/>
              <w:shd w:val="clear" w:color="auto" w:fill="auto"/>
              <w:spacing w:before="77"/>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从业人员</w:t>
            </w:r>
            <w:r>
              <w:rPr>
                <w:rFonts w:hint="eastAsia" w:ascii="宋体" w:hAnsi="宋体" w:eastAsia="宋体" w:cs="宋体"/>
                <w:color w:val="000000"/>
                <w:sz w:val="18"/>
                <w:highlight w:val="none"/>
              </w:rPr>
              <w:t>(X)</w:t>
            </w:r>
          </w:p>
          <w:p w14:paraId="602F7BC9">
            <w:pPr>
              <w:pStyle w:val="58"/>
              <w:shd w:val="clear" w:color="auto" w:fill="auto"/>
              <w:spacing w:before="8"/>
              <w:rPr>
                <w:rFonts w:hint="eastAsia" w:ascii="宋体" w:hAnsi="宋体" w:eastAsia="宋体" w:cs="宋体"/>
                <w:color w:val="000000"/>
                <w:sz w:val="13"/>
                <w:highlight w:val="none"/>
              </w:rPr>
            </w:pPr>
          </w:p>
          <w:p w14:paraId="207EBF5E">
            <w:pPr>
              <w:pStyle w:val="58"/>
              <w:shd w:val="clear" w:color="auto" w:fill="auto"/>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营业收入</w:t>
            </w:r>
            <w:r>
              <w:rPr>
                <w:rFonts w:hint="eastAsia" w:ascii="宋体" w:hAnsi="宋体" w:eastAsia="宋体" w:cs="宋体"/>
                <w:color w:val="000000"/>
                <w:sz w:val="18"/>
                <w:highlight w:val="none"/>
              </w:rPr>
              <w:t>(Y)</w:t>
            </w:r>
          </w:p>
        </w:tc>
        <w:tc>
          <w:tcPr>
            <w:tcW w:w="652" w:type="dxa"/>
            <w:noWrap w:val="0"/>
            <w:vAlign w:val="top"/>
          </w:tcPr>
          <w:p w14:paraId="73F1BF1C">
            <w:pPr>
              <w:pStyle w:val="58"/>
              <w:shd w:val="clear" w:color="auto" w:fill="auto"/>
              <w:spacing w:before="77"/>
              <w:ind w:left="9"/>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人</w:t>
            </w:r>
          </w:p>
          <w:p w14:paraId="5A7F18D0">
            <w:pPr>
              <w:pStyle w:val="58"/>
              <w:shd w:val="clear" w:color="auto" w:fill="auto"/>
              <w:spacing w:before="1"/>
              <w:rPr>
                <w:rFonts w:hint="eastAsia" w:ascii="宋体" w:hAnsi="宋体" w:eastAsia="宋体" w:cs="宋体"/>
                <w:color w:val="000000"/>
                <w:sz w:val="13"/>
                <w:highlight w:val="none"/>
              </w:rPr>
            </w:pPr>
          </w:p>
          <w:p w14:paraId="7F84226F">
            <w:pPr>
              <w:pStyle w:val="58"/>
              <w:shd w:val="clear" w:color="auto" w:fill="auto"/>
              <w:ind w:left="126" w:right="115"/>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万元</w:t>
            </w:r>
          </w:p>
        </w:tc>
        <w:tc>
          <w:tcPr>
            <w:tcW w:w="1125" w:type="dxa"/>
            <w:noWrap w:val="0"/>
            <w:vAlign w:val="top"/>
          </w:tcPr>
          <w:p w14:paraId="30A01091">
            <w:pPr>
              <w:pStyle w:val="58"/>
              <w:shd w:val="clear" w:color="auto" w:fill="auto"/>
              <w:spacing w:before="77"/>
              <w:ind w:left="291"/>
              <w:rPr>
                <w:rFonts w:hint="eastAsia" w:ascii="宋体" w:hAnsi="宋体" w:eastAsia="宋体" w:cs="宋体"/>
                <w:color w:val="000000"/>
                <w:sz w:val="18"/>
                <w:highlight w:val="none"/>
              </w:rPr>
            </w:pPr>
            <w:r>
              <w:rPr>
                <w:rFonts w:hint="eastAsia" w:ascii="宋体" w:hAnsi="宋体" w:eastAsia="宋体" w:cs="宋体"/>
                <w:color w:val="000000"/>
                <w:sz w:val="18"/>
                <w:highlight w:val="none"/>
              </w:rPr>
              <w:t>X≥300</w:t>
            </w:r>
          </w:p>
          <w:p w14:paraId="02823D5D">
            <w:pPr>
              <w:pStyle w:val="58"/>
              <w:shd w:val="clear" w:color="auto" w:fill="auto"/>
              <w:spacing w:before="1"/>
              <w:rPr>
                <w:rFonts w:hint="eastAsia" w:ascii="宋体" w:hAnsi="宋体" w:eastAsia="宋体" w:cs="宋体"/>
                <w:color w:val="000000"/>
                <w:sz w:val="13"/>
                <w:highlight w:val="none"/>
              </w:rPr>
            </w:pPr>
          </w:p>
          <w:p w14:paraId="61C68C75">
            <w:pPr>
              <w:pStyle w:val="58"/>
              <w:shd w:val="clear" w:color="auto" w:fill="auto"/>
              <w:ind w:left="202"/>
              <w:rPr>
                <w:rFonts w:hint="eastAsia" w:ascii="宋体" w:hAnsi="宋体" w:eastAsia="宋体" w:cs="宋体"/>
                <w:color w:val="000000"/>
                <w:sz w:val="18"/>
                <w:highlight w:val="none"/>
              </w:rPr>
            </w:pPr>
            <w:r>
              <w:rPr>
                <w:rFonts w:hint="eastAsia" w:ascii="宋体" w:hAnsi="宋体" w:eastAsia="宋体" w:cs="宋体"/>
                <w:color w:val="000000"/>
                <w:sz w:val="18"/>
                <w:highlight w:val="none"/>
              </w:rPr>
              <w:t>Y≥10000</w:t>
            </w:r>
          </w:p>
        </w:tc>
        <w:tc>
          <w:tcPr>
            <w:tcW w:w="1701" w:type="dxa"/>
            <w:noWrap w:val="0"/>
            <w:vAlign w:val="top"/>
          </w:tcPr>
          <w:p w14:paraId="20560C05">
            <w:pPr>
              <w:pStyle w:val="58"/>
              <w:shd w:val="clear" w:color="auto" w:fill="auto"/>
              <w:spacing w:before="77"/>
              <w:ind w:left="272"/>
              <w:rPr>
                <w:rFonts w:hint="eastAsia" w:ascii="宋体" w:hAnsi="宋体" w:eastAsia="宋体" w:cs="宋体"/>
                <w:color w:val="000000"/>
                <w:sz w:val="18"/>
                <w:highlight w:val="none"/>
              </w:rPr>
            </w:pPr>
            <w:r>
              <w:rPr>
                <w:rFonts w:hint="eastAsia" w:ascii="宋体" w:hAnsi="宋体" w:eastAsia="宋体" w:cs="宋体"/>
                <w:color w:val="000000"/>
                <w:sz w:val="18"/>
                <w:highlight w:val="none"/>
              </w:rPr>
              <w:t>100≤X＜300</w:t>
            </w:r>
          </w:p>
          <w:p w14:paraId="1E58AC76">
            <w:pPr>
              <w:pStyle w:val="58"/>
              <w:shd w:val="clear" w:color="auto" w:fill="auto"/>
              <w:spacing w:before="1"/>
              <w:rPr>
                <w:rFonts w:hint="eastAsia" w:ascii="宋体" w:hAnsi="宋体" w:eastAsia="宋体" w:cs="宋体"/>
                <w:color w:val="000000"/>
                <w:sz w:val="13"/>
                <w:highlight w:val="none"/>
              </w:rPr>
            </w:pPr>
          </w:p>
          <w:p w14:paraId="51946D87">
            <w:pPr>
              <w:pStyle w:val="58"/>
              <w:shd w:val="clear" w:color="auto" w:fill="auto"/>
              <w:ind w:left="220"/>
              <w:rPr>
                <w:rFonts w:hint="eastAsia" w:ascii="宋体" w:hAnsi="宋体" w:eastAsia="宋体" w:cs="宋体"/>
                <w:color w:val="000000"/>
                <w:sz w:val="18"/>
                <w:highlight w:val="none"/>
              </w:rPr>
            </w:pPr>
            <w:r>
              <w:rPr>
                <w:rFonts w:hint="eastAsia" w:ascii="宋体" w:hAnsi="宋体" w:eastAsia="宋体" w:cs="宋体"/>
                <w:color w:val="000000"/>
                <w:sz w:val="18"/>
                <w:highlight w:val="none"/>
              </w:rPr>
              <w:t>2000≤Y＜10000</w:t>
            </w:r>
          </w:p>
        </w:tc>
        <w:tc>
          <w:tcPr>
            <w:tcW w:w="1426" w:type="dxa"/>
            <w:noWrap w:val="0"/>
            <w:vAlign w:val="top"/>
          </w:tcPr>
          <w:p w14:paraId="63FCFE10">
            <w:pPr>
              <w:pStyle w:val="58"/>
              <w:shd w:val="clear" w:color="auto" w:fill="auto"/>
              <w:spacing w:before="77"/>
              <w:ind w:left="261"/>
              <w:rPr>
                <w:rFonts w:hint="eastAsia" w:ascii="宋体" w:hAnsi="宋体" w:eastAsia="宋体" w:cs="宋体"/>
                <w:color w:val="000000"/>
                <w:sz w:val="18"/>
                <w:highlight w:val="none"/>
              </w:rPr>
            </w:pPr>
            <w:r>
              <w:rPr>
                <w:rFonts w:hint="eastAsia" w:ascii="宋体" w:hAnsi="宋体" w:eastAsia="宋体" w:cs="宋体"/>
                <w:color w:val="000000"/>
                <w:sz w:val="18"/>
                <w:highlight w:val="none"/>
              </w:rPr>
              <w:t>10≤X＜100</w:t>
            </w:r>
          </w:p>
          <w:p w14:paraId="128A78DE">
            <w:pPr>
              <w:pStyle w:val="58"/>
              <w:shd w:val="clear" w:color="auto" w:fill="auto"/>
              <w:spacing w:before="1"/>
              <w:rPr>
                <w:rFonts w:hint="eastAsia" w:ascii="宋体" w:hAnsi="宋体" w:eastAsia="宋体" w:cs="宋体"/>
                <w:color w:val="000000"/>
                <w:sz w:val="13"/>
                <w:highlight w:val="none"/>
              </w:rPr>
            </w:pPr>
          </w:p>
          <w:p w14:paraId="7AC60EAE">
            <w:pPr>
              <w:pStyle w:val="58"/>
              <w:shd w:val="clear" w:color="auto" w:fill="auto"/>
              <w:ind w:left="172"/>
              <w:rPr>
                <w:rFonts w:hint="eastAsia" w:ascii="宋体" w:hAnsi="宋体" w:eastAsia="宋体" w:cs="宋体"/>
                <w:color w:val="000000"/>
                <w:sz w:val="18"/>
                <w:highlight w:val="none"/>
              </w:rPr>
            </w:pPr>
            <w:r>
              <w:rPr>
                <w:rFonts w:hint="eastAsia" w:ascii="宋体" w:hAnsi="宋体" w:eastAsia="宋体" w:cs="宋体"/>
                <w:color w:val="000000"/>
                <w:sz w:val="18"/>
                <w:highlight w:val="none"/>
              </w:rPr>
              <w:t>100≤Y＜2000</w:t>
            </w:r>
          </w:p>
        </w:tc>
        <w:tc>
          <w:tcPr>
            <w:tcW w:w="992" w:type="dxa"/>
            <w:tcBorders>
              <w:right w:val="nil"/>
            </w:tcBorders>
            <w:noWrap w:val="0"/>
            <w:vAlign w:val="top"/>
          </w:tcPr>
          <w:p w14:paraId="0016D828">
            <w:pPr>
              <w:pStyle w:val="58"/>
              <w:shd w:val="clear" w:color="auto" w:fill="auto"/>
              <w:spacing w:before="77"/>
              <w:ind w:left="270"/>
              <w:rPr>
                <w:rFonts w:hint="eastAsia" w:ascii="宋体" w:hAnsi="宋体" w:eastAsia="宋体" w:cs="宋体"/>
                <w:color w:val="000000"/>
                <w:sz w:val="18"/>
                <w:highlight w:val="none"/>
              </w:rPr>
            </w:pPr>
            <w:r>
              <w:rPr>
                <w:rFonts w:hint="eastAsia" w:ascii="宋体" w:hAnsi="宋体" w:eastAsia="宋体" w:cs="宋体"/>
                <w:color w:val="000000"/>
                <w:sz w:val="18"/>
                <w:highlight w:val="none"/>
              </w:rPr>
              <w:t>X＜10</w:t>
            </w:r>
          </w:p>
          <w:p w14:paraId="5AF87DFF">
            <w:pPr>
              <w:pStyle w:val="58"/>
              <w:shd w:val="clear" w:color="auto" w:fill="auto"/>
              <w:spacing w:before="1"/>
              <w:rPr>
                <w:rFonts w:hint="eastAsia" w:ascii="宋体" w:hAnsi="宋体" w:eastAsia="宋体" w:cs="宋体"/>
                <w:color w:val="000000"/>
                <w:sz w:val="13"/>
                <w:highlight w:val="none"/>
              </w:rPr>
            </w:pPr>
          </w:p>
          <w:p w14:paraId="2454AAF0">
            <w:pPr>
              <w:pStyle w:val="58"/>
              <w:shd w:val="clear" w:color="auto" w:fill="auto"/>
              <w:ind w:left="225"/>
              <w:rPr>
                <w:rFonts w:hint="eastAsia" w:ascii="宋体" w:hAnsi="宋体" w:eastAsia="宋体" w:cs="宋体"/>
                <w:color w:val="000000"/>
                <w:sz w:val="18"/>
                <w:highlight w:val="none"/>
              </w:rPr>
            </w:pPr>
            <w:r>
              <w:rPr>
                <w:rFonts w:hint="eastAsia" w:ascii="宋体" w:hAnsi="宋体" w:eastAsia="宋体" w:cs="宋体"/>
                <w:color w:val="000000"/>
                <w:sz w:val="18"/>
                <w:highlight w:val="none"/>
              </w:rPr>
              <w:t>Y＜100</w:t>
            </w:r>
          </w:p>
        </w:tc>
      </w:tr>
      <w:tr w14:paraId="5C7B8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2174" w:type="dxa"/>
            <w:tcBorders>
              <w:left w:val="nil"/>
            </w:tcBorders>
            <w:noWrap w:val="0"/>
            <w:vAlign w:val="top"/>
          </w:tcPr>
          <w:p w14:paraId="41681C50">
            <w:pPr>
              <w:pStyle w:val="58"/>
              <w:shd w:val="clear" w:color="auto" w:fill="auto"/>
              <w:spacing w:before="4"/>
              <w:rPr>
                <w:rFonts w:hint="eastAsia" w:ascii="宋体" w:hAnsi="宋体" w:eastAsia="宋体" w:cs="宋体"/>
                <w:color w:val="000000"/>
                <w:sz w:val="22"/>
                <w:highlight w:val="none"/>
              </w:rPr>
            </w:pPr>
          </w:p>
          <w:p w14:paraId="5834BDD0">
            <w:pPr>
              <w:pStyle w:val="58"/>
              <w:shd w:val="clear" w:color="auto" w:fill="auto"/>
              <w:ind w:left="472"/>
              <w:rPr>
                <w:rFonts w:hint="eastAsia" w:ascii="宋体" w:hAnsi="宋体" w:eastAsia="宋体" w:cs="宋体"/>
                <w:color w:val="000000"/>
                <w:sz w:val="18"/>
                <w:highlight w:val="none"/>
              </w:rPr>
            </w:pPr>
            <w:r>
              <w:rPr>
                <w:rFonts w:hint="eastAsia" w:ascii="宋体" w:hAnsi="宋体" w:eastAsia="宋体" w:cs="宋体"/>
                <w:color w:val="000000"/>
                <w:sz w:val="18"/>
                <w:highlight w:val="none"/>
              </w:rPr>
              <w:t>餐饮业</w:t>
            </w:r>
          </w:p>
        </w:tc>
        <w:tc>
          <w:tcPr>
            <w:tcW w:w="1365" w:type="dxa"/>
            <w:noWrap w:val="0"/>
            <w:vAlign w:val="top"/>
          </w:tcPr>
          <w:p w14:paraId="676E3ECA">
            <w:pPr>
              <w:pStyle w:val="58"/>
              <w:shd w:val="clear" w:color="auto" w:fill="auto"/>
              <w:spacing w:before="77"/>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从业人员</w:t>
            </w:r>
            <w:r>
              <w:rPr>
                <w:rFonts w:hint="eastAsia" w:ascii="宋体" w:hAnsi="宋体" w:eastAsia="宋体" w:cs="宋体"/>
                <w:color w:val="000000"/>
                <w:sz w:val="18"/>
                <w:highlight w:val="none"/>
              </w:rPr>
              <w:t>(X)</w:t>
            </w:r>
          </w:p>
          <w:p w14:paraId="3D3ABABB">
            <w:pPr>
              <w:pStyle w:val="58"/>
              <w:shd w:val="clear" w:color="auto" w:fill="auto"/>
              <w:spacing w:before="8"/>
              <w:rPr>
                <w:rFonts w:hint="eastAsia" w:ascii="宋体" w:hAnsi="宋体" w:eastAsia="宋体" w:cs="宋体"/>
                <w:color w:val="000000"/>
                <w:sz w:val="13"/>
                <w:highlight w:val="none"/>
              </w:rPr>
            </w:pPr>
          </w:p>
          <w:p w14:paraId="4348D88B">
            <w:pPr>
              <w:pStyle w:val="58"/>
              <w:shd w:val="clear" w:color="auto" w:fill="auto"/>
              <w:spacing w:before="1"/>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营业收入</w:t>
            </w:r>
            <w:r>
              <w:rPr>
                <w:rFonts w:hint="eastAsia" w:ascii="宋体" w:hAnsi="宋体" w:eastAsia="宋体" w:cs="宋体"/>
                <w:color w:val="000000"/>
                <w:sz w:val="18"/>
                <w:highlight w:val="none"/>
              </w:rPr>
              <w:t>(Y)</w:t>
            </w:r>
          </w:p>
        </w:tc>
        <w:tc>
          <w:tcPr>
            <w:tcW w:w="652" w:type="dxa"/>
            <w:noWrap w:val="0"/>
            <w:vAlign w:val="top"/>
          </w:tcPr>
          <w:p w14:paraId="332085E6">
            <w:pPr>
              <w:pStyle w:val="58"/>
              <w:shd w:val="clear" w:color="auto" w:fill="auto"/>
              <w:spacing w:before="77"/>
              <w:ind w:left="9"/>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人</w:t>
            </w:r>
          </w:p>
          <w:p w14:paraId="1EC39427">
            <w:pPr>
              <w:pStyle w:val="58"/>
              <w:shd w:val="clear" w:color="auto" w:fill="auto"/>
              <w:spacing w:before="1"/>
              <w:rPr>
                <w:rFonts w:hint="eastAsia" w:ascii="宋体" w:hAnsi="宋体" w:eastAsia="宋体" w:cs="宋体"/>
                <w:color w:val="000000"/>
                <w:sz w:val="13"/>
                <w:highlight w:val="none"/>
              </w:rPr>
            </w:pPr>
          </w:p>
          <w:p w14:paraId="420839E7">
            <w:pPr>
              <w:pStyle w:val="58"/>
              <w:shd w:val="clear" w:color="auto" w:fill="auto"/>
              <w:ind w:left="126" w:right="115"/>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万元</w:t>
            </w:r>
          </w:p>
        </w:tc>
        <w:tc>
          <w:tcPr>
            <w:tcW w:w="1125" w:type="dxa"/>
            <w:noWrap w:val="0"/>
            <w:vAlign w:val="top"/>
          </w:tcPr>
          <w:p w14:paraId="6C70D8C6">
            <w:pPr>
              <w:pStyle w:val="58"/>
              <w:shd w:val="clear" w:color="auto" w:fill="auto"/>
              <w:spacing w:before="77"/>
              <w:ind w:left="291"/>
              <w:rPr>
                <w:rFonts w:hint="eastAsia" w:ascii="宋体" w:hAnsi="宋体" w:eastAsia="宋体" w:cs="宋体"/>
                <w:color w:val="000000"/>
                <w:sz w:val="18"/>
                <w:highlight w:val="none"/>
              </w:rPr>
            </w:pPr>
            <w:r>
              <w:rPr>
                <w:rFonts w:hint="eastAsia" w:ascii="宋体" w:hAnsi="宋体" w:eastAsia="宋体" w:cs="宋体"/>
                <w:color w:val="000000"/>
                <w:sz w:val="18"/>
                <w:highlight w:val="none"/>
              </w:rPr>
              <w:t>X≥300</w:t>
            </w:r>
          </w:p>
          <w:p w14:paraId="0F133FB8">
            <w:pPr>
              <w:pStyle w:val="58"/>
              <w:shd w:val="clear" w:color="auto" w:fill="auto"/>
              <w:spacing w:before="1"/>
              <w:rPr>
                <w:rFonts w:hint="eastAsia" w:ascii="宋体" w:hAnsi="宋体" w:eastAsia="宋体" w:cs="宋体"/>
                <w:color w:val="000000"/>
                <w:sz w:val="13"/>
                <w:highlight w:val="none"/>
              </w:rPr>
            </w:pPr>
          </w:p>
          <w:p w14:paraId="167F5753">
            <w:pPr>
              <w:pStyle w:val="58"/>
              <w:shd w:val="clear" w:color="auto" w:fill="auto"/>
              <w:ind w:left="202"/>
              <w:rPr>
                <w:rFonts w:hint="eastAsia" w:ascii="宋体" w:hAnsi="宋体" w:eastAsia="宋体" w:cs="宋体"/>
                <w:color w:val="000000"/>
                <w:sz w:val="18"/>
                <w:highlight w:val="none"/>
              </w:rPr>
            </w:pPr>
            <w:r>
              <w:rPr>
                <w:rFonts w:hint="eastAsia" w:ascii="宋体" w:hAnsi="宋体" w:eastAsia="宋体" w:cs="宋体"/>
                <w:color w:val="000000"/>
                <w:sz w:val="18"/>
                <w:highlight w:val="none"/>
              </w:rPr>
              <w:t>Y≥10000</w:t>
            </w:r>
          </w:p>
        </w:tc>
        <w:tc>
          <w:tcPr>
            <w:tcW w:w="1701" w:type="dxa"/>
            <w:noWrap w:val="0"/>
            <w:vAlign w:val="top"/>
          </w:tcPr>
          <w:p w14:paraId="1E7F66A0">
            <w:pPr>
              <w:pStyle w:val="58"/>
              <w:shd w:val="clear" w:color="auto" w:fill="auto"/>
              <w:spacing w:before="77"/>
              <w:ind w:left="272"/>
              <w:rPr>
                <w:rFonts w:hint="eastAsia" w:ascii="宋体" w:hAnsi="宋体" w:eastAsia="宋体" w:cs="宋体"/>
                <w:color w:val="000000"/>
                <w:sz w:val="18"/>
                <w:highlight w:val="none"/>
              </w:rPr>
            </w:pPr>
            <w:r>
              <w:rPr>
                <w:rFonts w:hint="eastAsia" w:ascii="宋体" w:hAnsi="宋体" w:eastAsia="宋体" w:cs="宋体"/>
                <w:color w:val="000000"/>
                <w:sz w:val="18"/>
                <w:highlight w:val="none"/>
              </w:rPr>
              <w:t>100≤X＜300</w:t>
            </w:r>
          </w:p>
          <w:p w14:paraId="73F2A3CE">
            <w:pPr>
              <w:pStyle w:val="58"/>
              <w:shd w:val="clear" w:color="auto" w:fill="auto"/>
              <w:spacing w:before="1"/>
              <w:rPr>
                <w:rFonts w:hint="eastAsia" w:ascii="宋体" w:hAnsi="宋体" w:eastAsia="宋体" w:cs="宋体"/>
                <w:color w:val="000000"/>
                <w:sz w:val="13"/>
                <w:highlight w:val="none"/>
              </w:rPr>
            </w:pPr>
          </w:p>
          <w:p w14:paraId="375F8FB6">
            <w:pPr>
              <w:pStyle w:val="58"/>
              <w:shd w:val="clear" w:color="auto" w:fill="auto"/>
              <w:ind w:left="220"/>
              <w:rPr>
                <w:rFonts w:hint="eastAsia" w:ascii="宋体" w:hAnsi="宋体" w:eastAsia="宋体" w:cs="宋体"/>
                <w:color w:val="000000"/>
                <w:sz w:val="18"/>
                <w:highlight w:val="none"/>
              </w:rPr>
            </w:pPr>
            <w:r>
              <w:rPr>
                <w:rFonts w:hint="eastAsia" w:ascii="宋体" w:hAnsi="宋体" w:eastAsia="宋体" w:cs="宋体"/>
                <w:color w:val="000000"/>
                <w:sz w:val="18"/>
                <w:highlight w:val="none"/>
              </w:rPr>
              <w:t>2000≤Y＜10000</w:t>
            </w:r>
          </w:p>
        </w:tc>
        <w:tc>
          <w:tcPr>
            <w:tcW w:w="1426" w:type="dxa"/>
            <w:noWrap w:val="0"/>
            <w:vAlign w:val="top"/>
          </w:tcPr>
          <w:p w14:paraId="2286C6DE">
            <w:pPr>
              <w:pStyle w:val="58"/>
              <w:shd w:val="clear" w:color="auto" w:fill="auto"/>
              <w:spacing w:before="77"/>
              <w:ind w:left="261"/>
              <w:rPr>
                <w:rFonts w:hint="eastAsia" w:ascii="宋体" w:hAnsi="宋体" w:eastAsia="宋体" w:cs="宋体"/>
                <w:color w:val="000000"/>
                <w:sz w:val="18"/>
                <w:highlight w:val="none"/>
              </w:rPr>
            </w:pPr>
            <w:r>
              <w:rPr>
                <w:rFonts w:hint="eastAsia" w:ascii="宋体" w:hAnsi="宋体" w:eastAsia="宋体" w:cs="宋体"/>
                <w:color w:val="000000"/>
                <w:sz w:val="18"/>
                <w:highlight w:val="none"/>
              </w:rPr>
              <w:t>10≤X＜100</w:t>
            </w:r>
          </w:p>
          <w:p w14:paraId="645A5A55">
            <w:pPr>
              <w:pStyle w:val="58"/>
              <w:shd w:val="clear" w:color="auto" w:fill="auto"/>
              <w:spacing w:before="1"/>
              <w:rPr>
                <w:rFonts w:hint="eastAsia" w:ascii="宋体" w:hAnsi="宋体" w:eastAsia="宋体" w:cs="宋体"/>
                <w:color w:val="000000"/>
                <w:sz w:val="13"/>
                <w:highlight w:val="none"/>
              </w:rPr>
            </w:pPr>
          </w:p>
          <w:p w14:paraId="4AA4FF64">
            <w:pPr>
              <w:pStyle w:val="58"/>
              <w:shd w:val="clear" w:color="auto" w:fill="auto"/>
              <w:ind w:left="172"/>
              <w:rPr>
                <w:rFonts w:hint="eastAsia" w:ascii="宋体" w:hAnsi="宋体" w:eastAsia="宋体" w:cs="宋体"/>
                <w:color w:val="000000"/>
                <w:sz w:val="18"/>
                <w:highlight w:val="none"/>
              </w:rPr>
            </w:pPr>
            <w:r>
              <w:rPr>
                <w:rFonts w:hint="eastAsia" w:ascii="宋体" w:hAnsi="宋体" w:eastAsia="宋体" w:cs="宋体"/>
                <w:color w:val="000000"/>
                <w:sz w:val="18"/>
                <w:highlight w:val="none"/>
              </w:rPr>
              <w:t>100≤Y＜2000</w:t>
            </w:r>
          </w:p>
        </w:tc>
        <w:tc>
          <w:tcPr>
            <w:tcW w:w="992" w:type="dxa"/>
            <w:tcBorders>
              <w:right w:val="nil"/>
            </w:tcBorders>
            <w:noWrap w:val="0"/>
            <w:vAlign w:val="top"/>
          </w:tcPr>
          <w:p w14:paraId="5AA6C577">
            <w:pPr>
              <w:pStyle w:val="58"/>
              <w:shd w:val="clear" w:color="auto" w:fill="auto"/>
              <w:spacing w:before="77"/>
              <w:ind w:left="270"/>
              <w:rPr>
                <w:rFonts w:hint="eastAsia" w:ascii="宋体" w:hAnsi="宋体" w:eastAsia="宋体" w:cs="宋体"/>
                <w:color w:val="000000"/>
                <w:sz w:val="18"/>
                <w:highlight w:val="none"/>
              </w:rPr>
            </w:pPr>
            <w:r>
              <w:rPr>
                <w:rFonts w:hint="eastAsia" w:ascii="宋体" w:hAnsi="宋体" w:eastAsia="宋体" w:cs="宋体"/>
                <w:color w:val="000000"/>
                <w:sz w:val="18"/>
                <w:highlight w:val="none"/>
              </w:rPr>
              <w:t>X＜10</w:t>
            </w:r>
          </w:p>
          <w:p w14:paraId="54A45809">
            <w:pPr>
              <w:pStyle w:val="58"/>
              <w:shd w:val="clear" w:color="auto" w:fill="auto"/>
              <w:spacing w:before="1"/>
              <w:rPr>
                <w:rFonts w:hint="eastAsia" w:ascii="宋体" w:hAnsi="宋体" w:eastAsia="宋体" w:cs="宋体"/>
                <w:color w:val="000000"/>
                <w:sz w:val="13"/>
                <w:highlight w:val="none"/>
              </w:rPr>
            </w:pPr>
          </w:p>
          <w:p w14:paraId="3781188A">
            <w:pPr>
              <w:pStyle w:val="58"/>
              <w:shd w:val="clear" w:color="auto" w:fill="auto"/>
              <w:ind w:left="225"/>
              <w:rPr>
                <w:rFonts w:hint="eastAsia" w:ascii="宋体" w:hAnsi="宋体" w:eastAsia="宋体" w:cs="宋体"/>
                <w:color w:val="000000"/>
                <w:sz w:val="18"/>
                <w:highlight w:val="none"/>
              </w:rPr>
            </w:pPr>
            <w:r>
              <w:rPr>
                <w:rFonts w:hint="eastAsia" w:ascii="宋体" w:hAnsi="宋体" w:eastAsia="宋体" w:cs="宋体"/>
                <w:color w:val="000000"/>
                <w:sz w:val="18"/>
                <w:highlight w:val="none"/>
              </w:rPr>
              <w:t>Y＜100</w:t>
            </w:r>
          </w:p>
        </w:tc>
      </w:tr>
      <w:tr w14:paraId="61AC6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trPr>
        <w:tc>
          <w:tcPr>
            <w:tcW w:w="2174" w:type="dxa"/>
            <w:tcBorders>
              <w:left w:val="nil"/>
            </w:tcBorders>
            <w:noWrap w:val="0"/>
            <w:vAlign w:val="top"/>
          </w:tcPr>
          <w:p w14:paraId="6EC6C1EA">
            <w:pPr>
              <w:pStyle w:val="58"/>
              <w:shd w:val="clear" w:color="auto" w:fill="auto"/>
              <w:spacing w:before="2"/>
              <w:rPr>
                <w:rFonts w:hint="eastAsia" w:ascii="宋体" w:hAnsi="宋体" w:eastAsia="宋体" w:cs="宋体"/>
                <w:color w:val="000000"/>
                <w:sz w:val="22"/>
                <w:highlight w:val="none"/>
              </w:rPr>
            </w:pPr>
          </w:p>
          <w:p w14:paraId="66904631">
            <w:pPr>
              <w:pStyle w:val="58"/>
              <w:shd w:val="clear" w:color="auto" w:fill="auto"/>
              <w:ind w:left="472"/>
              <w:rPr>
                <w:rFonts w:hint="eastAsia" w:ascii="宋体" w:hAnsi="宋体" w:eastAsia="宋体" w:cs="宋体"/>
                <w:color w:val="000000"/>
                <w:sz w:val="18"/>
                <w:highlight w:val="none"/>
              </w:rPr>
            </w:pPr>
            <w:r>
              <w:rPr>
                <w:rFonts w:hint="eastAsia" w:ascii="宋体" w:hAnsi="宋体" w:eastAsia="宋体" w:cs="宋体"/>
                <w:color w:val="000000"/>
                <w:sz w:val="18"/>
                <w:highlight w:val="none"/>
              </w:rPr>
              <w:t>信息传输业 *</w:t>
            </w:r>
          </w:p>
        </w:tc>
        <w:tc>
          <w:tcPr>
            <w:tcW w:w="1365" w:type="dxa"/>
            <w:noWrap w:val="0"/>
            <w:vAlign w:val="top"/>
          </w:tcPr>
          <w:p w14:paraId="344BCB09">
            <w:pPr>
              <w:pStyle w:val="58"/>
              <w:shd w:val="clear" w:color="auto" w:fill="auto"/>
              <w:spacing w:before="77"/>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从业人员</w:t>
            </w:r>
            <w:r>
              <w:rPr>
                <w:rFonts w:hint="eastAsia" w:ascii="宋体" w:hAnsi="宋体" w:eastAsia="宋体" w:cs="宋体"/>
                <w:color w:val="000000"/>
                <w:sz w:val="18"/>
                <w:highlight w:val="none"/>
              </w:rPr>
              <w:t>(X)</w:t>
            </w:r>
          </w:p>
          <w:p w14:paraId="08C763A3">
            <w:pPr>
              <w:pStyle w:val="58"/>
              <w:shd w:val="clear" w:color="auto" w:fill="auto"/>
              <w:spacing w:before="9"/>
              <w:rPr>
                <w:rFonts w:hint="eastAsia" w:ascii="宋体" w:hAnsi="宋体" w:eastAsia="宋体" w:cs="宋体"/>
                <w:color w:val="000000"/>
                <w:sz w:val="13"/>
                <w:highlight w:val="none"/>
              </w:rPr>
            </w:pPr>
          </w:p>
          <w:p w14:paraId="2A13E219">
            <w:pPr>
              <w:pStyle w:val="58"/>
              <w:shd w:val="clear" w:color="auto" w:fill="auto"/>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营业收入</w:t>
            </w:r>
            <w:r>
              <w:rPr>
                <w:rFonts w:hint="eastAsia" w:ascii="宋体" w:hAnsi="宋体" w:eastAsia="宋体" w:cs="宋体"/>
                <w:color w:val="000000"/>
                <w:sz w:val="18"/>
                <w:highlight w:val="none"/>
              </w:rPr>
              <w:t>(Y)</w:t>
            </w:r>
          </w:p>
        </w:tc>
        <w:tc>
          <w:tcPr>
            <w:tcW w:w="652" w:type="dxa"/>
            <w:noWrap w:val="0"/>
            <w:vAlign w:val="top"/>
          </w:tcPr>
          <w:p w14:paraId="0DC8E048">
            <w:pPr>
              <w:pStyle w:val="58"/>
              <w:shd w:val="clear" w:color="auto" w:fill="auto"/>
              <w:spacing w:before="77"/>
              <w:ind w:left="9"/>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人</w:t>
            </w:r>
          </w:p>
          <w:p w14:paraId="026B99ED">
            <w:pPr>
              <w:pStyle w:val="58"/>
              <w:shd w:val="clear" w:color="auto" w:fill="auto"/>
              <w:spacing w:before="2"/>
              <w:rPr>
                <w:rFonts w:hint="eastAsia" w:ascii="宋体" w:hAnsi="宋体" w:eastAsia="宋体" w:cs="宋体"/>
                <w:color w:val="000000"/>
                <w:sz w:val="13"/>
                <w:highlight w:val="none"/>
              </w:rPr>
            </w:pPr>
          </w:p>
          <w:p w14:paraId="37D85E4F">
            <w:pPr>
              <w:pStyle w:val="58"/>
              <w:shd w:val="clear" w:color="auto" w:fill="auto"/>
              <w:ind w:left="126" w:right="115"/>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万元</w:t>
            </w:r>
          </w:p>
        </w:tc>
        <w:tc>
          <w:tcPr>
            <w:tcW w:w="1125" w:type="dxa"/>
            <w:noWrap w:val="0"/>
            <w:vAlign w:val="top"/>
          </w:tcPr>
          <w:p w14:paraId="7FF385BA">
            <w:pPr>
              <w:pStyle w:val="58"/>
              <w:shd w:val="clear" w:color="auto" w:fill="auto"/>
              <w:spacing w:before="77"/>
              <w:ind w:left="245"/>
              <w:rPr>
                <w:rFonts w:hint="eastAsia" w:ascii="宋体" w:hAnsi="宋体" w:eastAsia="宋体" w:cs="宋体"/>
                <w:color w:val="000000"/>
                <w:sz w:val="18"/>
                <w:highlight w:val="none"/>
              </w:rPr>
            </w:pPr>
            <w:r>
              <w:rPr>
                <w:rFonts w:hint="eastAsia" w:ascii="宋体" w:hAnsi="宋体" w:eastAsia="宋体" w:cs="宋体"/>
                <w:color w:val="000000"/>
                <w:sz w:val="18"/>
                <w:highlight w:val="none"/>
              </w:rPr>
              <w:t>X≥2000</w:t>
            </w:r>
          </w:p>
          <w:p w14:paraId="595CDD06">
            <w:pPr>
              <w:pStyle w:val="58"/>
              <w:shd w:val="clear" w:color="auto" w:fill="auto"/>
              <w:spacing w:before="2"/>
              <w:rPr>
                <w:rFonts w:hint="eastAsia" w:ascii="宋体" w:hAnsi="宋体" w:eastAsia="宋体" w:cs="宋体"/>
                <w:color w:val="000000"/>
                <w:sz w:val="13"/>
                <w:highlight w:val="none"/>
              </w:rPr>
            </w:pPr>
          </w:p>
          <w:p w14:paraId="1983F5D2">
            <w:pPr>
              <w:pStyle w:val="58"/>
              <w:shd w:val="clear" w:color="auto" w:fill="auto"/>
              <w:ind w:left="157"/>
              <w:rPr>
                <w:rFonts w:hint="eastAsia" w:ascii="宋体" w:hAnsi="宋体" w:eastAsia="宋体" w:cs="宋体"/>
                <w:color w:val="000000"/>
                <w:sz w:val="18"/>
                <w:highlight w:val="none"/>
              </w:rPr>
            </w:pPr>
            <w:r>
              <w:rPr>
                <w:rFonts w:hint="eastAsia" w:ascii="宋体" w:hAnsi="宋体" w:eastAsia="宋体" w:cs="宋体"/>
                <w:color w:val="000000"/>
                <w:sz w:val="18"/>
                <w:highlight w:val="none"/>
              </w:rPr>
              <w:t>Y≥100000</w:t>
            </w:r>
          </w:p>
        </w:tc>
        <w:tc>
          <w:tcPr>
            <w:tcW w:w="1701" w:type="dxa"/>
            <w:noWrap w:val="0"/>
            <w:vAlign w:val="top"/>
          </w:tcPr>
          <w:p w14:paraId="3EEA809F">
            <w:pPr>
              <w:pStyle w:val="58"/>
              <w:shd w:val="clear" w:color="auto" w:fill="auto"/>
              <w:spacing w:before="77"/>
              <w:ind w:left="153" w:right="145"/>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100≤X＜2000</w:t>
            </w:r>
          </w:p>
          <w:p w14:paraId="177E7F30">
            <w:pPr>
              <w:pStyle w:val="58"/>
              <w:shd w:val="clear" w:color="auto" w:fill="auto"/>
              <w:spacing w:before="2"/>
              <w:rPr>
                <w:rFonts w:hint="eastAsia" w:ascii="宋体" w:hAnsi="宋体" w:eastAsia="宋体" w:cs="宋体"/>
                <w:color w:val="000000"/>
                <w:sz w:val="13"/>
                <w:highlight w:val="none"/>
              </w:rPr>
            </w:pPr>
          </w:p>
          <w:p w14:paraId="74CF194F">
            <w:pPr>
              <w:pStyle w:val="58"/>
              <w:shd w:val="clear" w:color="auto" w:fill="auto"/>
              <w:ind w:left="155" w:right="145"/>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1000≤Y＜100000</w:t>
            </w:r>
          </w:p>
        </w:tc>
        <w:tc>
          <w:tcPr>
            <w:tcW w:w="1426" w:type="dxa"/>
            <w:noWrap w:val="0"/>
            <w:vAlign w:val="top"/>
          </w:tcPr>
          <w:p w14:paraId="3867B001">
            <w:pPr>
              <w:pStyle w:val="58"/>
              <w:shd w:val="clear" w:color="auto" w:fill="auto"/>
              <w:spacing w:before="77"/>
              <w:ind w:left="261"/>
              <w:rPr>
                <w:rFonts w:hint="eastAsia" w:ascii="宋体" w:hAnsi="宋体" w:eastAsia="宋体" w:cs="宋体"/>
                <w:color w:val="000000"/>
                <w:sz w:val="18"/>
                <w:highlight w:val="none"/>
              </w:rPr>
            </w:pPr>
            <w:r>
              <w:rPr>
                <w:rFonts w:hint="eastAsia" w:ascii="宋体" w:hAnsi="宋体" w:eastAsia="宋体" w:cs="宋体"/>
                <w:color w:val="000000"/>
                <w:sz w:val="18"/>
                <w:highlight w:val="none"/>
              </w:rPr>
              <w:t>10≤X＜100</w:t>
            </w:r>
          </w:p>
          <w:p w14:paraId="7C901FA0">
            <w:pPr>
              <w:pStyle w:val="58"/>
              <w:shd w:val="clear" w:color="auto" w:fill="auto"/>
              <w:spacing w:before="2"/>
              <w:rPr>
                <w:rFonts w:hint="eastAsia" w:ascii="宋体" w:hAnsi="宋体" w:eastAsia="宋体" w:cs="宋体"/>
                <w:color w:val="000000"/>
                <w:sz w:val="13"/>
                <w:highlight w:val="none"/>
              </w:rPr>
            </w:pPr>
          </w:p>
          <w:p w14:paraId="64406663">
            <w:pPr>
              <w:pStyle w:val="58"/>
              <w:shd w:val="clear" w:color="auto" w:fill="auto"/>
              <w:ind w:left="172"/>
              <w:rPr>
                <w:rFonts w:hint="eastAsia" w:ascii="宋体" w:hAnsi="宋体" w:eastAsia="宋体" w:cs="宋体"/>
                <w:color w:val="000000"/>
                <w:sz w:val="18"/>
                <w:highlight w:val="none"/>
              </w:rPr>
            </w:pPr>
            <w:r>
              <w:rPr>
                <w:rFonts w:hint="eastAsia" w:ascii="宋体" w:hAnsi="宋体" w:eastAsia="宋体" w:cs="宋体"/>
                <w:color w:val="000000"/>
                <w:sz w:val="18"/>
                <w:highlight w:val="none"/>
              </w:rPr>
              <w:t>100≤Y＜1000</w:t>
            </w:r>
          </w:p>
        </w:tc>
        <w:tc>
          <w:tcPr>
            <w:tcW w:w="992" w:type="dxa"/>
            <w:tcBorders>
              <w:right w:val="nil"/>
            </w:tcBorders>
            <w:noWrap w:val="0"/>
            <w:vAlign w:val="top"/>
          </w:tcPr>
          <w:p w14:paraId="36540827">
            <w:pPr>
              <w:pStyle w:val="58"/>
              <w:shd w:val="clear" w:color="auto" w:fill="auto"/>
              <w:spacing w:before="77"/>
              <w:ind w:left="270"/>
              <w:rPr>
                <w:rFonts w:hint="eastAsia" w:ascii="宋体" w:hAnsi="宋体" w:eastAsia="宋体" w:cs="宋体"/>
                <w:color w:val="000000"/>
                <w:sz w:val="18"/>
                <w:highlight w:val="none"/>
              </w:rPr>
            </w:pPr>
            <w:r>
              <w:rPr>
                <w:rFonts w:hint="eastAsia" w:ascii="宋体" w:hAnsi="宋体" w:eastAsia="宋体" w:cs="宋体"/>
                <w:color w:val="000000"/>
                <w:sz w:val="18"/>
                <w:highlight w:val="none"/>
              </w:rPr>
              <w:t>X＜10</w:t>
            </w:r>
          </w:p>
          <w:p w14:paraId="7CC1BA72">
            <w:pPr>
              <w:pStyle w:val="58"/>
              <w:shd w:val="clear" w:color="auto" w:fill="auto"/>
              <w:spacing w:before="2"/>
              <w:rPr>
                <w:rFonts w:hint="eastAsia" w:ascii="宋体" w:hAnsi="宋体" w:eastAsia="宋体" w:cs="宋体"/>
                <w:color w:val="000000"/>
                <w:sz w:val="13"/>
                <w:highlight w:val="none"/>
              </w:rPr>
            </w:pPr>
          </w:p>
          <w:p w14:paraId="67C8473E">
            <w:pPr>
              <w:pStyle w:val="58"/>
              <w:shd w:val="clear" w:color="auto" w:fill="auto"/>
              <w:ind w:left="225"/>
              <w:rPr>
                <w:rFonts w:hint="eastAsia" w:ascii="宋体" w:hAnsi="宋体" w:eastAsia="宋体" w:cs="宋体"/>
                <w:color w:val="000000"/>
                <w:sz w:val="18"/>
                <w:highlight w:val="none"/>
              </w:rPr>
            </w:pPr>
            <w:r>
              <w:rPr>
                <w:rFonts w:hint="eastAsia" w:ascii="宋体" w:hAnsi="宋体" w:eastAsia="宋体" w:cs="宋体"/>
                <w:color w:val="000000"/>
                <w:sz w:val="18"/>
                <w:highlight w:val="none"/>
              </w:rPr>
              <w:t>Y＜100</w:t>
            </w:r>
          </w:p>
        </w:tc>
      </w:tr>
      <w:tr w14:paraId="6D38B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trPr>
        <w:tc>
          <w:tcPr>
            <w:tcW w:w="2174" w:type="dxa"/>
            <w:tcBorders>
              <w:left w:val="nil"/>
            </w:tcBorders>
            <w:noWrap w:val="0"/>
            <w:vAlign w:val="top"/>
          </w:tcPr>
          <w:p w14:paraId="0A54D7B5">
            <w:pPr>
              <w:pStyle w:val="58"/>
              <w:shd w:val="clear" w:color="auto" w:fill="auto"/>
              <w:spacing w:before="1"/>
              <w:rPr>
                <w:rFonts w:hint="eastAsia" w:ascii="宋体" w:hAnsi="宋体" w:eastAsia="宋体" w:cs="宋体"/>
                <w:color w:val="000000"/>
                <w:sz w:val="17"/>
                <w:highlight w:val="none"/>
              </w:rPr>
            </w:pPr>
          </w:p>
          <w:p w14:paraId="0F55C9F4">
            <w:pPr>
              <w:pStyle w:val="58"/>
              <w:shd w:val="clear" w:color="auto" w:fill="auto"/>
              <w:spacing w:before="1"/>
              <w:ind w:left="424"/>
              <w:rPr>
                <w:rFonts w:hint="eastAsia" w:ascii="宋体" w:hAnsi="宋体" w:eastAsia="宋体" w:cs="宋体"/>
                <w:color w:val="000000"/>
                <w:sz w:val="18"/>
                <w:highlight w:val="none"/>
              </w:rPr>
            </w:pPr>
            <w:r>
              <w:rPr>
                <w:rFonts w:hint="eastAsia" w:ascii="宋体" w:hAnsi="宋体" w:eastAsia="宋体" w:cs="宋体"/>
                <w:color w:val="000000"/>
                <w:spacing w:val="-20"/>
                <w:sz w:val="18"/>
                <w:highlight w:val="none"/>
              </w:rPr>
              <w:t>软件和信息技术服务业</w:t>
            </w:r>
          </w:p>
        </w:tc>
        <w:tc>
          <w:tcPr>
            <w:tcW w:w="1365" w:type="dxa"/>
            <w:noWrap w:val="0"/>
            <w:vAlign w:val="top"/>
          </w:tcPr>
          <w:p w14:paraId="019D8321">
            <w:pPr>
              <w:pStyle w:val="58"/>
              <w:shd w:val="clear" w:color="auto" w:fill="auto"/>
              <w:spacing w:before="42"/>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从业人员</w:t>
            </w:r>
            <w:r>
              <w:rPr>
                <w:rFonts w:hint="eastAsia" w:ascii="宋体" w:hAnsi="宋体" w:eastAsia="宋体" w:cs="宋体"/>
                <w:color w:val="000000"/>
                <w:sz w:val="18"/>
                <w:highlight w:val="none"/>
              </w:rPr>
              <w:t>(X)</w:t>
            </w:r>
          </w:p>
          <w:p w14:paraId="721B6A55">
            <w:pPr>
              <w:pStyle w:val="58"/>
              <w:shd w:val="clear" w:color="auto" w:fill="auto"/>
              <w:spacing w:before="103"/>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营业收入</w:t>
            </w:r>
            <w:r>
              <w:rPr>
                <w:rFonts w:hint="eastAsia" w:ascii="宋体" w:hAnsi="宋体" w:eastAsia="宋体" w:cs="宋体"/>
                <w:color w:val="000000"/>
                <w:sz w:val="18"/>
                <w:highlight w:val="none"/>
              </w:rPr>
              <w:t>(Y)</w:t>
            </w:r>
          </w:p>
        </w:tc>
        <w:tc>
          <w:tcPr>
            <w:tcW w:w="652" w:type="dxa"/>
            <w:noWrap w:val="0"/>
            <w:vAlign w:val="top"/>
          </w:tcPr>
          <w:p w14:paraId="5EB02C93">
            <w:pPr>
              <w:pStyle w:val="58"/>
              <w:shd w:val="clear" w:color="auto" w:fill="auto"/>
              <w:spacing w:before="42"/>
              <w:ind w:left="9"/>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人</w:t>
            </w:r>
          </w:p>
          <w:p w14:paraId="2E48277C">
            <w:pPr>
              <w:pStyle w:val="58"/>
              <w:shd w:val="clear" w:color="auto" w:fill="auto"/>
              <w:spacing w:before="103"/>
              <w:ind w:left="126" w:right="115"/>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万元</w:t>
            </w:r>
          </w:p>
        </w:tc>
        <w:tc>
          <w:tcPr>
            <w:tcW w:w="1125" w:type="dxa"/>
            <w:noWrap w:val="0"/>
            <w:vAlign w:val="top"/>
          </w:tcPr>
          <w:p w14:paraId="25AA7E9C">
            <w:pPr>
              <w:pStyle w:val="58"/>
              <w:shd w:val="clear" w:color="auto" w:fill="auto"/>
              <w:spacing w:before="42"/>
              <w:ind w:left="291"/>
              <w:rPr>
                <w:rFonts w:hint="eastAsia" w:ascii="宋体" w:hAnsi="宋体" w:eastAsia="宋体" w:cs="宋体"/>
                <w:color w:val="000000"/>
                <w:sz w:val="18"/>
                <w:highlight w:val="none"/>
              </w:rPr>
            </w:pPr>
            <w:r>
              <w:rPr>
                <w:rFonts w:hint="eastAsia" w:ascii="宋体" w:hAnsi="宋体" w:eastAsia="宋体" w:cs="宋体"/>
                <w:color w:val="000000"/>
                <w:sz w:val="18"/>
                <w:highlight w:val="none"/>
              </w:rPr>
              <w:t>X≥300</w:t>
            </w:r>
          </w:p>
          <w:p w14:paraId="6D0B4D7A">
            <w:pPr>
              <w:pStyle w:val="58"/>
              <w:shd w:val="clear" w:color="auto" w:fill="auto"/>
              <w:spacing w:before="103"/>
              <w:ind w:left="202"/>
              <w:rPr>
                <w:rFonts w:hint="eastAsia" w:ascii="宋体" w:hAnsi="宋体" w:eastAsia="宋体" w:cs="宋体"/>
                <w:color w:val="000000"/>
                <w:sz w:val="18"/>
                <w:highlight w:val="none"/>
              </w:rPr>
            </w:pPr>
            <w:r>
              <w:rPr>
                <w:rFonts w:hint="eastAsia" w:ascii="宋体" w:hAnsi="宋体" w:eastAsia="宋体" w:cs="宋体"/>
                <w:color w:val="000000"/>
                <w:sz w:val="18"/>
                <w:highlight w:val="none"/>
              </w:rPr>
              <w:t>Y≥10000</w:t>
            </w:r>
          </w:p>
        </w:tc>
        <w:tc>
          <w:tcPr>
            <w:tcW w:w="1701" w:type="dxa"/>
            <w:noWrap w:val="0"/>
            <w:vAlign w:val="top"/>
          </w:tcPr>
          <w:p w14:paraId="57A9C4DB">
            <w:pPr>
              <w:pStyle w:val="58"/>
              <w:shd w:val="clear" w:color="auto" w:fill="auto"/>
              <w:spacing w:before="42"/>
              <w:ind w:left="153" w:right="145"/>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100≤X＜300</w:t>
            </w:r>
          </w:p>
          <w:p w14:paraId="573D019C">
            <w:pPr>
              <w:pStyle w:val="58"/>
              <w:shd w:val="clear" w:color="auto" w:fill="auto"/>
              <w:spacing w:before="103"/>
              <w:ind w:left="153" w:right="145"/>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1000≤Y＜10000</w:t>
            </w:r>
          </w:p>
        </w:tc>
        <w:tc>
          <w:tcPr>
            <w:tcW w:w="1426" w:type="dxa"/>
            <w:noWrap w:val="0"/>
            <w:vAlign w:val="top"/>
          </w:tcPr>
          <w:p w14:paraId="57E1A003">
            <w:pPr>
              <w:pStyle w:val="58"/>
              <w:shd w:val="clear" w:color="auto" w:fill="auto"/>
              <w:spacing w:before="42"/>
              <w:ind w:left="261"/>
              <w:rPr>
                <w:rFonts w:hint="eastAsia" w:ascii="宋体" w:hAnsi="宋体" w:eastAsia="宋体" w:cs="宋体"/>
                <w:color w:val="000000"/>
                <w:sz w:val="18"/>
                <w:highlight w:val="none"/>
              </w:rPr>
            </w:pPr>
            <w:r>
              <w:rPr>
                <w:rFonts w:hint="eastAsia" w:ascii="宋体" w:hAnsi="宋体" w:eastAsia="宋体" w:cs="宋体"/>
                <w:color w:val="000000"/>
                <w:sz w:val="18"/>
                <w:highlight w:val="none"/>
              </w:rPr>
              <w:t>10≤X＜100</w:t>
            </w:r>
          </w:p>
          <w:p w14:paraId="4AD7D49A">
            <w:pPr>
              <w:pStyle w:val="58"/>
              <w:shd w:val="clear" w:color="auto" w:fill="auto"/>
              <w:spacing w:before="103"/>
              <w:ind w:left="218"/>
              <w:rPr>
                <w:rFonts w:hint="eastAsia" w:ascii="宋体" w:hAnsi="宋体" w:eastAsia="宋体" w:cs="宋体"/>
                <w:color w:val="000000"/>
                <w:sz w:val="18"/>
                <w:highlight w:val="none"/>
              </w:rPr>
            </w:pPr>
            <w:r>
              <w:rPr>
                <w:rFonts w:hint="eastAsia" w:ascii="宋体" w:hAnsi="宋体" w:eastAsia="宋体" w:cs="宋体"/>
                <w:color w:val="000000"/>
                <w:sz w:val="18"/>
                <w:highlight w:val="none"/>
              </w:rPr>
              <w:t>50≤Y＜1000</w:t>
            </w:r>
          </w:p>
        </w:tc>
        <w:tc>
          <w:tcPr>
            <w:tcW w:w="992" w:type="dxa"/>
            <w:tcBorders>
              <w:right w:val="nil"/>
            </w:tcBorders>
            <w:noWrap w:val="0"/>
            <w:vAlign w:val="top"/>
          </w:tcPr>
          <w:p w14:paraId="0346F5DC">
            <w:pPr>
              <w:pStyle w:val="58"/>
              <w:shd w:val="clear" w:color="auto" w:fill="auto"/>
              <w:spacing w:before="42"/>
              <w:ind w:left="270"/>
              <w:rPr>
                <w:rFonts w:hint="eastAsia" w:ascii="宋体" w:hAnsi="宋体" w:eastAsia="宋体" w:cs="宋体"/>
                <w:color w:val="000000"/>
                <w:sz w:val="18"/>
                <w:highlight w:val="none"/>
              </w:rPr>
            </w:pPr>
            <w:r>
              <w:rPr>
                <w:rFonts w:hint="eastAsia" w:ascii="宋体" w:hAnsi="宋体" w:eastAsia="宋体" w:cs="宋体"/>
                <w:color w:val="000000"/>
                <w:sz w:val="18"/>
                <w:highlight w:val="none"/>
              </w:rPr>
              <w:t>X＜10</w:t>
            </w:r>
          </w:p>
          <w:p w14:paraId="576137F4">
            <w:pPr>
              <w:pStyle w:val="58"/>
              <w:shd w:val="clear" w:color="auto" w:fill="auto"/>
              <w:spacing w:before="103"/>
              <w:ind w:left="270"/>
              <w:rPr>
                <w:rFonts w:hint="eastAsia" w:ascii="宋体" w:hAnsi="宋体" w:eastAsia="宋体" w:cs="宋体"/>
                <w:color w:val="000000"/>
                <w:sz w:val="18"/>
                <w:highlight w:val="none"/>
              </w:rPr>
            </w:pPr>
            <w:r>
              <w:rPr>
                <w:rFonts w:hint="eastAsia" w:ascii="宋体" w:hAnsi="宋体" w:eastAsia="宋体" w:cs="宋体"/>
                <w:color w:val="000000"/>
                <w:sz w:val="18"/>
                <w:highlight w:val="none"/>
              </w:rPr>
              <w:t>Y＜50</w:t>
            </w:r>
          </w:p>
        </w:tc>
      </w:tr>
      <w:tr w14:paraId="49D8A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2174" w:type="dxa"/>
            <w:tcBorders>
              <w:left w:val="nil"/>
            </w:tcBorders>
            <w:noWrap w:val="0"/>
            <w:vAlign w:val="top"/>
          </w:tcPr>
          <w:p w14:paraId="227EA3E0">
            <w:pPr>
              <w:pStyle w:val="58"/>
              <w:shd w:val="clear" w:color="auto" w:fill="auto"/>
              <w:spacing w:before="11"/>
              <w:rPr>
                <w:rFonts w:hint="eastAsia" w:ascii="宋体" w:hAnsi="宋体" w:eastAsia="宋体" w:cs="宋体"/>
                <w:color w:val="000000"/>
                <w:sz w:val="17"/>
                <w:highlight w:val="none"/>
              </w:rPr>
            </w:pPr>
          </w:p>
          <w:p w14:paraId="29A62AD1">
            <w:pPr>
              <w:pStyle w:val="58"/>
              <w:shd w:val="clear" w:color="auto" w:fill="auto"/>
              <w:ind w:left="472"/>
              <w:rPr>
                <w:rFonts w:hint="eastAsia" w:ascii="宋体" w:hAnsi="宋体" w:eastAsia="宋体" w:cs="宋体"/>
                <w:color w:val="000000"/>
                <w:sz w:val="18"/>
                <w:highlight w:val="none"/>
              </w:rPr>
            </w:pPr>
            <w:r>
              <w:rPr>
                <w:rFonts w:hint="eastAsia" w:ascii="宋体" w:hAnsi="宋体" w:eastAsia="宋体" w:cs="宋体"/>
                <w:color w:val="000000"/>
                <w:sz w:val="18"/>
                <w:highlight w:val="none"/>
              </w:rPr>
              <w:t>房地产开发经营</w:t>
            </w:r>
          </w:p>
        </w:tc>
        <w:tc>
          <w:tcPr>
            <w:tcW w:w="1365" w:type="dxa"/>
            <w:noWrap w:val="0"/>
            <w:vAlign w:val="top"/>
          </w:tcPr>
          <w:p w14:paraId="0FD92B79">
            <w:pPr>
              <w:pStyle w:val="58"/>
              <w:shd w:val="clear" w:color="auto" w:fill="auto"/>
              <w:spacing w:before="49"/>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营业收入</w:t>
            </w:r>
            <w:r>
              <w:rPr>
                <w:rFonts w:hint="eastAsia" w:ascii="宋体" w:hAnsi="宋体" w:eastAsia="宋体" w:cs="宋体"/>
                <w:color w:val="000000"/>
                <w:sz w:val="18"/>
                <w:highlight w:val="none"/>
              </w:rPr>
              <w:t>(Y)</w:t>
            </w:r>
          </w:p>
          <w:p w14:paraId="3AF5A609">
            <w:pPr>
              <w:pStyle w:val="58"/>
              <w:shd w:val="clear" w:color="auto" w:fill="auto"/>
              <w:spacing w:before="117"/>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资产总额</w:t>
            </w:r>
            <w:r>
              <w:rPr>
                <w:rFonts w:hint="eastAsia" w:ascii="宋体" w:hAnsi="宋体" w:eastAsia="宋体" w:cs="宋体"/>
                <w:color w:val="000000"/>
                <w:sz w:val="18"/>
                <w:highlight w:val="none"/>
              </w:rPr>
              <w:t>(Z)</w:t>
            </w:r>
          </w:p>
        </w:tc>
        <w:tc>
          <w:tcPr>
            <w:tcW w:w="652" w:type="dxa"/>
            <w:noWrap w:val="0"/>
            <w:vAlign w:val="top"/>
          </w:tcPr>
          <w:p w14:paraId="4C0835BE">
            <w:pPr>
              <w:pStyle w:val="58"/>
              <w:shd w:val="clear" w:color="auto" w:fill="auto"/>
              <w:spacing w:before="49"/>
              <w:ind w:left="146"/>
              <w:rPr>
                <w:rFonts w:hint="eastAsia" w:ascii="宋体" w:hAnsi="宋体" w:eastAsia="宋体" w:cs="宋体"/>
                <w:color w:val="000000"/>
                <w:sz w:val="18"/>
                <w:highlight w:val="none"/>
              </w:rPr>
            </w:pPr>
            <w:r>
              <w:rPr>
                <w:rFonts w:hint="eastAsia" w:ascii="宋体" w:hAnsi="宋体" w:eastAsia="宋体" w:cs="宋体"/>
                <w:color w:val="000000"/>
                <w:sz w:val="18"/>
                <w:highlight w:val="none"/>
              </w:rPr>
              <w:t>万元</w:t>
            </w:r>
          </w:p>
          <w:p w14:paraId="59E4C219">
            <w:pPr>
              <w:pStyle w:val="58"/>
              <w:shd w:val="clear" w:color="auto" w:fill="auto"/>
              <w:spacing w:before="110"/>
              <w:ind w:left="146"/>
              <w:rPr>
                <w:rFonts w:hint="eastAsia" w:ascii="宋体" w:hAnsi="宋体" w:eastAsia="宋体" w:cs="宋体"/>
                <w:color w:val="000000"/>
                <w:sz w:val="18"/>
                <w:highlight w:val="none"/>
              </w:rPr>
            </w:pPr>
            <w:r>
              <w:rPr>
                <w:rFonts w:hint="eastAsia" w:ascii="宋体" w:hAnsi="宋体" w:eastAsia="宋体" w:cs="宋体"/>
                <w:color w:val="000000"/>
                <w:sz w:val="18"/>
                <w:highlight w:val="none"/>
              </w:rPr>
              <w:t>万元</w:t>
            </w:r>
          </w:p>
        </w:tc>
        <w:tc>
          <w:tcPr>
            <w:tcW w:w="1125" w:type="dxa"/>
            <w:noWrap w:val="0"/>
            <w:vAlign w:val="top"/>
          </w:tcPr>
          <w:p w14:paraId="7273CAC6">
            <w:pPr>
              <w:pStyle w:val="58"/>
              <w:shd w:val="clear" w:color="auto" w:fill="auto"/>
              <w:spacing w:before="49"/>
              <w:ind w:left="157"/>
              <w:rPr>
                <w:rFonts w:hint="eastAsia" w:ascii="宋体" w:hAnsi="宋体" w:eastAsia="宋体" w:cs="宋体"/>
                <w:color w:val="000000"/>
                <w:sz w:val="18"/>
                <w:highlight w:val="none"/>
              </w:rPr>
            </w:pPr>
            <w:r>
              <w:rPr>
                <w:rFonts w:hint="eastAsia" w:ascii="宋体" w:hAnsi="宋体" w:eastAsia="宋体" w:cs="宋体"/>
                <w:color w:val="000000"/>
                <w:sz w:val="18"/>
                <w:highlight w:val="none"/>
              </w:rPr>
              <w:t>Y≥200000</w:t>
            </w:r>
          </w:p>
          <w:p w14:paraId="054E34DB">
            <w:pPr>
              <w:pStyle w:val="58"/>
              <w:shd w:val="clear" w:color="auto" w:fill="auto"/>
              <w:spacing w:before="110"/>
              <w:ind w:left="202"/>
              <w:rPr>
                <w:rFonts w:hint="eastAsia" w:ascii="宋体" w:hAnsi="宋体" w:eastAsia="宋体" w:cs="宋体"/>
                <w:color w:val="000000"/>
                <w:sz w:val="18"/>
                <w:highlight w:val="none"/>
              </w:rPr>
            </w:pPr>
            <w:r>
              <w:rPr>
                <w:rFonts w:hint="eastAsia" w:ascii="宋体" w:hAnsi="宋体" w:eastAsia="宋体" w:cs="宋体"/>
                <w:color w:val="000000"/>
                <w:sz w:val="18"/>
                <w:highlight w:val="none"/>
              </w:rPr>
              <w:t>Z≥10000</w:t>
            </w:r>
          </w:p>
        </w:tc>
        <w:tc>
          <w:tcPr>
            <w:tcW w:w="1701" w:type="dxa"/>
            <w:noWrap w:val="0"/>
            <w:vAlign w:val="top"/>
          </w:tcPr>
          <w:p w14:paraId="411353A5">
            <w:pPr>
              <w:pStyle w:val="58"/>
              <w:shd w:val="clear" w:color="auto" w:fill="auto"/>
              <w:spacing w:before="49"/>
              <w:ind w:left="174"/>
              <w:rPr>
                <w:rFonts w:hint="eastAsia" w:ascii="宋体" w:hAnsi="宋体" w:eastAsia="宋体" w:cs="宋体"/>
                <w:color w:val="000000"/>
                <w:sz w:val="18"/>
                <w:highlight w:val="none"/>
              </w:rPr>
            </w:pPr>
            <w:r>
              <w:rPr>
                <w:rFonts w:hint="eastAsia" w:ascii="宋体" w:hAnsi="宋体" w:eastAsia="宋体" w:cs="宋体"/>
                <w:color w:val="000000"/>
                <w:sz w:val="18"/>
                <w:highlight w:val="none"/>
              </w:rPr>
              <w:t>1000≤Y＜200000</w:t>
            </w:r>
          </w:p>
          <w:p w14:paraId="496BB5DE">
            <w:pPr>
              <w:pStyle w:val="58"/>
              <w:shd w:val="clear" w:color="auto" w:fill="auto"/>
              <w:spacing w:before="110"/>
              <w:ind w:left="220"/>
              <w:rPr>
                <w:rFonts w:hint="eastAsia" w:ascii="宋体" w:hAnsi="宋体" w:eastAsia="宋体" w:cs="宋体"/>
                <w:color w:val="000000"/>
                <w:sz w:val="18"/>
                <w:highlight w:val="none"/>
              </w:rPr>
            </w:pPr>
            <w:r>
              <w:rPr>
                <w:rFonts w:hint="eastAsia" w:ascii="宋体" w:hAnsi="宋体" w:eastAsia="宋体" w:cs="宋体"/>
                <w:color w:val="000000"/>
                <w:sz w:val="18"/>
                <w:highlight w:val="none"/>
              </w:rPr>
              <w:t>5000≤Z＜10000</w:t>
            </w:r>
          </w:p>
        </w:tc>
        <w:tc>
          <w:tcPr>
            <w:tcW w:w="1426" w:type="dxa"/>
            <w:noWrap w:val="0"/>
            <w:vAlign w:val="top"/>
          </w:tcPr>
          <w:p w14:paraId="4E9999F4">
            <w:pPr>
              <w:pStyle w:val="58"/>
              <w:shd w:val="clear" w:color="auto" w:fill="auto"/>
              <w:spacing w:before="49"/>
              <w:ind w:left="172"/>
              <w:rPr>
                <w:rFonts w:hint="eastAsia" w:ascii="宋体" w:hAnsi="宋体" w:eastAsia="宋体" w:cs="宋体"/>
                <w:color w:val="000000"/>
                <w:sz w:val="18"/>
                <w:highlight w:val="none"/>
              </w:rPr>
            </w:pPr>
            <w:r>
              <w:rPr>
                <w:rFonts w:hint="eastAsia" w:ascii="宋体" w:hAnsi="宋体" w:eastAsia="宋体" w:cs="宋体"/>
                <w:color w:val="000000"/>
                <w:sz w:val="18"/>
                <w:highlight w:val="none"/>
              </w:rPr>
              <w:t>100≤Y＜1000</w:t>
            </w:r>
          </w:p>
          <w:p w14:paraId="303EDE96">
            <w:pPr>
              <w:pStyle w:val="58"/>
              <w:shd w:val="clear" w:color="auto" w:fill="auto"/>
              <w:spacing w:before="110"/>
              <w:ind w:left="127"/>
              <w:rPr>
                <w:rFonts w:hint="eastAsia" w:ascii="宋体" w:hAnsi="宋体" w:eastAsia="宋体" w:cs="宋体"/>
                <w:color w:val="000000"/>
                <w:sz w:val="18"/>
                <w:highlight w:val="none"/>
              </w:rPr>
            </w:pPr>
            <w:r>
              <w:rPr>
                <w:rFonts w:hint="eastAsia" w:ascii="宋体" w:hAnsi="宋体" w:eastAsia="宋体" w:cs="宋体"/>
                <w:color w:val="000000"/>
                <w:sz w:val="18"/>
                <w:highlight w:val="none"/>
              </w:rPr>
              <w:t>2000≤Z＜5000</w:t>
            </w:r>
          </w:p>
        </w:tc>
        <w:tc>
          <w:tcPr>
            <w:tcW w:w="992" w:type="dxa"/>
            <w:tcBorders>
              <w:right w:val="nil"/>
            </w:tcBorders>
            <w:noWrap w:val="0"/>
            <w:vAlign w:val="top"/>
          </w:tcPr>
          <w:p w14:paraId="3AE098C7">
            <w:pPr>
              <w:pStyle w:val="58"/>
              <w:shd w:val="clear" w:color="auto" w:fill="auto"/>
              <w:spacing w:before="49"/>
              <w:ind w:left="225"/>
              <w:rPr>
                <w:rFonts w:hint="eastAsia" w:ascii="宋体" w:hAnsi="宋体" w:eastAsia="宋体" w:cs="宋体"/>
                <w:color w:val="000000"/>
                <w:sz w:val="18"/>
                <w:highlight w:val="none"/>
              </w:rPr>
            </w:pPr>
            <w:r>
              <w:rPr>
                <w:rFonts w:hint="eastAsia" w:ascii="宋体" w:hAnsi="宋体" w:eastAsia="宋体" w:cs="宋体"/>
                <w:color w:val="000000"/>
                <w:sz w:val="18"/>
                <w:highlight w:val="none"/>
              </w:rPr>
              <w:t>Y＜100</w:t>
            </w:r>
          </w:p>
          <w:p w14:paraId="43B6700E">
            <w:pPr>
              <w:pStyle w:val="58"/>
              <w:shd w:val="clear" w:color="auto" w:fill="auto"/>
              <w:spacing w:before="110"/>
              <w:ind w:left="179"/>
              <w:rPr>
                <w:rFonts w:hint="eastAsia" w:ascii="宋体" w:hAnsi="宋体" w:eastAsia="宋体" w:cs="宋体"/>
                <w:color w:val="000000"/>
                <w:sz w:val="18"/>
                <w:highlight w:val="none"/>
              </w:rPr>
            </w:pPr>
            <w:r>
              <w:rPr>
                <w:rFonts w:hint="eastAsia" w:ascii="宋体" w:hAnsi="宋体" w:eastAsia="宋体" w:cs="宋体"/>
                <w:color w:val="000000"/>
                <w:sz w:val="18"/>
                <w:highlight w:val="none"/>
              </w:rPr>
              <w:t>Z＜2000</w:t>
            </w:r>
          </w:p>
        </w:tc>
      </w:tr>
      <w:tr w14:paraId="1D0F2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2174" w:type="dxa"/>
            <w:tcBorders>
              <w:left w:val="nil"/>
            </w:tcBorders>
            <w:noWrap w:val="0"/>
            <w:vAlign w:val="top"/>
          </w:tcPr>
          <w:p w14:paraId="21B6738F">
            <w:pPr>
              <w:pStyle w:val="58"/>
              <w:shd w:val="clear" w:color="auto" w:fill="auto"/>
              <w:spacing w:before="10"/>
              <w:rPr>
                <w:rFonts w:hint="eastAsia" w:ascii="宋体" w:hAnsi="宋体" w:eastAsia="宋体" w:cs="宋体"/>
                <w:color w:val="000000"/>
                <w:sz w:val="17"/>
                <w:highlight w:val="none"/>
              </w:rPr>
            </w:pPr>
          </w:p>
          <w:p w14:paraId="41ED7CAD">
            <w:pPr>
              <w:pStyle w:val="58"/>
              <w:shd w:val="clear" w:color="auto" w:fill="auto"/>
              <w:ind w:left="472"/>
              <w:rPr>
                <w:rFonts w:hint="eastAsia" w:ascii="宋体" w:hAnsi="宋体" w:eastAsia="宋体" w:cs="宋体"/>
                <w:color w:val="000000"/>
                <w:sz w:val="18"/>
                <w:highlight w:val="none"/>
              </w:rPr>
            </w:pPr>
            <w:r>
              <w:rPr>
                <w:rFonts w:hint="eastAsia" w:ascii="宋体" w:hAnsi="宋体" w:eastAsia="宋体" w:cs="宋体"/>
                <w:color w:val="000000"/>
                <w:sz w:val="18"/>
                <w:highlight w:val="none"/>
              </w:rPr>
              <w:t>物业管理</w:t>
            </w:r>
          </w:p>
        </w:tc>
        <w:tc>
          <w:tcPr>
            <w:tcW w:w="1365" w:type="dxa"/>
            <w:noWrap w:val="0"/>
            <w:vAlign w:val="top"/>
          </w:tcPr>
          <w:p w14:paraId="5ACF14AC">
            <w:pPr>
              <w:pStyle w:val="58"/>
              <w:shd w:val="clear" w:color="auto" w:fill="auto"/>
              <w:spacing w:before="50"/>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从业人员</w:t>
            </w:r>
            <w:r>
              <w:rPr>
                <w:rFonts w:hint="eastAsia" w:ascii="宋体" w:hAnsi="宋体" w:eastAsia="宋体" w:cs="宋体"/>
                <w:color w:val="000000"/>
                <w:sz w:val="18"/>
                <w:highlight w:val="none"/>
              </w:rPr>
              <w:t>(X)</w:t>
            </w:r>
          </w:p>
          <w:p w14:paraId="4F660EE4">
            <w:pPr>
              <w:pStyle w:val="58"/>
              <w:shd w:val="clear" w:color="auto" w:fill="auto"/>
              <w:spacing w:before="118"/>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营业收入</w:t>
            </w:r>
            <w:r>
              <w:rPr>
                <w:rFonts w:hint="eastAsia" w:ascii="宋体" w:hAnsi="宋体" w:eastAsia="宋体" w:cs="宋体"/>
                <w:color w:val="000000"/>
                <w:sz w:val="18"/>
                <w:highlight w:val="none"/>
              </w:rPr>
              <w:t>(Y)</w:t>
            </w:r>
          </w:p>
        </w:tc>
        <w:tc>
          <w:tcPr>
            <w:tcW w:w="652" w:type="dxa"/>
            <w:noWrap w:val="0"/>
            <w:vAlign w:val="top"/>
          </w:tcPr>
          <w:p w14:paraId="1B35E627">
            <w:pPr>
              <w:pStyle w:val="58"/>
              <w:shd w:val="clear" w:color="auto" w:fill="auto"/>
              <w:spacing w:before="50"/>
              <w:ind w:left="9"/>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人</w:t>
            </w:r>
          </w:p>
          <w:p w14:paraId="59EF6D5B">
            <w:pPr>
              <w:pStyle w:val="58"/>
              <w:shd w:val="clear" w:color="auto" w:fill="auto"/>
              <w:spacing w:before="108"/>
              <w:ind w:left="126" w:right="115"/>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万元</w:t>
            </w:r>
          </w:p>
        </w:tc>
        <w:tc>
          <w:tcPr>
            <w:tcW w:w="1125" w:type="dxa"/>
            <w:noWrap w:val="0"/>
            <w:vAlign w:val="top"/>
          </w:tcPr>
          <w:p w14:paraId="3DBFE0DA">
            <w:pPr>
              <w:pStyle w:val="58"/>
              <w:shd w:val="clear" w:color="auto" w:fill="auto"/>
              <w:spacing w:before="50"/>
              <w:ind w:left="245"/>
              <w:rPr>
                <w:rFonts w:hint="eastAsia" w:ascii="宋体" w:hAnsi="宋体" w:eastAsia="宋体" w:cs="宋体"/>
                <w:color w:val="000000"/>
                <w:sz w:val="18"/>
                <w:highlight w:val="none"/>
              </w:rPr>
            </w:pPr>
            <w:r>
              <w:rPr>
                <w:rFonts w:hint="eastAsia" w:ascii="宋体" w:hAnsi="宋体" w:eastAsia="宋体" w:cs="宋体"/>
                <w:color w:val="000000"/>
                <w:sz w:val="18"/>
                <w:highlight w:val="none"/>
              </w:rPr>
              <w:t>X≥1000</w:t>
            </w:r>
          </w:p>
          <w:p w14:paraId="415D467F">
            <w:pPr>
              <w:pStyle w:val="58"/>
              <w:shd w:val="clear" w:color="auto" w:fill="auto"/>
              <w:spacing w:before="108"/>
              <w:ind w:left="245"/>
              <w:rPr>
                <w:rFonts w:hint="eastAsia" w:ascii="宋体" w:hAnsi="宋体" w:eastAsia="宋体" w:cs="宋体"/>
                <w:color w:val="000000"/>
                <w:sz w:val="18"/>
                <w:highlight w:val="none"/>
              </w:rPr>
            </w:pPr>
            <w:r>
              <w:rPr>
                <w:rFonts w:hint="eastAsia" w:ascii="宋体" w:hAnsi="宋体" w:eastAsia="宋体" w:cs="宋体"/>
                <w:color w:val="000000"/>
                <w:sz w:val="18"/>
                <w:highlight w:val="none"/>
              </w:rPr>
              <w:t>Y≥5000</w:t>
            </w:r>
          </w:p>
        </w:tc>
        <w:tc>
          <w:tcPr>
            <w:tcW w:w="1701" w:type="dxa"/>
            <w:noWrap w:val="0"/>
            <w:vAlign w:val="top"/>
          </w:tcPr>
          <w:p w14:paraId="7F2181E2">
            <w:pPr>
              <w:pStyle w:val="58"/>
              <w:shd w:val="clear" w:color="auto" w:fill="auto"/>
              <w:spacing w:before="50"/>
              <w:ind w:right="298"/>
              <w:jc w:val="right"/>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300≤X＜1000</w:t>
            </w:r>
          </w:p>
          <w:p w14:paraId="4D0F159E">
            <w:pPr>
              <w:pStyle w:val="58"/>
              <w:shd w:val="clear" w:color="auto" w:fill="auto"/>
              <w:spacing w:before="108"/>
              <w:ind w:right="334"/>
              <w:jc w:val="right"/>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1000≤Y＜5000</w:t>
            </w:r>
          </w:p>
        </w:tc>
        <w:tc>
          <w:tcPr>
            <w:tcW w:w="1426" w:type="dxa"/>
            <w:noWrap w:val="0"/>
            <w:vAlign w:val="top"/>
          </w:tcPr>
          <w:p w14:paraId="768146F3">
            <w:pPr>
              <w:pStyle w:val="58"/>
              <w:shd w:val="clear" w:color="auto" w:fill="auto"/>
              <w:spacing w:before="50"/>
              <w:ind w:left="218"/>
              <w:rPr>
                <w:rFonts w:hint="eastAsia" w:ascii="宋体" w:hAnsi="宋体" w:eastAsia="宋体" w:cs="宋体"/>
                <w:color w:val="000000"/>
                <w:sz w:val="18"/>
                <w:highlight w:val="none"/>
              </w:rPr>
            </w:pPr>
            <w:r>
              <w:rPr>
                <w:rFonts w:hint="eastAsia" w:ascii="宋体" w:hAnsi="宋体" w:eastAsia="宋体" w:cs="宋体"/>
                <w:color w:val="000000"/>
                <w:sz w:val="18"/>
                <w:highlight w:val="none"/>
              </w:rPr>
              <w:t>100≤X＜300</w:t>
            </w:r>
          </w:p>
          <w:p w14:paraId="021E0F94">
            <w:pPr>
              <w:pStyle w:val="58"/>
              <w:shd w:val="clear" w:color="auto" w:fill="auto"/>
              <w:spacing w:before="108"/>
              <w:ind w:left="172"/>
              <w:rPr>
                <w:rFonts w:hint="eastAsia" w:ascii="宋体" w:hAnsi="宋体" w:eastAsia="宋体" w:cs="宋体"/>
                <w:color w:val="000000"/>
                <w:sz w:val="18"/>
                <w:highlight w:val="none"/>
              </w:rPr>
            </w:pPr>
            <w:r>
              <w:rPr>
                <w:rFonts w:hint="eastAsia" w:ascii="宋体" w:hAnsi="宋体" w:eastAsia="宋体" w:cs="宋体"/>
                <w:color w:val="000000"/>
                <w:sz w:val="18"/>
                <w:highlight w:val="none"/>
              </w:rPr>
              <w:t>500≤Y＜1000</w:t>
            </w:r>
          </w:p>
        </w:tc>
        <w:tc>
          <w:tcPr>
            <w:tcW w:w="992" w:type="dxa"/>
            <w:tcBorders>
              <w:right w:val="nil"/>
            </w:tcBorders>
            <w:noWrap w:val="0"/>
            <w:vAlign w:val="top"/>
          </w:tcPr>
          <w:p w14:paraId="498A8096">
            <w:pPr>
              <w:pStyle w:val="58"/>
              <w:shd w:val="clear" w:color="auto" w:fill="auto"/>
              <w:spacing w:before="50"/>
              <w:ind w:left="225"/>
              <w:rPr>
                <w:rFonts w:hint="eastAsia" w:ascii="宋体" w:hAnsi="宋体" w:eastAsia="宋体" w:cs="宋体"/>
                <w:color w:val="000000"/>
                <w:sz w:val="18"/>
                <w:highlight w:val="none"/>
              </w:rPr>
            </w:pPr>
            <w:r>
              <w:rPr>
                <w:rFonts w:hint="eastAsia" w:ascii="宋体" w:hAnsi="宋体" w:eastAsia="宋体" w:cs="宋体"/>
                <w:color w:val="000000"/>
                <w:sz w:val="18"/>
                <w:highlight w:val="none"/>
              </w:rPr>
              <w:t>X＜100</w:t>
            </w:r>
          </w:p>
          <w:p w14:paraId="02CE0861">
            <w:pPr>
              <w:pStyle w:val="58"/>
              <w:shd w:val="clear" w:color="auto" w:fill="auto"/>
              <w:spacing w:before="108"/>
              <w:ind w:left="225"/>
              <w:rPr>
                <w:rFonts w:hint="eastAsia" w:ascii="宋体" w:hAnsi="宋体" w:eastAsia="宋体" w:cs="宋体"/>
                <w:color w:val="000000"/>
                <w:sz w:val="18"/>
                <w:highlight w:val="none"/>
              </w:rPr>
            </w:pPr>
            <w:r>
              <w:rPr>
                <w:rFonts w:hint="eastAsia" w:ascii="宋体" w:hAnsi="宋体" w:eastAsia="宋体" w:cs="宋体"/>
                <w:color w:val="000000"/>
                <w:sz w:val="18"/>
                <w:highlight w:val="none"/>
              </w:rPr>
              <w:t>Y＜500</w:t>
            </w:r>
          </w:p>
        </w:tc>
      </w:tr>
      <w:tr w14:paraId="63F42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2174" w:type="dxa"/>
            <w:tcBorders>
              <w:left w:val="nil"/>
            </w:tcBorders>
            <w:noWrap w:val="0"/>
            <w:vAlign w:val="top"/>
          </w:tcPr>
          <w:p w14:paraId="320E1534">
            <w:pPr>
              <w:pStyle w:val="58"/>
              <w:shd w:val="clear" w:color="auto" w:fill="auto"/>
              <w:spacing w:before="9"/>
              <w:rPr>
                <w:rFonts w:hint="eastAsia" w:ascii="宋体" w:hAnsi="宋体" w:eastAsia="宋体" w:cs="宋体"/>
                <w:color w:val="000000"/>
                <w:sz w:val="17"/>
                <w:highlight w:val="none"/>
              </w:rPr>
            </w:pPr>
          </w:p>
          <w:p w14:paraId="1AC10314">
            <w:pPr>
              <w:pStyle w:val="58"/>
              <w:shd w:val="clear" w:color="auto" w:fill="auto"/>
              <w:ind w:left="472"/>
              <w:rPr>
                <w:rFonts w:hint="eastAsia" w:ascii="宋体" w:hAnsi="宋体" w:eastAsia="宋体" w:cs="宋体"/>
                <w:color w:val="000000"/>
                <w:sz w:val="18"/>
                <w:highlight w:val="none"/>
              </w:rPr>
            </w:pPr>
            <w:r>
              <w:rPr>
                <w:rFonts w:hint="eastAsia" w:ascii="宋体" w:hAnsi="宋体" w:eastAsia="宋体" w:cs="宋体"/>
                <w:color w:val="000000"/>
                <w:sz w:val="18"/>
                <w:highlight w:val="none"/>
              </w:rPr>
              <w:t>租赁和商务服务业</w:t>
            </w:r>
          </w:p>
        </w:tc>
        <w:tc>
          <w:tcPr>
            <w:tcW w:w="1365" w:type="dxa"/>
            <w:noWrap w:val="0"/>
            <w:vAlign w:val="top"/>
          </w:tcPr>
          <w:p w14:paraId="04927CCB">
            <w:pPr>
              <w:pStyle w:val="58"/>
              <w:shd w:val="clear" w:color="auto" w:fill="auto"/>
              <w:spacing w:before="50"/>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从业人员</w:t>
            </w:r>
            <w:r>
              <w:rPr>
                <w:rFonts w:hint="eastAsia" w:ascii="宋体" w:hAnsi="宋体" w:eastAsia="宋体" w:cs="宋体"/>
                <w:color w:val="000000"/>
                <w:sz w:val="18"/>
                <w:highlight w:val="none"/>
              </w:rPr>
              <w:t>(X)</w:t>
            </w:r>
          </w:p>
          <w:p w14:paraId="7547224F">
            <w:pPr>
              <w:pStyle w:val="58"/>
              <w:shd w:val="clear" w:color="auto" w:fill="auto"/>
              <w:spacing w:before="117"/>
              <w:ind w:left="186"/>
              <w:rPr>
                <w:rFonts w:hint="eastAsia" w:ascii="宋体" w:hAnsi="宋体" w:eastAsia="宋体" w:cs="宋体"/>
                <w:color w:val="000000"/>
                <w:sz w:val="18"/>
                <w:highlight w:val="none"/>
              </w:rPr>
            </w:pPr>
            <w:r>
              <w:rPr>
                <w:rFonts w:hint="eastAsia" w:ascii="宋体" w:hAnsi="宋体" w:eastAsia="宋体" w:cs="宋体"/>
                <w:color w:val="000000"/>
                <w:spacing w:val="-1"/>
                <w:sz w:val="18"/>
                <w:highlight w:val="none"/>
              </w:rPr>
              <w:t>资产总额</w:t>
            </w:r>
            <w:r>
              <w:rPr>
                <w:rFonts w:hint="eastAsia" w:ascii="宋体" w:hAnsi="宋体" w:eastAsia="宋体" w:cs="宋体"/>
                <w:color w:val="000000"/>
                <w:sz w:val="18"/>
                <w:highlight w:val="none"/>
              </w:rPr>
              <w:t>(Z)</w:t>
            </w:r>
          </w:p>
        </w:tc>
        <w:tc>
          <w:tcPr>
            <w:tcW w:w="652" w:type="dxa"/>
            <w:noWrap w:val="0"/>
            <w:vAlign w:val="top"/>
          </w:tcPr>
          <w:p w14:paraId="20B7D58D">
            <w:pPr>
              <w:pStyle w:val="58"/>
              <w:shd w:val="clear" w:color="auto" w:fill="auto"/>
              <w:spacing w:before="50"/>
              <w:ind w:left="9"/>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人</w:t>
            </w:r>
          </w:p>
          <w:p w14:paraId="23A1DC6C">
            <w:pPr>
              <w:pStyle w:val="58"/>
              <w:shd w:val="clear" w:color="auto" w:fill="auto"/>
              <w:spacing w:before="110"/>
              <w:ind w:left="126" w:right="115"/>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万元</w:t>
            </w:r>
          </w:p>
        </w:tc>
        <w:tc>
          <w:tcPr>
            <w:tcW w:w="1125" w:type="dxa"/>
            <w:noWrap w:val="0"/>
            <w:vAlign w:val="top"/>
          </w:tcPr>
          <w:p w14:paraId="192EC362">
            <w:pPr>
              <w:pStyle w:val="58"/>
              <w:shd w:val="clear" w:color="auto" w:fill="auto"/>
              <w:spacing w:before="50"/>
              <w:ind w:left="137" w:right="128"/>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X≥300</w:t>
            </w:r>
          </w:p>
          <w:p w14:paraId="75B5AABA">
            <w:pPr>
              <w:pStyle w:val="58"/>
              <w:shd w:val="clear" w:color="auto" w:fill="auto"/>
              <w:spacing w:before="110"/>
              <w:ind w:left="137" w:right="128"/>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Z≥120000</w:t>
            </w:r>
          </w:p>
        </w:tc>
        <w:tc>
          <w:tcPr>
            <w:tcW w:w="1701" w:type="dxa"/>
            <w:noWrap w:val="0"/>
            <w:vAlign w:val="top"/>
          </w:tcPr>
          <w:p w14:paraId="1E482D85">
            <w:pPr>
              <w:pStyle w:val="58"/>
              <w:shd w:val="clear" w:color="auto" w:fill="auto"/>
              <w:spacing w:before="50"/>
              <w:ind w:left="272"/>
              <w:rPr>
                <w:rFonts w:hint="eastAsia" w:ascii="宋体" w:hAnsi="宋体" w:eastAsia="宋体" w:cs="宋体"/>
                <w:color w:val="000000"/>
                <w:sz w:val="18"/>
                <w:highlight w:val="none"/>
              </w:rPr>
            </w:pPr>
            <w:r>
              <w:rPr>
                <w:rFonts w:hint="eastAsia" w:ascii="宋体" w:hAnsi="宋体" w:eastAsia="宋体" w:cs="宋体"/>
                <w:color w:val="000000"/>
                <w:sz w:val="18"/>
                <w:highlight w:val="none"/>
              </w:rPr>
              <w:t>100≤X＜300</w:t>
            </w:r>
          </w:p>
          <w:p w14:paraId="2BD10072">
            <w:pPr>
              <w:pStyle w:val="58"/>
              <w:shd w:val="clear" w:color="auto" w:fill="auto"/>
              <w:spacing w:before="110"/>
              <w:ind w:left="174"/>
              <w:rPr>
                <w:rFonts w:hint="eastAsia" w:ascii="宋体" w:hAnsi="宋体" w:eastAsia="宋体" w:cs="宋体"/>
                <w:color w:val="000000"/>
                <w:sz w:val="18"/>
                <w:highlight w:val="none"/>
              </w:rPr>
            </w:pPr>
            <w:r>
              <w:rPr>
                <w:rFonts w:hint="eastAsia" w:ascii="宋体" w:hAnsi="宋体" w:eastAsia="宋体" w:cs="宋体"/>
                <w:color w:val="000000"/>
                <w:sz w:val="18"/>
                <w:highlight w:val="none"/>
              </w:rPr>
              <w:t>8000≤Z＜120000</w:t>
            </w:r>
          </w:p>
        </w:tc>
        <w:tc>
          <w:tcPr>
            <w:tcW w:w="1426" w:type="dxa"/>
            <w:noWrap w:val="0"/>
            <w:vAlign w:val="top"/>
          </w:tcPr>
          <w:p w14:paraId="68387428">
            <w:pPr>
              <w:pStyle w:val="58"/>
              <w:shd w:val="clear" w:color="auto" w:fill="auto"/>
              <w:spacing w:before="50"/>
              <w:ind w:left="261"/>
              <w:rPr>
                <w:rFonts w:hint="eastAsia" w:ascii="宋体" w:hAnsi="宋体" w:eastAsia="宋体" w:cs="宋体"/>
                <w:color w:val="000000"/>
                <w:sz w:val="18"/>
                <w:highlight w:val="none"/>
              </w:rPr>
            </w:pPr>
            <w:r>
              <w:rPr>
                <w:rFonts w:hint="eastAsia" w:ascii="宋体" w:hAnsi="宋体" w:eastAsia="宋体" w:cs="宋体"/>
                <w:color w:val="000000"/>
                <w:sz w:val="18"/>
                <w:highlight w:val="none"/>
              </w:rPr>
              <w:t>10≤X＜100</w:t>
            </w:r>
          </w:p>
          <w:p w14:paraId="4C247D68">
            <w:pPr>
              <w:pStyle w:val="58"/>
              <w:shd w:val="clear" w:color="auto" w:fill="auto"/>
              <w:spacing w:before="110"/>
              <w:ind w:left="172"/>
              <w:rPr>
                <w:rFonts w:hint="eastAsia" w:ascii="宋体" w:hAnsi="宋体" w:eastAsia="宋体" w:cs="宋体"/>
                <w:color w:val="000000"/>
                <w:sz w:val="18"/>
                <w:highlight w:val="none"/>
              </w:rPr>
            </w:pPr>
            <w:r>
              <w:rPr>
                <w:rFonts w:hint="eastAsia" w:ascii="宋体" w:hAnsi="宋体" w:eastAsia="宋体" w:cs="宋体"/>
                <w:color w:val="000000"/>
                <w:sz w:val="18"/>
                <w:highlight w:val="none"/>
              </w:rPr>
              <w:t>100≤Z＜8000</w:t>
            </w:r>
          </w:p>
        </w:tc>
        <w:tc>
          <w:tcPr>
            <w:tcW w:w="992" w:type="dxa"/>
            <w:tcBorders>
              <w:right w:val="nil"/>
            </w:tcBorders>
            <w:noWrap w:val="0"/>
            <w:vAlign w:val="top"/>
          </w:tcPr>
          <w:p w14:paraId="680F4FA8">
            <w:pPr>
              <w:pStyle w:val="58"/>
              <w:shd w:val="clear" w:color="auto" w:fill="auto"/>
              <w:spacing w:before="50"/>
              <w:ind w:left="270"/>
              <w:rPr>
                <w:rFonts w:hint="eastAsia" w:ascii="宋体" w:hAnsi="宋体" w:eastAsia="宋体" w:cs="宋体"/>
                <w:color w:val="000000"/>
                <w:sz w:val="18"/>
                <w:highlight w:val="none"/>
              </w:rPr>
            </w:pPr>
            <w:r>
              <w:rPr>
                <w:rFonts w:hint="eastAsia" w:ascii="宋体" w:hAnsi="宋体" w:eastAsia="宋体" w:cs="宋体"/>
                <w:color w:val="000000"/>
                <w:sz w:val="18"/>
                <w:highlight w:val="none"/>
              </w:rPr>
              <w:t>X＜10</w:t>
            </w:r>
          </w:p>
          <w:p w14:paraId="1BAB3373">
            <w:pPr>
              <w:pStyle w:val="58"/>
              <w:shd w:val="clear" w:color="auto" w:fill="auto"/>
              <w:spacing w:before="110"/>
              <w:ind w:left="225"/>
              <w:rPr>
                <w:rFonts w:hint="eastAsia" w:ascii="宋体" w:hAnsi="宋体" w:eastAsia="宋体" w:cs="宋体"/>
                <w:color w:val="000000"/>
                <w:sz w:val="18"/>
                <w:highlight w:val="none"/>
              </w:rPr>
            </w:pPr>
            <w:r>
              <w:rPr>
                <w:rFonts w:hint="eastAsia" w:ascii="宋体" w:hAnsi="宋体" w:eastAsia="宋体" w:cs="宋体"/>
                <w:color w:val="000000"/>
                <w:sz w:val="18"/>
                <w:highlight w:val="none"/>
              </w:rPr>
              <w:t>Z＜100</w:t>
            </w:r>
          </w:p>
        </w:tc>
      </w:tr>
      <w:tr w14:paraId="6B929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2174" w:type="dxa"/>
            <w:tcBorders>
              <w:left w:val="nil"/>
            </w:tcBorders>
            <w:noWrap w:val="0"/>
            <w:vAlign w:val="top"/>
          </w:tcPr>
          <w:p w14:paraId="1EA86A86">
            <w:pPr>
              <w:pStyle w:val="58"/>
              <w:shd w:val="clear" w:color="auto" w:fill="auto"/>
              <w:spacing w:before="85"/>
              <w:ind w:left="472"/>
              <w:rPr>
                <w:rFonts w:hint="eastAsia" w:ascii="宋体" w:hAnsi="宋体" w:eastAsia="宋体" w:cs="宋体"/>
                <w:color w:val="000000"/>
                <w:sz w:val="18"/>
                <w:highlight w:val="none"/>
              </w:rPr>
            </w:pPr>
            <w:r>
              <w:rPr>
                <w:rFonts w:hint="eastAsia" w:ascii="宋体" w:hAnsi="宋体" w:eastAsia="宋体" w:cs="宋体"/>
                <w:color w:val="000000"/>
                <w:sz w:val="18"/>
                <w:highlight w:val="none"/>
              </w:rPr>
              <w:t>其他未列明行业 *</w:t>
            </w:r>
          </w:p>
        </w:tc>
        <w:tc>
          <w:tcPr>
            <w:tcW w:w="1365" w:type="dxa"/>
            <w:noWrap w:val="0"/>
            <w:vAlign w:val="top"/>
          </w:tcPr>
          <w:p w14:paraId="0CC464DC">
            <w:pPr>
              <w:pStyle w:val="58"/>
              <w:shd w:val="clear" w:color="auto" w:fill="auto"/>
              <w:spacing w:before="78"/>
              <w:ind w:left="166" w:right="158"/>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从业人员(X)</w:t>
            </w:r>
          </w:p>
        </w:tc>
        <w:tc>
          <w:tcPr>
            <w:tcW w:w="652" w:type="dxa"/>
            <w:noWrap w:val="0"/>
            <w:vAlign w:val="top"/>
          </w:tcPr>
          <w:p w14:paraId="643453B3">
            <w:pPr>
              <w:pStyle w:val="58"/>
              <w:shd w:val="clear" w:color="auto" w:fill="auto"/>
              <w:spacing w:before="78"/>
              <w:ind w:left="9"/>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人</w:t>
            </w:r>
          </w:p>
        </w:tc>
        <w:tc>
          <w:tcPr>
            <w:tcW w:w="1125" w:type="dxa"/>
            <w:noWrap w:val="0"/>
            <w:vAlign w:val="top"/>
          </w:tcPr>
          <w:p w14:paraId="168FEE96">
            <w:pPr>
              <w:pStyle w:val="58"/>
              <w:shd w:val="clear" w:color="auto" w:fill="auto"/>
              <w:spacing w:before="78"/>
              <w:ind w:left="137" w:right="128"/>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X≥300</w:t>
            </w:r>
          </w:p>
        </w:tc>
        <w:tc>
          <w:tcPr>
            <w:tcW w:w="1701" w:type="dxa"/>
            <w:noWrap w:val="0"/>
            <w:vAlign w:val="top"/>
          </w:tcPr>
          <w:p w14:paraId="1829F29D">
            <w:pPr>
              <w:pStyle w:val="58"/>
              <w:shd w:val="clear" w:color="auto" w:fill="auto"/>
              <w:spacing w:before="78"/>
              <w:ind w:left="272"/>
              <w:rPr>
                <w:rFonts w:hint="eastAsia" w:ascii="宋体" w:hAnsi="宋体" w:eastAsia="宋体" w:cs="宋体"/>
                <w:color w:val="000000"/>
                <w:sz w:val="18"/>
                <w:highlight w:val="none"/>
              </w:rPr>
            </w:pPr>
            <w:r>
              <w:rPr>
                <w:rFonts w:hint="eastAsia" w:ascii="宋体" w:hAnsi="宋体" w:eastAsia="宋体" w:cs="宋体"/>
                <w:color w:val="000000"/>
                <w:sz w:val="18"/>
                <w:highlight w:val="none"/>
              </w:rPr>
              <w:t>100≤X＜300</w:t>
            </w:r>
          </w:p>
        </w:tc>
        <w:tc>
          <w:tcPr>
            <w:tcW w:w="1426" w:type="dxa"/>
            <w:noWrap w:val="0"/>
            <w:vAlign w:val="top"/>
          </w:tcPr>
          <w:p w14:paraId="0B933357">
            <w:pPr>
              <w:pStyle w:val="58"/>
              <w:shd w:val="clear" w:color="auto" w:fill="auto"/>
              <w:spacing w:before="78"/>
              <w:ind w:left="106" w:right="98"/>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10≤X＜100</w:t>
            </w:r>
          </w:p>
        </w:tc>
        <w:tc>
          <w:tcPr>
            <w:tcW w:w="992" w:type="dxa"/>
            <w:tcBorders>
              <w:right w:val="nil"/>
            </w:tcBorders>
            <w:noWrap w:val="0"/>
            <w:vAlign w:val="top"/>
          </w:tcPr>
          <w:p w14:paraId="383E3BD8">
            <w:pPr>
              <w:pStyle w:val="58"/>
              <w:shd w:val="clear" w:color="auto" w:fill="auto"/>
              <w:spacing w:before="78"/>
              <w:ind w:left="160" w:right="156"/>
              <w:jc w:val="center"/>
              <w:rPr>
                <w:rFonts w:hint="eastAsia" w:ascii="宋体" w:hAnsi="宋体" w:eastAsia="宋体" w:cs="宋体"/>
                <w:color w:val="000000"/>
                <w:sz w:val="18"/>
                <w:highlight w:val="none"/>
              </w:rPr>
            </w:pPr>
            <w:r>
              <w:rPr>
                <w:rFonts w:hint="eastAsia" w:ascii="宋体" w:hAnsi="宋体" w:eastAsia="宋体" w:cs="宋体"/>
                <w:color w:val="000000"/>
                <w:sz w:val="18"/>
                <w:highlight w:val="none"/>
              </w:rPr>
              <w:t>X＜10</w:t>
            </w:r>
          </w:p>
        </w:tc>
      </w:tr>
    </w:tbl>
    <w:p w14:paraId="534D0D92">
      <w:pPr>
        <w:shd w:val="clear" w:color="auto" w:fill="auto"/>
        <w:spacing w:after="0"/>
        <w:jc w:val="center"/>
        <w:rPr>
          <w:rFonts w:hint="eastAsia" w:ascii="宋体" w:hAnsi="宋体" w:eastAsia="宋体" w:cs="宋体"/>
          <w:color w:val="000000"/>
          <w:sz w:val="18"/>
          <w:highlight w:val="none"/>
        </w:rPr>
        <w:sectPr>
          <w:pgSz w:w="11910" w:h="16840"/>
          <w:pgMar w:top="1540" w:right="940" w:bottom="1380" w:left="1280" w:header="0" w:footer="510" w:gutter="0"/>
          <w:pgBorders>
            <w:top w:val="none" w:sz="0" w:space="0"/>
            <w:left w:val="none" w:sz="0" w:space="0"/>
            <w:bottom w:val="none" w:sz="0" w:space="0"/>
            <w:right w:val="none" w:sz="0" w:space="0"/>
          </w:pgBorders>
          <w:pgNumType w:fmt="decimal"/>
          <w:cols w:space="720" w:num="1"/>
        </w:sectPr>
      </w:pPr>
    </w:p>
    <w:p w14:paraId="6E72CD07">
      <w:pPr>
        <w:shd w:val="clear" w:color="auto" w:fill="auto"/>
        <w:bidi w:val="0"/>
        <w:spacing w:line="52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说明：</w:t>
      </w:r>
    </w:p>
    <w:p w14:paraId="73BFEE66">
      <w:pPr>
        <w:shd w:val="clear" w:color="auto" w:fill="auto"/>
        <w:bidi w:val="0"/>
        <w:spacing w:line="52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大型、中型和小型企业须同时满足所列指标的下限， 否则下划一档；微型企业只</w:t>
      </w:r>
      <w:r>
        <w:rPr>
          <w:rFonts w:hint="eastAsia" w:ascii="宋体" w:hAnsi="宋体" w:eastAsia="宋体" w:cs="宋体"/>
          <w:color w:val="000000"/>
          <w:sz w:val="21"/>
          <w:szCs w:val="21"/>
          <w:highlight w:val="none"/>
          <w:lang w:eastAsia="zh-CN"/>
        </w:rPr>
        <w:t>需</w:t>
      </w:r>
      <w:r>
        <w:rPr>
          <w:rFonts w:hint="eastAsia" w:ascii="宋体" w:hAnsi="宋体" w:eastAsia="宋体" w:cs="宋体"/>
          <w:color w:val="000000"/>
          <w:sz w:val="21"/>
          <w:szCs w:val="21"/>
          <w:highlight w:val="none"/>
        </w:rPr>
        <w:t>满足所列指标中的一项即可。</w:t>
      </w:r>
    </w:p>
    <w:p w14:paraId="24FDFE2C">
      <w:pPr>
        <w:shd w:val="clear" w:color="auto" w:fill="auto"/>
        <w:bidi w:val="0"/>
        <w:spacing w:line="52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附表中各行业的范围以《 国民经济行业分类》（GB/T4754-2017）为准。带*的项为行业组合类别，其中， 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rPr>
        <w:t xml:space="preserve"> 信息传输业包括电信、广播电视和卫星传输服务，互联网和相关服务；其他未列明行业包括科学研究和技术服务业，水利、环境和公共设施管理业，居民服务、修理和其他服务业， 社会工作，文化、体育和娱乐业，以及房地产中介服务，其他房地产业等，不包括自有房地产经营活动。</w:t>
      </w:r>
    </w:p>
    <w:p w14:paraId="46817006">
      <w:pPr>
        <w:shd w:val="clear" w:color="auto" w:fill="auto"/>
        <w:bidi w:val="0"/>
        <w:spacing w:line="52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0D507D6B">
      <w:pPr>
        <w:widowControl w:val="0"/>
        <w:spacing w:after="120"/>
        <w:jc w:val="both"/>
        <w:rPr>
          <w:rFonts w:hint="eastAsia" w:ascii="宋体" w:hAnsi="宋体" w:eastAsia="宋体" w:cs="宋体"/>
          <w:kern w:val="2"/>
          <w:sz w:val="21"/>
          <w:szCs w:val="21"/>
          <w:lang w:val="en-US" w:eastAsia="zh-CN" w:bidi="ar-SA"/>
        </w:rPr>
      </w:pPr>
    </w:p>
    <w:p w14:paraId="68DFFE25">
      <w:pPr>
        <w:widowControl w:val="0"/>
        <w:spacing w:after="120" w:line="480" w:lineRule="auto"/>
        <w:jc w:val="both"/>
        <w:rPr>
          <w:rFonts w:hint="eastAsia" w:ascii="宋体" w:hAnsi="宋体" w:eastAsia="宋体" w:cs="宋体"/>
          <w:kern w:val="2"/>
          <w:sz w:val="21"/>
          <w:szCs w:val="21"/>
          <w:lang w:val="en-US" w:eastAsia="zh-CN" w:bidi="ar-SA"/>
        </w:rPr>
      </w:pPr>
    </w:p>
    <w:p w14:paraId="3EBBC749">
      <w:pPr>
        <w:widowControl w:val="0"/>
        <w:spacing w:after="120"/>
        <w:jc w:val="both"/>
        <w:rPr>
          <w:rFonts w:hint="eastAsia" w:ascii="宋体" w:hAnsi="宋体" w:eastAsia="宋体" w:cs="宋体"/>
          <w:kern w:val="2"/>
          <w:sz w:val="21"/>
          <w:szCs w:val="20"/>
          <w:lang w:val="en-US" w:eastAsia="zh-CN" w:bidi="ar-SA"/>
        </w:rPr>
      </w:pPr>
    </w:p>
    <w:p w14:paraId="75C7E707">
      <w:pPr>
        <w:widowControl w:val="0"/>
        <w:spacing w:after="120" w:line="480" w:lineRule="auto"/>
        <w:jc w:val="both"/>
        <w:rPr>
          <w:rFonts w:hint="eastAsia" w:ascii="宋体" w:hAnsi="宋体" w:eastAsia="宋体" w:cs="宋体"/>
          <w:kern w:val="2"/>
          <w:sz w:val="21"/>
          <w:szCs w:val="20"/>
          <w:lang w:val="en-US" w:eastAsia="zh-CN" w:bidi="ar-SA"/>
        </w:rPr>
      </w:pPr>
    </w:p>
    <w:p w14:paraId="476B04E2">
      <w:pPr>
        <w:widowControl w:val="0"/>
        <w:spacing w:after="120"/>
        <w:jc w:val="both"/>
        <w:rPr>
          <w:rFonts w:hint="eastAsia" w:ascii="宋体" w:hAnsi="宋体" w:eastAsia="宋体" w:cs="宋体"/>
          <w:kern w:val="2"/>
          <w:sz w:val="21"/>
          <w:szCs w:val="20"/>
          <w:lang w:val="en-US" w:eastAsia="zh-CN" w:bidi="ar-SA"/>
        </w:rPr>
      </w:pPr>
    </w:p>
    <w:p w14:paraId="3E66465F">
      <w:pPr>
        <w:widowControl w:val="0"/>
        <w:spacing w:after="120" w:line="480" w:lineRule="auto"/>
        <w:jc w:val="both"/>
        <w:rPr>
          <w:rFonts w:hint="eastAsia" w:ascii="宋体" w:hAnsi="宋体" w:eastAsia="宋体" w:cs="宋体"/>
          <w:kern w:val="2"/>
          <w:sz w:val="21"/>
          <w:szCs w:val="20"/>
          <w:lang w:val="en-US" w:eastAsia="zh-CN" w:bidi="ar-SA"/>
        </w:rPr>
      </w:pPr>
    </w:p>
    <w:p w14:paraId="42F0A4EE">
      <w:pPr>
        <w:widowControl w:val="0"/>
        <w:spacing w:after="120"/>
        <w:jc w:val="both"/>
        <w:rPr>
          <w:rFonts w:hint="eastAsia" w:ascii="宋体" w:hAnsi="宋体" w:eastAsia="宋体" w:cs="宋体"/>
          <w:kern w:val="2"/>
          <w:sz w:val="21"/>
          <w:szCs w:val="20"/>
          <w:lang w:val="en-US" w:eastAsia="zh-CN" w:bidi="ar-SA"/>
        </w:rPr>
      </w:pPr>
    </w:p>
    <w:p w14:paraId="48798855">
      <w:pPr>
        <w:widowControl w:val="0"/>
        <w:spacing w:after="120" w:line="480" w:lineRule="auto"/>
        <w:jc w:val="both"/>
        <w:rPr>
          <w:rFonts w:hint="eastAsia" w:ascii="宋体" w:hAnsi="宋体" w:eastAsia="宋体" w:cs="宋体"/>
          <w:kern w:val="2"/>
          <w:sz w:val="21"/>
          <w:szCs w:val="20"/>
          <w:lang w:val="en-US" w:eastAsia="zh-CN" w:bidi="ar-SA"/>
        </w:rPr>
      </w:pPr>
    </w:p>
    <w:p w14:paraId="0CDDABC7">
      <w:pPr>
        <w:rPr>
          <w:rFonts w:hint="eastAsia" w:asciiTheme="minorEastAsia" w:hAnsiTheme="minorEastAsia" w:eastAsiaTheme="minorEastAsia" w:cstheme="minorEastAsia"/>
          <w:color w:val="auto"/>
          <w:spacing w:val="8"/>
          <w:kern w:val="0"/>
          <w:sz w:val="21"/>
          <w:szCs w:val="21"/>
          <w:highlight w:val="none"/>
        </w:rPr>
      </w:pPr>
    </w:p>
    <w:p w14:paraId="45CB39DC">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center"/>
        <w:textAlignment w:val="auto"/>
        <w:outlineLvl w:val="2"/>
        <w:rPr>
          <w:rFonts w:hint="eastAsia" w:asciiTheme="minorEastAsia" w:hAnsiTheme="minorEastAsia" w:eastAsiaTheme="minorEastAsia" w:cstheme="minorEastAsia"/>
          <w:b/>
          <w:bCs/>
          <w:color w:val="auto"/>
          <w:kern w:val="0"/>
          <w:sz w:val="24"/>
          <w:szCs w:val="24"/>
          <w:highlight w:val="none"/>
          <w:lang w:val="en-US" w:eastAsia="zh-CN" w:bidi="ar-SA"/>
        </w:rPr>
        <w:sectPr>
          <w:pgSz w:w="11905" w:h="16838"/>
          <w:pgMar w:top="1134" w:right="1417" w:bottom="1417" w:left="1417" w:header="850" w:footer="850"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14B018A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center"/>
        <w:textAlignment w:val="auto"/>
        <w:outlineLvl w:val="2"/>
        <w:rPr>
          <w:rFonts w:hint="eastAsia" w:asciiTheme="minorEastAsia" w:hAnsiTheme="minorEastAsia" w:eastAsiaTheme="minorEastAsia" w:cstheme="minorEastAsia"/>
          <w:b/>
          <w:bCs/>
          <w:color w:val="auto"/>
          <w:kern w:val="0"/>
          <w:sz w:val="24"/>
          <w:szCs w:val="24"/>
          <w:highlight w:val="none"/>
          <w:lang w:val="en-US" w:eastAsia="zh-CN" w:bidi="ar-SA"/>
        </w:rPr>
      </w:pPr>
      <w:r>
        <w:rPr>
          <w:rFonts w:hint="eastAsia" w:asciiTheme="minorEastAsia" w:hAnsiTheme="minorEastAsia" w:eastAsiaTheme="minorEastAsia" w:cstheme="minorEastAsia"/>
          <w:b/>
          <w:bCs/>
          <w:color w:val="auto"/>
          <w:kern w:val="0"/>
          <w:sz w:val="24"/>
          <w:szCs w:val="24"/>
          <w:highlight w:val="none"/>
          <w:lang w:val="en-US" w:eastAsia="zh-CN" w:bidi="ar-SA"/>
        </w:rPr>
        <w:t>3、投标承诺函</w:t>
      </w:r>
    </w:p>
    <w:p w14:paraId="6A83672B">
      <w:pPr>
        <w:spacing w:line="360" w:lineRule="auto"/>
        <w:rPr>
          <w:rFonts w:hint="eastAsia" w:asciiTheme="minorEastAsia" w:hAnsiTheme="minorEastAsia" w:eastAsiaTheme="minorEastAsia" w:cstheme="minorEastAsia"/>
          <w:color w:val="auto"/>
          <w:spacing w:val="8"/>
          <w:szCs w:val="21"/>
          <w:highlight w:val="none"/>
          <w:shd w:val="clear" w:color="auto" w:fill="FFFFFF"/>
        </w:rPr>
      </w:pPr>
      <w:r>
        <w:rPr>
          <w:rFonts w:hint="eastAsia" w:asciiTheme="minorEastAsia" w:hAnsiTheme="minorEastAsia" w:eastAsiaTheme="minorEastAsia" w:cstheme="minorEastAsia"/>
          <w:color w:val="auto"/>
          <w:spacing w:val="8"/>
          <w:szCs w:val="21"/>
          <w:highlight w:val="none"/>
          <w:u w:val="single"/>
          <w:shd w:val="clear" w:color="auto" w:fill="FFFFFF"/>
        </w:rPr>
        <w:t>致（采购人及采购代理机构）</w:t>
      </w:r>
      <w:r>
        <w:rPr>
          <w:rFonts w:hint="eastAsia" w:asciiTheme="minorEastAsia" w:hAnsiTheme="minorEastAsia" w:eastAsiaTheme="minorEastAsia" w:cstheme="minorEastAsia"/>
          <w:color w:val="auto"/>
          <w:spacing w:val="8"/>
          <w:szCs w:val="21"/>
          <w:highlight w:val="none"/>
          <w:shd w:val="clear" w:color="auto" w:fill="FFFFFF"/>
        </w:rPr>
        <w:t>：</w:t>
      </w:r>
    </w:p>
    <w:p w14:paraId="4DBBFE43">
      <w:pPr>
        <w:keepNext w:val="0"/>
        <w:keepLines w:val="0"/>
        <w:pageBreakBefore w:val="0"/>
        <w:widowControl w:val="0"/>
        <w:kinsoku/>
        <w:wordWrap/>
        <w:overflowPunct/>
        <w:topLinePunct w:val="0"/>
        <w:autoSpaceDE/>
        <w:autoSpaceDN/>
        <w:bidi w:val="0"/>
        <w:adjustRightInd/>
        <w:snapToGrid/>
        <w:spacing w:line="360" w:lineRule="auto"/>
        <w:ind w:firstLine="452"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pacing w:val="8"/>
          <w:szCs w:val="21"/>
          <w:highlight w:val="none"/>
          <w:shd w:val="clear" w:color="auto" w:fill="FFFFFF"/>
        </w:rPr>
        <w:t>我</w:t>
      </w:r>
      <w:r>
        <w:rPr>
          <w:rFonts w:hint="eastAsia" w:asciiTheme="minorEastAsia" w:hAnsiTheme="minorEastAsia" w:eastAsiaTheme="minorEastAsia" w:cstheme="minorEastAsia"/>
          <w:color w:val="auto"/>
          <w:szCs w:val="21"/>
          <w:highlight w:val="none"/>
        </w:rPr>
        <w:t>公司作为本次采购项目的供应商，根据磋商文件要求，现郑重承诺如下：</w:t>
      </w:r>
    </w:p>
    <w:p w14:paraId="7906DC9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一、具备《中华人民共和国政府采购法》第二十二条第一款和本项目规定的条件：</w:t>
      </w:r>
    </w:p>
    <w:p w14:paraId="0003A3E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（一）具有独立承担民事责任的能力； 　　</w:t>
      </w:r>
    </w:p>
    <w:p w14:paraId="3D77C4D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（二）具有良好的商业信誉和健全的财务会计制度； 　</w:t>
      </w:r>
    </w:p>
    <w:p w14:paraId="49772B7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（三）具有履行合同所必需的设备和专业技术能力； 　　</w:t>
      </w:r>
    </w:p>
    <w:p w14:paraId="6EB2CF3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（四）有依法缴纳税收和社会保障资金的良好记录； 　　</w:t>
      </w:r>
    </w:p>
    <w:p w14:paraId="03BDC7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（五）参加政府采购活动前三年内，在经营活动中没有重大违法记录；</w:t>
      </w:r>
    </w:p>
    <w:p w14:paraId="560940B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（六）法律、行政法规规定的其他条件；</w:t>
      </w:r>
    </w:p>
    <w:p w14:paraId="0F209AB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（七）根据采购项目提出的特殊条件。</w:t>
      </w:r>
    </w:p>
    <w:p w14:paraId="790477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二、完全接受和满足本项目磋商文件中规定的实质性要求，如对磋商文件有异议，已经在</w:t>
      </w:r>
      <w:r>
        <w:rPr>
          <w:rFonts w:hint="eastAsia" w:asciiTheme="minorEastAsia" w:hAnsiTheme="minorEastAsia" w:eastAsiaTheme="minorEastAsia" w:cstheme="minorEastAsia"/>
          <w:color w:val="auto"/>
          <w:szCs w:val="21"/>
          <w:highlight w:val="none"/>
          <w:lang w:eastAsia="zh-CN"/>
        </w:rPr>
        <w:t>响应文件提交</w:t>
      </w:r>
      <w:r>
        <w:rPr>
          <w:rFonts w:hint="eastAsia" w:asciiTheme="minorEastAsia" w:hAnsiTheme="minorEastAsia" w:eastAsiaTheme="minorEastAsia" w:cstheme="minorEastAsia"/>
          <w:color w:val="auto"/>
          <w:szCs w:val="21"/>
          <w:highlight w:val="none"/>
        </w:rPr>
        <w:t>时间届满前依法进行维权救济，不存在对磋商文件有异议的同时又参加投标以求侥幸中标或者为实现其他非法目的的行为。</w:t>
      </w:r>
    </w:p>
    <w:p w14:paraId="530D70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三、参加本次招标采购活动，不存在与单位负责人为同一人或者存在直接控股、管理关系的其他供应商参与同一合同项下的政府采购活动的行为。    </w:t>
      </w:r>
    </w:p>
    <w:p w14:paraId="099CFA9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四、参加本次招标采购活动，不存在为采购项目提供整体设计、规范编制或者项目管理、监理、检测等服务的行为。</w:t>
      </w:r>
    </w:p>
    <w:p w14:paraId="71211C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五、参加本次招标采购活动，不存在和其他供应商在同一合同项下的采购项目中，同时委托同一个自然人、同一家庭的人员、同一单位的人员作为代理人的行为。</w:t>
      </w:r>
    </w:p>
    <w:p w14:paraId="6705859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六、供应商参加本次政府采购活动要求在近三年内供应商和其法定代表人没有行贿犯罪行为。</w:t>
      </w:r>
    </w:p>
    <w:p w14:paraId="06EB72C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Cs w:val="21"/>
          <w:highlight w:val="none"/>
        </w:rPr>
      </w:pPr>
      <w:bookmarkStart w:id="1120" w:name="_Toc3863"/>
      <w:r>
        <w:rPr>
          <w:rFonts w:hint="eastAsia" w:asciiTheme="minorEastAsia" w:hAnsiTheme="minorEastAsia" w:eastAsiaTheme="minorEastAsia" w:cstheme="minorEastAsia"/>
          <w:color w:val="auto"/>
          <w:szCs w:val="21"/>
          <w:highlight w:val="none"/>
        </w:rPr>
        <w:t>七、参加本次招标采购活动，不存在联合体投标。</w:t>
      </w:r>
      <w:bookmarkEnd w:id="1120"/>
    </w:p>
    <w:p w14:paraId="63A922B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八、响应文件中提供的能够给予我公司带来优惠、好处的任何材料资料和技术、服务、商务等响应承诺情况都是真实的、有效的、合法的。</w:t>
      </w:r>
    </w:p>
    <w:p w14:paraId="357B955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九、如本项目评标过程中需要提供样品，则我公司提供的样品即为中标后将要提供的中标产品，我公司对提供样品的性能和质量负责，因样品存在缺陷或者不符合</w:t>
      </w:r>
      <w:r>
        <w:rPr>
          <w:rFonts w:hint="eastAsia" w:asciiTheme="minorEastAsia" w:hAnsiTheme="minorEastAsia" w:eastAsiaTheme="minorEastAsia" w:cstheme="minorEastAsia"/>
          <w:color w:val="auto"/>
          <w:szCs w:val="21"/>
          <w:highlight w:val="none"/>
          <w:lang w:eastAsia="zh-CN"/>
        </w:rPr>
        <w:t>磋商文件</w:t>
      </w:r>
      <w:r>
        <w:rPr>
          <w:rFonts w:hint="eastAsia" w:asciiTheme="minorEastAsia" w:hAnsiTheme="minorEastAsia" w:eastAsiaTheme="minorEastAsia" w:cstheme="minorEastAsia"/>
          <w:color w:val="auto"/>
          <w:szCs w:val="21"/>
          <w:highlight w:val="none"/>
        </w:rPr>
        <w:t>要求导致未能中标的，我公司愿意承担相应不利后果。（如提供样品）    </w:t>
      </w:r>
    </w:p>
    <w:p w14:paraId="069955E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Cs w:val="21"/>
          <w:highlight w:val="none"/>
        </w:rPr>
      </w:pPr>
      <w:bookmarkStart w:id="1121" w:name="_Toc5930"/>
      <w:r>
        <w:rPr>
          <w:rFonts w:hint="eastAsia" w:asciiTheme="minorEastAsia" w:hAnsiTheme="minorEastAsia" w:eastAsiaTheme="minorEastAsia" w:cstheme="minorEastAsia"/>
          <w:color w:val="auto"/>
          <w:szCs w:val="21"/>
          <w:highlight w:val="none"/>
        </w:rPr>
        <w:t>十、存在以下行为之一的愿意接受相关部门的处理：</w:t>
      </w:r>
      <w:bookmarkEnd w:id="1121"/>
    </w:p>
    <w:p w14:paraId="0068332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（一）投标有效期内撤销响应文件的；</w:t>
      </w:r>
    </w:p>
    <w:p w14:paraId="2543AB9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（二）在采购人确定成交人以前放弃中标候选资格的；</w:t>
      </w:r>
    </w:p>
    <w:p w14:paraId="3D91A84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（三）由于成交人的原因未能按照</w:t>
      </w:r>
      <w:r>
        <w:rPr>
          <w:rFonts w:hint="eastAsia" w:asciiTheme="minorEastAsia" w:hAnsiTheme="minorEastAsia" w:eastAsiaTheme="minorEastAsia" w:cstheme="minorEastAsia"/>
          <w:color w:val="auto"/>
          <w:szCs w:val="21"/>
          <w:highlight w:val="none"/>
          <w:lang w:eastAsia="zh-CN"/>
        </w:rPr>
        <w:t>磋商文件</w:t>
      </w:r>
      <w:r>
        <w:rPr>
          <w:rFonts w:hint="eastAsia" w:asciiTheme="minorEastAsia" w:hAnsiTheme="minorEastAsia" w:eastAsiaTheme="minorEastAsia" w:cstheme="minorEastAsia"/>
          <w:color w:val="auto"/>
          <w:szCs w:val="21"/>
          <w:highlight w:val="none"/>
        </w:rPr>
        <w:t>的规定与采购人签订合同；</w:t>
      </w:r>
    </w:p>
    <w:p w14:paraId="7B5BE8B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（四）由于成交人的原因未能按照</w:t>
      </w:r>
      <w:r>
        <w:rPr>
          <w:rFonts w:hint="eastAsia" w:asciiTheme="minorEastAsia" w:hAnsiTheme="minorEastAsia" w:eastAsiaTheme="minorEastAsia" w:cstheme="minorEastAsia"/>
          <w:color w:val="auto"/>
          <w:szCs w:val="21"/>
          <w:highlight w:val="none"/>
          <w:lang w:eastAsia="zh-CN"/>
        </w:rPr>
        <w:t>磋商文件</w:t>
      </w:r>
      <w:r>
        <w:rPr>
          <w:rFonts w:hint="eastAsia" w:asciiTheme="minorEastAsia" w:hAnsiTheme="minorEastAsia" w:eastAsiaTheme="minorEastAsia" w:cstheme="minorEastAsia"/>
          <w:color w:val="auto"/>
          <w:szCs w:val="21"/>
          <w:highlight w:val="none"/>
        </w:rPr>
        <w:t>的规定交纳履约保证金；</w:t>
      </w:r>
    </w:p>
    <w:p w14:paraId="7D1F53C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（五）在响应文件中提供虚假材料谋取中标；</w:t>
      </w:r>
    </w:p>
    <w:p w14:paraId="2CD391C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（六）与采购人、其他供应商或者采购代理机构恶意串通的；</w:t>
      </w:r>
    </w:p>
    <w:p w14:paraId="51204D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（七）磋商有效期内，供应商在政府采购活动中有违法、违规、违纪行为。</w:t>
      </w:r>
    </w:p>
    <w:p w14:paraId="4EFA4D7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由此产生的一切法律后果和责任由我公司承担。我公司声明放弃对此提出任何异议和追索的权利。</w:t>
      </w:r>
    </w:p>
    <w:p w14:paraId="071E8121">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本公司对上述承诺的内容事项真实性负责。如经查实上述承诺的内容事项存在虚假，我公司愿意接受以提供虚假材料谋取中标追究法律责任。</w:t>
      </w:r>
    </w:p>
    <w:p w14:paraId="0F8769F0">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w:t>
      </w:r>
    </w:p>
    <w:p w14:paraId="275BDECA">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供应商名称：</w:t>
      </w:r>
      <w:r>
        <w:rPr>
          <w:rFonts w:hint="eastAsia" w:asciiTheme="minorEastAsia" w:hAnsiTheme="minorEastAsia" w:eastAsiaTheme="minorEastAsia" w:cstheme="minorEastAsia"/>
          <w:color w:val="auto"/>
          <w:szCs w:val="21"/>
          <w:highlight w:val="none"/>
          <w:u w:val="single"/>
        </w:rPr>
        <w:t>                  </w:t>
      </w:r>
      <w:r>
        <w:rPr>
          <w:rFonts w:hint="eastAsia" w:asciiTheme="minorEastAsia" w:hAnsiTheme="minorEastAsia" w:eastAsiaTheme="minorEastAsia" w:cstheme="minorEastAsia"/>
          <w:color w:val="auto"/>
          <w:szCs w:val="21"/>
          <w:highlight w:val="none"/>
        </w:rPr>
        <w:t>（单位电子签章）</w:t>
      </w:r>
    </w:p>
    <w:p w14:paraId="70D948AC">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法定代表人或授权代表：</w:t>
      </w:r>
      <w:r>
        <w:rPr>
          <w:rFonts w:hint="eastAsia" w:asciiTheme="minorEastAsia" w:hAnsiTheme="minorEastAsia" w:eastAsiaTheme="minorEastAsia" w:cstheme="minorEastAsia"/>
          <w:color w:val="auto"/>
          <w:szCs w:val="21"/>
          <w:highlight w:val="none"/>
          <w:u w:val="single"/>
        </w:rPr>
        <w:t>                </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签字</w:t>
      </w:r>
      <w:r>
        <w:rPr>
          <w:rFonts w:hint="eastAsia" w:asciiTheme="minorEastAsia" w:hAnsiTheme="minorEastAsia" w:eastAsiaTheme="minorEastAsia" w:cstheme="minorEastAsia"/>
          <w:color w:val="auto"/>
          <w:szCs w:val="21"/>
          <w:highlight w:val="none"/>
        </w:rPr>
        <w:t>或盖章）</w:t>
      </w:r>
    </w:p>
    <w:p w14:paraId="23F27D7B">
      <w:pPr>
        <w:spacing w:line="360" w:lineRule="auto"/>
        <w:rPr>
          <w:rFonts w:hint="eastAsia" w:asciiTheme="minorEastAsia" w:hAnsiTheme="minorEastAsia" w:eastAsiaTheme="minorEastAsia" w:cstheme="minorEastAsia"/>
          <w:color w:val="auto"/>
          <w:spacing w:val="8"/>
          <w:sz w:val="21"/>
          <w:szCs w:val="21"/>
          <w:highlight w:val="none"/>
          <w:shd w:val="clear" w:color="auto" w:fill="FFFFFF"/>
        </w:rPr>
      </w:pPr>
      <w:r>
        <w:rPr>
          <w:rFonts w:hint="eastAsia" w:asciiTheme="minorEastAsia" w:hAnsiTheme="minorEastAsia" w:eastAsiaTheme="minorEastAsia" w:cstheme="minorEastAsia"/>
          <w:color w:val="auto"/>
          <w:szCs w:val="21"/>
          <w:highlight w:val="none"/>
        </w:rPr>
        <w:t>日</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期：</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日</w:t>
      </w:r>
    </w:p>
    <w:p w14:paraId="3FC3EA2B">
      <w:pPr>
        <w:rPr>
          <w:rFonts w:hint="eastAsia" w:asciiTheme="minorEastAsia" w:hAnsiTheme="minorEastAsia" w:eastAsiaTheme="minorEastAsia" w:cstheme="minorEastAsia"/>
          <w:b/>
          <w:bCs/>
          <w:color w:val="auto"/>
          <w:kern w:val="0"/>
          <w:sz w:val="24"/>
          <w:szCs w:val="24"/>
          <w:highlight w:val="none"/>
          <w:lang w:val="en-US" w:eastAsia="zh-CN" w:bidi="ar-SA"/>
        </w:rPr>
      </w:pPr>
      <w:r>
        <w:rPr>
          <w:rFonts w:hint="eastAsia" w:asciiTheme="minorEastAsia" w:hAnsiTheme="minorEastAsia" w:eastAsiaTheme="minorEastAsia" w:cstheme="minorEastAsia"/>
          <w:b/>
          <w:bCs/>
          <w:color w:val="auto"/>
          <w:kern w:val="0"/>
          <w:sz w:val="24"/>
          <w:szCs w:val="24"/>
          <w:highlight w:val="none"/>
          <w:lang w:val="en-US" w:eastAsia="zh-CN" w:bidi="ar-SA"/>
        </w:rPr>
        <w:br w:type="page"/>
      </w:r>
    </w:p>
    <w:p w14:paraId="7AC9020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b/>
          <w:bCs/>
          <w:color w:val="auto"/>
          <w:kern w:val="0"/>
          <w:sz w:val="24"/>
          <w:szCs w:val="24"/>
          <w:highlight w:val="none"/>
          <w:lang w:val="en-US" w:eastAsia="zh-CN" w:bidi="ar-SA"/>
        </w:rPr>
      </w:pPr>
      <w:r>
        <w:rPr>
          <w:rFonts w:hint="eastAsia" w:asciiTheme="minorEastAsia" w:hAnsiTheme="minorEastAsia" w:eastAsiaTheme="minorEastAsia" w:cstheme="minorEastAsia"/>
          <w:b/>
          <w:bCs/>
          <w:color w:val="auto"/>
          <w:kern w:val="0"/>
          <w:sz w:val="24"/>
          <w:szCs w:val="24"/>
          <w:highlight w:val="none"/>
          <w:lang w:val="en-US" w:eastAsia="zh-CN" w:bidi="ar-SA"/>
        </w:rPr>
        <w:t>4、采购代理服务费承诺函</w:t>
      </w:r>
    </w:p>
    <w:p w14:paraId="28356347">
      <w:pPr>
        <w:rPr>
          <w:rFonts w:hint="eastAsia" w:asciiTheme="minorEastAsia" w:hAnsiTheme="minorEastAsia" w:eastAsiaTheme="minorEastAsia" w:cstheme="minorEastAsia"/>
          <w:color w:val="auto"/>
          <w:highlight w:val="none"/>
          <w:lang w:val="en-US" w:eastAsia="zh-CN"/>
        </w:rPr>
      </w:pPr>
    </w:p>
    <w:p w14:paraId="68F7D00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致（采购人及采购代理机构） ：</w:t>
      </w:r>
    </w:p>
    <w:p w14:paraId="3BDCD6B5">
      <w:pPr>
        <w:spacing w:line="360" w:lineRule="auto"/>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我们在贵公司组织的（项目名称：</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，采购编号：</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）招标采购中若获中标（成交），我们保证在中标(成交）结果公告发布后5个工作日内，按</w:t>
      </w:r>
      <w:r>
        <w:rPr>
          <w:rFonts w:hint="eastAsia" w:asciiTheme="minorEastAsia" w:hAnsiTheme="minorEastAsia" w:eastAsiaTheme="minorEastAsia" w:cstheme="minorEastAsia"/>
          <w:color w:val="auto"/>
          <w:szCs w:val="21"/>
          <w:highlight w:val="none"/>
          <w:lang w:eastAsia="zh-CN"/>
        </w:rPr>
        <w:t>磋商文件</w:t>
      </w:r>
      <w:r>
        <w:rPr>
          <w:rFonts w:hint="eastAsia" w:asciiTheme="minorEastAsia" w:hAnsiTheme="minorEastAsia" w:eastAsiaTheme="minorEastAsia" w:cstheme="minorEastAsia"/>
          <w:color w:val="auto"/>
          <w:szCs w:val="21"/>
          <w:highlight w:val="none"/>
        </w:rPr>
        <w:t>的规定，以支票、银行转账、汇票或现金，向贵公司一次性支付招标代理服务费用。否则，由此产生的一切法律后果和责任由我公司承担。我公司声明放弃对此提出任何异议和追索的权利。</w:t>
      </w:r>
      <w:r>
        <w:rPr>
          <w:rFonts w:hint="eastAsia" w:asciiTheme="minorEastAsia" w:hAnsiTheme="minorEastAsia" w:eastAsiaTheme="minorEastAsia" w:cstheme="minorEastAsia"/>
          <w:color w:val="auto"/>
          <w:szCs w:val="21"/>
          <w:highlight w:val="none"/>
          <w:lang w:val="en-US" w:eastAsia="zh-CN"/>
        </w:rPr>
        <w:t xml:space="preserve"> </w:t>
      </w:r>
    </w:p>
    <w:p w14:paraId="7C9DC6D4">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特此承诺。</w:t>
      </w:r>
    </w:p>
    <w:p w14:paraId="3F767E66">
      <w:pPr>
        <w:pStyle w:val="18"/>
        <w:keepNext w:val="0"/>
        <w:keepLines w:val="0"/>
        <w:pageBreakBefore w:val="0"/>
        <w:widowControl w:val="0"/>
        <w:kinsoku/>
        <w:wordWrap/>
        <w:overflowPunct/>
        <w:topLinePunct w:val="0"/>
        <w:autoSpaceDE/>
        <w:autoSpaceDN/>
        <w:bidi w:val="0"/>
        <w:adjustRightInd/>
        <w:snapToGrid/>
        <w:spacing w:line="360" w:lineRule="auto"/>
        <w:ind w:left="0" w:leftChars="0" w:firstLine="4620" w:firstLineChars="2200"/>
        <w:textAlignment w:val="auto"/>
        <w:rPr>
          <w:rFonts w:hint="eastAsia" w:asciiTheme="minorEastAsia" w:hAnsiTheme="minorEastAsia" w:eastAsiaTheme="minorEastAsia" w:cstheme="minorEastAsia"/>
          <w:color w:val="auto"/>
          <w:szCs w:val="21"/>
          <w:highlight w:val="none"/>
        </w:rPr>
      </w:pPr>
    </w:p>
    <w:p w14:paraId="64B08017">
      <w:pPr>
        <w:pStyle w:val="18"/>
        <w:keepNext w:val="0"/>
        <w:keepLines w:val="0"/>
        <w:pageBreakBefore w:val="0"/>
        <w:widowControl w:val="0"/>
        <w:kinsoku/>
        <w:wordWrap/>
        <w:overflowPunct/>
        <w:topLinePunct w:val="0"/>
        <w:autoSpaceDE/>
        <w:autoSpaceDN/>
        <w:bidi w:val="0"/>
        <w:adjustRightInd/>
        <w:snapToGrid/>
        <w:spacing w:line="360" w:lineRule="auto"/>
        <w:ind w:left="0" w:leftChars="0" w:firstLine="4620" w:firstLineChars="2200"/>
        <w:textAlignment w:val="auto"/>
        <w:rPr>
          <w:rFonts w:hint="eastAsia" w:asciiTheme="minorEastAsia" w:hAnsiTheme="minorEastAsia" w:eastAsiaTheme="minorEastAsia" w:cstheme="minorEastAsia"/>
          <w:color w:val="auto"/>
          <w:szCs w:val="21"/>
          <w:highlight w:val="none"/>
        </w:rPr>
      </w:pPr>
    </w:p>
    <w:p w14:paraId="31C1C249">
      <w:pPr>
        <w:pStyle w:val="18"/>
        <w:keepNext w:val="0"/>
        <w:keepLines w:val="0"/>
        <w:pageBreakBefore w:val="0"/>
        <w:widowControl w:val="0"/>
        <w:kinsoku/>
        <w:wordWrap/>
        <w:overflowPunct/>
        <w:topLinePunct w:val="0"/>
        <w:autoSpaceDE/>
        <w:autoSpaceDN/>
        <w:bidi w:val="0"/>
        <w:adjustRightInd/>
        <w:snapToGrid/>
        <w:spacing w:line="360" w:lineRule="auto"/>
        <w:ind w:left="0" w:leftChars="0" w:firstLine="4620" w:firstLineChars="2200"/>
        <w:textAlignment w:val="auto"/>
        <w:rPr>
          <w:rFonts w:hint="eastAsia" w:asciiTheme="minorEastAsia" w:hAnsiTheme="minorEastAsia" w:eastAsiaTheme="minorEastAsia" w:cstheme="minorEastAsia"/>
          <w:color w:val="auto"/>
          <w:szCs w:val="21"/>
          <w:highlight w:val="none"/>
        </w:rPr>
      </w:pPr>
    </w:p>
    <w:p w14:paraId="5A1534D7">
      <w:pPr>
        <w:pStyle w:val="18"/>
        <w:keepNext w:val="0"/>
        <w:keepLines w:val="0"/>
        <w:pageBreakBefore w:val="0"/>
        <w:widowControl w:val="0"/>
        <w:kinsoku/>
        <w:wordWrap/>
        <w:overflowPunct/>
        <w:topLinePunct w:val="0"/>
        <w:autoSpaceDE/>
        <w:autoSpaceDN/>
        <w:bidi w:val="0"/>
        <w:adjustRightInd/>
        <w:snapToGrid/>
        <w:spacing w:line="360" w:lineRule="auto"/>
        <w:ind w:left="0" w:leftChars="0" w:firstLine="4620" w:firstLineChars="2200"/>
        <w:textAlignment w:val="auto"/>
        <w:rPr>
          <w:rFonts w:hint="eastAsia" w:asciiTheme="minorEastAsia" w:hAnsiTheme="minorEastAsia" w:eastAsiaTheme="minorEastAsia" w:cstheme="minorEastAsia"/>
          <w:color w:val="auto"/>
          <w:szCs w:val="21"/>
          <w:highlight w:val="none"/>
        </w:rPr>
      </w:pPr>
    </w:p>
    <w:p w14:paraId="06BF93F2">
      <w:pPr>
        <w:pStyle w:val="18"/>
        <w:keepNext w:val="0"/>
        <w:keepLines w:val="0"/>
        <w:pageBreakBefore w:val="0"/>
        <w:widowControl w:val="0"/>
        <w:kinsoku/>
        <w:wordWrap/>
        <w:overflowPunct/>
        <w:topLinePunct w:val="0"/>
        <w:autoSpaceDE/>
        <w:autoSpaceDN/>
        <w:bidi w:val="0"/>
        <w:adjustRightInd/>
        <w:snapToGrid/>
        <w:spacing w:line="360" w:lineRule="auto"/>
        <w:ind w:left="0" w:leftChars="0" w:firstLine="4620" w:firstLineChars="2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（单位电子签章）</w:t>
      </w:r>
    </w:p>
    <w:p w14:paraId="59C8F5EA">
      <w:pPr>
        <w:pStyle w:val="18"/>
        <w:keepNext w:val="0"/>
        <w:keepLines w:val="0"/>
        <w:pageBreakBefore w:val="0"/>
        <w:widowControl w:val="0"/>
        <w:kinsoku/>
        <w:wordWrap/>
        <w:overflowPunct/>
        <w:topLinePunct w:val="0"/>
        <w:autoSpaceDE/>
        <w:autoSpaceDN/>
        <w:bidi w:val="0"/>
        <w:adjustRightInd/>
        <w:snapToGrid/>
        <w:spacing w:line="360" w:lineRule="auto"/>
        <w:ind w:left="0" w:leftChars="0" w:firstLine="4620" w:firstLineChars="2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（电子签名或盖章）</w:t>
      </w:r>
    </w:p>
    <w:p w14:paraId="26195919">
      <w:pPr>
        <w:spacing w:line="360" w:lineRule="auto"/>
        <w:ind w:left="0" w:leftChars="0" w:firstLine="4620" w:firstLineChars="2200"/>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日</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期：     年    月    日</w:t>
      </w:r>
    </w:p>
    <w:p w14:paraId="2CFED6F9">
      <w:pPr>
        <w:pStyle w:val="3"/>
        <w:rPr>
          <w:rFonts w:hint="eastAsia" w:asciiTheme="minorEastAsia" w:hAnsiTheme="minorEastAsia" w:eastAsiaTheme="minorEastAsia" w:cstheme="minorEastAsia"/>
          <w:color w:val="auto"/>
          <w:szCs w:val="21"/>
          <w:highlight w:val="none"/>
        </w:rPr>
      </w:pPr>
    </w:p>
    <w:p w14:paraId="5B4DC591">
      <w:pPr>
        <w:pStyle w:val="3"/>
        <w:rPr>
          <w:rFonts w:hint="eastAsia" w:asciiTheme="minorEastAsia" w:hAnsiTheme="minorEastAsia" w:eastAsiaTheme="minorEastAsia" w:cstheme="minorEastAsia"/>
          <w:color w:val="auto"/>
          <w:szCs w:val="21"/>
          <w:highlight w:val="none"/>
        </w:rPr>
      </w:pPr>
    </w:p>
    <w:p w14:paraId="0EAEABEF">
      <w:pPr>
        <w:pStyle w:val="3"/>
        <w:rPr>
          <w:rFonts w:hint="eastAsia" w:asciiTheme="minorEastAsia" w:hAnsiTheme="minorEastAsia" w:eastAsiaTheme="minorEastAsia" w:cstheme="minorEastAsia"/>
          <w:color w:val="auto"/>
          <w:szCs w:val="21"/>
          <w:highlight w:val="none"/>
        </w:rPr>
      </w:pPr>
    </w:p>
    <w:p w14:paraId="07B253FE">
      <w:pPr>
        <w:pStyle w:val="3"/>
        <w:rPr>
          <w:rFonts w:hint="eastAsia" w:asciiTheme="minorEastAsia" w:hAnsiTheme="minorEastAsia" w:eastAsiaTheme="minorEastAsia" w:cstheme="minorEastAsia"/>
          <w:color w:val="auto"/>
          <w:szCs w:val="21"/>
          <w:highlight w:val="none"/>
        </w:rPr>
      </w:pPr>
    </w:p>
    <w:p w14:paraId="46AB10E9">
      <w:pPr>
        <w:pStyle w:val="3"/>
        <w:rPr>
          <w:rFonts w:hint="eastAsia" w:asciiTheme="minorEastAsia" w:hAnsiTheme="minorEastAsia" w:eastAsiaTheme="minorEastAsia" w:cstheme="minorEastAsia"/>
          <w:color w:val="auto"/>
          <w:szCs w:val="21"/>
          <w:highlight w:val="none"/>
        </w:rPr>
      </w:pPr>
    </w:p>
    <w:p w14:paraId="07D2BCBF">
      <w:pPr>
        <w:pStyle w:val="3"/>
        <w:rPr>
          <w:rFonts w:hint="eastAsia" w:asciiTheme="minorEastAsia" w:hAnsiTheme="minorEastAsia" w:eastAsiaTheme="minorEastAsia" w:cstheme="minorEastAsia"/>
          <w:color w:val="auto"/>
          <w:szCs w:val="21"/>
          <w:highlight w:val="none"/>
        </w:rPr>
      </w:pPr>
    </w:p>
    <w:p w14:paraId="27AA476C">
      <w:pPr>
        <w:pStyle w:val="3"/>
        <w:rPr>
          <w:rFonts w:hint="eastAsia" w:asciiTheme="minorEastAsia" w:hAnsiTheme="minorEastAsia" w:eastAsiaTheme="minorEastAsia" w:cstheme="minorEastAsia"/>
          <w:color w:val="auto"/>
          <w:szCs w:val="21"/>
          <w:highlight w:val="none"/>
        </w:rPr>
      </w:pPr>
    </w:p>
    <w:p w14:paraId="7037829B">
      <w:pPr>
        <w:spacing w:line="360" w:lineRule="auto"/>
        <w:jc w:val="center"/>
        <w:rPr>
          <w:rFonts w:hint="eastAsia" w:asciiTheme="minorEastAsia" w:hAnsiTheme="minorEastAsia" w:eastAsiaTheme="minorEastAsia" w:cstheme="minorEastAsia"/>
          <w:b/>
          <w:bCs/>
          <w:color w:val="auto"/>
          <w:kern w:val="0"/>
          <w:sz w:val="24"/>
          <w:szCs w:val="24"/>
          <w:highlight w:val="none"/>
          <w:lang w:val="en-US" w:eastAsia="zh-CN" w:bidi="ar-SA"/>
        </w:rPr>
        <w:sectPr>
          <w:pgSz w:w="11905" w:h="16838"/>
          <w:pgMar w:top="1134" w:right="1417" w:bottom="1417" w:left="1417" w:header="850" w:footer="850"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6A52985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Theme="minorEastAsia" w:hAnsiTheme="minorEastAsia" w:eastAsiaTheme="minorEastAsia" w:cstheme="minorEastAsia"/>
          <w:b/>
          <w:bCs/>
          <w:color w:val="auto"/>
          <w:kern w:val="0"/>
          <w:sz w:val="24"/>
          <w:szCs w:val="24"/>
          <w:highlight w:val="none"/>
          <w:lang w:val="en-US" w:eastAsia="zh-CN" w:bidi="ar-SA"/>
        </w:rPr>
      </w:pPr>
      <w:r>
        <w:rPr>
          <w:rFonts w:hint="eastAsia" w:asciiTheme="minorEastAsia" w:hAnsiTheme="minorEastAsia" w:eastAsiaTheme="minorEastAsia" w:cstheme="minorEastAsia"/>
          <w:b/>
          <w:bCs/>
          <w:color w:val="auto"/>
          <w:kern w:val="0"/>
          <w:sz w:val="24"/>
          <w:szCs w:val="24"/>
          <w:highlight w:val="none"/>
          <w:lang w:val="en-US" w:eastAsia="zh-CN" w:bidi="ar-SA"/>
        </w:rPr>
        <w:t>5、供应商认为需要的其他资料</w:t>
      </w:r>
    </w:p>
    <w:p w14:paraId="2BA23DA6">
      <w:pPr>
        <w:numPr>
          <w:ilvl w:val="0"/>
          <w:numId w:val="0"/>
        </w:numPr>
        <w:ind w:leftChars="200"/>
        <w:jc w:val="both"/>
        <w:rPr>
          <w:rFonts w:hint="eastAsia" w:asciiTheme="minorEastAsia" w:hAnsiTheme="minorEastAsia" w:eastAsiaTheme="minorEastAsia" w:cstheme="minorEastAsia"/>
          <w:b/>
          <w:color w:val="auto"/>
          <w:sz w:val="21"/>
          <w:szCs w:val="21"/>
          <w:highlight w:val="none"/>
        </w:rPr>
      </w:pPr>
    </w:p>
    <w:p w14:paraId="0369CA9F">
      <w:pPr>
        <w:numPr>
          <w:ilvl w:val="0"/>
          <w:numId w:val="0"/>
        </w:numPr>
        <w:ind w:leftChars="200"/>
        <w:jc w:val="both"/>
        <w:rPr>
          <w:rFonts w:hint="eastAsia" w:asciiTheme="minorEastAsia" w:hAnsiTheme="minorEastAsia" w:eastAsiaTheme="minorEastAsia" w:cstheme="minorEastAsia"/>
          <w:b/>
          <w:color w:val="auto"/>
          <w:sz w:val="21"/>
          <w:szCs w:val="21"/>
          <w:highlight w:val="none"/>
        </w:rPr>
      </w:pPr>
    </w:p>
    <w:p w14:paraId="47C89D92">
      <w:pPr>
        <w:numPr>
          <w:ilvl w:val="0"/>
          <w:numId w:val="0"/>
        </w:numPr>
        <w:ind w:leftChars="200"/>
        <w:jc w:val="both"/>
        <w:rPr>
          <w:rFonts w:hint="eastAsia" w:asciiTheme="minorEastAsia" w:hAnsiTheme="minorEastAsia" w:eastAsiaTheme="minorEastAsia" w:cstheme="minorEastAsia"/>
          <w:b/>
          <w:color w:val="auto"/>
          <w:sz w:val="21"/>
          <w:szCs w:val="21"/>
          <w:highlight w:val="none"/>
        </w:rPr>
      </w:pPr>
    </w:p>
    <w:p w14:paraId="74309788">
      <w:pPr>
        <w:numPr>
          <w:ilvl w:val="0"/>
          <w:numId w:val="0"/>
        </w:numPr>
        <w:ind w:leftChars="200"/>
        <w:jc w:val="both"/>
        <w:rPr>
          <w:rFonts w:hint="eastAsia" w:asciiTheme="minorEastAsia" w:hAnsiTheme="minorEastAsia" w:eastAsiaTheme="minorEastAsia" w:cstheme="minorEastAsia"/>
          <w:b/>
          <w:color w:val="auto"/>
          <w:sz w:val="21"/>
          <w:szCs w:val="21"/>
          <w:highlight w:val="none"/>
        </w:rPr>
      </w:pPr>
    </w:p>
    <w:p w14:paraId="34BE6977">
      <w:pPr>
        <w:numPr>
          <w:ilvl w:val="0"/>
          <w:numId w:val="0"/>
        </w:numPr>
        <w:ind w:leftChars="200"/>
        <w:jc w:val="both"/>
        <w:rPr>
          <w:rFonts w:hint="eastAsia" w:asciiTheme="minorEastAsia" w:hAnsiTheme="minorEastAsia" w:eastAsiaTheme="minorEastAsia" w:cstheme="minorEastAsia"/>
          <w:b/>
          <w:color w:val="auto"/>
          <w:sz w:val="21"/>
          <w:szCs w:val="21"/>
          <w:highlight w:val="none"/>
        </w:rPr>
      </w:pPr>
    </w:p>
    <w:p w14:paraId="6A2A63AA">
      <w:pPr>
        <w:numPr>
          <w:ilvl w:val="0"/>
          <w:numId w:val="0"/>
        </w:numPr>
        <w:ind w:leftChars="200"/>
        <w:jc w:val="both"/>
        <w:rPr>
          <w:rFonts w:hint="eastAsia" w:asciiTheme="minorEastAsia" w:hAnsiTheme="minorEastAsia" w:eastAsiaTheme="minorEastAsia" w:cstheme="minorEastAsia"/>
          <w:b/>
          <w:color w:val="auto"/>
          <w:sz w:val="21"/>
          <w:szCs w:val="21"/>
          <w:highlight w:val="none"/>
        </w:rPr>
      </w:pPr>
    </w:p>
    <w:p w14:paraId="3B032BF3">
      <w:pPr>
        <w:numPr>
          <w:ilvl w:val="0"/>
          <w:numId w:val="0"/>
        </w:numPr>
        <w:ind w:leftChars="200"/>
        <w:jc w:val="both"/>
        <w:rPr>
          <w:rFonts w:hint="eastAsia" w:asciiTheme="minorEastAsia" w:hAnsiTheme="minorEastAsia" w:eastAsiaTheme="minorEastAsia" w:cstheme="minorEastAsia"/>
          <w:b/>
          <w:color w:val="auto"/>
          <w:sz w:val="21"/>
          <w:szCs w:val="21"/>
          <w:highlight w:val="none"/>
        </w:rPr>
      </w:pPr>
    </w:p>
    <w:p w14:paraId="7DF1E97C">
      <w:pPr>
        <w:numPr>
          <w:ilvl w:val="0"/>
          <w:numId w:val="0"/>
        </w:numPr>
        <w:ind w:leftChars="200"/>
        <w:jc w:val="both"/>
        <w:rPr>
          <w:rFonts w:hint="eastAsia" w:asciiTheme="minorEastAsia" w:hAnsiTheme="minorEastAsia" w:eastAsiaTheme="minorEastAsia" w:cstheme="minorEastAsia"/>
          <w:b/>
          <w:color w:val="auto"/>
          <w:sz w:val="21"/>
          <w:szCs w:val="21"/>
          <w:highlight w:val="none"/>
        </w:rPr>
      </w:pPr>
    </w:p>
    <w:p w14:paraId="6094D230">
      <w:pPr>
        <w:numPr>
          <w:ilvl w:val="0"/>
          <w:numId w:val="0"/>
        </w:numPr>
        <w:ind w:leftChars="200"/>
        <w:jc w:val="both"/>
        <w:rPr>
          <w:rFonts w:hint="eastAsia" w:asciiTheme="minorEastAsia" w:hAnsiTheme="minorEastAsia" w:eastAsiaTheme="minorEastAsia" w:cstheme="minorEastAsia"/>
          <w:b/>
          <w:color w:val="auto"/>
          <w:sz w:val="21"/>
          <w:szCs w:val="21"/>
          <w:highlight w:val="none"/>
        </w:rPr>
      </w:pPr>
    </w:p>
    <w:p w14:paraId="73887501">
      <w:pPr>
        <w:numPr>
          <w:ilvl w:val="0"/>
          <w:numId w:val="0"/>
        </w:numPr>
        <w:ind w:leftChars="200"/>
        <w:jc w:val="both"/>
        <w:rPr>
          <w:rFonts w:hint="eastAsia" w:asciiTheme="minorEastAsia" w:hAnsiTheme="minorEastAsia" w:eastAsiaTheme="minorEastAsia" w:cstheme="minorEastAsia"/>
          <w:b/>
          <w:color w:val="auto"/>
          <w:sz w:val="21"/>
          <w:szCs w:val="21"/>
          <w:highlight w:val="none"/>
        </w:rPr>
      </w:pPr>
    </w:p>
    <w:p w14:paraId="4FAFDBCA">
      <w:pPr>
        <w:numPr>
          <w:ilvl w:val="0"/>
          <w:numId w:val="0"/>
        </w:numPr>
        <w:ind w:leftChars="200"/>
        <w:jc w:val="both"/>
        <w:rPr>
          <w:rFonts w:hint="eastAsia" w:asciiTheme="minorEastAsia" w:hAnsiTheme="minorEastAsia" w:eastAsiaTheme="minorEastAsia" w:cstheme="minorEastAsia"/>
          <w:b/>
          <w:color w:val="auto"/>
          <w:sz w:val="21"/>
          <w:szCs w:val="21"/>
          <w:highlight w:val="none"/>
        </w:rPr>
      </w:pPr>
    </w:p>
    <w:p w14:paraId="42A7314D">
      <w:pPr>
        <w:numPr>
          <w:ilvl w:val="0"/>
          <w:numId w:val="0"/>
        </w:numPr>
        <w:ind w:leftChars="200"/>
        <w:jc w:val="both"/>
        <w:rPr>
          <w:rFonts w:hint="eastAsia" w:asciiTheme="minorEastAsia" w:hAnsiTheme="minorEastAsia" w:eastAsiaTheme="minorEastAsia" w:cstheme="minorEastAsia"/>
          <w:b/>
          <w:color w:val="auto"/>
          <w:sz w:val="21"/>
          <w:szCs w:val="21"/>
          <w:highlight w:val="none"/>
        </w:rPr>
      </w:pPr>
    </w:p>
    <w:p w14:paraId="759ADF60">
      <w:pPr>
        <w:numPr>
          <w:ilvl w:val="0"/>
          <w:numId w:val="0"/>
        </w:numPr>
        <w:ind w:leftChars="200"/>
        <w:jc w:val="both"/>
        <w:rPr>
          <w:rFonts w:hint="eastAsia" w:asciiTheme="minorEastAsia" w:hAnsiTheme="minorEastAsia" w:eastAsiaTheme="minorEastAsia" w:cstheme="minorEastAsia"/>
          <w:b/>
          <w:color w:val="auto"/>
          <w:sz w:val="21"/>
          <w:szCs w:val="21"/>
          <w:highlight w:val="none"/>
        </w:rPr>
      </w:pPr>
    </w:p>
    <w:p w14:paraId="145F00CD">
      <w:pPr>
        <w:numPr>
          <w:ilvl w:val="0"/>
          <w:numId w:val="0"/>
        </w:numPr>
        <w:ind w:leftChars="200"/>
        <w:jc w:val="both"/>
        <w:rPr>
          <w:rFonts w:hint="eastAsia" w:asciiTheme="minorEastAsia" w:hAnsiTheme="minorEastAsia" w:eastAsiaTheme="minorEastAsia" w:cstheme="minorEastAsia"/>
          <w:b/>
          <w:color w:val="auto"/>
          <w:sz w:val="21"/>
          <w:szCs w:val="21"/>
          <w:highlight w:val="none"/>
        </w:rPr>
      </w:pPr>
    </w:p>
    <w:p w14:paraId="49991248">
      <w:pPr>
        <w:numPr>
          <w:ilvl w:val="0"/>
          <w:numId w:val="0"/>
        </w:numPr>
        <w:ind w:leftChars="200"/>
        <w:jc w:val="both"/>
        <w:rPr>
          <w:rFonts w:hint="eastAsia" w:asciiTheme="minorEastAsia" w:hAnsiTheme="minorEastAsia" w:eastAsiaTheme="minorEastAsia" w:cstheme="minorEastAsia"/>
          <w:b/>
          <w:color w:val="auto"/>
          <w:sz w:val="21"/>
          <w:szCs w:val="21"/>
          <w:highlight w:val="none"/>
        </w:rPr>
      </w:pPr>
    </w:p>
    <w:p w14:paraId="6D602786">
      <w:pPr>
        <w:numPr>
          <w:ilvl w:val="0"/>
          <w:numId w:val="0"/>
        </w:numPr>
        <w:ind w:leftChars="200"/>
        <w:jc w:val="both"/>
        <w:rPr>
          <w:rFonts w:hint="eastAsia" w:asciiTheme="minorEastAsia" w:hAnsiTheme="minorEastAsia" w:eastAsiaTheme="minorEastAsia" w:cstheme="minorEastAsia"/>
          <w:b/>
          <w:color w:val="auto"/>
          <w:sz w:val="21"/>
          <w:szCs w:val="21"/>
          <w:highlight w:val="none"/>
        </w:rPr>
      </w:pPr>
    </w:p>
    <w:p w14:paraId="0E011095">
      <w:pPr>
        <w:tabs>
          <w:tab w:val="left" w:pos="2712"/>
          <w:tab w:val="left" w:pos="4658"/>
          <w:tab w:val="left" w:pos="5157"/>
          <w:tab w:val="left" w:pos="6554"/>
        </w:tabs>
        <w:rPr>
          <w:rFonts w:hint="eastAsia" w:asciiTheme="minorEastAsia" w:hAnsiTheme="minorEastAsia" w:eastAsiaTheme="minorEastAsia" w:cstheme="minorEastAsia"/>
          <w:highlight w:val="none"/>
        </w:rPr>
      </w:pPr>
    </w:p>
    <w:sectPr>
      <w:pgSz w:w="11905" w:h="16838"/>
      <w:pgMar w:top="1134" w:right="1417" w:bottom="1417" w:left="1417" w:header="850" w:footer="850" w:gutter="0"/>
      <w:pgBorders>
        <w:top w:val="none" w:sz="0" w:space="0"/>
        <w:left w:val="none" w:sz="0" w:space="0"/>
        <w:bottom w:val="none" w:sz="0" w:space="0"/>
        <w:right w:val="none" w:sz="0" w:space="0"/>
      </w:pgBorders>
      <w:pgNumType w:fmt="decimal"/>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大标宋简体">
    <w:altName w:val="微软雅黑"/>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Droid Sans Fallback">
    <w:altName w:val="宋体"/>
    <w:panose1 w:val="020B0502000000000001"/>
    <w:charset w:val="86"/>
    <w:family w:val="swiss"/>
    <w:pitch w:val="default"/>
    <w:sig w:usb0="00000000" w:usb1="00000000" w:usb2="00000036" w:usb3="00000000" w:csb0="203F01FF" w:csb1="D7FF0000"/>
  </w:font>
  <w:font w:name="Tahoma">
    <w:panose1 w:val="020B0604030504040204"/>
    <w:charset w:val="00"/>
    <w:family w:val="auto"/>
    <w:pitch w:val="default"/>
    <w:sig w:usb0="E1002EFF" w:usb1="C000605B" w:usb2="00000029" w:usb3="00000000" w:csb0="200101FF" w:csb1="20280000"/>
  </w:font>
  <w:font w:name="KSOF29153A75">
    <w:panose1 w:val="020B0502040204020203"/>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271EC">
    <w:pPr>
      <w:pStyle w:val="2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644B9A">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8644B9A">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08260">
    <w:pPr>
      <w:widowControl/>
      <w:kinsoku w:val="0"/>
      <w:autoSpaceDE w:val="0"/>
      <w:autoSpaceDN w:val="0"/>
      <w:adjustRightInd w:val="0"/>
      <w:snapToGrid w:val="0"/>
      <w:spacing w:line="176" w:lineRule="auto"/>
      <w:ind w:left="4080"/>
      <w:jc w:val="left"/>
      <w:textAlignment w:val="baseline"/>
      <w:rPr>
        <w:rFonts w:ascii="Times New Roman" w:hAnsi="Times New Roman" w:eastAsia="Times New Roman" w:cs="Times New Roman"/>
        <w:snapToGrid w:val="0"/>
        <w:color w:val="000000"/>
        <w:kern w:val="0"/>
        <w:sz w:val="18"/>
        <w:szCs w:val="18"/>
        <w:lang w:eastAsia="en-US"/>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9B1D18">
                          <w:pPr>
                            <w:pStyle w:val="20"/>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59B1D18">
                    <w:pPr>
                      <w:pStyle w:val="20"/>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640C7">
    <w:pPr>
      <w:jc w:val="center"/>
      <w:rPr>
        <w:rFonts w:ascii="Times New Roman" w:hAnsi="Times New Roman" w:eastAsia="宋体" w:cs="Times New Roman"/>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7E31A9">
                          <w:pPr>
                            <w:pStyle w:val="20"/>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37E31A9">
                    <w:pPr>
                      <w:pStyle w:val="20"/>
                    </w:pPr>
                    <w:r>
                      <w:fldChar w:fldCharType="begin"/>
                    </w:r>
                    <w:r>
                      <w:instrText xml:space="preserve"> PAGE  \* MERGEFORMAT </w:instrText>
                    </w:r>
                    <w:r>
                      <w:fldChar w:fldCharType="separate"/>
                    </w:r>
                    <w:r>
                      <w:t>48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B6C6C">
    <w:pPr>
      <w:pStyle w:val="2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A54DF">
    <w:pPr>
      <w:pStyle w:val="2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26CEE5"/>
    <w:multiLevelType w:val="singleLevel"/>
    <w:tmpl w:val="9126CEE5"/>
    <w:lvl w:ilvl="0" w:tentative="0">
      <w:start w:val="5"/>
      <w:numFmt w:val="decimal"/>
      <w:suff w:val="space"/>
      <w:lvlText w:val="%1."/>
      <w:lvlJc w:val="left"/>
    </w:lvl>
  </w:abstractNum>
  <w:abstractNum w:abstractNumId="1">
    <w:nsid w:val="B1189FD1"/>
    <w:multiLevelType w:val="multilevel"/>
    <w:tmpl w:val="B1189FD1"/>
    <w:lvl w:ilvl="0" w:tentative="0">
      <w:start w:val="1"/>
      <w:numFmt w:val="decimal"/>
      <w:suff w:val="nothing"/>
      <w:lvlText w:val="第%1章 "/>
      <w:lvlJc w:val="left"/>
      <w:pPr>
        <w:ind w:left="0" w:firstLine="0"/>
      </w:pPr>
      <w:rPr>
        <w:rFonts w:hint="eastAsia" w:ascii="方正大标宋简体" w:eastAsia="方正大标宋简体"/>
        <w:b w:val="0"/>
        <w:i w:val="0"/>
        <w:shadow/>
        <w:emboss w:val="0"/>
        <w:imprint w:val="0"/>
        <w:sz w:val="36"/>
        <w:szCs w:val="36"/>
      </w:rPr>
    </w:lvl>
    <w:lvl w:ilvl="1" w:tentative="0">
      <w:start w:val="1"/>
      <w:numFmt w:val="decimal"/>
      <w:pStyle w:val="6"/>
      <w:suff w:val="nothing"/>
      <w:lvlText w:val="    %2、"/>
      <w:lvlJc w:val="left"/>
      <w:pPr>
        <w:ind w:left="0" w:firstLine="0"/>
      </w:pPr>
      <w:rPr>
        <w:rFonts w:hint="eastAsia" w:ascii="黑体" w:eastAsia="黑体"/>
        <w:b/>
        <w:i w:val="0"/>
        <w:sz w:val="30"/>
        <w:szCs w:val="30"/>
      </w:rPr>
    </w:lvl>
    <w:lvl w:ilvl="2" w:tentative="0">
      <w:start w:val="1"/>
      <w:numFmt w:val="decimal"/>
      <w:pStyle w:val="7"/>
      <w:suff w:val="nothing"/>
      <w:lvlText w:val="    %2.%3 "/>
      <w:lvlJc w:val="left"/>
      <w:pPr>
        <w:ind w:left="1260" w:firstLine="0"/>
      </w:pPr>
      <w:rPr>
        <w:rFonts w:cs="Times New Roman"/>
        <w:b w:val="0"/>
        <w:bCs w:val="0"/>
        <w:i w:val="0"/>
        <w:iCs w:val="0"/>
        <w:caps w:val="0"/>
        <w:smallCaps w:val="0"/>
        <w:strike w:val="0"/>
        <w:dstrike w:val="0"/>
        <w:outline w:val="0"/>
        <w:shadow w:val="0"/>
        <w:emboss w:val="0"/>
        <w:imprint w:val="0"/>
        <w:vanish w:val="0"/>
        <w:color w:val="000000"/>
        <w:spacing w:val="0"/>
        <w:position w:val="0"/>
        <w:u w:val="none"/>
        <w:vertAlign w:val="baseline"/>
      </w:rPr>
    </w:lvl>
    <w:lvl w:ilvl="3" w:tentative="0">
      <w:start w:val="1"/>
      <w:numFmt w:val="decimal"/>
      <w:pStyle w:val="8"/>
      <w:suff w:val="nothing"/>
      <w:lvlText w:val="    %2.%3.%4  "/>
      <w:lvlJc w:val="left"/>
      <w:pPr>
        <w:ind w:left="0" w:firstLine="0"/>
      </w:pPr>
      <w:rPr>
        <w:rFonts w:hint="eastAsia" w:ascii="仿宋_GB2312" w:eastAsia="仿宋_GB2312"/>
        <w:b/>
        <w:i w:val="0"/>
        <w:sz w:val="28"/>
        <w:szCs w:val="28"/>
      </w:rPr>
    </w:lvl>
    <w:lvl w:ilvl="4" w:tentative="0">
      <w:start w:val="1"/>
      <w:numFmt w:val="none"/>
      <w:pStyle w:val="9"/>
      <w:suff w:val="nothing"/>
      <w:lvlText w:val=""/>
      <w:lvlJc w:val="left"/>
      <w:pPr>
        <w:ind w:left="0" w:firstLine="0"/>
      </w:pPr>
      <w:rPr>
        <w:rFonts w:hint="eastAsia"/>
      </w:rPr>
    </w:lvl>
    <w:lvl w:ilvl="5" w:tentative="0">
      <w:start w:val="1"/>
      <w:numFmt w:val="none"/>
      <w:pStyle w:val="10"/>
      <w:suff w:val="nothing"/>
      <w:lvlText w:val=""/>
      <w:lvlJc w:val="left"/>
      <w:pPr>
        <w:ind w:left="0" w:firstLine="0"/>
      </w:pPr>
      <w:rPr>
        <w:rFonts w:hint="eastAsia"/>
      </w:rPr>
    </w:lvl>
    <w:lvl w:ilvl="6" w:tentative="0">
      <w:start w:val="1"/>
      <w:numFmt w:val="none"/>
      <w:pStyle w:val="11"/>
      <w:suff w:val="nothing"/>
      <w:lvlText w:val=""/>
      <w:lvlJc w:val="left"/>
      <w:pPr>
        <w:ind w:left="0" w:firstLine="0"/>
      </w:pPr>
      <w:rPr>
        <w:rFonts w:hint="eastAsia"/>
      </w:rPr>
    </w:lvl>
    <w:lvl w:ilvl="7" w:tentative="0">
      <w:start w:val="1"/>
      <w:numFmt w:val="none"/>
      <w:pStyle w:val="12"/>
      <w:suff w:val="nothing"/>
      <w:lvlText w:val=""/>
      <w:lvlJc w:val="left"/>
      <w:pPr>
        <w:ind w:left="0" w:firstLine="0"/>
      </w:pPr>
      <w:rPr>
        <w:rFonts w:hint="eastAsia"/>
      </w:rPr>
    </w:lvl>
    <w:lvl w:ilvl="8" w:tentative="0">
      <w:start w:val="1"/>
      <w:numFmt w:val="none"/>
      <w:pStyle w:val="13"/>
      <w:suff w:val="nothing"/>
      <w:lvlText w:val=""/>
      <w:lvlJc w:val="left"/>
      <w:pPr>
        <w:ind w:left="0" w:firstLine="0"/>
      </w:pPr>
      <w:rPr>
        <w:rFonts w:hint="eastAsia"/>
      </w:rPr>
    </w:lvl>
  </w:abstractNum>
  <w:abstractNum w:abstractNumId="2">
    <w:nsid w:val="F0C58AAC"/>
    <w:multiLevelType w:val="singleLevel"/>
    <w:tmpl w:val="F0C58AAC"/>
    <w:lvl w:ilvl="0" w:tentative="0">
      <w:start w:val="2"/>
      <w:numFmt w:val="decimal"/>
      <w:suff w:val="space"/>
      <w:lvlText w:val="%1."/>
      <w:lvlJc w:val="left"/>
    </w:lvl>
  </w:abstractNum>
  <w:abstractNum w:abstractNumId="3">
    <w:nsid w:val="45DC1D2E"/>
    <w:multiLevelType w:val="singleLevel"/>
    <w:tmpl w:val="45DC1D2E"/>
    <w:lvl w:ilvl="0" w:tentative="0">
      <w:start w:val="8"/>
      <w:numFmt w:val="decimal"/>
      <w:suff w:val="space"/>
      <w:lvlText w:val="%1."/>
      <w:lvlJc w:val="left"/>
    </w:lvl>
  </w:abstractNum>
  <w:abstractNum w:abstractNumId="4">
    <w:nsid w:val="47898249"/>
    <w:multiLevelType w:val="multilevel"/>
    <w:tmpl w:val="47898249"/>
    <w:lvl w:ilvl="0" w:tentative="0">
      <w:start w:val="1"/>
      <w:numFmt w:val="decimal"/>
      <w:suff w:val="nothing"/>
      <w:lvlText w:val="第%1章 "/>
      <w:lvlJc w:val="left"/>
      <w:pPr>
        <w:ind w:left="0" w:firstLine="0"/>
      </w:pPr>
      <w:rPr>
        <w:rFonts w:hint="eastAsia" w:ascii="方正大标宋简体" w:eastAsia="方正大标宋简体"/>
        <w:b w:val="0"/>
        <w:i w:val="0"/>
        <w:shadow/>
        <w:emboss w:val="0"/>
        <w:imprint w:val="0"/>
        <w:sz w:val="36"/>
        <w:szCs w:val="36"/>
      </w:rPr>
    </w:lvl>
    <w:lvl w:ilvl="1" w:tentative="0">
      <w:start w:val="1"/>
      <w:numFmt w:val="decimal"/>
      <w:pStyle w:val="46"/>
      <w:suff w:val="nothing"/>
      <w:lvlText w:val="    %2、"/>
      <w:lvlJc w:val="left"/>
      <w:pPr>
        <w:ind w:left="0" w:firstLine="0"/>
      </w:pPr>
      <w:rPr>
        <w:rFonts w:hint="eastAsia" w:ascii="黑体" w:eastAsia="黑体"/>
        <w:b/>
        <w:i w:val="0"/>
        <w:sz w:val="30"/>
        <w:szCs w:val="30"/>
      </w:rPr>
    </w:lvl>
    <w:lvl w:ilvl="2" w:tentative="0">
      <w:start w:val="1"/>
      <w:numFmt w:val="decimal"/>
      <w:suff w:val="nothing"/>
      <w:lvlText w:val="    %2.%3 "/>
      <w:lvlJc w:val="left"/>
      <w:pPr>
        <w:ind w:left="459" w:firstLine="0"/>
      </w:pPr>
      <w:rPr>
        <w:rFonts w:cs="宋体"/>
        <w:b w:val="0"/>
        <w:bCs w:val="0"/>
        <w:i w:val="0"/>
        <w:iCs w:val="0"/>
        <w:caps w:val="0"/>
        <w:smallCaps w:val="0"/>
        <w:strike w:val="0"/>
        <w:dstrike w:val="0"/>
        <w:outline w:val="0"/>
        <w:shadow w:val="0"/>
        <w:emboss w:val="0"/>
        <w:imprint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仿宋_GB2312" w:eastAsia="仿宋_GB2312"/>
        <w:b/>
        <w:i w:val="0"/>
        <w:sz w:val="28"/>
        <w:szCs w:val="28"/>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B847B6"/>
    <w:rsid w:val="010A6538"/>
    <w:rsid w:val="011E729E"/>
    <w:rsid w:val="01D048ED"/>
    <w:rsid w:val="0209563E"/>
    <w:rsid w:val="020B476A"/>
    <w:rsid w:val="02831145"/>
    <w:rsid w:val="038879A2"/>
    <w:rsid w:val="04E13A54"/>
    <w:rsid w:val="050F2EB3"/>
    <w:rsid w:val="05151FF9"/>
    <w:rsid w:val="0515456D"/>
    <w:rsid w:val="058B39C0"/>
    <w:rsid w:val="070F57D6"/>
    <w:rsid w:val="07C31EA8"/>
    <w:rsid w:val="0990701B"/>
    <w:rsid w:val="0AC70967"/>
    <w:rsid w:val="0B3035EF"/>
    <w:rsid w:val="0B6251C3"/>
    <w:rsid w:val="0B7218AA"/>
    <w:rsid w:val="0BA15CEB"/>
    <w:rsid w:val="0CB8153E"/>
    <w:rsid w:val="0D2546FA"/>
    <w:rsid w:val="0D390547"/>
    <w:rsid w:val="0D5F61DC"/>
    <w:rsid w:val="0D9C5E1D"/>
    <w:rsid w:val="0DC66358"/>
    <w:rsid w:val="0E4144B0"/>
    <w:rsid w:val="0ECC3BB1"/>
    <w:rsid w:val="0F3D112E"/>
    <w:rsid w:val="0F685024"/>
    <w:rsid w:val="10320DE0"/>
    <w:rsid w:val="11205509"/>
    <w:rsid w:val="112B40DA"/>
    <w:rsid w:val="11345598"/>
    <w:rsid w:val="11C41482"/>
    <w:rsid w:val="11EC3A38"/>
    <w:rsid w:val="12193171"/>
    <w:rsid w:val="124D3615"/>
    <w:rsid w:val="12C80907"/>
    <w:rsid w:val="12DB5096"/>
    <w:rsid w:val="13405FF4"/>
    <w:rsid w:val="1350406B"/>
    <w:rsid w:val="13FC2B54"/>
    <w:rsid w:val="146E7736"/>
    <w:rsid w:val="157575B0"/>
    <w:rsid w:val="15857BF6"/>
    <w:rsid w:val="15A5462A"/>
    <w:rsid w:val="16A5060C"/>
    <w:rsid w:val="178A7644"/>
    <w:rsid w:val="17CD1C16"/>
    <w:rsid w:val="17F57A0A"/>
    <w:rsid w:val="180C2C51"/>
    <w:rsid w:val="183845C3"/>
    <w:rsid w:val="18C87E0C"/>
    <w:rsid w:val="196D2C99"/>
    <w:rsid w:val="1A7C10FD"/>
    <w:rsid w:val="1AB924EB"/>
    <w:rsid w:val="1AF53561"/>
    <w:rsid w:val="1B891589"/>
    <w:rsid w:val="1BE84E9B"/>
    <w:rsid w:val="1C4F67E6"/>
    <w:rsid w:val="1C634127"/>
    <w:rsid w:val="1CC85AE1"/>
    <w:rsid w:val="1CE471BB"/>
    <w:rsid w:val="1DD67347"/>
    <w:rsid w:val="1E0C0080"/>
    <w:rsid w:val="1EB847B6"/>
    <w:rsid w:val="1EF50305"/>
    <w:rsid w:val="1F875CE6"/>
    <w:rsid w:val="1FC5020D"/>
    <w:rsid w:val="202630DA"/>
    <w:rsid w:val="20291133"/>
    <w:rsid w:val="209F42C4"/>
    <w:rsid w:val="20BD6CCC"/>
    <w:rsid w:val="21923ACB"/>
    <w:rsid w:val="22422F17"/>
    <w:rsid w:val="234C5F21"/>
    <w:rsid w:val="23B24756"/>
    <w:rsid w:val="23B57ED8"/>
    <w:rsid w:val="24682F63"/>
    <w:rsid w:val="2560231B"/>
    <w:rsid w:val="256843BE"/>
    <w:rsid w:val="25826736"/>
    <w:rsid w:val="25B81164"/>
    <w:rsid w:val="25DD631D"/>
    <w:rsid w:val="2655546B"/>
    <w:rsid w:val="2674459D"/>
    <w:rsid w:val="273D152A"/>
    <w:rsid w:val="276C079B"/>
    <w:rsid w:val="27CE5E2D"/>
    <w:rsid w:val="27F1370A"/>
    <w:rsid w:val="28456266"/>
    <w:rsid w:val="297D349C"/>
    <w:rsid w:val="2A8645D2"/>
    <w:rsid w:val="2B0A4734"/>
    <w:rsid w:val="2B9B7FE4"/>
    <w:rsid w:val="2B9C4B6B"/>
    <w:rsid w:val="2BB24FE0"/>
    <w:rsid w:val="2BB65EE6"/>
    <w:rsid w:val="2BC16937"/>
    <w:rsid w:val="2BDB26FC"/>
    <w:rsid w:val="2C3C05B6"/>
    <w:rsid w:val="2CB013B3"/>
    <w:rsid w:val="2CE5454F"/>
    <w:rsid w:val="2CE675AA"/>
    <w:rsid w:val="2E2D21C1"/>
    <w:rsid w:val="2E786106"/>
    <w:rsid w:val="2EC102CF"/>
    <w:rsid w:val="2F940BD5"/>
    <w:rsid w:val="3060383C"/>
    <w:rsid w:val="30F94ABB"/>
    <w:rsid w:val="314B6188"/>
    <w:rsid w:val="321654F2"/>
    <w:rsid w:val="32251378"/>
    <w:rsid w:val="324E5558"/>
    <w:rsid w:val="33006D9F"/>
    <w:rsid w:val="33C06C5B"/>
    <w:rsid w:val="33CB2412"/>
    <w:rsid w:val="33E162AB"/>
    <w:rsid w:val="34034EE6"/>
    <w:rsid w:val="34347CDB"/>
    <w:rsid w:val="357E4F1C"/>
    <w:rsid w:val="358D2433"/>
    <w:rsid w:val="36193799"/>
    <w:rsid w:val="36424AF6"/>
    <w:rsid w:val="364D41F6"/>
    <w:rsid w:val="36502E4A"/>
    <w:rsid w:val="36B11101"/>
    <w:rsid w:val="36B35DD3"/>
    <w:rsid w:val="36EF1705"/>
    <w:rsid w:val="37250E85"/>
    <w:rsid w:val="37EC0259"/>
    <w:rsid w:val="389D1465"/>
    <w:rsid w:val="38B47475"/>
    <w:rsid w:val="38D3552B"/>
    <w:rsid w:val="39365415"/>
    <w:rsid w:val="3C354BF6"/>
    <w:rsid w:val="3DC8357D"/>
    <w:rsid w:val="3F0C6451"/>
    <w:rsid w:val="3F0D7085"/>
    <w:rsid w:val="3F485952"/>
    <w:rsid w:val="3F685210"/>
    <w:rsid w:val="3F6C1B91"/>
    <w:rsid w:val="3FC733A8"/>
    <w:rsid w:val="40BF3324"/>
    <w:rsid w:val="40E8769C"/>
    <w:rsid w:val="41655C1A"/>
    <w:rsid w:val="41A95E23"/>
    <w:rsid w:val="42A57853"/>
    <w:rsid w:val="431B5DA8"/>
    <w:rsid w:val="43AF0664"/>
    <w:rsid w:val="440837ED"/>
    <w:rsid w:val="44314CA6"/>
    <w:rsid w:val="445B1097"/>
    <w:rsid w:val="44FA1553"/>
    <w:rsid w:val="4549539C"/>
    <w:rsid w:val="4603518A"/>
    <w:rsid w:val="464B1239"/>
    <w:rsid w:val="478D604D"/>
    <w:rsid w:val="493B56F5"/>
    <w:rsid w:val="49B94735"/>
    <w:rsid w:val="49D62A28"/>
    <w:rsid w:val="49DF5CC2"/>
    <w:rsid w:val="4AE747C1"/>
    <w:rsid w:val="4AEC3DE1"/>
    <w:rsid w:val="4B6E1E8C"/>
    <w:rsid w:val="4C082549"/>
    <w:rsid w:val="4C3111D8"/>
    <w:rsid w:val="4C792B4D"/>
    <w:rsid w:val="4D090A1F"/>
    <w:rsid w:val="4D4A301A"/>
    <w:rsid w:val="4D4A3693"/>
    <w:rsid w:val="4D742893"/>
    <w:rsid w:val="4DAC666B"/>
    <w:rsid w:val="4DD21759"/>
    <w:rsid w:val="4E5D709A"/>
    <w:rsid w:val="4EAD2877"/>
    <w:rsid w:val="4EC70CB4"/>
    <w:rsid w:val="500528D6"/>
    <w:rsid w:val="50ED4382"/>
    <w:rsid w:val="5126784B"/>
    <w:rsid w:val="518A44C3"/>
    <w:rsid w:val="52316BE6"/>
    <w:rsid w:val="52981F22"/>
    <w:rsid w:val="52F0469B"/>
    <w:rsid w:val="5413106C"/>
    <w:rsid w:val="553754F0"/>
    <w:rsid w:val="562C2DB0"/>
    <w:rsid w:val="563649E4"/>
    <w:rsid w:val="56694583"/>
    <w:rsid w:val="566E2943"/>
    <w:rsid w:val="56B92C4C"/>
    <w:rsid w:val="56F00EA2"/>
    <w:rsid w:val="57291488"/>
    <w:rsid w:val="578D64D7"/>
    <w:rsid w:val="578F58C0"/>
    <w:rsid w:val="589A6F0C"/>
    <w:rsid w:val="58EC1355"/>
    <w:rsid w:val="599B720D"/>
    <w:rsid w:val="59A67F82"/>
    <w:rsid w:val="59E9553E"/>
    <w:rsid w:val="5AAF103B"/>
    <w:rsid w:val="5B7315EC"/>
    <w:rsid w:val="5BF11639"/>
    <w:rsid w:val="5BF20521"/>
    <w:rsid w:val="5C7C28B6"/>
    <w:rsid w:val="5D9E7EE0"/>
    <w:rsid w:val="5E7F4FE5"/>
    <w:rsid w:val="5EB236E5"/>
    <w:rsid w:val="5EC74D04"/>
    <w:rsid w:val="5F6454BF"/>
    <w:rsid w:val="5F9A75F0"/>
    <w:rsid w:val="5FEF619A"/>
    <w:rsid w:val="602514C2"/>
    <w:rsid w:val="60894D3E"/>
    <w:rsid w:val="60AF3C37"/>
    <w:rsid w:val="60E530F9"/>
    <w:rsid w:val="61E149CE"/>
    <w:rsid w:val="61E17353"/>
    <w:rsid w:val="620640A0"/>
    <w:rsid w:val="620C2843"/>
    <w:rsid w:val="629C3DAB"/>
    <w:rsid w:val="64860B22"/>
    <w:rsid w:val="64C37C70"/>
    <w:rsid w:val="64C5396E"/>
    <w:rsid w:val="64DF4A2F"/>
    <w:rsid w:val="669963A5"/>
    <w:rsid w:val="671D183F"/>
    <w:rsid w:val="67496BB3"/>
    <w:rsid w:val="67A0069B"/>
    <w:rsid w:val="67A41618"/>
    <w:rsid w:val="68831F2B"/>
    <w:rsid w:val="68B21FC8"/>
    <w:rsid w:val="68D423D1"/>
    <w:rsid w:val="69490D88"/>
    <w:rsid w:val="69827F32"/>
    <w:rsid w:val="6A2355D2"/>
    <w:rsid w:val="6A2A49B6"/>
    <w:rsid w:val="6A367781"/>
    <w:rsid w:val="6B175E85"/>
    <w:rsid w:val="6CDC01EB"/>
    <w:rsid w:val="6D9B170F"/>
    <w:rsid w:val="6FB75456"/>
    <w:rsid w:val="6FFB46E7"/>
    <w:rsid w:val="702342C6"/>
    <w:rsid w:val="70EE5F27"/>
    <w:rsid w:val="711A6DEF"/>
    <w:rsid w:val="71954707"/>
    <w:rsid w:val="71AA0173"/>
    <w:rsid w:val="71B5553D"/>
    <w:rsid w:val="72166F7F"/>
    <w:rsid w:val="725F31C3"/>
    <w:rsid w:val="726C0848"/>
    <w:rsid w:val="72820BDC"/>
    <w:rsid w:val="736C72DD"/>
    <w:rsid w:val="749151E5"/>
    <w:rsid w:val="74936965"/>
    <w:rsid w:val="74EF6FAC"/>
    <w:rsid w:val="75156CE7"/>
    <w:rsid w:val="752810B6"/>
    <w:rsid w:val="7544268D"/>
    <w:rsid w:val="755B6950"/>
    <w:rsid w:val="755F6E10"/>
    <w:rsid w:val="75880FCC"/>
    <w:rsid w:val="759B0897"/>
    <w:rsid w:val="76277FE4"/>
    <w:rsid w:val="7650160A"/>
    <w:rsid w:val="770610CB"/>
    <w:rsid w:val="77083AE1"/>
    <w:rsid w:val="77960B15"/>
    <w:rsid w:val="77CE4F95"/>
    <w:rsid w:val="77FB13AF"/>
    <w:rsid w:val="780953C7"/>
    <w:rsid w:val="784E5539"/>
    <w:rsid w:val="784F0D24"/>
    <w:rsid w:val="789E0306"/>
    <w:rsid w:val="796706F8"/>
    <w:rsid w:val="79935991"/>
    <w:rsid w:val="79BE2508"/>
    <w:rsid w:val="79FC52E4"/>
    <w:rsid w:val="7AD26045"/>
    <w:rsid w:val="7AF62CB5"/>
    <w:rsid w:val="7B597D37"/>
    <w:rsid w:val="7C29201E"/>
    <w:rsid w:val="7C4425D8"/>
    <w:rsid w:val="7C7552A4"/>
    <w:rsid w:val="7DC56B95"/>
    <w:rsid w:val="7E6C4274"/>
    <w:rsid w:val="7E9C1A39"/>
    <w:rsid w:val="7EA128FE"/>
    <w:rsid w:val="7F293805"/>
    <w:rsid w:val="7F30536C"/>
    <w:rsid w:val="7F7D68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44"/>
    <w:qFormat/>
    <w:uiPriority w:val="0"/>
    <w:pPr>
      <w:keepNext/>
      <w:keepLines/>
      <w:tabs>
        <w:tab w:val="left" w:pos="2712"/>
        <w:tab w:val="left" w:pos="4658"/>
        <w:tab w:val="left" w:pos="5157"/>
        <w:tab w:val="left" w:pos="6554"/>
      </w:tabs>
      <w:spacing w:before="20" w:beforeLines="0" w:after="20" w:afterLines="0" w:line="360" w:lineRule="auto"/>
      <w:jc w:val="center"/>
      <w:outlineLvl w:val="0"/>
    </w:pPr>
    <w:rPr>
      <w:rFonts w:ascii="Times New Roman" w:hAnsi="Times New Roman" w:eastAsia="微软雅黑"/>
      <w:b/>
      <w:bCs/>
      <w:kern w:val="44"/>
      <w:sz w:val="44"/>
      <w:szCs w:val="44"/>
      <w:lang w:bidi="ar-SA"/>
    </w:rPr>
  </w:style>
  <w:style w:type="paragraph" w:styleId="6">
    <w:name w:val="heading 2"/>
    <w:basedOn w:val="1"/>
    <w:next w:val="1"/>
    <w:link w:val="45"/>
    <w:semiHidden/>
    <w:unhideWhenUsed/>
    <w:qFormat/>
    <w:uiPriority w:val="0"/>
    <w:pPr>
      <w:keepNext/>
      <w:keepLines/>
      <w:numPr>
        <w:ilvl w:val="1"/>
        <w:numId w:val="1"/>
      </w:numPr>
      <w:tabs>
        <w:tab w:val="left" w:pos="2712"/>
        <w:tab w:val="left" w:pos="4658"/>
        <w:tab w:val="left" w:pos="5157"/>
        <w:tab w:val="left" w:pos="6554"/>
      </w:tabs>
      <w:spacing w:beforeLines="0" w:afterLines="0" w:line="360" w:lineRule="auto"/>
      <w:jc w:val="center"/>
      <w:outlineLvl w:val="1"/>
    </w:pPr>
    <w:rPr>
      <w:rFonts w:ascii="微软雅黑" w:hAnsi="微软雅黑" w:eastAsia="微软雅黑" w:cs="微软雅黑"/>
      <w:color w:val="auto"/>
      <w:sz w:val="28"/>
      <w:szCs w:val="20"/>
      <w:lang w:val="zh-CN" w:bidi="zh-CN"/>
    </w:rPr>
  </w:style>
  <w:style w:type="paragraph" w:styleId="7">
    <w:name w:val="heading 3"/>
    <w:basedOn w:val="1"/>
    <w:next w:val="1"/>
    <w:link w:val="47"/>
    <w:semiHidden/>
    <w:unhideWhenUsed/>
    <w:qFormat/>
    <w:uiPriority w:val="0"/>
    <w:pPr>
      <w:keepNext/>
      <w:keepLines/>
      <w:numPr>
        <w:ilvl w:val="2"/>
        <w:numId w:val="1"/>
      </w:numPr>
      <w:tabs>
        <w:tab w:val="left" w:pos="2712"/>
        <w:tab w:val="left" w:pos="4658"/>
        <w:tab w:val="left" w:pos="5157"/>
        <w:tab w:val="left" w:pos="6554"/>
      </w:tabs>
      <w:spacing w:beforeLines="0" w:beforeAutospacing="0" w:afterLines="0" w:afterAutospacing="0" w:line="360" w:lineRule="auto"/>
      <w:ind w:left="1260" w:firstLineChars="0"/>
      <w:jc w:val="center"/>
      <w:outlineLvl w:val="2"/>
    </w:pPr>
    <w:rPr>
      <w:rFonts w:ascii="宋体" w:hAnsi="宋体" w:eastAsia="微软雅黑" w:cs="微软雅黑"/>
      <w:b/>
      <w:sz w:val="24"/>
      <w:szCs w:val="24"/>
      <w:lang w:val="zh-CN" w:bidi="zh-CN"/>
    </w:rPr>
  </w:style>
  <w:style w:type="paragraph" w:styleId="8">
    <w:name w:val="heading 4"/>
    <w:basedOn w:val="1"/>
    <w:next w:val="1"/>
    <w:semiHidden/>
    <w:unhideWhenUsed/>
    <w:qFormat/>
    <w:uiPriority w:val="0"/>
    <w:pPr>
      <w:keepNext/>
      <w:keepLines/>
      <w:numPr>
        <w:ilvl w:val="3"/>
        <w:numId w:val="1"/>
      </w:numPr>
      <w:tabs>
        <w:tab w:val="left" w:pos="2712"/>
        <w:tab w:val="left" w:pos="4658"/>
        <w:tab w:val="left" w:pos="5157"/>
        <w:tab w:val="left" w:pos="6554"/>
      </w:tabs>
      <w:spacing w:before="280" w:beforeLines="0" w:beforeAutospacing="0" w:after="290" w:afterLines="0" w:afterAutospacing="0" w:line="372" w:lineRule="auto"/>
      <w:ind w:firstLineChars="0"/>
      <w:outlineLvl w:val="3"/>
    </w:pPr>
    <w:rPr>
      <w:rFonts w:ascii="Arial" w:hAnsi="Arial" w:eastAsia="黑体"/>
      <w:sz w:val="28"/>
    </w:rPr>
  </w:style>
  <w:style w:type="paragraph" w:styleId="9">
    <w:name w:val="heading 5"/>
    <w:basedOn w:val="1"/>
    <w:next w:val="1"/>
    <w:semiHidden/>
    <w:unhideWhenUsed/>
    <w:qFormat/>
    <w:uiPriority w:val="0"/>
    <w:pPr>
      <w:keepNext/>
      <w:keepLines/>
      <w:numPr>
        <w:ilvl w:val="4"/>
        <w:numId w:val="1"/>
      </w:numPr>
      <w:tabs>
        <w:tab w:val="left" w:pos="2712"/>
        <w:tab w:val="left" w:pos="4658"/>
        <w:tab w:val="left" w:pos="5157"/>
        <w:tab w:val="left" w:pos="6554"/>
      </w:tabs>
      <w:spacing w:before="280" w:beforeLines="0" w:beforeAutospacing="0" w:after="290" w:afterLines="0" w:afterAutospacing="0" w:line="372" w:lineRule="auto"/>
      <w:ind w:firstLineChars="0"/>
      <w:outlineLvl w:val="4"/>
    </w:pPr>
    <w:rPr>
      <w:sz w:val="28"/>
    </w:rPr>
  </w:style>
  <w:style w:type="paragraph" w:styleId="10">
    <w:name w:val="heading 6"/>
    <w:basedOn w:val="1"/>
    <w:next w:val="1"/>
    <w:semiHidden/>
    <w:unhideWhenUsed/>
    <w:qFormat/>
    <w:uiPriority w:val="0"/>
    <w:pPr>
      <w:keepNext/>
      <w:keepLines/>
      <w:numPr>
        <w:ilvl w:val="5"/>
        <w:numId w:val="1"/>
      </w:numPr>
      <w:tabs>
        <w:tab w:val="left" w:pos="2712"/>
        <w:tab w:val="left" w:pos="4658"/>
        <w:tab w:val="left" w:pos="5157"/>
        <w:tab w:val="left" w:pos="6554"/>
      </w:tabs>
      <w:spacing w:before="240" w:beforeLines="0" w:beforeAutospacing="0" w:after="64" w:afterLines="0" w:afterAutospacing="0" w:line="317" w:lineRule="auto"/>
      <w:ind w:firstLineChars="0"/>
      <w:outlineLvl w:val="5"/>
    </w:pPr>
    <w:rPr>
      <w:rFonts w:ascii="Arial" w:hAnsi="Arial" w:eastAsia="黑体"/>
      <w:sz w:val="24"/>
    </w:rPr>
  </w:style>
  <w:style w:type="paragraph" w:styleId="11">
    <w:name w:val="heading 7"/>
    <w:basedOn w:val="1"/>
    <w:next w:val="1"/>
    <w:semiHidden/>
    <w:unhideWhenUsed/>
    <w:qFormat/>
    <w:uiPriority w:val="0"/>
    <w:pPr>
      <w:keepNext/>
      <w:keepLines/>
      <w:numPr>
        <w:ilvl w:val="6"/>
        <w:numId w:val="1"/>
      </w:numPr>
      <w:tabs>
        <w:tab w:val="left" w:pos="2712"/>
        <w:tab w:val="left" w:pos="4658"/>
        <w:tab w:val="left" w:pos="5157"/>
        <w:tab w:val="left" w:pos="6554"/>
      </w:tabs>
      <w:spacing w:before="240" w:beforeLines="0" w:beforeAutospacing="0" w:after="64" w:afterLines="0" w:afterAutospacing="0" w:line="317" w:lineRule="auto"/>
      <w:ind w:firstLineChars="0"/>
      <w:outlineLvl w:val="6"/>
    </w:pPr>
    <w:rPr>
      <w:sz w:val="24"/>
    </w:rPr>
  </w:style>
  <w:style w:type="paragraph" w:styleId="12">
    <w:name w:val="heading 8"/>
    <w:basedOn w:val="1"/>
    <w:next w:val="1"/>
    <w:semiHidden/>
    <w:unhideWhenUsed/>
    <w:qFormat/>
    <w:uiPriority w:val="0"/>
    <w:pPr>
      <w:keepNext/>
      <w:keepLines/>
      <w:numPr>
        <w:ilvl w:val="7"/>
        <w:numId w:val="1"/>
      </w:numPr>
      <w:tabs>
        <w:tab w:val="left" w:pos="2712"/>
        <w:tab w:val="left" w:pos="4658"/>
        <w:tab w:val="left" w:pos="5157"/>
        <w:tab w:val="left" w:pos="6554"/>
      </w:tabs>
      <w:spacing w:before="240" w:beforeLines="0" w:beforeAutospacing="0" w:after="64" w:afterLines="0" w:afterAutospacing="0" w:line="317" w:lineRule="auto"/>
      <w:ind w:firstLineChars="0"/>
      <w:outlineLvl w:val="7"/>
    </w:pPr>
    <w:rPr>
      <w:rFonts w:ascii="Arial" w:hAnsi="Arial" w:eastAsia="黑体"/>
      <w:sz w:val="24"/>
    </w:rPr>
  </w:style>
  <w:style w:type="paragraph" w:styleId="13">
    <w:name w:val="heading 9"/>
    <w:basedOn w:val="1"/>
    <w:next w:val="1"/>
    <w:semiHidden/>
    <w:unhideWhenUsed/>
    <w:qFormat/>
    <w:uiPriority w:val="0"/>
    <w:pPr>
      <w:keepNext/>
      <w:keepLines/>
      <w:numPr>
        <w:ilvl w:val="8"/>
        <w:numId w:val="1"/>
      </w:numPr>
      <w:tabs>
        <w:tab w:val="left" w:pos="2712"/>
        <w:tab w:val="left" w:pos="4658"/>
        <w:tab w:val="left" w:pos="5157"/>
        <w:tab w:val="left" w:pos="6554"/>
      </w:tabs>
      <w:spacing w:before="240" w:beforeLines="0" w:beforeAutospacing="0" w:after="64" w:afterLines="0" w:afterAutospacing="0" w:line="317" w:lineRule="auto"/>
      <w:ind w:firstLineChars="0"/>
      <w:outlineLvl w:val="8"/>
    </w:pPr>
    <w:rPr>
      <w:rFonts w:ascii="Arial" w:hAnsi="Arial" w:eastAsia="黑体"/>
      <w:sz w:val="21"/>
    </w:rPr>
  </w:style>
  <w:style w:type="character" w:default="1" w:styleId="33">
    <w:name w:val="Default Paragraph Font"/>
    <w:semiHidden/>
    <w:qFormat/>
    <w:uiPriority w:val="0"/>
  </w:style>
  <w:style w:type="table" w:default="1" w:styleId="31">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tabs>
        <w:tab w:val="left" w:pos="2712"/>
        <w:tab w:val="left" w:pos="4658"/>
        <w:tab w:val="left" w:pos="5157"/>
        <w:tab w:val="left" w:pos="6554"/>
      </w:tabs>
      <w:spacing w:after="120" w:afterLines="0" w:afterAutospacing="0"/>
    </w:pPr>
  </w:style>
  <w:style w:type="paragraph" w:customStyle="1" w:styleId="3">
    <w:name w:val="Default"/>
    <w:basedOn w:val="4"/>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4">
    <w:name w:val="Plain Text"/>
    <w:basedOn w:val="1"/>
    <w:next w:val="1"/>
    <w:qFormat/>
    <w:uiPriority w:val="0"/>
    <w:rPr>
      <w:rFonts w:hAnsi="Courier New"/>
      <w:kern w:val="0"/>
      <w:sz w:val="20"/>
      <w:szCs w:val="21"/>
    </w:rPr>
  </w:style>
  <w:style w:type="paragraph" w:styleId="14">
    <w:name w:val="Normal Indent"/>
    <w:basedOn w:val="1"/>
    <w:qFormat/>
    <w:uiPriority w:val="0"/>
    <w:pPr>
      <w:ind w:firstLine="420" w:firstLineChars="200"/>
    </w:pPr>
    <w:rPr>
      <w:rFonts w:ascii="Times New Roman" w:hAnsi="Times New Roman"/>
    </w:rPr>
  </w:style>
  <w:style w:type="paragraph" w:styleId="15">
    <w:name w:val="annotation text"/>
    <w:basedOn w:val="1"/>
    <w:unhideWhenUsed/>
    <w:qFormat/>
    <w:uiPriority w:val="99"/>
    <w:pPr>
      <w:jc w:val="left"/>
    </w:pPr>
    <w:rPr>
      <w:rFonts w:ascii="Times New Roman" w:hAnsi="Times New Roman"/>
      <w:kern w:val="0"/>
      <w:sz w:val="20"/>
    </w:rPr>
  </w:style>
  <w:style w:type="paragraph" w:styleId="16">
    <w:name w:val="Body Text 3"/>
    <w:basedOn w:val="1"/>
    <w:qFormat/>
    <w:uiPriority w:val="0"/>
    <w:rPr>
      <w:rFonts w:hAnsi="Times New Roman"/>
      <w:kern w:val="0"/>
      <w:sz w:val="24"/>
      <w:szCs w:val="20"/>
    </w:rPr>
  </w:style>
  <w:style w:type="paragraph" w:styleId="17">
    <w:name w:val="Body Text Indent"/>
    <w:basedOn w:val="1"/>
    <w:next w:val="1"/>
    <w:qFormat/>
    <w:uiPriority w:val="0"/>
    <w:pPr>
      <w:spacing w:after="120" w:afterLines="0"/>
      <w:ind w:left="420" w:leftChars="200"/>
    </w:pPr>
    <w:rPr>
      <w:rFonts w:ascii="Times New Roman" w:hAnsi="Times New Roman"/>
      <w:kern w:val="0"/>
      <w:sz w:val="20"/>
    </w:rPr>
  </w:style>
  <w:style w:type="paragraph" w:styleId="18">
    <w:name w:val="List 2"/>
    <w:basedOn w:val="1"/>
    <w:qFormat/>
    <w:uiPriority w:val="0"/>
    <w:pPr>
      <w:ind w:left="100" w:leftChars="200" w:hanging="200" w:hangingChars="200"/>
    </w:pPr>
  </w:style>
  <w:style w:type="paragraph" w:styleId="19">
    <w:name w:val="Date"/>
    <w:basedOn w:val="1"/>
    <w:next w:val="1"/>
    <w:qFormat/>
    <w:uiPriority w:val="0"/>
    <w:pPr>
      <w:widowControl w:val="0"/>
      <w:ind w:left="100" w:leftChars="2500"/>
      <w:jc w:val="both"/>
    </w:pPr>
    <w:rPr>
      <w:rFonts w:ascii="Calibri" w:hAnsi="Calibri" w:eastAsia="宋体" w:cs="Times New Roman"/>
      <w:kern w:val="2"/>
      <w:sz w:val="21"/>
      <w:szCs w:val="24"/>
      <w:lang w:val="en-US" w:eastAsia="zh-CN" w:bidi="ar-SA"/>
    </w:rPr>
  </w:style>
  <w:style w:type="paragraph" w:styleId="20">
    <w:name w:val="footer"/>
    <w:basedOn w:val="1"/>
    <w:next w:val="1"/>
    <w:qFormat/>
    <w:uiPriority w:val="0"/>
    <w:pPr>
      <w:tabs>
        <w:tab w:val="center" w:pos="4153"/>
        <w:tab w:val="right" w:pos="8306"/>
      </w:tabs>
      <w:snapToGrid w:val="0"/>
      <w:jc w:val="left"/>
    </w:pPr>
    <w:rPr>
      <w:rFonts w:ascii="Times New Roman" w:hAnsi="Times New Roman"/>
      <w:kern w:val="0"/>
      <w:sz w:val="18"/>
      <w:szCs w:val="18"/>
    </w:rPr>
  </w:style>
  <w:style w:type="paragraph" w:styleId="21">
    <w:name w:val="envelope return"/>
    <w:basedOn w:val="1"/>
    <w:unhideWhenUsed/>
    <w:qFormat/>
    <w:uiPriority w:val="99"/>
    <w:pPr>
      <w:snapToGrid w:val="0"/>
    </w:pPr>
    <w:rPr>
      <w:rFonts w:ascii="Arial" w:hAnsi="Arial"/>
    </w:rPr>
  </w:style>
  <w:style w:type="paragraph" w:styleId="22">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23">
    <w:name w:val="toc 1"/>
    <w:basedOn w:val="1"/>
    <w:next w:val="1"/>
    <w:qFormat/>
    <w:uiPriority w:val="39"/>
    <w:pPr>
      <w:widowControl/>
      <w:spacing w:after="100" w:afterLines="0" w:line="276" w:lineRule="auto"/>
      <w:jc w:val="center"/>
    </w:pPr>
    <w:rPr>
      <w:rFonts w:ascii="Calibri" w:hAnsi="Calibri"/>
      <w:kern w:val="0"/>
      <w:sz w:val="22"/>
      <w:szCs w:val="22"/>
    </w:rPr>
  </w:style>
  <w:style w:type="paragraph" w:styleId="24">
    <w:name w:val="footnote text"/>
    <w:basedOn w:val="1"/>
    <w:qFormat/>
    <w:uiPriority w:val="0"/>
    <w:rPr>
      <w:sz w:val="20"/>
      <w:szCs w:val="20"/>
    </w:rPr>
  </w:style>
  <w:style w:type="paragraph" w:styleId="25">
    <w:name w:val="toc 2"/>
    <w:basedOn w:val="1"/>
    <w:next w:val="1"/>
    <w:qFormat/>
    <w:uiPriority w:val="39"/>
    <w:pPr>
      <w:widowControl/>
      <w:spacing w:after="100" w:afterLines="0" w:line="276" w:lineRule="auto"/>
      <w:ind w:left="220"/>
      <w:jc w:val="left"/>
    </w:pPr>
    <w:rPr>
      <w:rFonts w:ascii="Calibri" w:hAnsi="Calibri"/>
      <w:kern w:val="0"/>
      <w:sz w:val="22"/>
      <w:szCs w:val="22"/>
    </w:rPr>
  </w:style>
  <w:style w:type="paragraph" w:styleId="26">
    <w:name w:val="Body Text 2"/>
    <w:basedOn w:val="1"/>
    <w:next w:val="2"/>
    <w:qFormat/>
    <w:uiPriority w:val="0"/>
    <w:pPr>
      <w:spacing w:line="700" w:lineRule="exact"/>
    </w:pPr>
    <w:rPr>
      <w:sz w:val="28"/>
    </w:rPr>
  </w:style>
  <w:style w:type="paragraph" w:styleId="27">
    <w:name w:val="Normal (Web)"/>
    <w:basedOn w:val="1"/>
    <w:qFormat/>
    <w:uiPriority w:val="99"/>
    <w:pPr>
      <w:widowControl/>
      <w:spacing w:before="100" w:beforeLines="0" w:beforeAutospacing="1" w:after="100" w:afterLines="0" w:afterAutospacing="1"/>
      <w:jc w:val="left"/>
    </w:pPr>
    <w:rPr>
      <w:rFonts w:ascii="Arial Unicode MS" w:hAnsi="Arial Unicode MS" w:eastAsia="Arial Unicode MS" w:cs="Arial Unicode MS"/>
      <w:kern w:val="0"/>
      <w:sz w:val="24"/>
    </w:rPr>
  </w:style>
  <w:style w:type="paragraph" w:styleId="28">
    <w:name w:val="Title"/>
    <w:basedOn w:val="1"/>
    <w:qFormat/>
    <w:uiPriority w:val="0"/>
    <w:pPr>
      <w:tabs>
        <w:tab w:val="left" w:pos="2712"/>
        <w:tab w:val="left" w:pos="4658"/>
        <w:tab w:val="left" w:pos="5157"/>
        <w:tab w:val="left" w:pos="6554"/>
      </w:tabs>
      <w:spacing w:before="240" w:beforeLines="0" w:beforeAutospacing="0" w:after="60" w:afterLines="0" w:afterAutospacing="0"/>
      <w:jc w:val="center"/>
      <w:outlineLvl w:val="0"/>
    </w:pPr>
    <w:rPr>
      <w:rFonts w:ascii="Arial" w:hAnsi="Arial"/>
      <w:sz w:val="32"/>
    </w:rPr>
  </w:style>
  <w:style w:type="paragraph" w:styleId="29">
    <w:name w:val="Body Text First Indent"/>
    <w:basedOn w:val="2"/>
    <w:next w:val="1"/>
    <w:qFormat/>
    <w:uiPriority w:val="0"/>
    <w:pPr>
      <w:adjustRightInd/>
      <w:spacing w:after="120" w:afterLines="0" w:line="240" w:lineRule="auto"/>
      <w:ind w:left="0" w:leftChars="0" w:right="0" w:rightChars="0" w:firstLine="420" w:firstLineChars="100"/>
      <w:jc w:val="both"/>
      <w:textAlignment w:val="auto"/>
    </w:pPr>
    <w:rPr>
      <w:rFonts w:ascii="Times New Roman" w:hAnsi="Times New Roman"/>
      <w:kern w:val="2"/>
      <w:sz w:val="21"/>
    </w:rPr>
  </w:style>
  <w:style w:type="paragraph" w:styleId="30">
    <w:name w:val="Body Text First Indent 2"/>
    <w:basedOn w:val="17"/>
    <w:next w:val="1"/>
    <w:unhideWhenUsed/>
    <w:qFormat/>
    <w:uiPriority w:val="0"/>
    <w:pPr>
      <w:widowControl/>
      <w:ind w:firstLine="200" w:firstLineChars="200"/>
      <w:jc w:val="left"/>
    </w:pPr>
    <w:rPr>
      <w:rFonts w:ascii="Calibri" w:hAnsi="Calibri" w:eastAsia="宋体" w:cs="Times New Roman"/>
      <w:sz w:val="28"/>
    </w:rPr>
  </w:style>
  <w:style w:type="table" w:styleId="32">
    <w:name w:val="Table Grid"/>
    <w:basedOn w:val="3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FollowedHyperlink"/>
    <w:basedOn w:val="33"/>
    <w:qFormat/>
    <w:uiPriority w:val="0"/>
    <w:rPr>
      <w:color w:val="800080"/>
      <w:u w:val="none"/>
    </w:rPr>
  </w:style>
  <w:style w:type="character" w:styleId="35">
    <w:name w:val="HTML Definition"/>
    <w:basedOn w:val="33"/>
    <w:qFormat/>
    <w:uiPriority w:val="0"/>
  </w:style>
  <w:style w:type="character" w:styleId="36">
    <w:name w:val="HTML Typewriter"/>
    <w:basedOn w:val="33"/>
    <w:qFormat/>
    <w:uiPriority w:val="0"/>
    <w:rPr>
      <w:rFonts w:hint="default" w:ascii="monospace" w:hAnsi="monospace" w:eastAsia="monospace" w:cs="monospace"/>
      <w:sz w:val="20"/>
    </w:rPr>
  </w:style>
  <w:style w:type="character" w:styleId="37">
    <w:name w:val="HTML Acronym"/>
    <w:basedOn w:val="33"/>
    <w:qFormat/>
    <w:uiPriority w:val="0"/>
  </w:style>
  <w:style w:type="character" w:styleId="38">
    <w:name w:val="HTML Variable"/>
    <w:basedOn w:val="33"/>
    <w:qFormat/>
    <w:uiPriority w:val="0"/>
  </w:style>
  <w:style w:type="character" w:styleId="39">
    <w:name w:val="Hyperlink"/>
    <w:basedOn w:val="33"/>
    <w:qFormat/>
    <w:uiPriority w:val="0"/>
    <w:rPr>
      <w:color w:val="0000FF"/>
      <w:u w:val="none"/>
    </w:rPr>
  </w:style>
  <w:style w:type="character" w:styleId="40">
    <w:name w:val="HTML Code"/>
    <w:basedOn w:val="33"/>
    <w:qFormat/>
    <w:uiPriority w:val="0"/>
    <w:rPr>
      <w:rFonts w:hint="default" w:ascii="monospace" w:hAnsi="monospace" w:eastAsia="monospace" w:cs="monospace"/>
      <w:sz w:val="20"/>
    </w:rPr>
  </w:style>
  <w:style w:type="character" w:styleId="41">
    <w:name w:val="HTML Cite"/>
    <w:basedOn w:val="33"/>
    <w:qFormat/>
    <w:uiPriority w:val="0"/>
  </w:style>
  <w:style w:type="character" w:styleId="42">
    <w:name w:val="HTML Keyboard"/>
    <w:basedOn w:val="33"/>
    <w:qFormat/>
    <w:uiPriority w:val="0"/>
    <w:rPr>
      <w:rFonts w:ascii="monospace" w:hAnsi="monospace" w:eastAsia="monospace" w:cs="monospace"/>
      <w:sz w:val="20"/>
    </w:rPr>
  </w:style>
  <w:style w:type="character" w:styleId="43">
    <w:name w:val="HTML Sample"/>
    <w:basedOn w:val="33"/>
    <w:qFormat/>
    <w:uiPriority w:val="0"/>
    <w:rPr>
      <w:rFonts w:hint="default" w:ascii="monospace" w:hAnsi="monospace" w:eastAsia="monospace" w:cs="monospace"/>
    </w:rPr>
  </w:style>
  <w:style w:type="character" w:customStyle="1" w:styleId="44">
    <w:name w:val="标题 1 Char"/>
    <w:link w:val="5"/>
    <w:qFormat/>
    <w:uiPriority w:val="0"/>
    <w:rPr>
      <w:rFonts w:ascii="Times New Roman" w:hAnsi="Times New Roman" w:eastAsia="微软雅黑"/>
      <w:b/>
      <w:bCs/>
      <w:kern w:val="44"/>
      <w:sz w:val="44"/>
      <w:szCs w:val="44"/>
      <w:lang w:bidi="ar-SA"/>
    </w:rPr>
  </w:style>
  <w:style w:type="character" w:customStyle="1" w:styleId="45">
    <w:name w:val="标题 2 Char"/>
    <w:link w:val="6"/>
    <w:qFormat/>
    <w:uiPriority w:val="0"/>
    <w:rPr>
      <w:rFonts w:ascii="微软雅黑" w:hAnsi="微软雅黑" w:eastAsia="微软雅黑" w:cs="微软雅黑"/>
      <w:b/>
      <w:bCs/>
      <w:color w:val="auto"/>
      <w:kern w:val="0"/>
      <w:sz w:val="28"/>
      <w:szCs w:val="20"/>
      <w:lang w:val="zh-CN" w:eastAsia="zh-CN" w:bidi="zh-CN"/>
    </w:rPr>
  </w:style>
  <w:style w:type="paragraph" w:customStyle="1" w:styleId="46">
    <w:name w:val="标题4 11"/>
    <w:basedOn w:val="1"/>
    <w:qFormat/>
    <w:uiPriority w:val="0"/>
    <w:pPr>
      <w:numPr>
        <w:ilvl w:val="1"/>
        <w:numId w:val="2"/>
      </w:numPr>
      <w:tabs>
        <w:tab w:val="left" w:pos="2712"/>
        <w:tab w:val="left" w:pos="4658"/>
        <w:tab w:val="left" w:pos="5157"/>
        <w:tab w:val="left" w:pos="6554"/>
      </w:tabs>
      <w:ind w:firstLine="0" w:firstLineChars="0"/>
    </w:pPr>
  </w:style>
  <w:style w:type="character" w:customStyle="1" w:styleId="47">
    <w:name w:val="标题 3 Char"/>
    <w:link w:val="7"/>
    <w:qFormat/>
    <w:uiPriority w:val="0"/>
    <w:rPr>
      <w:rFonts w:ascii="宋体" w:hAnsi="宋体" w:eastAsia="微软雅黑" w:cs="微软雅黑"/>
      <w:b/>
      <w:sz w:val="24"/>
      <w:szCs w:val="24"/>
      <w:lang w:val="zh-CN" w:bidi="zh-CN"/>
    </w:rPr>
  </w:style>
  <w:style w:type="paragraph" w:customStyle="1" w:styleId="48">
    <w:name w:val="样式 标题 2 + Times New Roman 四号 非加粗 段前: 5 磅 段后: 0 磅 行距: 固定值 20..."/>
    <w:basedOn w:val="6"/>
    <w:qFormat/>
    <w:uiPriority w:val="0"/>
    <w:rPr>
      <w:rFonts w:ascii="Times New Roman" w:hAnsi="Times New Roman" w:cs="宋体"/>
    </w:rPr>
  </w:style>
  <w:style w:type="paragraph" w:customStyle="1" w:styleId="49">
    <w:name w:val="样式 标题 3 + (中文) 黑体 小四 非加粗 段前: 7.8 磅 段后: 0 磅 行距: 固定值 20 磅"/>
    <w:basedOn w:val="7"/>
    <w:qFormat/>
    <w:uiPriority w:val="0"/>
    <w:pPr>
      <w:numPr>
        <w:ilvl w:val="2"/>
        <w:numId w:val="0"/>
      </w:numPr>
      <w:spacing w:before="0" w:beforeLines="0" w:after="0" w:afterLines="0" w:line="400" w:lineRule="exact"/>
    </w:pPr>
    <w:rPr>
      <w:rFonts w:eastAsia="黑体" w:cs="宋体"/>
      <w:b w:val="0"/>
      <w:sz w:val="24"/>
      <w:szCs w:val="20"/>
    </w:rPr>
  </w:style>
  <w:style w:type="paragraph" w:customStyle="1" w:styleId="50">
    <w:name w:val="表"/>
    <w:qFormat/>
    <w:uiPriority w:val="0"/>
    <w:pPr>
      <w:widowControl w:val="0"/>
      <w:spacing w:line="360" w:lineRule="auto"/>
      <w:jc w:val="both"/>
    </w:pPr>
    <w:rPr>
      <w:rFonts w:ascii="宋体" w:hAnsi="宋体" w:eastAsia="宋体" w:cs="Times New Roman"/>
      <w:b/>
      <w:bCs/>
      <w:kern w:val="2"/>
      <w:sz w:val="21"/>
      <w:szCs w:val="22"/>
      <w:lang w:val="en-US" w:eastAsia="zh-CN" w:bidi="ar-SA"/>
    </w:rPr>
  </w:style>
  <w:style w:type="paragraph" w:customStyle="1" w:styleId="51">
    <w:name w:val="正文_5_0"/>
    <w:qFormat/>
    <w:uiPriority w:val="0"/>
    <w:pPr>
      <w:widowControl w:val="0"/>
      <w:jc w:val="both"/>
    </w:pPr>
    <w:rPr>
      <w:rFonts w:ascii="Calibri" w:hAnsi="Calibri" w:eastAsia="宋体" w:cs="Times New Roman"/>
      <w:kern w:val="2"/>
      <w:sz w:val="21"/>
      <w:szCs w:val="24"/>
      <w:lang w:val="en-US" w:eastAsia="zh-CN" w:bidi="ar-SA"/>
    </w:rPr>
  </w:style>
  <w:style w:type="paragraph" w:styleId="52">
    <w:name w:val="List Paragraph"/>
    <w:basedOn w:val="1"/>
    <w:next w:val="1"/>
    <w:qFormat/>
    <w:uiPriority w:val="0"/>
    <w:pPr>
      <w:ind w:firstLine="420" w:firstLineChars="200"/>
    </w:pPr>
    <w:rPr>
      <w:rFonts w:ascii="Calibri" w:hAnsi="Calibri"/>
      <w:szCs w:val="20"/>
    </w:rPr>
  </w:style>
  <w:style w:type="paragraph" w:customStyle="1" w:styleId="53">
    <w:name w:val="正文_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55">
    <w:name w:val="Char Char10 Char Char Char Char"/>
    <w:next w:val="56"/>
    <w:autoRedefine/>
    <w:qFormat/>
    <w:uiPriority w:val="99"/>
    <w:pPr>
      <w:widowControl w:val="0"/>
      <w:jc w:val="both"/>
    </w:pPr>
    <w:rPr>
      <w:rFonts w:ascii="Calibri" w:hAnsi="Calibri" w:eastAsia="宋体" w:cs="Times New Roman"/>
      <w:kern w:val="2"/>
      <w:sz w:val="21"/>
      <w:szCs w:val="24"/>
      <w:lang w:val="en-US" w:eastAsia="zh-CN" w:bidi="ar-SA"/>
    </w:rPr>
  </w:style>
  <w:style w:type="paragraph" w:customStyle="1" w:styleId="56">
    <w:name w:val="xl87"/>
    <w:next w:val="57"/>
    <w:autoRedefine/>
    <w:qFormat/>
    <w:uiPriority w:val="0"/>
    <w:pPr>
      <w:widowControl/>
      <w:shd w:val="clear" w:color="FFFFFF" w:fill="FFFFFF"/>
      <w:spacing w:before="100" w:beforeAutospacing="1" w:after="100" w:afterAutospacing="1"/>
      <w:jc w:val="right"/>
      <w:textAlignment w:val="top"/>
    </w:pPr>
    <w:rPr>
      <w:rFonts w:ascii="宋体" w:hAnsi="宋体" w:eastAsia="宋体" w:cs="宋体"/>
      <w:kern w:val="0"/>
      <w:sz w:val="24"/>
      <w:szCs w:val="24"/>
      <w:lang w:val="en-US" w:eastAsia="zh-CN" w:bidi="ar-SA"/>
    </w:rPr>
  </w:style>
  <w:style w:type="paragraph" w:customStyle="1" w:styleId="57">
    <w:name w:val="xl72"/>
    <w:next w:val="19"/>
    <w:autoRedefine/>
    <w:qFormat/>
    <w:uiPriority w:val="0"/>
    <w:pPr>
      <w:widowControl/>
      <w:pBdr>
        <w:top w:val="single" w:color="000000" w:sz="4" w:space="0"/>
        <w:left w:val="single" w:color="000000" w:sz="4" w:space="0"/>
        <w:bottom w:val="single" w:color="000000" w:sz="8" w:space="0"/>
        <w:right w:val="single" w:color="000000" w:sz="8" w:space="0"/>
      </w:pBdr>
      <w:shd w:val="clear" w:color="FFFFFF" w:fill="FFFFFF"/>
      <w:spacing w:before="100" w:beforeAutospacing="1" w:after="100" w:afterAutospacing="1"/>
      <w:jc w:val="right"/>
      <w:textAlignment w:val="center"/>
    </w:pPr>
    <w:rPr>
      <w:rFonts w:ascii="宋体" w:hAnsi="宋体" w:eastAsia="宋体" w:cs="宋体"/>
      <w:kern w:val="0"/>
      <w:sz w:val="24"/>
      <w:szCs w:val="24"/>
      <w:lang w:val="en-US" w:eastAsia="zh-CN" w:bidi="ar-SA"/>
    </w:rPr>
  </w:style>
  <w:style w:type="paragraph" w:customStyle="1" w:styleId="58">
    <w:name w:val="Table Paragraph"/>
    <w:qFormat/>
    <w:uiPriority w:val="0"/>
    <w:pPr>
      <w:widowControl w:val="0"/>
      <w:jc w:val="both"/>
    </w:pPr>
    <w:rPr>
      <w:rFonts w:ascii="Droid Sans Fallback" w:hAnsi="Droid Sans Fallback" w:eastAsia="Droid Sans Fallback" w:cs="Droid Sans Fallback"/>
      <w:kern w:val="2"/>
      <w:sz w:val="21"/>
      <w:szCs w:val="24"/>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42901b29-b23b-4e8a-83b0-9d0f147c2aa1</errorID>
      <errorWord>15%-20%</errorWord>
      <group>L1_Knowledge</group>
      <groupName>知识性问题</groupName>
      <ability>L2_Knowledge</ability>
      <abilityName>其他知识</abilityName>
      <candidateList>
        <item>15%—20%</item>
      </candidateList>
      <explain>1. “15%-20%”中的单位“%”仅出现在后一个数字上，容易引起歧义；根据《现代汉语标点符号数字用法规范手册》，数字表示范围两边需要使用统一的格式。2. 根据标点国标 4.13 中的规则，数字、时间或地域连接符应使用（视觉上更长的）“—”或“～”。</explain>
      <paraID>74A7CAB8</paraID>
      <start>358</start>
      <end>365</end>
      <status>unmodified</status>
      <modifiedWord/>
      <trackRevisions>false</trackRevisions>
    </reviewItem>
    <reviewItem>
      <errorID>103055aa-0aa6-48f8-a034-52d6d30a260c</errorID>
      <errorWord>2026年08月14日</errorWord>
      <group>L1_Knowledge</group>
      <groupName>知识性问题</groupName>
      <ability>L2_Time</ability>
      <abilityName>日期时间</abilityName>
      <candidateList>
        <item>2026年8月14日</item>
      </candidateList>
      <explain>根据日常书写习惯，月份一般会省略前导零。</explain>
      <paraID>6F660848</paraID>
      <start>5</start>
      <end>16</end>
      <status>unmodified</status>
      <modifiedWord/>
      <trackRevisions>false</trackRevisions>
    </reviewItem>
    <reviewItem>
      <errorID>906f2849-3f6e-4e50-9fc8-675542cfdd3e</errorID>
      <errorWord>2026年08月20日</errorWord>
      <group>L1_Knowledge</group>
      <groupName>知识性问题</groupName>
      <ability>L2_Time</ability>
      <abilityName>日期时间</abilityName>
      <candidateList>
        <item>2026年8月20日</item>
      </candidateList>
      <explain>根据日常书写习惯，月份一般会省略前导零。</explain>
      <paraID>6F660848</paraID>
      <start>17</start>
      <end>28</end>
      <status>unmodified</status>
      <modifiedWord/>
      <trackRevisions>false</trackRevisions>
    </reviewItem>
    <reviewItem>
      <errorID>bd4018d5-c4b1-4b28-a503-41d58ab22154</errorID>
      <errorWord>上午00:00</errorWord>
      <group>L1_Knowledge</group>
      <groupName>知识性问题</groupName>
      <ability>L2_Time</ability>
      <abilityName>日期时间</abilityName>
      <candidateList/>
      <explain>时间与前缀不匹配，可能的时间前缀有“下午、晚上、凌晨、午夜”。</explain>
      <paraID>6F660848</paraID>
      <start>31</start>
      <end>38</end>
      <status>unmodified</status>
      <modifiedWord/>
      <trackRevisions>false</trackRevisions>
    </reviewItem>
    <reviewItem>
      <errorID>db49ddb1-269b-4434-b954-85ca75efb2a5</errorID>
      <errorWord>2026年08月25日</errorWord>
      <group>L1_Knowledge</group>
      <groupName>知识性问题</groupName>
      <ability>L2_Time</ability>
      <abilityName>日期时间</abilityName>
      <candidateList>
        <item>2026年8月25日</item>
      </candidateList>
      <explain>根据日常书写习惯，月份一般会省略前导零。</explain>
      <paraID>4B9EA08D</paraID>
      <start>5</start>
      <end>16</end>
      <status>unmodified</status>
      <modifiedWord/>
      <trackRevisions>false</trackRevisions>
    </reviewItem>
    <reviewItem>
      <errorID>1a59c26d-9b8c-4bb5-b625-9e24a154f9bb</errorID>
      <errorWord>2026年08月25日</errorWord>
      <group>L1_Knowledge</group>
      <groupName>知识性问题</groupName>
      <ability>L2_Time</ability>
      <abilityName>日期时间</abilityName>
      <candidateList>
        <item>2026年8月25日</item>
      </candidateList>
      <explain>根据日常书写习惯，月份一般会省略前导零。</explain>
      <paraID>116BD7F9</paraID>
      <start>5</start>
      <end>16</end>
      <status>unmodified</status>
      <modifiedWord/>
      <trackRevisions>false</trackRevisions>
    </reviewItem>
    <reviewItem>
      <errorID>01dfbf06-8582-42c1-a48b-fda42b553ed5</errorID>
      <errorWord>【2023】002号</errorWord>
      <group>L1_Knowledge</group>
      <groupName>知识性问题</groupName>
      <ability>L2_Knowledge</ability>
      <abilityName>其他知识</abilityName>
      <candidateList>
        <item>〔2023〕2号</item>
      </candidateList>
      <explain>发文字号格式错误。</explain>
      <paraID>565621E9</paraID>
      <start>27</start>
      <end>37</end>
      <status>unmodified</status>
      <modifiedWord/>
      <trackRevisions>false</trackRevisions>
    </reviewItem>
    <reviewItem>
      <errorID>a6aedcf0-a9c8-4a02-a07f-08f6f0f05a07</errorID>
      <errorWord>[2023]002号</errorWord>
      <group>L1_Knowledge</group>
      <groupName>知识性问题</groupName>
      <ability>L2_Knowledge</ability>
      <abilityName>其他知识</abilityName>
      <candidateList>
        <item>〔2023〕2号</item>
      </candidateList>
      <explain>发文字号格式错误。</explain>
      <paraID>2E3BFBCA</paraID>
      <start>16</start>
      <end>26</end>
      <status>unmodified</status>
      <modifiedWord/>
      <trackRevisions>false</trackRevisions>
    </reviewItem>
    <reviewItem>
      <errorID>598c68d7-7393-4136-b280-1382acee1b9e</errorID>
      <errorWord>[2011]300号</errorWord>
      <group>L1_Knowledge</group>
      <groupName>知识性问题</groupName>
      <ability>L2_Knowledge</ability>
      <abilityName>其他知识</abilityName>
      <candidateList>
        <item>〔2011〕300号</item>
      </candidateList>
      <explain>发文字号格式错误。</explain>
      <paraID>34F5417A</paraID>
      <start>27</start>
      <end>37</end>
      <status>unmodified</status>
      <modifiedWord/>
      <trackRevisions>false</trackRevisions>
    </reviewItem>
    <reviewItem>
      <errorID>ed51e423-747a-41db-b131-24b4094f2fb5</errorID>
      <errorWord>法律、法规</errorWord>
      <group>L1_Word</group>
      <groupName>字词问题</groupName>
      <ability>L2_Typo</ability>
      <abilityName>字词错误</abilityName>
      <candidateList>
        <item>法律法规</item>
      </candidateList>
      <explain/>
      <paraID>3AAFCB8C</paraID>
      <start>24</start>
      <end>29</end>
      <status>unmodified</status>
      <modifiedWord/>
      <trackRevisions>false</trackRevisions>
    </reviewItem>
    <reviewItem>
      <errorID>bed56354-19b1-4ac2-ae03-77a043d5611b</errorID>
      <errorWord>法律、法规</errorWord>
      <group>L1_Word</group>
      <groupName>字词问题</groupName>
      <ability>L2_Typo</ability>
      <abilityName>字词错误</abilityName>
      <candidateList>
        <item>法律法规</item>
      </candidateList>
      <explain/>
      <paraID> 2E353EB</paraID>
      <start>29</start>
      <end>34</end>
      <status>unmodified</status>
      <modifiedWord/>
      <trackRevisions>false</trackRevisions>
    </reviewItem>
    <reviewItem>
      <errorID>14a494f2-41d5-4736-9b31-565c7d9ba81a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6DF534AC</paraID>
      <start>19</start>
      <end>20</end>
      <status>unmodified</status>
      <modifiedWord/>
      <trackRevisions>false</trackRevisions>
    </reviewItem>
    <reviewItem>
      <errorID>92752332-f9b8-4bde-ace9-5837709729be</errorID>
      <errorWord>法律、法规</errorWord>
      <group>L1_Word</group>
      <groupName>字词问题</groupName>
      <ability>L2_Typo</ability>
      <abilityName>字词错误</abilityName>
      <candidateList>
        <item>法律法规</item>
      </candidateList>
      <explain/>
      <paraID>774E9451</paraID>
      <start>21</start>
      <end>26</end>
      <status>unmodified</status>
      <modifiedWord/>
      <trackRevisions>false</trackRevisions>
    </reviewItem>
    <reviewItem>
      <errorID>674a3c5b-7169-46e9-8876-e6bbdde1766f</errorID>
      <errorWord>预</errorWord>
      <group>L1_Word</group>
      <groupName>字词问题</groupName>
      <ability>L2_Typo</ability>
      <abilityName>字词错误</abilityName>
      <candidateList>
        <item>欲</item>
      </candidateList>
      <explain>存在发音相同字词的误用。</explain>
      <paraID>76F7C6C0</paraID>
      <start>2</start>
      <end>3</end>
      <status>unmodified</status>
      <modifiedWord/>
      <trackRevisions>false</trackRevisions>
    </reviewItem>
    <reviewItem>
      <errorID>65fd14db-493c-40a1-97ba-3e61f9255315</errorID>
      <errorWord>&lt;</errorWord>
      <group>L1_Format</group>
      <groupName>格式问题</groupName>
      <ability>L2_HalfPunc_CN</ability>
      <abilityName>全半角问题</abilityName>
      <candidateList>
        <item>〈</item>
      </candidateList>
      <explain>文本全半角错误。</explain>
      <paraID> 2D9B978</paraID>
      <start>50</start>
      <end>51</end>
      <status>unmodified</status>
      <modifiedWord/>
      <trackRevisions>false</trackRevisions>
    </reviewItem>
    <reviewItem>
      <errorID>5ab252d7-2c2b-48e1-8b3d-2519d85a9808</errorID>
      <errorWord>&lt;</errorWord>
      <group>L1_Format</group>
      <groupName>格式问题</groupName>
      <ability>L2_HalfPunc_CN</ability>
      <abilityName>全半角问题</abilityName>
      <candidateList>
        <item>〈</item>
      </candidateList>
      <explain>文本全半角错误。</explain>
      <paraID>58CCA955</paraID>
      <start>50</start>
      <end>51</end>
      <status>unmodified</status>
      <modifiedWord/>
      <trackRevisions>false</trackRevisions>
    </reviewItem>
    <reviewItem>
      <errorID>23780961-3fb5-4415-84ca-182a0443cd6d</errorID>
      <errorWord>&lt;</errorWord>
      <group>L1_Format</group>
      <groupName>格式问题</groupName>
      <ability>L2_HalfPunc_CN</ability>
      <abilityName>全半角问题</abilityName>
      <candidateList>
        <item>〈</item>
      </candidateList>
      <explain>文本全半角错误。</explain>
      <paraID> 8DA012E</paraID>
      <start>35</start>
      <end>36</end>
      <status>unmodified</status>
      <modifiedWord/>
      <trackRevisions>false</trackRevisions>
    </reviewItem>
    <reviewItem>
      <errorID>b55c285f-d054-4e5b-8c55-ddbc8620cd5c</errorID>
      <errorWord>，</errorWord>
      <group>L1_Word</group>
      <groupName>字词问题</groupName>
      <ability>L2_Typo</ability>
      <abilityName>字词错误</abilityName>
      <candidateList>
        <item>，并</item>
      </candidateList>
      <explain/>
      <paraID>702FDA21</paraID>
      <start>71</start>
      <end>72</end>
      <status>unmodified</status>
      <modifiedWord/>
      <trackRevisions>false</trackRevisions>
    </reviewItem>
    <reviewItem>
      <errorID>5e64eea7-c559-4df0-95b0-02cf0691d30c</errorID>
      <errorWord>详实</errorWord>
      <group>L1_Word</group>
      <groupName>字词问题</groupName>
      <ability>L2_Typo</ability>
      <abilityName>字词错误</abilityName>
      <candidateList>
        <item>翔实</item>
      </candidateList>
      <explain/>
      <paraID>4B106209</paraID>
      <start>37</start>
      <end>39</end>
      <status>unmodified</status>
      <modifiedWord/>
      <trackRevisions>false</trackRevisions>
    </reviewItem>
    <reviewItem>
      <errorID>11064f14-7fcb-4454-8a8e-4b7ac4acf240</errorID>
      <errorWord>法律、法规</errorWord>
      <group>L1_Word</group>
      <groupName>字词问题</groupName>
      <ability>L2_Typo</ability>
      <abilityName>字词错误</abilityName>
      <candidateList>
        <item>法律法规</item>
      </candidateList>
      <explain/>
      <paraID>54D180EB</paraID>
      <start>25</start>
      <end>30</end>
      <status>unmodified</status>
      <modifiedWord/>
      <trackRevisions>false</trackRevisions>
    </reviewItem>
    <reviewItem>
      <errorID>1417d66d-63bd-4ac7-a4ab-c0dcd5c049a3</errorID>
      <errorWord>,</errorWord>
      <group>L1_Format</group>
      <groupName>格式问题</groupName>
      <ability>L2_HalfPunc_CN</ability>
      <abilityName>全半角问题</abilityName>
      <candidateList>
        <item>，</item>
      </candidateList>
      <explain>文本全半角错误。</explain>
      <paraID>77E7AB9D</paraID>
      <start>27</start>
      <end>28</end>
      <status>unmodified</status>
      <modifiedWord/>
      <trackRevisions>false</trackRevisions>
    </reviewItem>
    <reviewItem>
      <errorID>effaa882-2938-44ee-abda-ea2d745fa33d</errorID>
      <errorWord>造成与</errorWord>
      <group>L1_Word</group>
      <groupName>字词问题</groupName>
      <ability>L2_Typo</ability>
      <abilityName>字词错误</abilityName>
      <candidateList>
        <item>造成</item>
      </candidateList>
      <explain/>
      <paraID>76ABA2E7</paraID>
      <start>80</start>
      <end>82</end>
      <status>modified</status>
      <modifiedWord>造成</modifiedWord>
      <trackRevisions>false</trackRevisions>
    </reviewItem>
    <reviewItem>
      <errorID>8a289fcf-b2ad-4920-9f95-d199df871914</errorID>
      <errorWord>法律、法规</errorWord>
      <group>L1_Word</group>
      <groupName>字词问题</groupName>
      <ability>L2_Typo</ability>
      <abilityName>字词错误</abilityName>
      <candidateList>
        <item>法律法规</item>
      </candidateList>
      <explain/>
      <paraID>  1F1683</paraID>
      <start>42</start>
      <end>47</end>
      <status>unmodified</status>
      <modifiedWord/>
      <trackRevisions>false</trackRevisions>
    </reviewItem>
    <reviewItem>
      <errorID>ff7d93e2-218e-4f5a-95a9-3c89c5aede6e</errorID>
      <errorWord>法律、法规</errorWord>
      <group>L1_Word</group>
      <groupName>字词问题</groupName>
      <ability>L2_Typo</ability>
      <abilityName>字词错误</abilityName>
      <candidateList>
        <item>法律法规</item>
      </candidateList>
      <explain/>
      <paraID> C991359</paraID>
      <start>19</start>
      <end>24</end>
      <status>unmodified</status>
      <modifiedWord/>
      <trackRevisions>false</trackRevisions>
    </reviewItem>
    <reviewItem>
      <errorID>a8e60f8c-ea7a-47e9-adaa-36626fc6a4ef</errorID>
      <errorWord>,</errorWord>
      <group>L1_Format</group>
      <groupName>格式问题</groupName>
      <ability>L2_HalfPunc_CN</ability>
      <abilityName>全半角问题</abilityName>
      <candidateList>
        <item>，</item>
      </candidateList>
      <explain>文本全半角错误。</explain>
      <paraID>4127C55E</paraID>
      <start>26</start>
      <end>27</end>
      <status>modified</status>
      <modifiedWord>，</modifiedWord>
      <trackRevisions>false</trackRevisions>
    </reviewItem>
    <reviewItem>
      <errorID>7228a4e9-cfdb-4a52-9975-38a8ab533343</errorID>
      <errorWord>,</errorWord>
      <group>L1_Format</group>
      <groupName>格式问题</groupName>
      <ability>L2_HalfPunc_CN</ability>
      <abilityName>全半角问题</abilityName>
      <candidateList>
        <item>，</item>
      </candidateList>
      <explain>文本全半角错误。</explain>
      <paraID>4127C55E</paraID>
      <start>35</start>
      <end>36</end>
      <status>modified</status>
      <modifiedWord>，</modifiedWord>
      <trackRevisions>false</trackRevisions>
    </reviewItem>
    <reviewItem>
      <errorID>ebcfff18-6e7c-4fcb-8fb5-db037374f85a</errorID>
      <errorWord>:</errorWord>
      <group>L1_Format</group>
      <groupName>格式问题</groupName>
      <ability>L2_HalfPunc_CN</ability>
      <abilityName>全半角问题</abilityName>
      <candidateList>
        <item>：</item>
      </candidateList>
      <explain>文本全半角错误。</explain>
      <paraID>64200AB1</paraID>
      <start>70</start>
      <end>71</end>
      <status>modified</status>
      <modifiedWord>：</modifiedWord>
      <trackRevisions>false</trackRevisions>
    </reviewItem>
    <reviewItem>
      <errorID>9760e975-dbf9-4d5d-b6b0-362f9cfc7b9e</errorID>
      <errorWord>,</errorWord>
      <group>L1_Format</group>
      <groupName>格式问题</groupName>
      <ability>L2_HalfPunc_CN</ability>
      <abilityName>全半角问题</abilityName>
      <candidateList>
        <item>，</item>
      </candidateList>
      <explain>文本全半角错误。</explain>
      <paraID> 4B0B6DC</paraID>
      <start>39</start>
      <end>40</end>
      <status>modified</status>
      <modifiedWord>，</modifiedWord>
      <trackRevisions>false</trackRevisions>
    </reviewItem>
    <reviewItem>
      <errorID>21ce9d4b-24e1-47e8-addc-bd2ce80bb11a</errorID>
      <errorWord>超过45日以上</errorWord>
      <group>L1_Grammar</group>
      <groupName>语法问题</groupName>
      <ability>L2_Grammar</ability>
      <abilityName>语法错误</abilityName>
      <candidateList>
        <item>超过45日</item>
      </candidateList>
      <explain>该表达中的“超过45日以上”存在语义重复。</explain>
      <paraID>6DAFC8A9</paraID>
      <start>12</start>
      <end>17</end>
      <status>modified</status>
      <modifiedWord>超过45日</modifiedWord>
      <trackRevisions>false</trackRevisions>
    </reviewItem>
    <reviewItem>
      <errorID>7b7236cd-3c83-46de-8107-b61c9798d634</errorID>
      <errorWord>设备台帐</errorWord>
      <group>L1_Word</group>
      <groupName>字词问题</groupName>
      <ability>L2_Alias</ability>
      <abilityName>也作/曾用词</abilityName>
      <candidateList>
        <item>设备台账</item>
      </candidateList>
      <explain>词汇[设备台帐]为不规范表述或旧称，其规范书面表述为[设备台账]。</explain>
      <paraID>36648686</paraID>
      <start>8</start>
      <end>12</end>
      <status>modified</status>
      <modifiedWord>设备台账</modifiedWord>
      <trackRevisions>false</trackRevisions>
    </reviewItem>
    <reviewItem>
      <errorID>4deb5fe5-dc0e-46f3-8a2c-8d89d7edd794</errorID>
      <errorWord>服务的</errorWord>
      <group>L1_Word</group>
      <groupName>字词问题</groupName>
      <ability>L2_Typo</ability>
      <abilityName>字词错误</abilityName>
      <candidateList>
        <item>服务</item>
      </candidateList>
      <explain>〈动〉为集体（或别人的）利益或为某种事业而工作：～行业｜为人民～｜科学为生产～｜他在邮局～了三十年。</explain>
      <paraID>37C375B7</paraID>
      <start>2</start>
      <end>4</end>
      <status>modified</status>
      <modifiedWord>服务</modifiedWord>
      <trackRevisions>false</trackRevisions>
    </reviewItem>
    <reviewItem>
      <errorID>aa2d8296-e22a-4e86-aa35-5fe760cec24d</errorID>
      <errorWord>整</errorWord>
      <group>L1_Word</group>
      <groupName>字词问题</groupName>
      <ability>L2_Typo</ability>
      <abilityName>字词错误</abilityName>
      <candidateList>
        <item>整等</item>
      </candidateList>
      <explain/>
      <paraID>32F8A544</paraID>
      <start>33</start>
      <end>34</end>
      <status>ignored</status>
      <modifiedWord/>
      <trackRevisions>false</trackRevisions>
    </reviewItem>
    <reviewItem>
      <errorID>6f78e306-c0fe-49ba-af00-f527cd827fa3</errorID>
      <errorWord>抗</errorWord>
      <group>L1_Word</group>
      <groupName>字词问题</groupName>
      <ability>L2_Typo</ability>
      <abilityName>字词错误</abilityName>
      <candidateList>
        <item>抗力</item>
      </candidateList>
      <explain/>
      <paraID>3506C043</paraID>
      <start>17</start>
      <end>19</end>
      <status>modified</status>
      <modifiedWord>抗力</modifiedWord>
      <trackRevisions>false</trackRevisions>
    </reviewItem>
    <reviewItem>
      <errorID>160ea839-4c01-491a-81b8-20ed3727bce4</errorID>
      <errorWord>分</errorWord>
      <group>L1_Word</group>
      <groupName>字词问题</groupName>
      <ability>L2_Typo</ability>
      <abilityName>字词错误</abilityName>
      <candidateList>
        <item>分为</item>
      </candidateList>
      <explain/>
      <paraID>25050E96</paraID>
      <start>13</start>
      <end>15</end>
      <status>modified</status>
      <modifiedWord>分为</modifiedWord>
      <trackRevisions>false</trackRevisions>
    </reviewItem>
    <reviewItem>
      <errorID>c0c795d7-c88b-4439-91f9-290588137708</errorID>
      <errorWord>噪音</errorWord>
      <group>L1_Word</group>
      <groupName>字词问题</groupName>
      <ability>L2_Alias</ability>
      <abilityName>也作/曾用词</abilityName>
      <candidateList>
        <item>噪声</item>
      </candidateList>
      <explain>词汇[噪音]为不规范表述或旧称，其规范书面表述为[噪声]。</explain>
      <paraID>4BE8A243</paraID>
      <start>46</start>
      <end>48</end>
      <status>modified</status>
      <modifiedWord>噪声</modifiedWord>
      <trackRevisions>false</trackRevisions>
    </reviewItem>
    <reviewItem>
      <errorID>13688637-8475-4d7a-9674-a71f4ab77a76</errorID>
      <errorWord>刮蹭</errorWord>
      <group>L1_Word</group>
      <groupName>字词问题</groupName>
      <ability>L2_Typo</ability>
      <abilityName>字词错误</abilityName>
      <candidateList>
        <item>剐蹭</item>
      </candidateList>
      <explain/>
      <paraID>75B23C74</paraID>
      <start>33</start>
      <end>35</end>
      <status>modified</status>
      <modifiedWord>剐蹭</modifiedWord>
      <trackRevisions>false</trackRevisions>
    </reviewItem>
    <reviewItem>
      <errorID>d16ef8cc-f982-465c-ac66-ed924915e799</errorID>
      <errorWord>服务的</errorWord>
      <group>L1_Word</group>
      <groupName>字词问题</groupName>
      <ability>L2_Typo</ability>
      <abilityName>字词错误</abilityName>
      <candidateList>
        <item>服务</item>
      </candidateList>
      <explain>〈动〉为集体（或别人的）利益或为某种事业而工作：～行业｜为人民～｜科学为生产～｜他在邮局～了三十年。</explain>
      <paraID>62E324BD</paraID>
      <start>2</start>
      <end>5</end>
      <status>ignored</status>
      <modifiedWord/>
      <trackRevisions>false</trackRevisions>
    </reviewItem>
    <reviewItem>
      <errorID>b68e7b4d-82b4-4472-93ee-bb7c20a1aad1</errorID>
      <errorWord>权力</errorWord>
      <group>L1_Word</group>
      <groupName>字词问题</groupName>
      <ability>L2_Typo</ability>
      <abilityName>字词错误</abilityName>
      <candidateList>
        <item>权</item>
      </candidateList>
      <explain/>
      <paraID>17879D00</paraID>
      <start>6</start>
      <end>7</end>
      <status>modified</status>
      <modifiedWord>权</modifiedWord>
      <trackRevisions>false</trackRevisions>
    </reviewItem>
    <reviewItem>
      <errorID>4b1d1716-c39d-459b-bd56-12ba763a9b60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43AE8B7</paraID>
      <start>0</start>
      <end>2</end>
      <status>modified</status>
      <modifiedWord>1.</modifiedWord>
      <trackRevisions>false</trackRevisions>
    </reviewItem>
    <reviewItem>
      <errorID>81b42775-96a4-4171-abcb-b8a459b2c300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18C67194</paraID>
      <start>0</start>
      <end>2</end>
      <status>modified</status>
      <modifiedWord>2.</modifiedWord>
      <trackRevisions>false</trackRevisions>
    </reviewItem>
    <reviewItem>
      <errorID>c55c5cdf-0dc4-4b30-a6aa-8d165bd9ee6e</errorID>
      <errorWord>权力</errorWord>
      <group>L1_Word</group>
      <groupName>字词问题</groupName>
      <ability>L2_Typo</ability>
      <abilityName>字词错误</abilityName>
      <candidateList>
        <item>权利</item>
      </candidateList>
      <explain/>
      <paraID>18C67194</paraID>
      <start>62</start>
      <end>64</end>
      <status>modified</status>
      <modifiedWord>权利</modifiedWord>
      <trackRevisions>false</trackRevisions>
    </reviewItem>
    <reviewItem>
      <errorID>f48d9063-704a-4749-8f9b-3fa72eeff2e8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2895E580</paraID>
      <start>0</start>
      <end>2</end>
      <status>modified</status>
      <modifiedWord>3.</modifiedWord>
      <trackRevisions>false</trackRevisions>
    </reviewItem>
    <reviewItem>
      <errorID>9ca66ba4-4cff-4e00-a994-d035f8f094c2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16953D1</paraID>
      <start>0</start>
      <end>2</end>
      <status>modified</status>
      <modifiedWord>4.</modifiedWord>
      <trackRevisions>false</trackRevisions>
    </reviewItem>
    <reviewItem>
      <errorID>da23bd11-3153-4764-8414-9d7077abc83d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76A7B81D</paraID>
      <start>0</start>
      <end>2</end>
      <status>modified</status>
      <modifiedWord>5.</modifiedWord>
      <trackRevisions>false</trackRevisions>
    </reviewItem>
    <reviewItem>
      <errorID>668dc90d-3bf7-47cf-bfb8-2f4ec68b59f9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4C91D258</paraID>
      <start>0</start>
      <end>2</end>
      <status>modified</status>
      <modifiedWord>6.</modifiedWord>
      <trackRevisions>false</trackRevisions>
    </reviewItem>
    <reviewItem>
      <errorID>81b22c5b-ed42-4e0a-ae98-f53ab21fa95d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1A09015C</paraID>
      <start>0</start>
      <end>2</end>
      <status>modified</status>
      <modifiedWord>7.</modifiedWord>
      <trackRevisions>false</trackRevisions>
    </reviewItem>
    <reviewItem>
      <errorID>d8febdb1-4a2c-416f-b890-f0be1491493d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156E8303</paraID>
      <start>0</start>
      <end>2</end>
      <status>modified</status>
      <modifiedWord>8.</modifiedWord>
      <trackRevisions>false</trackRevisions>
    </reviewItem>
    <reviewItem>
      <errorID>8c83c21f-183d-457c-b88d-25c2616e2c56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33571C2F</paraID>
      <start>0</start>
      <end>2</end>
      <status>modified</status>
      <modifiedWord>9.</modifiedWord>
      <trackRevisions>false</trackRevisions>
    </reviewItem>
    <reviewItem>
      <errorID>9fbd7e26-e88b-4f92-883d-1298ff9d418c</errorID>
      <errorWord>;</errorWord>
      <group>L1_Format</group>
      <groupName>格式问题</groupName>
      <ability>L2_HalfPunc_CN</ability>
      <abilityName>全半角问题</abilityName>
      <candidateList>
        <item>；</item>
      </candidateList>
      <explain>文本全半角错误。</explain>
      <paraID>24FDFE2C</paraID>
      <start>186</start>
      <end>187</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b21a56-4e25-41d4-b04d-197baf8d9b24}">
  <ds:schemaRefs/>
</ds:datastoreItem>
</file>

<file path=docProps/app.xml><?xml version="1.0" encoding="utf-8"?>
<Properties xmlns="http://schemas.openxmlformats.org/officeDocument/2006/extended-properties" xmlns:vt="http://schemas.openxmlformats.org/officeDocument/2006/docPropsVTypes">
  <Template>Normal.dotm</Template>
  <Pages>59</Pages>
  <Words>15638</Words>
  <Characters>16857</Characters>
  <Lines>0</Lines>
  <Paragraphs>0</Paragraphs>
  <TotalTime>31</TotalTime>
  <ScaleCrop>false</ScaleCrop>
  <LinksUpToDate>false</LinksUpToDate>
  <CharactersWithSpaces>17025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2024-12-10T01:34:00Z</dcterms:created>
  <dc:creator>米修素茶</dc:creator>
  <cp:lastModifiedBy>水韵</cp:lastModifiedBy>
  <cp:lastPrinted>2025-02-14T08:18:00Z</cp:lastPrinted>
  <dcterms:modified xsi:type="dcterms:W3CDTF">2026-07-15T02:24:07Z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9EC57C3AAD914CB59E4C859718CDC25A_13</vt:lpwstr>
  </property>
  <property fmtid="{D5CDD505-2E9C-101B-9397-08002B2CF9AE}" pid="4" name="KSOTemplateDocerSaveRecord">
    <vt:lpwstr>eyJoZGlkIjoiY2RmNjU4ZjNjMjdlZjA0MzViNTZhYzJjYmU1MmQ2MjgiLCJ1c2VySWQiOiI0MjcxNzk5MzAifQ==</vt:lpwstr>
  </property>
</Properties>
</file>