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CE4AA2">
      <w:pPr>
        <w:bidi w:val="0"/>
        <w:ind w:left="0" w:leftChars="0" w:firstLine="0" w:firstLineChars="0"/>
        <w:jc w:val="center"/>
        <w:outlineLvl w:val="9"/>
        <w:rPr>
          <w:rFonts w:hint="eastAsia" w:ascii="仿宋" w:hAnsi="仿宋" w:eastAsia="仿宋" w:cs="仿宋"/>
          <w:b/>
          <w:color w:val="auto"/>
          <w:spacing w:val="-20"/>
          <w:sz w:val="44"/>
          <w:szCs w:val="44"/>
          <w:highlight w:val="none"/>
          <w:u w:val="none"/>
          <w:lang w:val="en-US" w:eastAsia="zh-CN"/>
        </w:rPr>
      </w:pPr>
    </w:p>
    <w:p w14:paraId="3C4C7BD5">
      <w:pPr>
        <w:bidi w:val="0"/>
        <w:ind w:left="0" w:leftChars="0" w:firstLine="0" w:firstLineChars="0"/>
        <w:jc w:val="center"/>
        <w:outlineLvl w:val="9"/>
        <w:rPr>
          <w:rFonts w:hint="eastAsia" w:ascii="仿宋" w:hAnsi="仿宋" w:eastAsia="仿宋" w:cs="仿宋"/>
          <w:b/>
          <w:color w:val="auto"/>
          <w:spacing w:val="-20"/>
          <w:sz w:val="44"/>
          <w:szCs w:val="44"/>
          <w:highlight w:val="none"/>
          <w:lang w:val="en-US" w:eastAsia="zh-CN"/>
        </w:rPr>
      </w:pPr>
      <w:r>
        <w:rPr>
          <w:rFonts w:hint="eastAsia" w:ascii="仿宋" w:hAnsi="仿宋" w:eastAsia="仿宋" w:cs="仿宋"/>
          <w:b/>
          <w:color w:val="auto"/>
          <w:spacing w:val="-20"/>
          <w:sz w:val="52"/>
          <w:szCs w:val="52"/>
          <w:highlight w:val="none"/>
          <w:u w:val="none"/>
          <w:lang w:val="en-US" w:eastAsia="zh-CN"/>
        </w:rPr>
        <w:t>信阳职业技术学院新双高项目管理与绩效评价平台技术服务采购项目</w:t>
      </w:r>
    </w:p>
    <w:p w14:paraId="7D41A64E">
      <w:pPr>
        <w:pStyle w:val="34"/>
        <w:outlineLvl w:val="9"/>
        <w:rPr>
          <w:rFonts w:hint="eastAsia" w:ascii="仿宋" w:hAnsi="仿宋" w:eastAsia="仿宋" w:cs="仿宋"/>
          <w:b/>
          <w:color w:val="auto"/>
          <w:spacing w:val="-20"/>
          <w:sz w:val="44"/>
          <w:szCs w:val="44"/>
          <w:highlight w:val="none"/>
          <w:lang w:val="en-US" w:eastAsia="zh-CN"/>
        </w:rPr>
      </w:pPr>
    </w:p>
    <w:p w14:paraId="0A00D10B">
      <w:pPr>
        <w:pStyle w:val="34"/>
        <w:outlineLvl w:val="9"/>
        <w:rPr>
          <w:rFonts w:hint="eastAsia" w:ascii="仿宋" w:hAnsi="仿宋" w:eastAsia="仿宋" w:cs="仿宋"/>
          <w:b/>
          <w:color w:val="auto"/>
          <w:spacing w:val="-20"/>
          <w:sz w:val="44"/>
          <w:szCs w:val="44"/>
          <w:highlight w:val="none"/>
          <w:lang w:val="en-US" w:eastAsia="zh-CN"/>
        </w:rPr>
      </w:pPr>
    </w:p>
    <w:p w14:paraId="06CD3527">
      <w:pPr>
        <w:pStyle w:val="34"/>
        <w:outlineLvl w:val="9"/>
        <w:rPr>
          <w:rFonts w:hint="eastAsia" w:ascii="仿宋" w:hAnsi="仿宋" w:eastAsia="仿宋" w:cs="仿宋"/>
          <w:b/>
          <w:color w:val="auto"/>
          <w:spacing w:val="-20"/>
          <w:sz w:val="44"/>
          <w:szCs w:val="44"/>
          <w:highlight w:val="none"/>
          <w:lang w:val="en-US" w:eastAsia="zh-CN"/>
        </w:rPr>
      </w:pPr>
    </w:p>
    <w:p w14:paraId="76A61E1D">
      <w:pPr>
        <w:bidi w:val="0"/>
        <w:spacing w:line="240" w:lineRule="auto"/>
        <w:ind w:left="0" w:leftChars="0" w:firstLine="0" w:firstLineChars="0"/>
        <w:jc w:val="center"/>
        <w:outlineLvl w:val="9"/>
        <w:rPr>
          <w:rFonts w:hint="eastAsia" w:ascii="仿宋" w:hAnsi="仿宋" w:eastAsia="仿宋" w:cs="仿宋"/>
          <w:b/>
          <w:color w:val="auto"/>
          <w:sz w:val="72"/>
          <w:szCs w:val="72"/>
          <w:highlight w:val="none"/>
        </w:rPr>
      </w:pPr>
      <w:r>
        <w:rPr>
          <w:rFonts w:hint="eastAsia" w:ascii="仿宋" w:hAnsi="仿宋" w:eastAsia="仿宋" w:cs="仿宋"/>
          <w:b/>
          <w:color w:val="auto"/>
          <w:sz w:val="110"/>
          <w:szCs w:val="110"/>
          <w:highlight w:val="none"/>
          <w:lang w:eastAsia="zh-CN"/>
        </w:rPr>
        <w:t>招</w:t>
      </w:r>
      <w:r>
        <w:rPr>
          <w:rFonts w:hint="eastAsia" w:ascii="仿宋" w:hAnsi="仿宋" w:eastAsia="仿宋" w:cs="仿宋"/>
          <w:b/>
          <w:color w:val="auto"/>
          <w:sz w:val="110"/>
          <w:szCs w:val="110"/>
          <w:highlight w:val="none"/>
          <w:lang w:val="en-US" w:eastAsia="zh-CN"/>
        </w:rPr>
        <w:t xml:space="preserve"> </w:t>
      </w:r>
      <w:r>
        <w:rPr>
          <w:rFonts w:hint="eastAsia" w:ascii="仿宋" w:hAnsi="仿宋" w:eastAsia="仿宋" w:cs="仿宋"/>
          <w:b/>
          <w:color w:val="auto"/>
          <w:sz w:val="110"/>
          <w:szCs w:val="110"/>
          <w:highlight w:val="none"/>
          <w:lang w:eastAsia="zh-CN"/>
        </w:rPr>
        <w:t>标</w:t>
      </w:r>
      <w:r>
        <w:rPr>
          <w:rFonts w:hint="eastAsia" w:ascii="仿宋" w:hAnsi="仿宋" w:eastAsia="仿宋" w:cs="仿宋"/>
          <w:b/>
          <w:color w:val="auto"/>
          <w:sz w:val="110"/>
          <w:szCs w:val="110"/>
          <w:highlight w:val="none"/>
          <w:lang w:val="en-US" w:eastAsia="zh-CN"/>
        </w:rPr>
        <w:t xml:space="preserve"> </w:t>
      </w:r>
      <w:r>
        <w:rPr>
          <w:rFonts w:hint="eastAsia" w:ascii="仿宋" w:hAnsi="仿宋" w:eastAsia="仿宋" w:cs="仿宋"/>
          <w:b/>
          <w:color w:val="auto"/>
          <w:sz w:val="110"/>
          <w:szCs w:val="110"/>
          <w:highlight w:val="none"/>
          <w:lang w:eastAsia="zh-CN"/>
        </w:rPr>
        <w:t>文</w:t>
      </w:r>
      <w:r>
        <w:rPr>
          <w:rFonts w:hint="eastAsia" w:ascii="仿宋" w:hAnsi="仿宋" w:eastAsia="仿宋" w:cs="仿宋"/>
          <w:b/>
          <w:color w:val="auto"/>
          <w:sz w:val="110"/>
          <w:szCs w:val="110"/>
          <w:highlight w:val="none"/>
          <w:lang w:val="en-US" w:eastAsia="zh-CN"/>
        </w:rPr>
        <w:t xml:space="preserve"> </w:t>
      </w:r>
      <w:r>
        <w:rPr>
          <w:rFonts w:hint="eastAsia" w:ascii="仿宋" w:hAnsi="仿宋" w:eastAsia="仿宋" w:cs="仿宋"/>
          <w:b/>
          <w:color w:val="auto"/>
          <w:sz w:val="110"/>
          <w:szCs w:val="110"/>
          <w:highlight w:val="none"/>
          <w:lang w:eastAsia="zh-CN"/>
        </w:rPr>
        <w:t>件</w:t>
      </w:r>
    </w:p>
    <w:p w14:paraId="3A2C7162">
      <w:pPr>
        <w:bidi w:val="0"/>
        <w:spacing w:line="360" w:lineRule="auto"/>
        <w:ind w:left="0" w:leftChars="0" w:firstLine="0" w:firstLineChars="0"/>
        <w:jc w:val="center"/>
        <w:outlineLvl w:val="9"/>
        <w:rPr>
          <w:rFonts w:hint="default"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rPr>
        <w:t>项目编号：信财公开招标-2026-</w:t>
      </w:r>
      <w:r>
        <w:rPr>
          <w:rFonts w:hint="eastAsia" w:ascii="仿宋" w:hAnsi="仿宋" w:eastAsia="仿宋" w:cs="仿宋"/>
          <w:b/>
          <w:color w:val="auto"/>
          <w:sz w:val="32"/>
          <w:szCs w:val="32"/>
          <w:highlight w:val="none"/>
          <w:lang w:val="en-US" w:eastAsia="zh-CN"/>
        </w:rPr>
        <w:t>91</w:t>
      </w:r>
    </w:p>
    <w:p w14:paraId="4502CE39">
      <w:pPr>
        <w:bidi w:val="0"/>
        <w:spacing w:line="360" w:lineRule="auto"/>
        <w:ind w:left="0" w:leftChars="0" w:firstLine="0" w:firstLineChars="0"/>
        <w:jc w:val="center"/>
        <w:outlineLvl w:val="9"/>
        <w:rPr>
          <w:rFonts w:hint="eastAsia" w:ascii="仿宋" w:hAnsi="仿宋" w:eastAsia="仿宋" w:cs="仿宋"/>
          <w:b/>
          <w:color w:val="auto"/>
          <w:sz w:val="32"/>
          <w:szCs w:val="32"/>
          <w:highlight w:val="none"/>
          <w:lang w:val="en-US" w:eastAsia="zh-CN"/>
        </w:rPr>
      </w:pPr>
    </w:p>
    <w:p w14:paraId="10C0EDEB">
      <w:pPr>
        <w:bidi w:val="0"/>
        <w:jc w:val="center"/>
        <w:outlineLvl w:val="9"/>
        <w:rPr>
          <w:rFonts w:hint="eastAsia" w:ascii="仿宋" w:hAnsi="仿宋" w:eastAsia="仿宋" w:cs="仿宋"/>
          <w:color w:val="auto"/>
          <w:sz w:val="28"/>
          <w:highlight w:val="none"/>
        </w:rPr>
      </w:pPr>
    </w:p>
    <w:p w14:paraId="6BCB958B">
      <w:pPr>
        <w:pStyle w:val="34"/>
        <w:outlineLvl w:val="9"/>
        <w:rPr>
          <w:rFonts w:hint="eastAsia" w:ascii="仿宋" w:hAnsi="仿宋" w:eastAsia="仿宋" w:cs="仿宋"/>
          <w:color w:val="auto"/>
          <w:sz w:val="28"/>
          <w:highlight w:val="none"/>
        </w:rPr>
      </w:pPr>
    </w:p>
    <w:p w14:paraId="16C24688">
      <w:pPr>
        <w:pStyle w:val="34"/>
        <w:outlineLvl w:val="9"/>
        <w:rPr>
          <w:rFonts w:hint="eastAsia" w:ascii="仿宋" w:hAnsi="仿宋" w:eastAsia="仿宋" w:cs="仿宋"/>
          <w:color w:val="auto"/>
          <w:sz w:val="28"/>
          <w:highlight w:val="none"/>
        </w:rPr>
      </w:pPr>
    </w:p>
    <w:p w14:paraId="64D4CAD1">
      <w:pPr>
        <w:pStyle w:val="34"/>
        <w:outlineLvl w:val="9"/>
        <w:rPr>
          <w:rFonts w:hint="eastAsia" w:ascii="仿宋" w:hAnsi="仿宋" w:eastAsia="仿宋" w:cs="仿宋"/>
          <w:color w:val="auto"/>
          <w:sz w:val="28"/>
          <w:highlight w:val="none"/>
        </w:rPr>
      </w:pPr>
    </w:p>
    <w:p w14:paraId="1D089457">
      <w:pPr>
        <w:pStyle w:val="34"/>
        <w:outlineLvl w:val="9"/>
        <w:rPr>
          <w:rFonts w:hint="eastAsia" w:ascii="仿宋" w:hAnsi="仿宋" w:eastAsia="仿宋" w:cs="仿宋"/>
          <w:color w:val="auto"/>
          <w:sz w:val="28"/>
          <w:highlight w:val="none"/>
        </w:rPr>
      </w:pPr>
    </w:p>
    <w:p w14:paraId="28F7BECE">
      <w:pPr>
        <w:bidi w:val="0"/>
        <w:ind w:left="0" w:leftChars="0" w:firstLine="0" w:firstLineChars="0"/>
        <w:outlineLvl w:val="9"/>
        <w:rPr>
          <w:rFonts w:hint="eastAsia" w:ascii="仿宋" w:hAnsi="仿宋" w:eastAsia="仿宋" w:cs="仿宋"/>
          <w:color w:val="auto"/>
          <w:highlight w:val="none"/>
        </w:rPr>
      </w:pPr>
    </w:p>
    <w:p w14:paraId="407F404C">
      <w:pPr>
        <w:pStyle w:val="34"/>
        <w:ind w:left="0" w:leftChars="0" w:firstLine="0" w:firstLineChars="0"/>
        <w:outlineLvl w:val="9"/>
        <w:rPr>
          <w:rFonts w:hint="eastAsia" w:ascii="仿宋" w:hAnsi="仿宋" w:eastAsia="仿宋" w:cs="仿宋"/>
          <w:color w:val="auto"/>
          <w:highlight w:val="none"/>
        </w:rPr>
      </w:pPr>
    </w:p>
    <w:p w14:paraId="309C4E66">
      <w:pPr>
        <w:pStyle w:val="34"/>
        <w:ind w:left="0" w:leftChars="0" w:firstLine="0" w:firstLineChars="0"/>
        <w:outlineLvl w:val="9"/>
        <w:rPr>
          <w:rFonts w:hint="eastAsia" w:ascii="仿宋" w:hAnsi="仿宋" w:eastAsia="仿宋" w:cs="仿宋"/>
          <w:color w:val="auto"/>
          <w:highlight w:val="none"/>
        </w:rPr>
      </w:pPr>
    </w:p>
    <w:p w14:paraId="1AAF6E98">
      <w:pPr>
        <w:pStyle w:val="34"/>
        <w:ind w:left="0" w:leftChars="0" w:firstLine="0" w:firstLineChars="0"/>
        <w:outlineLvl w:val="9"/>
        <w:rPr>
          <w:rFonts w:hint="eastAsia" w:ascii="仿宋" w:hAnsi="仿宋" w:eastAsia="仿宋" w:cs="仿宋"/>
          <w:color w:val="auto"/>
          <w:highlight w:val="none"/>
        </w:rPr>
      </w:pPr>
    </w:p>
    <w:p w14:paraId="6630EA2E">
      <w:pPr>
        <w:pStyle w:val="34"/>
        <w:ind w:left="0" w:leftChars="0" w:firstLine="0" w:firstLineChars="0"/>
        <w:outlineLvl w:val="9"/>
        <w:rPr>
          <w:rFonts w:hint="eastAsia" w:ascii="仿宋" w:hAnsi="仿宋" w:eastAsia="仿宋" w:cs="仿宋"/>
          <w:color w:val="auto"/>
          <w:highlight w:val="none"/>
        </w:rPr>
      </w:pPr>
    </w:p>
    <w:p w14:paraId="31C6F9F5">
      <w:pPr>
        <w:pStyle w:val="34"/>
        <w:ind w:left="0" w:leftChars="0" w:firstLine="0" w:firstLineChars="0"/>
        <w:outlineLvl w:val="9"/>
        <w:rPr>
          <w:rFonts w:hint="eastAsia" w:ascii="仿宋" w:hAnsi="仿宋" w:eastAsia="仿宋" w:cs="仿宋"/>
          <w:color w:val="auto"/>
          <w:highlight w:val="none"/>
        </w:rPr>
      </w:pPr>
    </w:p>
    <w:p w14:paraId="3D5A7A4D">
      <w:pPr>
        <w:pStyle w:val="34"/>
        <w:outlineLvl w:val="9"/>
        <w:rPr>
          <w:rFonts w:hint="eastAsia" w:ascii="仿宋" w:hAnsi="仿宋" w:eastAsia="仿宋" w:cs="仿宋"/>
          <w:color w:val="auto"/>
          <w:highlight w:val="none"/>
        </w:rPr>
      </w:pPr>
    </w:p>
    <w:p w14:paraId="391313C0">
      <w:pPr>
        <w:keepNext w:val="0"/>
        <w:keepLines w:val="0"/>
        <w:pageBreakBefore w:val="0"/>
        <w:widowControl/>
        <w:kinsoku/>
        <w:wordWrap/>
        <w:overflowPunct/>
        <w:topLinePunct w:val="0"/>
        <w:autoSpaceDE/>
        <w:autoSpaceDN/>
        <w:bidi w:val="0"/>
        <w:adjustRightInd/>
        <w:snapToGrid/>
        <w:spacing w:line="360" w:lineRule="auto"/>
        <w:ind w:left="0" w:leftChars="0" w:firstLine="842" w:firstLineChars="262"/>
        <w:jc w:val="both"/>
        <w:textAlignment w:val="auto"/>
        <w:outlineLvl w:val="9"/>
        <w:rPr>
          <w:rFonts w:hint="eastAsia" w:ascii="仿宋" w:hAnsi="仿宋" w:eastAsia="仿宋" w:cs="仿宋"/>
          <w:b/>
          <w:bCs/>
          <w:color w:val="auto"/>
          <w:kern w:val="0"/>
          <w:sz w:val="32"/>
          <w:szCs w:val="32"/>
          <w:highlight w:val="none"/>
          <w:lang w:val="en-US" w:eastAsia="zh-CN"/>
        </w:rPr>
      </w:pPr>
      <w:r>
        <w:rPr>
          <w:rFonts w:hint="eastAsia" w:ascii="仿宋" w:hAnsi="仿宋" w:eastAsia="仿宋" w:cs="仿宋"/>
          <w:b/>
          <w:bCs/>
          <w:color w:val="auto"/>
          <w:kern w:val="0"/>
          <w:sz w:val="32"/>
          <w:szCs w:val="32"/>
          <w:highlight w:val="none"/>
        </w:rPr>
        <w:t>采</w:t>
      </w:r>
      <w:r>
        <w:rPr>
          <w:rFonts w:hint="eastAsia" w:ascii="仿宋" w:hAnsi="仿宋" w:eastAsia="仿宋" w:cs="仿宋"/>
          <w:b/>
          <w:bCs/>
          <w:color w:val="auto"/>
          <w:kern w:val="0"/>
          <w:sz w:val="32"/>
          <w:szCs w:val="32"/>
          <w:highlight w:val="none"/>
          <w:lang w:val="en-US" w:eastAsia="zh-CN"/>
        </w:rPr>
        <w:t xml:space="preserve">   </w:t>
      </w:r>
      <w:r>
        <w:rPr>
          <w:rFonts w:hint="eastAsia" w:ascii="仿宋" w:hAnsi="仿宋" w:eastAsia="仿宋" w:cs="仿宋"/>
          <w:b/>
          <w:bCs/>
          <w:color w:val="auto"/>
          <w:kern w:val="0"/>
          <w:sz w:val="32"/>
          <w:szCs w:val="32"/>
          <w:highlight w:val="none"/>
        </w:rPr>
        <w:t xml:space="preserve">购 </w:t>
      </w:r>
      <w:r>
        <w:rPr>
          <w:rFonts w:hint="eastAsia" w:ascii="仿宋" w:hAnsi="仿宋" w:eastAsia="仿宋" w:cs="仿宋"/>
          <w:b/>
          <w:bCs/>
          <w:color w:val="auto"/>
          <w:kern w:val="0"/>
          <w:sz w:val="32"/>
          <w:szCs w:val="32"/>
          <w:highlight w:val="none"/>
          <w:lang w:val="en-US" w:eastAsia="zh-CN"/>
        </w:rPr>
        <w:t xml:space="preserve">  </w:t>
      </w:r>
      <w:r>
        <w:rPr>
          <w:rFonts w:hint="eastAsia" w:ascii="仿宋" w:hAnsi="仿宋" w:eastAsia="仿宋" w:cs="仿宋"/>
          <w:b/>
          <w:bCs/>
          <w:color w:val="auto"/>
          <w:kern w:val="0"/>
          <w:sz w:val="32"/>
          <w:szCs w:val="32"/>
          <w:highlight w:val="none"/>
        </w:rPr>
        <w:t>人：</w:t>
      </w:r>
      <w:r>
        <w:rPr>
          <w:rFonts w:hint="eastAsia" w:ascii="仿宋" w:hAnsi="仿宋" w:eastAsia="仿宋" w:cs="仿宋"/>
          <w:b/>
          <w:bCs/>
          <w:color w:val="auto"/>
          <w:kern w:val="0"/>
          <w:sz w:val="32"/>
          <w:szCs w:val="32"/>
          <w:highlight w:val="none"/>
          <w:lang w:val="en-US" w:eastAsia="zh-CN"/>
        </w:rPr>
        <w:t>信阳职业技术学院</w:t>
      </w:r>
    </w:p>
    <w:p w14:paraId="218D54CE">
      <w:pPr>
        <w:keepNext w:val="0"/>
        <w:keepLines w:val="0"/>
        <w:pageBreakBefore w:val="0"/>
        <w:widowControl/>
        <w:kinsoku/>
        <w:wordWrap/>
        <w:overflowPunct/>
        <w:topLinePunct w:val="0"/>
        <w:autoSpaceDE/>
        <w:autoSpaceDN/>
        <w:bidi w:val="0"/>
        <w:adjustRightInd/>
        <w:snapToGrid/>
        <w:spacing w:line="360" w:lineRule="auto"/>
        <w:ind w:left="0" w:leftChars="0" w:firstLine="842" w:firstLineChars="262"/>
        <w:jc w:val="both"/>
        <w:textAlignment w:val="auto"/>
        <w:outlineLvl w:val="9"/>
        <w:rPr>
          <w:rFonts w:hint="eastAsia" w:ascii="仿宋" w:hAnsi="仿宋" w:eastAsia="仿宋" w:cs="仿宋"/>
          <w:b/>
          <w:bCs/>
          <w:color w:val="auto"/>
          <w:kern w:val="0"/>
          <w:sz w:val="32"/>
          <w:szCs w:val="32"/>
          <w:highlight w:val="none"/>
          <w:lang w:val="en-US" w:eastAsia="zh-CN"/>
        </w:rPr>
      </w:pPr>
      <w:r>
        <w:rPr>
          <w:rFonts w:hint="eastAsia" w:ascii="仿宋" w:hAnsi="仿宋" w:eastAsia="仿宋" w:cs="仿宋"/>
          <w:b/>
          <w:bCs/>
          <w:color w:val="auto"/>
          <w:kern w:val="0"/>
          <w:sz w:val="32"/>
          <w:szCs w:val="32"/>
          <w:highlight w:val="none"/>
        </w:rPr>
        <w:t>采购代理机构：</w:t>
      </w:r>
      <w:r>
        <w:rPr>
          <w:rFonts w:hint="eastAsia" w:ascii="仿宋" w:hAnsi="仿宋" w:eastAsia="仿宋" w:cs="仿宋"/>
          <w:b/>
          <w:bCs/>
          <w:color w:val="auto"/>
          <w:kern w:val="0"/>
          <w:sz w:val="32"/>
          <w:szCs w:val="32"/>
          <w:highlight w:val="none"/>
          <w:lang w:val="en-US" w:eastAsia="zh-CN"/>
        </w:rPr>
        <w:t>郑州众诚建设咨询有限公司</w:t>
      </w:r>
    </w:p>
    <w:p w14:paraId="1B619D51">
      <w:pPr>
        <w:keepNext w:val="0"/>
        <w:keepLines w:val="0"/>
        <w:pageBreakBefore w:val="0"/>
        <w:widowControl/>
        <w:kinsoku/>
        <w:wordWrap/>
        <w:overflowPunct/>
        <w:topLinePunct w:val="0"/>
        <w:autoSpaceDE/>
        <w:autoSpaceDN/>
        <w:bidi w:val="0"/>
        <w:adjustRightInd/>
        <w:snapToGrid/>
        <w:spacing w:line="360" w:lineRule="auto"/>
        <w:ind w:left="0" w:leftChars="0" w:firstLine="842" w:firstLineChars="262"/>
        <w:jc w:val="both"/>
        <w:textAlignment w:val="auto"/>
        <w:outlineLvl w:val="9"/>
        <w:rPr>
          <w:rFonts w:hint="eastAsia" w:ascii="仿宋" w:hAnsi="仿宋" w:eastAsia="仿宋" w:cs="仿宋"/>
          <w:b/>
          <w:bCs/>
          <w:color w:val="auto"/>
          <w:kern w:val="0"/>
          <w:sz w:val="32"/>
          <w:szCs w:val="32"/>
          <w:highlight w:val="none"/>
          <w:lang w:eastAsia="zh-CN"/>
        </w:rPr>
      </w:pPr>
      <w:r>
        <w:rPr>
          <w:rFonts w:hint="eastAsia" w:ascii="仿宋" w:hAnsi="仿宋" w:eastAsia="仿宋" w:cs="仿宋"/>
          <w:b/>
          <w:bCs/>
          <w:color w:val="auto"/>
          <w:kern w:val="0"/>
          <w:sz w:val="32"/>
          <w:szCs w:val="32"/>
          <w:highlight w:val="none"/>
          <w:lang w:eastAsia="zh-CN"/>
        </w:rPr>
        <w:t>日</w:t>
      </w:r>
      <w:r>
        <w:rPr>
          <w:rFonts w:hint="eastAsia" w:ascii="仿宋" w:hAnsi="仿宋" w:eastAsia="仿宋" w:cs="仿宋"/>
          <w:b/>
          <w:bCs/>
          <w:color w:val="auto"/>
          <w:kern w:val="0"/>
          <w:sz w:val="32"/>
          <w:szCs w:val="32"/>
          <w:highlight w:val="none"/>
          <w:lang w:val="en-US" w:eastAsia="zh-CN"/>
        </w:rPr>
        <w:t xml:space="preserve">        </w:t>
      </w:r>
      <w:r>
        <w:rPr>
          <w:rFonts w:hint="eastAsia" w:ascii="仿宋" w:hAnsi="仿宋" w:eastAsia="仿宋" w:cs="仿宋"/>
          <w:b/>
          <w:bCs/>
          <w:color w:val="auto"/>
          <w:kern w:val="0"/>
          <w:sz w:val="32"/>
          <w:szCs w:val="32"/>
          <w:highlight w:val="none"/>
          <w:lang w:eastAsia="zh-CN"/>
        </w:rPr>
        <w:t>期：</w:t>
      </w:r>
      <w:r>
        <w:rPr>
          <w:rFonts w:hint="eastAsia" w:ascii="仿宋" w:hAnsi="仿宋" w:eastAsia="仿宋" w:cs="仿宋"/>
          <w:b/>
          <w:bCs/>
          <w:color w:val="auto"/>
          <w:kern w:val="0"/>
          <w:sz w:val="32"/>
          <w:szCs w:val="32"/>
          <w:highlight w:val="none"/>
          <w:lang w:val="en-US" w:eastAsia="zh-CN"/>
        </w:rPr>
        <w:t xml:space="preserve"> </w:t>
      </w:r>
      <w:r>
        <w:rPr>
          <w:rFonts w:hint="eastAsia" w:ascii="仿宋" w:hAnsi="仿宋" w:eastAsia="仿宋" w:cs="仿宋"/>
          <w:b/>
          <w:bCs/>
          <w:color w:val="auto"/>
          <w:spacing w:val="7"/>
          <w:sz w:val="36"/>
          <w:szCs w:val="36"/>
          <w:highlight w:val="none"/>
        </w:rPr>
        <w:t>二〇二</w:t>
      </w:r>
      <w:r>
        <w:rPr>
          <w:rFonts w:hint="eastAsia" w:ascii="仿宋" w:hAnsi="仿宋" w:eastAsia="仿宋" w:cs="仿宋"/>
          <w:b/>
          <w:bCs/>
          <w:color w:val="auto"/>
          <w:spacing w:val="7"/>
          <w:sz w:val="36"/>
          <w:szCs w:val="36"/>
          <w:highlight w:val="none"/>
          <w:lang w:eastAsia="zh-CN"/>
        </w:rPr>
        <w:t>六</w:t>
      </w:r>
      <w:r>
        <w:rPr>
          <w:rFonts w:hint="eastAsia" w:ascii="仿宋" w:hAnsi="仿宋" w:eastAsia="仿宋" w:cs="仿宋"/>
          <w:b/>
          <w:bCs/>
          <w:color w:val="auto"/>
          <w:spacing w:val="7"/>
          <w:sz w:val="36"/>
          <w:szCs w:val="36"/>
          <w:highlight w:val="none"/>
        </w:rPr>
        <w:t>年</w:t>
      </w:r>
      <w:r>
        <w:rPr>
          <w:rFonts w:hint="eastAsia" w:ascii="仿宋" w:hAnsi="仿宋" w:eastAsia="仿宋" w:cs="仿宋"/>
          <w:b/>
          <w:bCs/>
          <w:color w:val="auto"/>
          <w:spacing w:val="7"/>
          <w:sz w:val="36"/>
          <w:szCs w:val="36"/>
          <w:highlight w:val="none"/>
          <w:lang w:val="en-US" w:eastAsia="zh-CN"/>
        </w:rPr>
        <w:t>九</w:t>
      </w:r>
      <w:r>
        <w:rPr>
          <w:rFonts w:hint="eastAsia" w:ascii="仿宋" w:hAnsi="仿宋" w:eastAsia="仿宋" w:cs="仿宋"/>
          <w:b/>
          <w:bCs/>
          <w:color w:val="auto"/>
          <w:spacing w:val="7"/>
          <w:sz w:val="36"/>
          <w:szCs w:val="36"/>
          <w:highlight w:val="none"/>
        </w:rPr>
        <w:t>月</w:t>
      </w:r>
    </w:p>
    <w:p w14:paraId="66B1CE26">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仿宋" w:hAnsi="仿宋" w:eastAsia="仿宋" w:cs="仿宋"/>
          <w:color w:val="auto"/>
          <w:sz w:val="44"/>
          <w:szCs w:val="44"/>
          <w:highlight w:val="none"/>
        </w:rPr>
        <w:sectPr>
          <w:headerReference r:id="rId6" w:type="first"/>
          <w:headerReference r:id="rId5" w:type="default"/>
          <w:footerReference r:id="rId7" w:type="even"/>
          <w:pgSz w:w="11905" w:h="16838"/>
          <w:pgMar w:top="1417" w:right="1417" w:bottom="1417" w:left="1417" w:header="850" w:footer="850" w:gutter="0"/>
          <w:pgBorders>
            <w:top w:val="none" w:sz="0" w:space="0"/>
            <w:left w:val="none" w:sz="0" w:space="0"/>
            <w:bottom w:val="none" w:sz="0" w:space="0"/>
            <w:right w:val="none" w:sz="0" w:space="0"/>
          </w:pgBorders>
          <w:pgNumType w:fmt="decimal" w:start="1"/>
          <w:cols w:space="0" w:num="1"/>
          <w:rtlGutter w:val="0"/>
          <w:docGrid w:type="lines" w:linePitch="412" w:charSpace="0"/>
        </w:sectPr>
      </w:pPr>
    </w:p>
    <w:p w14:paraId="0D6F57D7">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center"/>
        <w:textAlignment w:val="auto"/>
        <w:outlineLvl w:val="9"/>
        <w:rPr>
          <w:rFonts w:hint="eastAsia" w:ascii="仿宋" w:hAnsi="仿宋" w:eastAsia="仿宋" w:cs="仿宋"/>
          <w:color w:val="auto"/>
          <w:sz w:val="32"/>
          <w:szCs w:val="32"/>
          <w:highlight w:val="none"/>
        </w:rPr>
      </w:pPr>
      <w:r>
        <w:rPr>
          <w:rFonts w:hint="eastAsia" w:ascii="仿宋" w:hAnsi="仿宋" w:eastAsia="仿宋" w:cs="仿宋"/>
          <w:b/>
          <w:bCs/>
          <w:color w:val="auto"/>
          <w:sz w:val="36"/>
          <w:szCs w:val="36"/>
          <w:highlight w:val="none"/>
        </w:rPr>
        <w:t>致政府采购供应商和代理机构的一封信</w:t>
      </w:r>
    </w:p>
    <w:p w14:paraId="52A1A6EE">
      <w:pPr>
        <w:keepNext w:val="0"/>
        <w:keepLines w:val="0"/>
        <w:pageBreakBefore w:val="0"/>
        <w:widowControl w:val="0"/>
        <w:kinsoku/>
        <w:wordWrap/>
        <w:overflowPunct/>
        <w:topLinePunct w:val="0"/>
        <w:autoSpaceDE/>
        <w:autoSpaceDN/>
        <w:bidi w:val="0"/>
        <w:adjustRightInd/>
        <w:snapToGrid/>
        <w:spacing w:line="420" w:lineRule="exact"/>
        <w:jc w:val="left"/>
        <w:textAlignment w:val="auto"/>
        <w:outlineLvl w:val="9"/>
        <w:rPr>
          <w:rFonts w:hint="eastAsia" w:ascii="仿宋" w:hAnsi="仿宋" w:eastAsia="仿宋" w:cs="仿宋"/>
          <w:color w:val="auto"/>
          <w:sz w:val="21"/>
          <w:szCs w:val="21"/>
          <w:highlight w:val="none"/>
        </w:rPr>
      </w:pPr>
    </w:p>
    <w:p w14:paraId="1239A0F4">
      <w:pPr>
        <w:keepNext w:val="0"/>
        <w:keepLines w:val="0"/>
        <w:pageBreakBefore w:val="0"/>
        <w:widowControl w:val="0"/>
        <w:kinsoku/>
        <w:wordWrap/>
        <w:overflowPunct/>
        <w:topLinePunct w:val="0"/>
        <w:autoSpaceDE/>
        <w:autoSpaceDN/>
        <w:bidi w:val="0"/>
        <w:adjustRightInd/>
        <w:snapToGrid/>
        <w:spacing w:line="420" w:lineRule="exact"/>
        <w:jc w:val="left"/>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尊敬的政府采购供应商、代理机构：</w:t>
      </w:r>
    </w:p>
    <w:p w14:paraId="71901F91">
      <w:pPr>
        <w:keepNext w:val="0"/>
        <w:keepLines w:val="0"/>
        <w:pageBreakBefore w:val="0"/>
        <w:widowControl w:val="0"/>
        <w:kinsoku/>
        <w:wordWrap/>
        <w:overflowPunct/>
        <w:topLinePunct w:val="0"/>
        <w:autoSpaceDE/>
        <w:autoSpaceDN/>
        <w:bidi w:val="0"/>
        <w:adjustRightInd/>
        <w:snapToGrid/>
        <w:spacing w:line="420" w:lineRule="exact"/>
        <w:jc w:val="left"/>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您好！非常感谢您一直以来对信阳市政府采购活动的关心和支持！</w:t>
      </w:r>
    </w:p>
    <w:p w14:paraId="6A996A87">
      <w:pPr>
        <w:keepNext w:val="0"/>
        <w:keepLines w:val="0"/>
        <w:pageBreakBefore w:val="0"/>
        <w:widowControl w:val="0"/>
        <w:kinsoku/>
        <w:wordWrap/>
        <w:overflowPunct/>
        <w:topLinePunct w:val="0"/>
        <w:autoSpaceDE/>
        <w:autoSpaceDN/>
        <w:bidi w:val="0"/>
        <w:adjustRightInd/>
        <w:snapToGrid/>
        <w:spacing w:line="420" w:lineRule="exact"/>
        <w:jc w:val="left"/>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近年来，信阳市财政局坚持以“服务企业、服务市场、服务基层”为出发点，以规范制度为抓手，以便民利企为目标，通过完善政府采购制度，优化政府采购流程，压缩办理时限，持续提升政府采购电子化水平，推进政府采购工作高效、规范、阳光运行。</w:t>
      </w:r>
    </w:p>
    <w:p w14:paraId="44C67A05">
      <w:pPr>
        <w:keepNext w:val="0"/>
        <w:keepLines w:val="0"/>
        <w:pageBreakBefore w:val="0"/>
        <w:widowControl w:val="0"/>
        <w:kinsoku/>
        <w:wordWrap/>
        <w:overflowPunct/>
        <w:topLinePunct w:val="0"/>
        <w:autoSpaceDE/>
        <w:autoSpaceDN/>
        <w:bidi w:val="0"/>
        <w:adjustRightInd/>
        <w:snapToGrid/>
        <w:spacing w:line="420" w:lineRule="exact"/>
        <w:jc w:val="left"/>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为持续优化信阳市政府采购领域营商环境，信阳市财政局成立优化营商环境工作领导小组，定期召开优化营商环境调度会、推进会，党组成员带头解决重大问题，带头完成节点任务，带头落实惠企政策，以工作机制创新推进工作延伸。一是持续为各交易主体提供优质服务。在法律职权内明确采购人主体责任，减少审批事项；汇编印发政府采购相关政策规定和政府采购操作指南及流程图，方便各交易主体参与我市政府采购活动；启用“不见面开标评标”系统，实现招标采购的全流程电子化。二是落实惠企政策。免收招标文件费用、投标保证金、履约保证金，货物类、服务类政府采购项目免收质量保证金，工程类政府采购项目收取不超过合同金额3%的质量保证金，且不得以现金形式收取，建议采购人根据项目实际情况免收质量保证金；给予中小微企业价格扣除优惠，货物服务采购项目给予小微企业报价的15%-20%（工程项目为5%）扣除优惠，用扣除后的价格参与评审；鼓励采购人提高首付款或预付款比例，首付款或预付款支付比例原则上不低于合同金额的50%，对于中小微企业，首付款或预付款支付比例可提高至不低于合同金额的70%；加大政府采购合同融资政策宣传，推进政府采购合同融资，为中标企业开辟融资“绿色通道”。三是设置政府采购项目服务专员，提供全流程服务。信阳市财政局在每个部门预算科室设立一名政府采购项目服务专员，全流程为中标供应商服务。在政府采购项目中，遇到任何问题均可以和服务专员联系，如采购人不按照规定签订合同、不按照合同约定对项目履约验收、不按照合同约定付款等问题。</w:t>
      </w:r>
    </w:p>
    <w:p w14:paraId="37CEFCCF">
      <w:pPr>
        <w:keepNext w:val="0"/>
        <w:keepLines w:val="0"/>
        <w:pageBreakBefore w:val="0"/>
        <w:widowControl w:val="0"/>
        <w:kinsoku/>
        <w:wordWrap/>
        <w:overflowPunct/>
        <w:topLinePunct w:val="0"/>
        <w:autoSpaceDE/>
        <w:autoSpaceDN/>
        <w:bidi w:val="0"/>
        <w:adjustRightInd/>
        <w:snapToGrid/>
        <w:spacing w:line="420" w:lineRule="exact"/>
        <w:jc w:val="left"/>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尽管做了一些工作，但我们深知，离贵公司的期望还有差距。恳请贵公司对我们的工作提出宝贵意见，并持续给予关注、支持和监督！</w:t>
      </w:r>
    </w:p>
    <w:p w14:paraId="412396BA">
      <w:pPr>
        <w:keepNext w:val="0"/>
        <w:keepLines w:val="0"/>
        <w:pageBreakBefore w:val="0"/>
        <w:widowControl w:val="0"/>
        <w:kinsoku/>
        <w:wordWrap/>
        <w:overflowPunct/>
        <w:topLinePunct w:val="0"/>
        <w:autoSpaceDE/>
        <w:autoSpaceDN/>
        <w:bidi w:val="0"/>
        <w:adjustRightInd/>
        <w:snapToGrid/>
        <w:spacing w:line="420" w:lineRule="exact"/>
        <w:jc w:val="left"/>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凡涉及信阳市政府采购领域营商环境的任何问题，贵公司均可通过专线电话0376-6699123、电子邮箱czyszb228@163.com，与信阳市财政局优化营商环境办公室随时沟通交流，我们将竭诚为各位供应商服务，全力解决贵公司遇到的困难。</w:t>
      </w:r>
    </w:p>
    <w:p w14:paraId="4B351D31">
      <w:pPr>
        <w:keepNext w:val="0"/>
        <w:keepLines w:val="0"/>
        <w:pageBreakBefore w:val="0"/>
        <w:widowControl w:val="0"/>
        <w:kinsoku/>
        <w:wordWrap/>
        <w:overflowPunct/>
        <w:topLinePunct w:val="0"/>
        <w:autoSpaceDE/>
        <w:autoSpaceDN/>
        <w:bidi w:val="0"/>
        <w:adjustRightInd/>
        <w:snapToGrid/>
        <w:spacing w:line="420" w:lineRule="exact"/>
        <w:jc w:val="left"/>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再次感谢贵公司对信阳市政府采购工作的关心和支持！</w:t>
      </w:r>
    </w:p>
    <w:p w14:paraId="33F62001">
      <w:pPr>
        <w:keepNext w:val="0"/>
        <w:keepLines w:val="0"/>
        <w:pageBreakBefore w:val="0"/>
        <w:widowControl w:val="0"/>
        <w:kinsoku/>
        <w:wordWrap/>
        <w:overflowPunct/>
        <w:topLinePunct w:val="0"/>
        <w:autoSpaceDE/>
        <w:autoSpaceDN/>
        <w:bidi w:val="0"/>
        <w:adjustRightInd/>
        <w:snapToGrid/>
        <w:spacing w:line="420" w:lineRule="exact"/>
        <w:ind w:firstLine="6930" w:firstLineChars="3300"/>
        <w:jc w:val="left"/>
        <w:textAlignment w:val="auto"/>
        <w:outlineLvl w:val="9"/>
        <w:rPr>
          <w:rFonts w:hint="eastAsia" w:ascii="仿宋" w:hAnsi="仿宋" w:eastAsia="仿宋" w:cs="仿宋"/>
          <w:color w:val="auto"/>
          <w:sz w:val="21"/>
          <w:szCs w:val="21"/>
          <w:highlight w:val="none"/>
        </w:rPr>
      </w:pPr>
    </w:p>
    <w:p w14:paraId="0BF6B57A">
      <w:pPr>
        <w:keepNext w:val="0"/>
        <w:keepLines w:val="0"/>
        <w:pageBreakBefore w:val="0"/>
        <w:widowControl w:val="0"/>
        <w:kinsoku/>
        <w:wordWrap/>
        <w:overflowPunct/>
        <w:topLinePunct w:val="0"/>
        <w:autoSpaceDE/>
        <w:autoSpaceDN/>
        <w:bidi w:val="0"/>
        <w:adjustRightInd/>
        <w:snapToGrid/>
        <w:spacing w:line="420" w:lineRule="exact"/>
        <w:ind w:firstLine="6930" w:firstLineChars="3300"/>
        <w:jc w:val="left"/>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21"/>
          <w:szCs w:val="21"/>
          <w:highlight w:val="none"/>
        </w:rPr>
        <w:t>信阳市财政局</w:t>
      </w:r>
    </w:p>
    <w:p w14:paraId="215B6BB6">
      <w:pPr>
        <w:pStyle w:val="5"/>
        <w:outlineLvl w:val="9"/>
        <w:rPr>
          <w:rFonts w:hint="eastAsia" w:ascii="仿宋" w:hAnsi="仿宋" w:eastAsia="仿宋" w:cs="仿宋"/>
          <w:color w:val="auto"/>
          <w:highlight w:val="none"/>
        </w:rPr>
        <w:sectPr>
          <w:footerReference r:id="rId8" w:type="default"/>
          <w:pgSz w:w="11905" w:h="16838"/>
          <w:pgMar w:top="1417" w:right="1417" w:bottom="1417" w:left="1417" w:header="850" w:footer="850" w:gutter="0"/>
          <w:pgBorders>
            <w:top w:val="none" w:sz="0" w:space="0"/>
            <w:left w:val="none" w:sz="0" w:space="0"/>
            <w:bottom w:val="none" w:sz="0" w:space="0"/>
            <w:right w:val="none" w:sz="0" w:space="0"/>
          </w:pgBorders>
          <w:pgNumType w:fmt="numberInDash" w:start="1"/>
          <w:cols w:space="0" w:num="1"/>
          <w:rtlGutter w:val="0"/>
          <w:docGrid w:type="lines" w:linePitch="412" w:charSpace="0"/>
        </w:sectPr>
      </w:pPr>
    </w:p>
    <w:sdt>
      <w:sdtPr>
        <w:rPr>
          <w:rFonts w:hint="eastAsia" w:ascii="仿宋" w:hAnsi="仿宋" w:eastAsia="仿宋" w:cs="仿宋"/>
          <w:color w:val="auto"/>
          <w:kern w:val="2"/>
          <w:sz w:val="21"/>
          <w:szCs w:val="22"/>
          <w:highlight w:val="none"/>
          <w:lang w:val="en-US" w:eastAsia="zh-CN" w:bidi="ar-SA"/>
        </w:rPr>
        <w:id w:val="147452115"/>
        <w15:color w:val="DBDBDB"/>
        <w:docPartObj>
          <w:docPartGallery w:val="Table of Contents"/>
          <w:docPartUnique/>
        </w:docPartObj>
      </w:sdtPr>
      <w:sdtEndPr>
        <w:rPr>
          <w:rFonts w:hint="eastAsia" w:ascii="仿宋" w:hAnsi="仿宋" w:eastAsia="仿宋" w:cs="仿宋"/>
          <w:color w:val="auto"/>
          <w:spacing w:val="14"/>
          <w:kern w:val="0"/>
          <w:sz w:val="20"/>
          <w:szCs w:val="44"/>
          <w:highlight w:val="none"/>
          <w:lang w:val="en-US" w:eastAsia="zh-CN" w:bidi="ar-SA"/>
        </w:rPr>
      </w:sdtEndPr>
      <w:sdtContent>
        <w:p w14:paraId="2B74227F">
          <w:pPr>
            <w:spacing w:before="0" w:beforeLines="0" w:after="0" w:afterLines="0" w:line="240" w:lineRule="auto"/>
            <w:ind w:left="0" w:leftChars="0" w:right="0" w:rightChars="0" w:firstLine="0" w:firstLineChars="0"/>
            <w:jc w:val="center"/>
            <w:rPr>
              <w:rFonts w:hint="eastAsia" w:ascii="仿宋" w:hAnsi="仿宋" w:eastAsia="仿宋" w:cs="仿宋"/>
              <w:color w:val="auto"/>
              <w:highlight w:val="none"/>
            </w:rPr>
          </w:pPr>
          <w:r>
            <w:rPr>
              <w:rFonts w:hint="eastAsia" w:ascii="仿宋" w:hAnsi="仿宋" w:eastAsia="仿宋" w:cs="仿宋"/>
              <w:b/>
              <w:bCs/>
              <w:color w:val="auto"/>
              <w:sz w:val="36"/>
              <w:szCs w:val="36"/>
              <w:highlight w:val="none"/>
            </w:rPr>
            <w:t>目</w:t>
          </w:r>
          <w:r>
            <w:rPr>
              <w:rFonts w:hint="eastAsia" w:ascii="仿宋" w:hAnsi="仿宋" w:eastAsia="仿宋" w:cs="仿宋"/>
              <w:b/>
              <w:bCs/>
              <w:color w:val="auto"/>
              <w:sz w:val="36"/>
              <w:szCs w:val="36"/>
              <w:highlight w:val="none"/>
              <w:lang w:val="en-US" w:eastAsia="zh-CN"/>
            </w:rPr>
            <w:t xml:space="preserve"> </w:t>
          </w:r>
          <w:r>
            <w:rPr>
              <w:rFonts w:hint="eastAsia" w:ascii="仿宋" w:hAnsi="仿宋" w:eastAsia="仿宋" w:cs="仿宋"/>
              <w:b/>
              <w:bCs/>
              <w:color w:val="auto"/>
              <w:sz w:val="36"/>
              <w:szCs w:val="36"/>
              <w:highlight w:val="none"/>
            </w:rPr>
            <w:t>录</w:t>
          </w:r>
        </w:p>
        <w:p w14:paraId="5DE45A77">
          <w:pPr>
            <w:pStyle w:val="11"/>
            <w:tabs>
              <w:tab w:val="right" w:leader="dot" w:pos="9071"/>
            </w:tabs>
            <w:ind w:left="0" w:leftChars="0" w:firstLine="0" w:firstLineChars="0"/>
            <w:rPr>
              <w:rFonts w:hint="eastAsia" w:ascii="仿宋" w:hAnsi="仿宋" w:eastAsia="仿宋" w:cs="仿宋"/>
              <w:b/>
              <w:bCs/>
              <w:color w:val="auto"/>
              <w:sz w:val="32"/>
              <w:szCs w:val="32"/>
              <w:highlight w:val="none"/>
            </w:rPr>
          </w:pPr>
          <w:r>
            <w:rPr>
              <w:rFonts w:hint="eastAsia" w:ascii="仿宋" w:hAnsi="仿宋" w:eastAsia="仿宋" w:cs="仿宋"/>
              <w:b/>
              <w:color w:val="auto"/>
              <w:spacing w:val="14"/>
              <w:sz w:val="44"/>
              <w:szCs w:val="44"/>
              <w:highlight w:val="none"/>
            </w:rPr>
            <w:fldChar w:fldCharType="begin"/>
          </w:r>
          <w:r>
            <w:rPr>
              <w:rFonts w:hint="eastAsia" w:ascii="仿宋" w:hAnsi="仿宋" w:eastAsia="仿宋" w:cs="仿宋"/>
              <w:b/>
              <w:color w:val="auto"/>
              <w:spacing w:val="14"/>
              <w:sz w:val="44"/>
              <w:szCs w:val="44"/>
              <w:highlight w:val="none"/>
            </w:rPr>
            <w:instrText xml:space="preserve">TOC \o "1-1" \h \u </w:instrText>
          </w:r>
          <w:r>
            <w:rPr>
              <w:rFonts w:hint="eastAsia" w:ascii="仿宋" w:hAnsi="仿宋" w:eastAsia="仿宋" w:cs="仿宋"/>
              <w:b/>
              <w:color w:val="auto"/>
              <w:spacing w:val="14"/>
              <w:sz w:val="44"/>
              <w:szCs w:val="44"/>
              <w:highlight w:val="none"/>
            </w:rPr>
            <w:fldChar w:fldCharType="separate"/>
          </w:r>
          <w:r>
            <w:rPr>
              <w:rFonts w:hint="eastAsia" w:ascii="仿宋" w:hAnsi="仿宋" w:eastAsia="仿宋" w:cs="仿宋"/>
              <w:b/>
              <w:bCs/>
              <w:color w:val="auto"/>
              <w:spacing w:val="14"/>
              <w:sz w:val="32"/>
              <w:szCs w:val="32"/>
              <w:highlight w:val="none"/>
            </w:rPr>
            <w:fldChar w:fldCharType="begin"/>
          </w:r>
          <w:r>
            <w:rPr>
              <w:rFonts w:hint="eastAsia" w:ascii="仿宋" w:hAnsi="仿宋" w:eastAsia="仿宋" w:cs="仿宋"/>
              <w:b/>
              <w:bCs/>
              <w:color w:val="auto"/>
              <w:spacing w:val="14"/>
              <w:sz w:val="32"/>
              <w:szCs w:val="32"/>
              <w:highlight w:val="none"/>
            </w:rPr>
            <w:instrText xml:space="preserve"> HYPERLINK \l _Toc32405 </w:instrText>
          </w:r>
          <w:r>
            <w:rPr>
              <w:rFonts w:hint="eastAsia" w:ascii="仿宋" w:hAnsi="仿宋" w:eastAsia="仿宋" w:cs="仿宋"/>
              <w:b/>
              <w:bCs/>
              <w:color w:val="auto"/>
              <w:spacing w:val="14"/>
              <w:sz w:val="32"/>
              <w:szCs w:val="32"/>
              <w:highlight w:val="none"/>
            </w:rPr>
            <w:fldChar w:fldCharType="separate"/>
          </w:r>
          <w:r>
            <w:rPr>
              <w:rFonts w:hint="eastAsia" w:ascii="仿宋" w:hAnsi="仿宋" w:eastAsia="仿宋" w:cs="仿宋"/>
              <w:b/>
              <w:bCs/>
              <w:color w:val="auto"/>
              <w:sz w:val="32"/>
              <w:szCs w:val="32"/>
              <w:highlight w:val="none"/>
              <w:lang w:val="en-US" w:eastAsia="zh-CN" w:bidi="ar-SA"/>
            </w:rPr>
            <w:t>第一章 招标公告</w:t>
          </w:r>
          <w:r>
            <w:rPr>
              <w:rFonts w:hint="eastAsia" w:ascii="仿宋" w:hAnsi="仿宋" w:eastAsia="仿宋" w:cs="仿宋"/>
              <w:b/>
              <w:bCs/>
              <w:color w:val="auto"/>
              <w:sz w:val="32"/>
              <w:szCs w:val="32"/>
              <w:highlight w:val="none"/>
            </w:rPr>
            <w:tab/>
          </w:r>
          <w:r>
            <w:rPr>
              <w:rFonts w:hint="eastAsia" w:ascii="仿宋" w:hAnsi="仿宋" w:eastAsia="仿宋" w:cs="仿宋"/>
              <w:b/>
              <w:bCs/>
              <w:color w:val="auto"/>
              <w:sz w:val="32"/>
              <w:szCs w:val="32"/>
              <w:highlight w:val="none"/>
            </w:rPr>
            <w:fldChar w:fldCharType="begin"/>
          </w:r>
          <w:r>
            <w:rPr>
              <w:rFonts w:hint="eastAsia" w:ascii="仿宋" w:hAnsi="仿宋" w:eastAsia="仿宋" w:cs="仿宋"/>
              <w:b/>
              <w:bCs/>
              <w:color w:val="auto"/>
              <w:sz w:val="32"/>
              <w:szCs w:val="32"/>
              <w:highlight w:val="none"/>
            </w:rPr>
            <w:instrText xml:space="preserve"> PAGEREF _Toc32405 \h </w:instrText>
          </w:r>
          <w:r>
            <w:rPr>
              <w:rFonts w:hint="eastAsia" w:ascii="仿宋" w:hAnsi="仿宋" w:eastAsia="仿宋" w:cs="仿宋"/>
              <w:b/>
              <w:bCs/>
              <w:color w:val="auto"/>
              <w:sz w:val="32"/>
              <w:szCs w:val="32"/>
              <w:highlight w:val="none"/>
            </w:rPr>
            <w:fldChar w:fldCharType="separate"/>
          </w:r>
          <w:r>
            <w:rPr>
              <w:rFonts w:hint="eastAsia" w:ascii="仿宋" w:hAnsi="仿宋" w:eastAsia="仿宋" w:cs="仿宋"/>
              <w:b/>
              <w:bCs/>
              <w:color w:val="auto"/>
              <w:sz w:val="32"/>
              <w:szCs w:val="32"/>
              <w:highlight w:val="none"/>
            </w:rPr>
            <w:t>- 5 -</w:t>
          </w:r>
          <w:r>
            <w:rPr>
              <w:rFonts w:hint="eastAsia" w:ascii="仿宋" w:hAnsi="仿宋" w:eastAsia="仿宋" w:cs="仿宋"/>
              <w:b/>
              <w:bCs/>
              <w:color w:val="auto"/>
              <w:sz w:val="32"/>
              <w:szCs w:val="32"/>
              <w:highlight w:val="none"/>
            </w:rPr>
            <w:fldChar w:fldCharType="end"/>
          </w:r>
          <w:r>
            <w:rPr>
              <w:rFonts w:hint="eastAsia" w:ascii="仿宋" w:hAnsi="仿宋" w:eastAsia="仿宋" w:cs="仿宋"/>
              <w:b/>
              <w:bCs/>
              <w:color w:val="auto"/>
              <w:spacing w:val="14"/>
              <w:sz w:val="32"/>
              <w:szCs w:val="32"/>
              <w:highlight w:val="none"/>
            </w:rPr>
            <w:fldChar w:fldCharType="end"/>
          </w:r>
        </w:p>
        <w:p w14:paraId="543B223F">
          <w:pPr>
            <w:pStyle w:val="11"/>
            <w:tabs>
              <w:tab w:val="right" w:leader="dot" w:pos="9071"/>
            </w:tabs>
            <w:ind w:left="0" w:leftChars="0" w:firstLine="0" w:firstLineChars="0"/>
            <w:rPr>
              <w:rFonts w:hint="eastAsia" w:ascii="仿宋" w:hAnsi="仿宋" w:eastAsia="仿宋" w:cs="仿宋"/>
              <w:b/>
              <w:bCs/>
              <w:color w:val="auto"/>
              <w:sz w:val="32"/>
              <w:szCs w:val="32"/>
              <w:highlight w:val="none"/>
            </w:rPr>
          </w:pPr>
          <w:r>
            <w:rPr>
              <w:rFonts w:hint="eastAsia" w:ascii="仿宋" w:hAnsi="仿宋" w:eastAsia="仿宋" w:cs="仿宋"/>
              <w:b/>
              <w:bCs/>
              <w:color w:val="auto"/>
              <w:spacing w:val="14"/>
              <w:sz w:val="32"/>
              <w:szCs w:val="32"/>
              <w:highlight w:val="none"/>
            </w:rPr>
            <w:fldChar w:fldCharType="begin"/>
          </w:r>
          <w:r>
            <w:rPr>
              <w:rFonts w:hint="eastAsia" w:ascii="仿宋" w:hAnsi="仿宋" w:eastAsia="仿宋" w:cs="仿宋"/>
              <w:b/>
              <w:bCs/>
              <w:color w:val="auto"/>
              <w:spacing w:val="14"/>
              <w:sz w:val="32"/>
              <w:szCs w:val="32"/>
              <w:highlight w:val="none"/>
            </w:rPr>
            <w:instrText xml:space="preserve"> HYPERLINK \l _Toc15911 </w:instrText>
          </w:r>
          <w:r>
            <w:rPr>
              <w:rFonts w:hint="eastAsia" w:ascii="仿宋" w:hAnsi="仿宋" w:eastAsia="仿宋" w:cs="仿宋"/>
              <w:b/>
              <w:bCs/>
              <w:color w:val="auto"/>
              <w:spacing w:val="14"/>
              <w:sz w:val="32"/>
              <w:szCs w:val="32"/>
              <w:highlight w:val="none"/>
            </w:rPr>
            <w:fldChar w:fldCharType="separate"/>
          </w:r>
          <w:r>
            <w:rPr>
              <w:rFonts w:hint="eastAsia" w:ascii="仿宋" w:hAnsi="仿宋" w:eastAsia="仿宋" w:cs="仿宋"/>
              <w:b/>
              <w:bCs/>
              <w:color w:val="auto"/>
              <w:kern w:val="2"/>
              <w:sz w:val="32"/>
              <w:szCs w:val="32"/>
              <w:highlight w:val="none"/>
              <w:lang w:val="en-US" w:eastAsia="zh-CN" w:bidi="ar-SA"/>
            </w:rPr>
            <w:t>第二章 投标人须知</w:t>
          </w:r>
          <w:r>
            <w:rPr>
              <w:rFonts w:hint="eastAsia" w:ascii="仿宋" w:hAnsi="仿宋" w:eastAsia="仿宋" w:cs="仿宋"/>
              <w:b/>
              <w:bCs/>
              <w:color w:val="auto"/>
              <w:sz w:val="32"/>
              <w:szCs w:val="32"/>
              <w:highlight w:val="none"/>
            </w:rPr>
            <w:tab/>
          </w:r>
          <w:r>
            <w:rPr>
              <w:rFonts w:hint="eastAsia" w:ascii="仿宋" w:hAnsi="仿宋" w:eastAsia="仿宋" w:cs="仿宋"/>
              <w:b/>
              <w:bCs/>
              <w:color w:val="auto"/>
              <w:sz w:val="32"/>
              <w:szCs w:val="32"/>
              <w:highlight w:val="none"/>
            </w:rPr>
            <w:fldChar w:fldCharType="begin"/>
          </w:r>
          <w:r>
            <w:rPr>
              <w:rFonts w:hint="eastAsia" w:ascii="仿宋" w:hAnsi="仿宋" w:eastAsia="仿宋" w:cs="仿宋"/>
              <w:b/>
              <w:bCs/>
              <w:color w:val="auto"/>
              <w:sz w:val="32"/>
              <w:szCs w:val="32"/>
              <w:highlight w:val="none"/>
            </w:rPr>
            <w:instrText xml:space="preserve"> PAGEREF _Toc15911 \h </w:instrText>
          </w:r>
          <w:r>
            <w:rPr>
              <w:rFonts w:hint="eastAsia" w:ascii="仿宋" w:hAnsi="仿宋" w:eastAsia="仿宋" w:cs="仿宋"/>
              <w:b/>
              <w:bCs/>
              <w:color w:val="auto"/>
              <w:sz w:val="32"/>
              <w:szCs w:val="32"/>
              <w:highlight w:val="none"/>
            </w:rPr>
            <w:fldChar w:fldCharType="separate"/>
          </w:r>
          <w:r>
            <w:rPr>
              <w:rFonts w:hint="eastAsia" w:ascii="仿宋" w:hAnsi="仿宋" w:eastAsia="仿宋" w:cs="仿宋"/>
              <w:b/>
              <w:bCs/>
              <w:color w:val="auto"/>
              <w:sz w:val="32"/>
              <w:szCs w:val="32"/>
              <w:highlight w:val="none"/>
            </w:rPr>
            <w:t>- 9 -</w:t>
          </w:r>
          <w:r>
            <w:rPr>
              <w:rFonts w:hint="eastAsia" w:ascii="仿宋" w:hAnsi="仿宋" w:eastAsia="仿宋" w:cs="仿宋"/>
              <w:b/>
              <w:bCs/>
              <w:color w:val="auto"/>
              <w:sz w:val="32"/>
              <w:szCs w:val="32"/>
              <w:highlight w:val="none"/>
            </w:rPr>
            <w:fldChar w:fldCharType="end"/>
          </w:r>
          <w:r>
            <w:rPr>
              <w:rFonts w:hint="eastAsia" w:ascii="仿宋" w:hAnsi="仿宋" w:eastAsia="仿宋" w:cs="仿宋"/>
              <w:b/>
              <w:bCs/>
              <w:color w:val="auto"/>
              <w:spacing w:val="14"/>
              <w:sz w:val="32"/>
              <w:szCs w:val="32"/>
              <w:highlight w:val="none"/>
            </w:rPr>
            <w:fldChar w:fldCharType="end"/>
          </w:r>
        </w:p>
        <w:p w14:paraId="1D4BB1B6">
          <w:pPr>
            <w:pStyle w:val="11"/>
            <w:tabs>
              <w:tab w:val="right" w:leader="dot" w:pos="9071"/>
            </w:tabs>
            <w:ind w:left="0" w:leftChars="0" w:firstLine="0" w:firstLineChars="0"/>
            <w:rPr>
              <w:rFonts w:hint="eastAsia" w:ascii="仿宋" w:hAnsi="仿宋" w:eastAsia="仿宋" w:cs="仿宋"/>
              <w:b/>
              <w:bCs/>
              <w:color w:val="auto"/>
              <w:sz w:val="32"/>
              <w:szCs w:val="32"/>
              <w:highlight w:val="none"/>
            </w:rPr>
          </w:pPr>
          <w:r>
            <w:rPr>
              <w:rFonts w:hint="eastAsia" w:ascii="仿宋" w:hAnsi="仿宋" w:eastAsia="仿宋" w:cs="仿宋"/>
              <w:b/>
              <w:bCs/>
              <w:color w:val="auto"/>
              <w:spacing w:val="14"/>
              <w:sz w:val="32"/>
              <w:szCs w:val="32"/>
              <w:highlight w:val="none"/>
            </w:rPr>
            <w:fldChar w:fldCharType="begin"/>
          </w:r>
          <w:r>
            <w:rPr>
              <w:rFonts w:hint="eastAsia" w:ascii="仿宋" w:hAnsi="仿宋" w:eastAsia="仿宋" w:cs="仿宋"/>
              <w:b/>
              <w:bCs/>
              <w:color w:val="auto"/>
              <w:spacing w:val="14"/>
              <w:sz w:val="32"/>
              <w:szCs w:val="32"/>
              <w:highlight w:val="none"/>
            </w:rPr>
            <w:instrText xml:space="preserve"> HYPERLINK \l _Toc32144 </w:instrText>
          </w:r>
          <w:r>
            <w:rPr>
              <w:rFonts w:hint="eastAsia" w:ascii="仿宋" w:hAnsi="仿宋" w:eastAsia="仿宋" w:cs="仿宋"/>
              <w:b/>
              <w:bCs/>
              <w:color w:val="auto"/>
              <w:spacing w:val="14"/>
              <w:sz w:val="32"/>
              <w:szCs w:val="32"/>
              <w:highlight w:val="none"/>
            </w:rPr>
            <w:fldChar w:fldCharType="separate"/>
          </w:r>
          <w:r>
            <w:rPr>
              <w:rFonts w:hint="eastAsia" w:ascii="仿宋" w:hAnsi="仿宋" w:eastAsia="仿宋" w:cs="仿宋"/>
              <w:b/>
              <w:bCs/>
              <w:color w:val="auto"/>
              <w:kern w:val="2"/>
              <w:sz w:val="32"/>
              <w:szCs w:val="32"/>
              <w:highlight w:val="none"/>
              <w:lang w:val="en-US" w:eastAsia="zh-CN" w:bidi="ar-SA"/>
            </w:rPr>
            <w:t>第三章  评标办法</w:t>
          </w:r>
          <w:r>
            <w:rPr>
              <w:rFonts w:hint="eastAsia" w:ascii="仿宋" w:hAnsi="仿宋" w:eastAsia="仿宋" w:cs="仿宋"/>
              <w:b/>
              <w:bCs/>
              <w:color w:val="auto"/>
              <w:sz w:val="32"/>
              <w:szCs w:val="32"/>
              <w:highlight w:val="none"/>
            </w:rPr>
            <w:tab/>
          </w:r>
          <w:r>
            <w:rPr>
              <w:rFonts w:hint="eastAsia" w:ascii="仿宋" w:hAnsi="仿宋" w:eastAsia="仿宋" w:cs="仿宋"/>
              <w:b/>
              <w:bCs/>
              <w:color w:val="auto"/>
              <w:sz w:val="32"/>
              <w:szCs w:val="32"/>
              <w:highlight w:val="none"/>
            </w:rPr>
            <w:fldChar w:fldCharType="begin"/>
          </w:r>
          <w:r>
            <w:rPr>
              <w:rFonts w:hint="eastAsia" w:ascii="仿宋" w:hAnsi="仿宋" w:eastAsia="仿宋" w:cs="仿宋"/>
              <w:b/>
              <w:bCs/>
              <w:color w:val="auto"/>
              <w:sz w:val="32"/>
              <w:szCs w:val="32"/>
              <w:highlight w:val="none"/>
            </w:rPr>
            <w:instrText xml:space="preserve"> PAGEREF _Toc32144 \h </w:instrText>
          </w:r>
          <w:r>
            <w:rPr>
              <w:rFonts w:hint="eastAsia" w:ascii="仿宋" w:hAnsi="仿宋" w:eastAsia="仿宋" w:cs="仿宋"/>
              <w:b/>
              <w:bCs/>
              <w:color w:val="auto"/>
              <w:sz w:val="32"/>
              <w:szCs w:val="32"/>
              <w:highlight w:val="none"/>
            </w:rPr>
            <w:fldChar w:fldCharType="separate"/>
          </w:r>
          <w:r>
            <w:rPr>
              <w:rFonts w:hint="eastAsia" w:ascii="仿宋" w:hAnsi="仿宋" w:eastAsia="仿宋" w:cs="仿宋"/>
              <w:b/>
              <w:bCs/>
              <w:color w:val="auto"/>
              <w:sz w:val="32"/>
              <w:szCs w:val="32"/>
              <w:highlight w:val="none"/>
            </w:rPr>
            <w:t>- 23 -</w:t>
          </w:r>
          <w:r>
            <w:rPr>
              <w:rFonts w:hint="eastAsia" w:ascii="仿宋" w:hAnsi="仿宋" w:eastAsia="仿宋" w:cs="仿宋"/>
              <w:b/>
              <w:bCs/>
              <w:color w:val="auto"/>
              <w:sz w:val="32"/>
              <w:szCs w:val="32"/>
              <w:highlight w:val="none"/>
            </w:rPr>
            <w:fldChar w:fldCharType="end"/>
          </w:r>
          <w:r>
            <w:rPr>
              <w:rFonts w:hint="eastAsia" w:ascii="仿宋" w:hAnsi="仿宋" w:eastAsia="仿宋" w:cs="仿宋"/>
              <w:b/>
              <w:bCs/>
              <w:color w:val="auto"/>
              <w:spacing w:val="14"/>
              <w:sz w:val="32"/>
              <w:szCs w:val="32"/>
              <w:highlight w:val="none"/>
            </w:rPr>
            <w:fldChar w:fldCharType="end"/>
          </w:r>
        </w:p>
        <w:p w14:paraId="2BEEDA3A">
          <w:pPr>
            <w:pStyle w:val="11"/>
            <w:tabs>
              <w:tab w:val="right" w:leader="dot" w:pos="9071"/>
            </w:tabs>
            <w:ind w:left="0" w:leftChars="0" w:firstLine="0" w:firstLineChars="0"/>
            <w:rPr>
              <w:rFonts w:hint="eastAsia" w:ascii="仿宋" w:hAnsi="仿宋" w:eastAsia="仿宋" w:cs="仿宋"/>
              <w:b/>
              <w:bCs/>
              <w:color w:val="auto"/>
              <w:sz w:val="32"/>
              <w:szCs w:val="32"/>
              <w:highlight w:val="none"/>
            </w:rPr>
          </w:pPr>
          <w:r>
            <w:rPr>
              <w:rFonts w:hint="eastAsia" w:ascii="仿宋" w:hAnsi="仿宋" w:eastAsia="仿宋" w:cs="仿宋"/>
              <w:b/>
              <w:bCs/>
              <w:color w:val="auto"/>
              <w:spacing w:val="14"/>
              <w:sz w:val="32"/>
              <w:szCs w:val="32"/>
              <w:highlight w:val="none"/>
            </w:rPr>
            <w:fldChar w:fldCharType="begin"/>
          </w:r>
          <w:r>
            <w:rPr>
              <w:rFonts w:hint="eastAsia" w:ascii="仿宋" w:hAnsi="仿宋" w:eastAsia="仿宋" w:cs="仿宋"/>
              <w:b/>
              <w:bCs/>
              <w:color w:val="auto"/>
              <w:spacing w:val="14"/>
              <w:sz w:val="32"/>
              <w:szCs w:val="32"/>
              <w:highlight w:val="none"/>
            </w:rPr>
            <w:instrText xml:space="preserve"> HYPERLINK \l _Toc21613 </w:instrText>
          </w:r>
          <w:r>
            <w:rPr>
              <w:rFonts w:hint="eastAsia" w:ascii="仿宋" w:hAnsi="仿宋" w:eastAsia="仿宋" w:cs="仿宋"/>
              <w:b/>
              <w:bCs/>
              <w:color w:val="auto"/>
              <w:spacing w:val="14"/>
              <w:sz w:val="32"/>
              <w:szCs w:val="32"/>
              <w:highlight w:val="none"/>
            </w:rPr>
            <w:fldChar w:fldCharType="separate"/>
          </w:r>
          <w:r>
            <w:rPr>
              <w:rFonts w:hint="eastAsia" w:ascii="仿宋" w:hAnsi="仿宋" w:eastAsia="仿宋" w:cs="仿宋"/>
              <w:b/>
              <w:bCs/>
              <w:color w:val="auto"/>
              <w:kern w:val="2"/>
              <w:sz w:val="32"/>
              <w:szCs w:val="32"/>
              <w:highlight w:val="none"/>
              <w:lang w:val="en-US" w:eastAsia="zh-CN" w:bidi="ar-SA"/>
            </w:rPr>
            <w:t>第四章 合同主要条款及格式</w:t>
          </w:r>
          <w:r>
            <w:rPr>
              <w:rFonts w:hint="eastAsia" w:ascii="仿宋" w:hAnsi="仿宋" w:eastAsia="仿宋" w:cs="仿宋"/>
              <w:b/>
              <w:bCs/>
              <w:color w:val="auto"/>
              <w:sz w:val="32"/>
              <w:szCs w:val="32"/>
              <w:highlight w:val="none"/>
            </w:rPr>
            <w:tab/>
          </w:r>
          <w:r>
            <w:rPr>
              <w:rFonts w:hint="eastAsia" w:ascii="仿宋" w:hAnsi="仿宋" w:eastAsia="仿宋" w:cs="仿宋"/>
              <w:b/>
              <w:bCs/>
              <w:color w:val="auto"/>
              <w:sz w:val="32"/>
              <w:szCs w:val="32"/>
              <w:highlight w:val="none"/>
            </w:rPr>
            <w:fldChar w:fldCharType="begin"/>
          </w:r>
          <w:r>
            <w:rPr>
              <w:rFonts w:hint="eastAsia" w:ascii="仿宋" w:hAnsi="仿宋" w:eastAsia="仿宋" w:cs="仿宋"/>
              <w:b/>
              <w:bCs/>
              <w:color w:val="auto"/>
              <w:sz w:val="32"/>
              <w:szCs w:val="32"/>
              <w:highlight w:val="none"/>
            </w:rPr>
            <w:instrText xml:space="preserve"> PAGEREF _Toc21613 \h </w:instrText>
          </w:r>
          <w:r>
            <w:rPr>
              <w:rFonts w:hint="eastAsia" w:ascii="仿宋" w:hAnsi="仿宋" w:eastAsia="仿宋" w:cs="仿宋"/>
              <w:b/>
              <w:bCs/>
              <w:color w:val="auto"/>
              <w:sz w:val="32"/>
              <w:szCs w:val="32"/>
              <w:highlight w:val="none"/>
            </w:rPr>
            <w:fldChar w:fldCharType="separate"/>
          </w:r>
          <w:r>
            <w:rPr>
              <w:rFonts w:hint="eastAsia" w:ascii="仿宋" w:hAnsi="仿宋" w:eastAsia="仿宋" w:cs="仿宋"/>
              <w:b/>
              <w:bCs/>
              <w:color w:val="auto"/>
              <w:sz w:val="32"/>
              <w:szCs w:val="32"/>
              <w:highlight w:val="none"/>
            </w:rPr>
            <w:t>- 30 -</w:t>
          </w:r>
          <w:r>
            <w:rPr>
              <w:rFonts w:hint="eastAsia" w:ascii="仿宋" w:hAnsi="仿宋" w:eastAsia="仿宋" w:cs="仿宋"/>
              <w:b/>
              <w:bCs/>
              <w:color w:val="auto"/>
              <w:sz w:val="32"/>
              <w:szCs w:val="32"/>
              <w:highlight w:val="none"/>
            </w:rPr>
            <w:fldChar w:fldCharType="end"/>
          </w:r>
          <w:r>
            <w:rPr>
              <w:rFonts w:hint="eastAsia" w:ascii="仿宋" w:hAnsi="仿宋" w:eastAsia="仿宋" w:cs="仿宋"/>
              <w:b/>
              <w:bCs/>
              <w:color w:val="auto"/>
              <w:spacing w:val="14"/>
              <w:sz w:val="32"/>
              <w:szCs w:val="32"/>
              <w:highlight w:val="none"/>
            </w:rPr>
            <w:fldChar w:fldCharType="end"/>
          </w:r>
        </w:p>
        <w:p w14:paraId="41C61C21">
          <w:pPr>
            <w:pStyle w:val="11"/>
            <w:tabs>
              <w:tab w:val="right" w:leader="dot" w:pos="9071"/>
            </w:tabs>
            <w:ind w:left="0" w:leftChars="0" w:firstLine="0" w:firstLineChars="0"/>
            <w:rPr>
              <w:rFonts w:hint="eastAsia" w:ascii="仿宋" w:hAnsi="仿宋" w:eastAsia="仿宋" w:cs="仿宋"/>
              <w:b/>
              <w:bCs/>
              <w:color w:val="auto"/>
              <w:sz w:val="32"/>
              <w:szCs w:val="32"/>
              <w:highlight w:val="none"/>
            </w:rPr>
          </w:pPr>
          <w:r>
            <w:rPr>
              <w:rFonts w:hint="eastAsia" w:ascii="仿宋" w:hAnsi="仿宋" w:eastAsia="仿宋" w:cs="仿宋"/>
              <w:b/>
              <w:bCs/>
              <w:color w:val="auto"/>
              <w:spacing w:val="14"/>
              <w:sz w:val="32"/>
              <w:szCs w:val="32"/>
              <w:highlight w:val="none"/>
            </w:rPr>
            <w:fldChar w:fldCharType="begin"/>
          </w:r>
          <w:r>
            <w:rPr>
              <w:rFonts w:hint="eastAsia" w:ascii="仿宋" w:hAnsi="仿宋" w:eastAsia="仿宋" w:cs="仿宋"/>
              <w:b/>
              <w:bCs/>
              <w:color w:val="auto"/>
              <w:spacing w:val="14"/>
              <w:sz w:val="32"/>
              <w:szCs w:val="32"/>
              <w:highlight w:val="none"/>
            </w:rPr>
            <w:instrText xml:space="preserve"> HYPERLINK \l _Toc8764 </w:instrText>
          </w:r>
          <w:r>
            <w:rPr>
              <w:rFonts w:hint="eastAsia" w:ascii="仿宋" w:hAnsi="仿宋" w:eastAsia="仿宋" w:cs="仿宋"/>
              <w:b/>
              <w:bCs/>
              <w:color w:val="auto"/>
              <w:spacing w:val="14"/>
              <w:sz w:val="32"/>
              <w:szCs w:val="32"/>
              <w:highlight w:val="none"/>
            </w:rPr>
            <w:fldChar w:fldCharType="separate"/>
          </w:r>
          <w:r>
            <w:rPr>
              <w:rFonts w:hint="eastAsia" w:ascii="仿宋" w:hAnsi="仿宋" w:eastAsia="仿宋" w:cs="仿宋"/>
              <w:b/>
              <w:bCs/>
              <w:color w:val="auto"/>
              <w:kern w:val="2"/>
              <w:sz w:val="32"/>
              <w:szCs w:val="32"/>
              <w:highlight w:val="none"/>
              <w:lang w:val="en-US" w:eastAsia="zh-CN" w:bidi="ar-SA"/>
            </w:rPr>
            <w:t>第五章 技术规格及要求</w:t>
          </w:r>
          <w:r>
            <w:rPr>
              <w:rFonts w:hint="eastAsia" w:ascii="仿宋" w:hAnsi="仿宋" w:eastAsia="仿宋" w:cs="仿宋"/>
              <w:b/>
              <w:bCs/>
              <w:color w:val="auto"/>
              <w:sz w:val="32"/>
              <w:szCs w:val="32"/>
              <w:highlight w:val="none"/>
            </w:rPr>
            <w:tab/>
          </w:r>
          <w:r>
            <w:rPr>
              <w:rFonts w:hint="eastAsia" w:ascii="仿宋" w:hAnsi="仿宋" w:eastAsia="仿宋" w:cs="仿宋"/>
              <w:b/>
              <w:bCs/>
              <w:color w:val="auto"/>
              <w:sz w:val="32"/>
              <w:szCs w:val="32"/>
              <w:highlight w:val="none"/>
            </w:rPr>
            <w:fldChar w:fldCharType="begin"/>
          </w:r>
          <w:r>
            <w:rPr>
              <w:rFonts w:hint="eastAsia" w:ascii="仿宋" w:hAnsi="仿宋" w:eastAsia="仿宋" w:cs="仿宋"/>
              <w:b/>
              <w:bCs/>
              <w:color w:val="auto"/>
              <w:sz w:val="32"/>
              <w:szCs w:val="32"/>
              <w:highlight w:val="none"/>
            </w:rPr>
            <w:instrText xml:space="preserve"> PAGEREF _Toc8764 \h </w:instrText>
          </w:r>
          <w:r>
            <w:rPr>
              <w:rFonts w:hint="eastAsia" w:ascii="仿宋" w:hAnsi="仿宋" w:eastAsia="仿宋" w:cs="仿宋"/>
              <w:b/>
              <w:bCs/>
              <w:color w:val="auto"/>
              <w:sz w:val="32"/>
              <w:szCs w:val="32"/>
              <w:highlight w:val="none"/>
            </w:rPr>
            <w:fldChar w:fldCharType="separate"/>
          </w:r>
          <w:r>
            <w:rPr>
              <w:rFonts w:hint="eastAsia" w:ascii="仿宋" w:hAnsi="仿宋" w:eastAsia="仿宋" w:cs="仿宋"/>
              <w:b/>
              <w:bCs/>
              <w:color w:val="auto"/>
              <w:sz w:val="32"/>
              <w:szCs w:val="32"/>
              <w:highlight w:val="none"/>
            </w:rPr>
            <w:t>- 36 -</w:t>
          </w:r>
          <w:r>
            <w:rPr>
              <w:rFonts w:hint="eastAsia" w:ascii="仿宋" w:hAnsi="仿宋" w:eastAsia="仿宋" w:cs="仿宋"/>
              <w:b/>
              <w:bCs/>
              <w:color w:val="auto"/>
              <w:sz w:val="32"/>
              <w:szCs w:val="32"/>
              <w:highlight w:val="none"/>
            </w:rPr>
            <w:fldChar w:fldCharType="end"/>
          </w:r>
          <w:r>
            <w:rPr>
              <w:rFonts w:hint="eastAsia" w:ascii="仿宋" w:hAnsi="仿宋" w:eastAsia="仿宋" w:cs="仿宋"/>
              <w:b/>
              <w:bCs/>
              <w:color w:val="auto"/>
              <w:spacing w:val="14"/>
              <w:sz w:val="32"/>
              <w:szCs w:val="32"/>
              <w:highlight w:val="none"/>
            </w:rPr>
            <w:fldChar w:fldCharType="end"/>
          </w:r>
        </w:p>
        <w:p w14:paraId="53128473">
          <w:pPr>
            <w:pStyle w:val="11"/>
            <w:tabs>
              <w:tab w:val="right" w:leader="dot" w:pos="9071"/>
            </w:tabs>
            <w:ind w:left="0" w:leftChars="0" w:firstLine="0" w:firstLineChars="0"/>
            <w:rPr>
              <w:rFonts w:hint="eastAsia" w:ascii="仿宋" w:hAnsi="仿宋" w:eastAsia="仿宋" w:cs="仿宋"/>
              <w:color w:val="auto"/>
              <w:highlight w:val="none"/>
            </w:rPr>
          </w:pPr>
          <w:r>
            <w:rPr>
              <w:rFonts w:hint="eastAsia" w:ascii="仿宋" w:hAnsi="仿宋" w:eastAsia="仿宋" w:cs="仿宋"/>
              <w:b/>
              <w:bCs/>
              <w:color w:val="auto"/>
              <w:spacing w:val="14"/>
              <w:sz w:val="32"/>
              <w:szCs w:val="32"/>
              <w:highlight w:val="none"/>
            </w:rPr>
            <w:fldChar w:fldCharType="begin"/>
          </w:r>
          <w:r>
            <w:rPr>
              <w:rFonts w:hint="eastAsia" w:ascii="仿宋" w:hAnsi="仿宋" w:eastAsia="仿宋" w:cs="仿宋"/>
              <w:b/>
              <w:bCs/>
              <w:color w:val="auto"/>
              <w:spacing w:val="14"/>
              <w:sz w:val="32"/>
              <w:szCs w:val="32"/>
              <w:highlight w:val="none"/>
            </w:rPr>
            <w:instrText xml:space="preserve"> HYPERLINK \l _Toc19597 </w:instrText>
          </w:r>
          <w:r>
            <w:rPr>
              <w:rFonts w:hint="eastAsia" w:ascii="仿宋" w:hAnsi="仿宋" w:eastAsia="仿宋" w:cs="仿宋"/>
              <w:b/>
              <w:bCs/>
              <w:color w:val="auto"/>
              <w:spacing w:val="14"/>
              <w:sz w:val="32"/>
              <w:szCs w:val="32"/>
              <w:highlight w:val="none"/>
            </w:rPr>
            <w:fldChar w:fldCharType="separate"/>
          </w:r>
          <w:r>
            <w:rPr>
              <w:rFonts w:hint="eastAsia" w:ascii="仿宋" w:hAnsi="仿宋" w:eastAsia="仿宋" w:cs="仿宋"/>
              <w:b/>
              <w:bCs/>
              <w:color w:val="auto"/>
              <w:kern w:val="2"/>
              <w:sz w:val="32"/>
              <w:szCs w:val="32"/>
              <w:highlight w:val="none"/>
              <w:lang w:val="en-US" w:eastAsia="zh-CN" w:bidi="ar-SA"/>
            </w:rPr>
            <w:t>第六章 投标文件格式</w:t>
          </w:r>
          <w:r>
            <w:rPr>
              <w:rFonts w:hint="eastAsia" w:ascii="仿宋" w:hAnsi="仿宋" w:eastAsia="仿宋" w:cs="仿宋"/>
              <w:b/>
              <w:bCs/>
              <w:color w:val="auto"/>
              <w:sz w:val="32"/>
              <w:szCs w:val="32"/>
              <w:highlight w:val="none"/>
            </w:rPr>
            <w:tab/>
          </w:r>
          <w:r>
            <w:rPr>
              <w:rFonts w:hint="eastAsia" w:ascii="仿宋" w:hAnsi="仿宋" w:eastAsia="仿宋" w:cs="仿宋"/>
              <w:b/>
              <w:bCs/>
              <w:color w:val="auto"/>
              <w:sz w:val="32"/>
              <w:szCs w:val="32"/>
              <w:highlight w:val="none"/>
            </w:rPr>
            <w:fldChar w:fldCharType="begin"/>
          </w:r>
          <w:r>
            <w:rPr>
              <w:rFonts w:hint="eastAsia" w:ascii="仿宋" w:hAnsi="仿宋" w:eastAsia="仿宋" w:cs="仿宋"/>
              <w:b/>
              <w:bCs/>
              <w:color w:val="auto"/>
              <w:sz w:val="32"/>
              <w:szCs w:val="32"/>
              <w:highlight w:val="none"/>
            </w:rPr>
            <w:instrText xml:space="preserve"> PAGEREF _Toc19597 \h </w:instrText>
          </w:r>
          <w:r>
            <w:rPr>
              <w:rFonts w:hint="eastAsia" w:ascii="仿宋" w:hAnsi="仿宋" w:eastAsia="仿宋" w:cs="仿宋"/>
              <w:b/>
              <w:bCs/>
              <w:color w:val="auto"/>
              <w:sz w:val="32"/>
              <w:szCs w:val="32"/>
              <w:highlight w:val="none"/>
            </w:rPr>
            <w:fldChar w:fldCharType="separate"/>
          </w:r>
          <w:r>
            <w:rPr>
              <w:rFonts w:hint="eastAsia" w:ascii="仿宋" w:hAnsi="仿宋" w:eastAsia="仿宋" w:cs="仿宋"/>
              <w:b/>
              <w:bCs/>
              <w:color w:val="auto"/>
              <w:sz w:val="32"/>
              <w:szCs w:val="32"/>
              <w:highlight w:val="none"/>
            </w:rPr>
            <w:t>- 61 -</w:t>
          </w:r>
          <w:r>
            <w:rPr>
              <w:rFonts w:hint="eastAsia" w:ascii="仿宋" w:hAnsi="仿宋" w:eastAsia="仿宋" w:cs="仿宋"/>
              <w:b/>
              <w:bCs/>
              <w:color w:val="auto"/>
              <w:sz w:val="32"/>
              <w:szCs w:val="32"/>
              <w:highlight w:val="none"/>
            </w:rPr>
            <w:fldChar w:fldCharType="end"/>
          </w:r>
          <w:r>
            <w:rPr>
              <w:rFonts w:hint="eastAsia" w:ascii="仿宋" w:hAnsi="仿宋" w:eastAsia="仿宋" w:cs="仿宋"/>
              <w:b/>
              <w:bCs/>
              <w:color w:val="auto"/>
              <w:spacing w:val="14"/>
              <w:sz w:val="32"/>
              <w:szCs w:val="32"/>
              <w:highlight w:val="none"/>
            </w:rPr>
            <w:fldChar w:fldCharType="end"/>
          </w:r>
        </w:p>
        <w:p w14:paraId="3D12050B">
          <w:pPr>
            <w:pStyle w:val="35"/>
            <w:bidi w:val="0"/>
            <w:ind w:left="0" w:leftChars="0" w:firstLine="0" w:firstLineChars="0"/>
            <w:jc w:val="center"/>
            <w:outlineLvl w:val="9"/>
            <w:rPr>
              <w:rFonts w:hint="eastAsia" w:ascii="仿宋" w:hAnsi="仿宋" w:eastAsia="仿宋" w:cs="仿宋"/>
              <w:color w:val="auto"/>
              <w:spacing w:val="14"/>
              <w:kern w:val="0"/>
              <w:sz w:val="20"/>
              <w:szCs w:val="44"/>
              <w:highlight w:val="none"/>
              <w:lang w:val="en-US" w:eastAsia="zh-CN" w:bidi="ar-SA"/>
            </w:rPr>
          </w:pPr>
          <w:r>
            <w:rPr>
              <w:rFonts w:hint="eastAsia" w:ascii="仿宋" w:hAnsi="仿宋" w:eastAsia="仿宋" w:cs="仿宋"/>
              <w:color w:val="auto"/>
              <w:spacing w:val="14"/>
              <w:szCs w:val="44"/>
              <w:highlight w:val="none"/>
            </w:rPr>
            <w:fldChar w:fldCharType="end"/>
          </w:r>
        </w:p>
      </w:sdtContent>
    </w:sdt>
    <w:p w14:paraId="372D2ED0">
      <w:pPr>
        <w:rPr>
          <w:rFonts w:hint="eastAsia" w:ascii="仿宋" w:hAnsi="仿宋" w:eastAsia="仿宋" w:cs="仿宋"/>
          <w:color w:val="auto"/>
          <w:highlight w:val="none"/>
        </w:rPr>
        <w:sectPr>
          <w:headerReference r:id="rId9" w:type="default"/>
          <w:footerReference r:id="rId10" w:type="default"/>
          <w:pgSz w:w="11905" w:h="16838"/>
          <w:pgMar w:top="1417" w:right="1417" w:bottom="1417" w:left="1417" w:header="850" w:footer="850" w:gutter="0"/>
          <w:pgBorders>
            <w:top w:val="none" w:sz="0" w:space="0"/>
            <w:left w:val="none" w:sz="0" w:space="0"/>
            <w:bottom w:val="none" w:sz="0" w:space="0"/>
            <w:right w:val="none" w:sz="0" w:space="0"/>
          </w:pgBorders>
          <w:pgNumType w:fmt="numberInDash"/>
          <w:cols w:space="0" w:num="1"/>
          <w:rtlGutter w:val="0"/>
          <w:docGrid w:type="lines" w:linePitch="412" w:charSpace="0"/>
        </w:sectPr>
      </w:pPr>
    </w:p>
    <w:p w14:paraId="139D3963">
      <w:pPr>
        <w:pStyle w:val="35"/>
        <w:bidi w:val="0"/>
        <w:ind w:left="0" w:leftChars="0" w:firstLine="0" w:firstLineChars="0"/>
        <w:jc w:val="center"/>
        <w:outlineLvl w:val="9"/>
        <w:rPr>
          <w:rFonts w:hint="eastAsia" w:ascii="仿宋" w:hAnsi="仿宋" w:eastAsia="仿宋" w:cs="仿宋"/>
          <w:b/>
          <w:color w:val="auto"/>
          <w:spacing w:val="14"/>
          <w:sz w:val="44"/>
          <w:szCs w:val="44"/>
          <w:highlight w:val="none"/>
        </w:rPr>
      </w:pPr>
      <w:r>
        <w:rPr>
          <w:rFonts w:hint="eastAsia" w:ascii="仿宋" w:hAnsi="仿宋" w:eastAsia="仿宋" w:cs="仿宋"/>
          <w:b/>
          <w:color w:val="auto"/>
          <w:spacing w:val="14"/>
          <w:sz w:val="44"/>
          <w:szCs w:val="44"/>
          <w:highlight w:val="none"/>
        </w:rPr>
        <w:t>电子招投标特别提示</w:t>
      </w:r>
    </w:p>
    <w:p w14:paraId="1F6DD5F3">
      <w:pPr>
        <w:bidi w:val="0"/>
        <w:spacing w:line="400" w:lineRule="exact"/>
        <w:outlineLvl w:val="9"/>
        <w:rPr>
          <w:rFonts w:hint="eastAsia" w:ascii="仿宋" w:hAnsi="仿宋" w:eastAsia="仿宋" w:cs="仿宋"/>
          <w:b/>
          <w:bCs/>
          <w:color w:val="auto"/>
          <w:sz w:val="24"/>
          <w:highlight w:val="none"/>
        </w:rPr>
      </w:pPr>
    </w:p>
    <w:p w14:paraId="5F169086">
      <w:pPr>
        <w:bidi w:val="0"/>
        <w:spacing w:line="360" w:lineRule="exact"/>
        <w:outlineLvl w:val="9"/>
        <w:rPr>
          <w:rFonts w:hint="eastAsia" w:ascii="仿宋" w:hAnsi="仿宋" w:eastAsia="仿宋" w:cs="仿宋"/>
          <w:b/>
          <w:bCs/>
          <w:color w:val="auto"/>
          <w:sz w:val="21"/>
          <w:szCs w:val="21"/>
          <w:highlight w:val="none"/>
          <w:u w:val="double"/>
        </w:rPr>
      </w:pPr>
      <w:r>
        <w:rPr>
          <w:rFonts w:hint="eastAsia" w:ascii="仿宋" w:hAnsi="仿宋" w:eastAsia="仿宋" w:cs="仿宋"/>
          <w:b/>
          <w:bCs/>
          <w:color w:val="auto"/>
          <w:sz w:val="21"/>
          <w:szCs w:val="21"/>
          <w:highlight w:val="none"/>
          <w:u w:val="double"/>
        </w:rPr>
        <w:t>一、投标人（供应商）注册</w:t>
      </w:r>
    </w:p>
    <w:p w14:paraId="0492F85D">
      <w:pPr>
        <w:bidi w:val="0"/>
        <w:spacing w:line="36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凡有意参加本项目的投标人（供应商），请</w:t>
      </w:r>
      <w:r>
        <w:rPr>
          <w:rFonts w:hint="eastAsia" w:ascii="仿宋" w:hAnsi="仿宋" w:eastAsia="仿宋" w:cs="仿宋"/>
          <w:color w:val="auto"/>
          <w:sz w:val="21"/>
          <w:szCs w:val="21"/>
          <w:highlight w:val="none"/>
          <w:lang w:eastAsia="zh-CN"/>
        </w:rPr>
        <w:t>登录</w:t>
      </w:r>
      <w:r>
        <w:rPr>
          <w:rFonts w:hint="eastAsia" w:ascii="仿宋" w:hAnsi="仿宋" w:eastAsia="仿宋" w:cs="仿宋"/>
          <w:color w:val="auto"/>
          <w:sz w:val="21"/>
          <w:szCs w:val="21"/>
          <w:highlight w:val="none"/>
        </w:rPr>
        <w:t>“全国公共资源交易平台（河南省·信阳市）（</w:t>
      </w:r>
      <w:r>
        <w:rPr>
          <w:rFonts w:hint="eastAsia" w:ascii="仿宋" w:hAnsi="仿宋" w:eastAsia="仿宋" w:cs="仿宋"/>
          <w:color w:val="auto"/>
          <w:sz w:val="21"/>
          <w:szCs w:val="21"/>
          <w:highlight w:val="none"/>
          <w:lang w:eastAsia="zh-CN"/>
        </w:rPr>
        <w:t>https://ggzyjy.xinyang.gov.cn/</w:t>
      </w:r>
      <w:r>
        <w:rPr>
          <w:rFonts w:hint="eastAsia" w:ascii="仿宋" w:hAnsi="仿宋" w:eastAsia="仿宋" w:cs="仿宋"/>
          <w:color w:val="auto"/>
          <w:sz w:val="21"/>
          <w:szCs w:val="21"/>
          <w:highlight w:val="none"/>
        </w:rPr>
        <w:t>”网站进行交易主体自主注册，按网站公告通知有关要求填报企业信息并上传有关原件扫描件至诚信库，不需携带原件到信阳市公共资源交易中心进行审核。投标人（供应商）应对所上传材料的真实性、合法性、有效性负责，其上传的信息将全部对外公示，接受社会监督。</w:t>
      </w:r>
    </w:p>
    <w:p w14:paraId="47FF30B6">
      <w:pPr>
        <w:bidi w:val="0"/>
        <w:spacing w:line="360" w:lineRule="exact"/>
        <w:outlineLvl w:val="9"/>
        <w:rPr>
          <w:rFonts w:hint="eastAsia" w:ascii="仿宋" w:hAnsi="仿宋" w:eastAsia="仿宋" w:cs="仿宋"/>
          <w:b/>
          <w:bCs/>
          <w:color w:val="auto"/>
          <w:sz w:val="21"/>
          <w:szCs w:val="21"/>
          <w:highlight w:val="none"/>
          <w:u w:val="double"/>
        </w:rPr>
      </w:pPr>
      <w:r>
        <w:rPr>
          <w:rFonts w:hint="eastAsia" w:ascii="仿宋" w:hAnsi="仿宋" w:eastAsia="仿宋" w:cs="仿宋"/>
          <w:b/>
          <w:bCs/>
          <w:color w:val="auto"/>
          <w:sz w:val="21"/>
          <w:szCs w:val="21"/>
          <w:highlight w:val="none"/>
          <w:u w:val="double"/>
        </w:rPr>
        <w:t>二、办理CA数字证书</w:t>
      </w:r>
    </w:p>
    <w:p w14:paraId="12FDA5A2">
      <w:pPr>
        <w:bidi w:val="0"/>
        <w:spacing w:line="360" w:lineRule="exac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完成企业诚信库注册后，必须办理CA数字证书方可在网上办理招投标相关业务。投标人（供应商）根据《信阳市公共资源交易网》左侧下载中心有关办理CA数字证书的要求，自行选择CA数字证书服务商，线上、线下办理CA数字证书</w:t>
      </w:r>
      <w:bookmarkStart w:id="264" w:name="_GoBack"/>
      <w:bookmarkEnd w:id="264"/>
      <w:r>
        <w:rPr>
          <w:rFonts w:hint="eastAsia" w:ascii="仿宋" w:hAnsi="仿宋" w:eastAsia="仿宋" w:cs="仿宋"/>
          <w:color w:val="auto"/>
          <w:sz w:val="21"/>
          <w:szCs w:val="21"/>
          <w:highlight w:val="none"/>
        </w:rPr>
        <w:t>。</w:t>
      </w:r>
    </w:p>
    <w:p w14:paraId="048AE9F8">
      <w:pPr>
        <w:bidi w:val="0"/>
        <w:spacing w:line="360" w:lineRule="exact"/>
        <w:outlineLvl w:val="9"/>
        <w:rPr>
          <w:rFonts w:hint="eastAsia" w:ascii="仿宋" w:hAnsi="仿宋" w:eastAsia="仿宋" w:cs="仿宋"/>
          <w:b/>
          <w:bCs/>
          <w:color w:val="auto"/>
          <w:sz w:val="21"/>
          <w:szCs w:val="21"/>
          <w:highlight w:val="none"/>
          <w:u w:val="double"/>
        </w:rPr>
      </w:pPr>
      <w:r>
        <w:rPr>
          <w:rFonts w:hint="eastAsia" w:ascii="仿宋" w:hAnsi="仿宋" w:eastAsia="仿宋" w:cs="仿宋"/>
          <w:b/>
          <w:bCs/>
          <w:color w:val="auto"/>
          <w:sz w:val="21"/>
          <w:szCs w:val="21"/>
          <w:highlight w:val="none"/>
          <w:u w:val="double"/>
        </w:rPr>
        <w:t>三、招标（采购）文件获取方式</w:t>
      </w:r>
    </w:p>
    <w:p w14:paraId="0AEDA5C6">
      <w:pPr>
        <w:bidi w:val="0"/>
        <w:spacing w:line="36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投标人（供应商）凭CA数字证书</w:t>
      </w:r>
      <w:r>
        <w:rPr>
          <w:rFonts w:hint="eastAsia" w:ascii="仿宋" w:hAnsi="仿宋" w:eastAsia="仿宋" w:cs="仿宋"/>
          <w:color w:val="auto"/>
          <w:sz w:val="21"/>
          <w:szCs w:val="21"/>
          <w:highlight w:val="none"/>
          <w:lang w:eastAsia="zh-CN"/>
        </w:rPr>
        <w:t>登录</w:t>
      </w:r>
      <w:r>
        <w:rPr>
          <w:rFonts w:hint="eastAsia" w:ascii="仿宋" w:hAnsi="仿宋" w:eastAsia="仿宋" w:cs="仿宋"/>
          <w:color w:val="auto"/>
          <w:sz w:val="21"/>
          <w:szCs w:val="21"/>
          <w:highlight w:val="none"/>
        </w:rPr>
        <w:t>会员系统后，即可按网上提示免费下载招标（采购）文件及资料（操作程序详见信阳市公共资源交易中心网站下载中心栏目里投标人操作手册）。招标文件</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*.XYZF格式</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下载后需使用“信阳市投标文件制作工具软件”打开（该工具软件可在“全国公共资源交易平台（河南省·信阳市）（</w:t>
      </w:r>
      <w:r>
        <w:rPr>
          <w:rFonts w:hint="eastAsia" w:ascii="仿宋" w:hAnsi="仿宋" w:eastAsia="仿宋" w:cs="仿宋"/>
          <w:color w:val="auto"/>
          <w:sz w:val="21"/>
          <w:szCs w:val="21"/>
          <w:highlight w:val="none"/>
          <w:lang w:eastAsia="zh-CN"/>
        </w:rPr>
        <w:t>https://ggzyjy.xinyang.gov.cn/</w:t>
      </w:r>
      <w:r>
        <w:rPr>
          <w:rFonts w:hint="eastAsia" w:ascii="仿宋" w:hAnsi="仿宋" w:eastAsia="仿宋" w:cs="仿宋"/>
          <w:color w:val="auto"/>
          <w:sz w:val="21"/>
          <w:szCs w:val="21"/>
          <w:highlight w:val="none"/>
        </w:rPr>
        <w:t>”网站下载中心栏目内下载或在招标文件领取页面下载）。</w:t>
      </w:r>
    </w:p>
    <w:p w14:paraId="2CEB4F30">
      <w:pPr>
        <w:tabs>
          <w:tab w:val="left" w:pos="0"/>
        </w:tabs>
        <w:bidi w:val="0"/>
        <w:spacing w:line="360" w:lineRule="exact"/>
        <w:outlineLvl w:val="9"/>
        <w:rPr>
          <w:rFonts w:hint="eastAsia" w:ascii="仿宋" w:hAnsi="仿宋" w:eastAsia="仿宋" w:cs="仿宋"/>
          <w:b/>
          <w:bCs/>
          <w:color w:val="auto"/>
          <w:sz w:val="21"/>
          <w:szCs w:val="21"/>
          <w:highlight w:val="none"/>
          <w:u w:val="double"/>
        </w:rPr>
      </w:pPr>
      <w:r>
        <w:rPr>
          <w:rFonts w:hint="eastAsia" w:ascii="仿宋" w:hAnsi="仿宋" w:eastAsia="仿宋" w:cs="仿宋"/>
          <w:b/>
          <w:bCs/>
          <w:color w:val="auto"/>
          <w:sz w:val="21"/>
          <w:szCs w:val="21"/>
          <w:highlight w:val="none"/>
          <w:u w:val="double"/>
        </w:rPr>
        <w:t>四、投标（响应）文件制作</w:t>
      </w:r>
    </w:p>
    <w:p w14:paraId="4BF00ED4">
      <w:pPr>
        <w:tabs>
          <w:tab w:val="left" w:pos="0"/>
        </w:tabs>
        <w:bidi w:val="0"/>
        <w:spacing w:line="36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投标（响应）文件应使用信阳市公共资源交易系统投标文件制作专用工具软件编制，投标（响应）文件格式为“*.XYTF”。</w:t>
      </w:r>
    </w:p>
    <w:p w14:paraId="19A884D8">
      <w:pPr>
        <w:tabs>
          <w:tab w:val="left" w:pos="0"/>
        </w:tabs>
        <w:bidi w:val="0"/>
        <w:spacing w:line="36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投标人（供应商）须在投标（响应）文件递交截止时间前制作并提交。</w:t>
      </w:r>
    </w:p>
    <w:p w14:paraId="227E5F72">
      <w:pPr>
        <w:pStyle w:val="5"/>
        <w:bidi w:val="0"/>
        <w:spacing w:line="360" w:lineRule="exact"/>
        <w:outlineLvl w:val="9"/>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u w:val="double"/>
        </w:rPr>
        <w:t>五、投标（响应）文件的签字和盖章要求</w:t>
      </w:r>
    </w:p>
    <w:p w14:paraId="2DCBB336">
      <w:pPr>
        <w:bidi w:val="0"/>
        <w:adjustRightInd w:val="0"/>
        <w:snapToGrid w:val="0"/>
        <w:spacing w:line="360" w:lineRule="exact"/>
        <w:ind w:firstLine="420" w:firstLineChars="200"/>
        <w:jc w:val="lef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1、投标文件（响应）格式中所有要求投标人（供应商）加盖公章的地方都须加盖投标人（供应商）的 CA 印章。</w:t>
      </w:r>
    </w:p>
    <w:p w14:paraId="1A9A5C25">
      <w:pPr>
        <w:bidi w:val="0"/>
        <w:adjustRightInd w:val="0"/>
        <w:snapToGrid w:val="0"/>
        <w:spacing w:line="360" w:lineRule="exact"/>
        <w:ind w:left="-126" w:leftChars="-60" w:firstLine="525" w:firstLineChars="250"/>
        <w:jc w:val="left"/>
        <w:outlineLvl w:val="9"/>
        <w:rPr>
          <w:rFonts w:hint="eastAsia" w:ascii="仿宋" w:hAnsi="仿宋" w:eastAsia="仿宋" w:cs="仿宋"/>
          <w:b/>
          <w:bCs/>
          <w:color w:val="auto"/>
          <w:sz w:val="21"/>
          <w:szCs w:val="21"/>
          <w:highlight w:val="none"/>
        </w:rPr>
      </w:pPr>
      <w:r>
        <w:rPr>
          <w:rFonts w:hint="eastAsia" w:ascii="仿宋" w:hAnsi="仿宋" w:eastAsia="仿宋" w:cs="仿宋"/>
          <w:color w:val="auto"/>
          <w:sz w:val="21"/>
          <w:szCs w:val="21"/>
          <w:highlight w:val="none"/>
        </w:rPr>
        <w:t>2、投标文件（响应）格式中所有要求法定代表人或其委托代理人签字或盖章的地方</w:t>
      </w:r>
      <w:r>
        <w:rPr>
          <w:rFonts w:hint="eastAsia" w:ascii="仿宋" w:hAnsi="仿宋" w:eastAsia="仿宋" w:cs="仿宋"/>
          <w:b/>
          <w:bCs/>
          <w:color w:val="auto"/>
          <w:sz w:val="21"/>
          <w:szCs w:val="21"/>
          <w:highlight w:val="none"/>
        </w:rPr>
        <w:t>（不含授权委托书委托人签字）</w:t>
      </w:r>
      <w:r>
        <w:rPr>
          <w:rFonts w:hint="eastAsia" w:ascii="仿宋" w:hAnsi="仿宋" w:eastAsia="仿宋" w:cs="仿宋"/>
          <w:color w:val="auto"/>
          <w:sz w:val="21"/>
          <w:szCs w:val="21"/>
          <w:highlight w:val="none"/>
        </w:rPr>
        <w:t>都须加盖法定代表人</w:t>
      </w:r>
      <w:r>
        <w:rPr>
          <w:rFonts w:hint="eastAsia" w:ascii="仿宋" w:hAnsi="仿宋" w:eastAsia="仿宋" w:cs="仿宋"/>
          <w:b/>
          <w:bCs/>
          <w:color w:val="auto"/>
          <w:sz w:val="21"/>
          <w:szCs w:val="21"/>
          <w:highlight w:val="none"/>
        </w:rPr>
        <w:t>CA 印章。</w:t>
      </w:r>
    </w:p>
    <w:p w14:paraId="068E343C">
      <w:pPr>
        <w:pStyle w:val="5"/>
        <w:bidi w:val="0"/>
        <w:spacing w:line="360" w:lineRule="exact"/>
        <w:outlineLvl w:val="9"/>
        <w:rPr>
          <w:rFonts w:hint="eastAsia" w:ascii="仿宋" w:hAnsi="仿宋" w:eastAsia="仿宋" w:cs="仿宋"/>
          <w:b/>
          <w:bCs/>
          <w:color w:val="auto"/>
          <w:sz w:val="21"/>
          <w:szCs w:val="21"/>
          <w:highlight w:val="none"/>
          <w:u w:val="double"/>
        </w:rPr>
      </w:pPr>
      <w:r>
        <w:rPr>
          <w:rFonts w:hint="eastAsia" w:ascii="仿宋" w:hAnsi="仿宋" w:eastAsia="仿宋" w:cs="仿宋"/>
          <w:b/>
          <w:bCs/>
          <w:color w:val="auto"/>
          <w:sz w:val="21"/>
          <w:szCs w:val="21"/>
          <w:highlight w:val="none"/>
          <w:u w:val="double"/>
        </w:rPr>
        <w:t>六、投标文件份数</w:t>
      </w:r>
    </w:p>
    <w:p w14:paraId="027DB9D8">
      <w:pPr>
        <w:bidi w:val="0"/>
        <w:adjustRightInd w:val="0"/>
        <w:snapToGrid w:val="0"/>
        <w:spacing w:line="360" w:lineRule="exact"/>
        <w:ind w:firstLine="420" w:firstLineChars="200"/>
        <w:jc w:val="lef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加密的电子投标（响应）文件壹份（*.XYTF 格式，在会员系统指定位置上传</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w:t>
      </w:r>
    </w:p>
    <w:p w14:paraId="6E53FDBC">
      <w:pPr>
        <w:pStyle w:val="5"/>
        <w:bidi w:val="0"/>
        <w:spacing w:line="360" w:lineRule="exact"/>
        <w:outlineLvl w:val="9"/>
        <w:rPr>
          <w:rFonts w:hint="eastAsia" w:ascii="仿宋" w:hAnsi="仿宋" w:eastAsia="仿宋" w:cs="仿宋"/>
          <w:b/>
          <w:bCs/>
          <w:color w:val="auto"/>
          <w:sz w:val="21"/>
          <w:szCs w:val="21"/>
          <w:highlight w:val="none"/>
          <w:u w:val="double"/>
        </w:rPr>
      </w:pPr>
      <w:r>
        <w:rPr>
          <w:rFonts w:hint="eastAsia" w:ascii="仿宋" w:hAnsi="仿宋" w:eastAsia="仿宋" w:cs="仿宋"/>
          <w:b/>
          <w:bCs/>
          <w:color w:val="auto"/>
          <w:sz w:val="21"/>
          <w:szCs w:val="21"/>
          <w:highlight w:val="none"/>
          <w:u w:val="double"/>
        </w:rPr>
        <w:t>七、投标（响应）文件的递交</w:t>
      </w:r>
    </w:p>
    <w:p w14:paraId="017FD69B">
      <w:pPr>
        <w:bidi w:val="0"/>
        <w:adjustRightInd w:val="0"/>
        <w:snapToGrid w:val="0"/>
        <w:spacing w:line="36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1、电子投标（响应）文件的递交</w:t>
      </w:r>
    </w:p>
    <w:p w14:paraId="3459B9C5">
      <w:pPr>
        <w:bidi w:val="0"/>
        <w:spacing w:line="360" w:lineRule="exact"/>
        <w:ind w:firstLine="420" w:firstLineChars="200"/>
        <w:jc w:val="lef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各投标（供应商）人应在投标截止时间前上传加密的电子投标（响应）文件（*.XYTF）到会员系统的指定位置。上传的电子投标文件应使用投标人CA数字证书认证并加密。上传时必须得到交易系统“上传成功”的确认回复后方为上传成功。请投标人（供应商）在上传前务必认真检查上传投标（响应）文件是否完整、正确。</w:t>
      </w:r>
    </w:p>
    <w:p w14:paraId="3F6E085D">
      <w:pPr>
        <w:bidi w:val="0"/>
        <w:spacing w:line="360" w:lineRule="exact"/>
        <w:ind w:firstLine="420" w:firstLineChars="200"/>
        <w:jc w:val="lef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rPr>
        <w:t>、除电子投标（响应）文件外，不再接受任何纸质文件、资料原件等。</w:t>
      </w:r>
    </w:p>
    <w:p w14:paraId="762C7206">
      <w:pPr>
        <w:bidi w:val="0"/>
        <w:spacing w:line="360" w:lineRule="exact"/>
        <w:outlineLvl w:val="9"/>
        <w:rPr>
          <w:rFonts w:hint="eastAsia" w:ascii="仿宋" w:hAnsi="仿宋" w:eastAsia="仿宋" w:cs="仿宋"/>
          <w:b/>
          <w:bCs/>
          <w:color w:val="auto"/>
          <w:sz w:val="21"/>
          <w:szCs w:val="21"/>
          <w:highlight w:val="none"/>
          <w:u w:val="double"/>
        </w:rPr>
      </w:pPr>
      <w:r>
        <w:rPr>
          <w:rFonts w:hint="eastAsia" w:ascii="仿宋" w:hAnsi="仿宋" w:eastAsia="仿宋" w:cs="仿宋"/>
          <w:b/>
          <w:bCs/>
          <w:color w:val="auto"/>
          <w:sz w:val="21"/>
          <w:szCs w:val="21"/>
          <w:highlight w:val="none"/>
          <w:u w:val="double"/>
        </w:rPr>
        <w:t>八、澄清与变更</w:t>
      </w:r>
    </w:p>
    <w:p w14:paraId="63FAD099">
      <w:pPr>
        <w:bidi w:val="0"/>
        <w:spacing w:line="36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如有疑问，以书面形式（包括信函、电报、传真等可以有形表现所载内容的形式），要求招标人（采购人）对招标（采购）文件予以澄清。澄清或修改的内容在信阳市公共资源交易系统“变更公告”或“答疑文件”菜单进行发布，投标人（供应商）应在投标（响应）文件递交截止时间前及时查看澄清或修改内容，因投标人（采购人）未及时查看而造成的后果自负。</w:t>
      </w:r>
    </w:p>
    <w:p w14:paraId="591C3843">
      <w:pPr>
        <w:widowControl/>
        <w:numPr>
          <w:ilvl w:val="0"/>
          <w:numId w:val="1"/>
        </w:numPr>
        <w:bidi w:val="0"/>
        <w:spacing w:line="360" w:lineRule="exact"/>
        <w:jc w:val="left"/>
        <w:outlineLvl w:val="9"/>
        <w:rPr>
          <w:rFonts w:hint="eastAsia" w:ascii="仿宋" w:hAnsi="仿宋" w:eastAsia="仿宋" w:cs="仿宋"/>
          <w:b/>
          <w:bCs/>
          <w:color w:val="auto"/>
          <w:sz w:val="21"/>
          <w:szCs w:val="21"/>
          <w:highlight w:val="none"/>
          <w:u w:val="double"/>
        </w:rPr>
      </w:pPr>
      <w:r>
        <w:rPr>
          <w:rFonts w:hint="eastAsia" w:ascii="仿宋" w:hAnsi="仿宋" w:eastAsia="仿宋" w:cs="仿宋"/>
          <w:b/>
          <w:bCs/>
          <w:color w:val="auto"/>
          <w:sz w:val="21"/>
          <w:szCs w:val="21"/>
          <w:highlight w:val="none"/>
          <w:u w:val="double"/>
        </w:rPr>
        <w:t xml:space="preserve">其他注意事项 </w:t>
      </w:r>
    </w:p>
    <w:p w14:paraId="5C9E9240">
      <w:pPr>
        <w:widowControl/>
        <w:bidi w:val="0"/>
        <w:spacing w:line="360" w:lineRule="exact"/>
        <w:jc w:val="left"/>
        <w:outlineLvl w:val="9"/>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u w:val="double"/>
          <w:lang w:val="en-US" w:eastAsia="zh-CN"/>
        </w:rPr>
        <w:t>1、潜在供应商有异议的，可以在公告发布之日起七个工作日内，以书面形式同时向采购人与招标代理机构提交质疑函和必要的证明材料。质疑函应当包括下列内容：（一）供应商的姓名或者名称、地址、邮编、联系人及联系电话；（二）质疑项目的名称、编号；（三）具体、明确的质疑事项和与质疑事项相关的请求；（四）事实依据；（五）必要的法律依据；（六）提出质疑的日期。供应商为自然人的，应当由本人签字；供应商为法人或者其他组织的，应当由法定代表人、主要负责人，或者其授权代表签字或者盖章，并加盖公章。（企业营业执照复印件及本人身份证复印件（加盖单位公章）一并提交），以质疑函接收确认日期作为受理时间；逾期未提交或未按照要求提交的质疑函将不予受理。</w:t>
      </w:r>
    </w:p>
    <w:p w14:paraId="5E599A26">
      <w:pPr>
        <w:widowControl/>
        <w:bidi w:val="0"/>
        <w:spacing w:line="500" w:lineRule="exact"/>
        <w:ind w:firstLine="480" w:firstLineChars="200"/>
        <w:jc w:val="left"/>
        <w:outlineLvl w:val="9"/>
        <w:rPr>
          <w:rFonts w:hint="eastAsia" w:ascii="仿宋" w:hAnsi="仿宋" w:eastAsia="仿宋" w:cs="仿宋"/>
          <w:color w:val="auto"/>
          <w:sz w:val="24"/>
          <w:szCs w:val="24"/>
          <w:highlight w:val="none"/>
        </w:rPr>
      </w:pPr>
    </w:p>
    <w:p w14:paraId="0ECBCFF7">
      <w:pPr>
        <w:pStyle w:val="11"/>
        <w:widowControl/>
        <w:numPr>
          <w:ilvl w:val="0"/>
          <w:numId w:val="0"/>
        </w:numPr>
        <w:tabs>
          <w:tab w:val="right" w:leader="dot" w:pos="9232"/>
        </w:tabs>
        <w:bidi w:val="0"/>
        <w:jc w:val="center"/>
        <w:outlineLvl w:val="0"/>
        <w:rPr>
          <w:rFonts w:hint="eastAsia" w:ascii="仿宋" w:hAnsi="仿宋" w:eastAsia="仿宋" w:cs="仿宋"/>
          <w:b w:val="0"/>
          <w:bCs w:val="0"/>
          <w:color w:val="auto"/>
          <w:sz w:val="21"/>
          <w:szCs w:val="21"/>
          <w:highlight w:val="none"/>
          <w:lang w:val="en-US" w:eastAsia="zh-CN"/>
        </w:rPr>
      </w:pPr>
      <w:r>
        <w:rPr>
          <w:rFonts w:hint="eastAsia" w:ascii="仿宋" w:hAnsi="仿宋" w:eastAsia="仿宋" w:cs="仿宋"/>
          <w:b/>
          <w:bCs/>
          <w:color w:val="auto"/>
          <w:sz w:val="32"/>
          <w:szCs w:val="32"/>
          <w:highlight w:val="none"/>
        </w:rPr>
        <w:br w:type="page"/>
      </w:r>
      <w:bookmarkStart w:id="0" w:name="_Toc32405"/>
      <w:bookmarkStart w:id="1" w:name="_Toc30471"/>
      <w:r>
        <w:rPr>
          <w:rFonts w:hint="eastAsia" w:ascii="仿宋" w:hAnsi="仿宋" w:eastAsia="仿宋" w:cs="仿宋"/>
          <w:b/>
          <w:color w:val="auto"/>
          <w:sz w:val="36"/>
          <w:szCs w:val="36"/>
          <w:highlight w:val="none"/>
          <w:lang w:val="en-US" w:eastAsia="zh-CN" w:bidi="ar-SA"/>
        </w:rPr>
        <w:t>第一章 招标公告</w:t>
      </w:r>
      <w:bookmarkEnd w:id="0"/>
      <w:bookmarkEnd w:id="1"/>
    </w:p>
    <w:p w14:paraId="59FAE4E5">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项目概况</w:t>
      </w:r>
    </w:p>
    <w:p w14:paraId="0037894F">
      <w:pPr>
        <w:keepNext w:val="0"/>
        <w:keepLines w:val="0"/>
        <w:pageBreakBefore w:val="0"/>
        <w:kinsoku/>
        <w:wordWrap/>
        <w:overflowPunct/>
        <w:topLinePunct w:val="0"/>
        <w:autoSpaceDE/>
        <w:autoSpaceDN/>
        <w:bidi w:val="0"/>
        <w:adjustRightInd w:val="0"/>
        <w:snapToGrid w:val="0"/>
        <w:spacing w:line="360" w:lineRule="auto"/>
        <w:ind w:firstLine="630" w:firstLineChars="300"/>
        <w:textAlignment w:val="auto"/>
        <w:outlineLvl w:val="9"/>
        <w:rPr>
          <w:rFonts w:hint="eastAsia" w:ascii="仿宋" w:hAnsi="仿宋" w:eastAsia="仿宋" w:cs="仿宋"/>
          <w:color w:val="auto"/>
          <w:sz w:val="21"/>
          <w:szCs w:val="21"/>
          <w:highlight w:val="yellow"/>
          <w:lang w:val="en-US" w:eastAsia="zh-CN"/>
        </w:rPr>
      </w:pPr>
      <w:r>
        <w:rPr>
          <w:rFonts w:hint="eastAsia" w:ascii="仿宋" w:hAnsi="仿宋" w:eastAsia="仿宋" w:cs="仿宋"/>
          <w:color w:val="auto"/>
          <w:sz w:val="21"/>
          <w:szCs w:val="21"/>
          <w:highlight w:val="none"/>
          <w:u w:val="none"/>
          <w:lang w:val="en-US" w:eastAsia="zh-CN"/>
        </w:rPr>
        <w:t>信阳职业技术学院新双高项目管理与绩效评价平台技术服务采购项目潜在投标人</w:t>
      </w:r>
      <w:r>
        <w:rPr>
          <w:rFonts w:hint="eastAsia" w:ascii="仿宋" w:hAnsi="仿宋" w:eastAsia="仿宋" w:cs="仿宋"/>
          <w:color w:val="auto"/>
          <w:sz w:val="21"/>
          <w:szCs w:val="21"/>
          <w:highlight w:val="none"/>
          <w:lang w:val="en-US" w:eastAsia="zh-CN"/>
        </w:rPr>
        <w:t>登录“全国公共资源交易平台（河南省·信阳市）（https://ggzyjy.xinyang.gov.cn/”网站，凭办理的企业身份认证锁（CA数字证书）登录会员系统进行网上投标”。获取招标文件，并于</w:t>
      </w:r>
      <w:r>
        <w:rPr>
          <w:rFonts w:hint="eastAsia" w:ascii="仿宋" w:hAnsi="仿宋" w:eastAsia="仿宋" w:cs="仿宋"/>
          <w:color w:val="FF0000"/>
          <w:sz w:val="21"/>
          <w:szCs w:val="21"/>
          <w:highlight w:val="none"/>
          <w:u w:val="single"/>
          <w:lang w:val="en-US" w:eastAsia="zh-CN"/>
        </w:rPr>
        <w:t>2026</w:t>
      </w:r>
      <w:r>
        <w:rPr>
          <w:rFonts w:hint="eastAsia" w:ascii="仿宋" w:hAnsi="仿宋" w:eastAsia="仿宋" w:cs="仿宋"/>
          <w:color w:val="FF0000"/>
          <w:sz w:val="21"/>
          <w:szCs w:val="21"/>
          <w:highlight w:val="none"/>
          <w:lang w:val="en-US" w:eastAsia="zh-CN"/>
        </w:rPr>
        <w:t>年</w:t>
      </w:r>
      <w:r>
        <w:rPr>
          <w:rFonts w:hint="eastAsia" w:ascii="仿宋" w:hAnsi="仿宋" w:eastAsia="仿宋" w:cs="仿宋"/>
          <w:color w:val="FF0000"/>
          <w:sz w:val="21"/>
          <w:szCs w:val="21"/>
          <w:highlight w:val="none"/>
          <w:u w:val="single"/>
          <w:lang w:val="en-US" w:eastAsia="zh-CN"/>
        </w:rPr>
        <w:t xml:space="preserve"> 10</w:t>
      </w:r>
      <w:r>
        <w:rPr>
          <w:rFonts w:hint="eastAsia" w:ascii="仿宋" w:hAnsi="仿宋" w:eastAsia="仿宋" w:cs="仿宋"/>
          <w:color w:val="FF0000"/>
          <w:sz w:val="21"/>
          <w:szCs w:val="21"/>
          <w:highlight w:val="none"/>
          <w:lang w:val="en-US" w:eastAsia="zh-CN"/>
        </w:rPr>
        <w:t>月</w:t>
      </w:r>
      <w:r>
        <w:rPr>
          <w:rFonts w:hint="eastAsia" w:ascii="仿宋" w:hAnsi="仿宋" w:eastAsia="仿宋" w:cs="仿宋"/>
          <w:color w:val="FF0000"/>
          <w:sz w:val="21"/>
          <w:szCs w:val="21"/>
          <w:highlight w:val="none"/>
          <w:u w:val="single"/>
          <w:lang w:val="en-US" w:eastAsia="zh-CN"/>
        </w:rPr>
        <w:t xml:space="preserve"> 13 </w:t>
      </w:r>
      <w:r>
        <w:rPr>
          <w:rFonts w:hint="eastAsia" w:ascii="仿宋" w:hAnsi="仿宋" w:eastAsia="仿宋" w:cs="仿宋"/>
          <w:color w:val="FF0000"/>
          <w:sz w:val="21"/>
          <w:szCs w:val="21"/>
          <w:highlight w:val="none"/>
          <w:lang w:val="en-US" w:eastAsia="zh-CN"/>
        </w:rPr>
        <w:t>日</w:t>
      </w:r>
      <w:r>
        <w:rPr>
          <w:rFonts w:hint="eastAsia" w:ascii="仿宋" w:hAnsi="仿宋" w:eastAsia="仿宋" w:cs="仿宋"/>
          <w:color w:val="FF0000"/>
          <w:sz w:val="21"/>
          <w:szCs w:val="21"/>
          <w:highlight w:val="none"/>
          <w:u w:val="single"/>
          <w:lang w:val="en-US" w:eastAsia="zh-CN"/>
        </w:rPr>
        <w:t>09</w:t>
      </w:r>
      <w:r>
        <w:rPr>
          <w:rFonts w:hint="eastAsia" w:ascii="仿宋" w:hAnsi="仿宋" w:eastAsia="仿宋" w:cs="仿宋"/>
          <w:color w:val="FF0000"/>
          <w:sz w:val="21"/>
          <w:szCs w:val="21"/>
          <w:highlight w:val="none"/>
          <w:lang w:val="en-US" w:eastAsia="zh-CN"/>
        </w:rPr>
        <w:t>时</w:t>
      </w:r>
      <w:r>
        <w:rPr>
          <w:rFonts w:hint="eastAsia" w:ascii="仿宋" w:hAnsi="仿宋" w:eastAsia="仿宋" w:cs="仿宋"/>
          <w:color w:val="FF0000"/>
          <w:sz w:val="21"/>
          <w:szCs w:val="21"/>
          <w:highlight w:val="none"/>
          <w:u w:val="single"/>
          <w:lang w:val="en-US" w:eastAsia="zh-CN"/>
        </w:rPr>
        <w:t>00</w:t>
      </w:r>
      <w:r>
        <w:rPr>
          <w:rFonts w:hint="eastAsia" w:ascii="仿宋" w:hAnsi="仿宋" w:eastAsia="仿宋" w:cs="仿宋"/>
          <w:color w:val="FF0000"/>
          <w:sz w:val="21"/>
          <w:szCs w:val="21"/>
          <w:highlight w:val="none"/>
          <w:lang w:val="en-US" w:eastAsia="zh-CN"/>
        </w:rPr>
        <w:t>分</w:t>
      </w:r>
      <w:r>
        <w:rPr>
          <w:rFonts w:hint="eastAsia" w:ascii="仿宋" w:hAnsi="仿宋" w:eastAsia="仿宋" w:cs="仿宋"/>
          <w:color w:val="auto"/>
          <w:sz w:val="21"/>
          <w:szCs w:val="21"/>
          <w:highlight w:val="none"/>
          <w:lang w:val="en-US" w:eastAsia="zh-CN"/>
        </w:rPr>
        <w:t>（北京时间）前递交投标文件。</w:t>
      </w:r>
    </w:p>
    <w:p w14:paraId="155EE03B">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仿宋" w:hAnsi="仿宋" w:eastAsia="仿宋" w:cs="仿宋"/>
          <w:b/>
          <w:bCs/>
          <w:color w:val="auto"/>
          <w:sz w:val="21"/>
          <w:szCs w:val="21"/>
          <w:highlight w:val="none"/>
          <w:lang w:val="en-US" w:eastAsia="zh-CN"/>
        </w:rPr>
      </w:pPr>
      <w:bookmarkStart w:id="2" w:name="_Toc35393621"/>
      <w:bookmarkStart w:id="3" w:name="_Toc35393790"/>
      <w:bookmarkStart w:id="4" w:name="_Toc28359002"/>
      <w:bookmarkStart w:id="5" w:name="_Toc28359079"/>
      <w:bookmarkStart w:id="6" w:name="_Hlk24379207"/>
      <w:r>
        <w:rPr>
          <w:rFonts w:hint="eastAsia" w:ascii="仿宋" w:hAnsi="仿宋" w:eastAsia="仿宋" w:cs="仿宋"/>
          <w:b/>
          <w:bCs/>
          <w:color w:val="auto"/>
          <w:sz w:val="21"/>
          <w:szCs w:val="21"/>
          <w:highlight w:val="none"/>
          <w:lang w:val="en-US" w:eastAsia="zh-CN"/>
        </w:rPr>
        <w:t>一、项目基本情况</w:t>
      </w:r>
      <w:bookmarkEnd w:id="2"/>
      <w:bookmarkEnd w:id="3"/>
      <w:bookmarkEnd w:id="4"/>
      <w:bookmarkEnd w:id="5"/>
    </w:p>
    <w:p w14:paraId="2DDF2F17">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default" w:ascii="仿宋" w:hAnsi="仿宋" w:eastAsia="仿宋" w:cs="仿宋"/>
          <w:color w:val="auto"/>
          <w:sz w:val="21"/>
          <w:szCs w:val="21"/>
          <w:highlight w:val="none"/>
          <w:u w:val="none"/>
          <w:lang w:val="en-US" w:eastAsia="zh-CN"/>
        </w:rPr>
      </w:pPr>
      <w:r>
        <w:rPr>
          <w:rFonts w:hint="eastAsia" w:ascii="仿宋" w:hAnsi="仿宋" w:eastAsia="仿宋" w:cs="仿宋"/>
          <w:color w:val="auto"/>
          <w:sz w:val="21"/>
          <w:szCs w:val="21"/>
          <w:highlight w:val="none"/>
          <w:u w:val="none"/>
          <w:lang w:val="en-US" w:eastAsia="zh-CN"/>
        </w:rPr>
        <w:t>1、项目编号：信财公开招标-2026-91</w:t>
      </w:r>
    </w:p>
    <w:p w14:paraId="1E0028C1">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u w:val="none"/>
          <w:lang w:val="en-US" w:eastAsia="zh-CN"/>
        </w:rPr>
        <w:t>2、项目</w:t>
      </w:r>
      <w:r>
        <w:rPr>
          <w:rFonts w:hint="eastAsia" w:ascii="仿宋" w:hAnsi="仿宋" w:eastAsia="仿宋" w:cs="仿宋"/>
          <w:color w:val="auto"/>
          <w:sz w:val="21"/>
          <w:szCs w:val="21"/>
          <w:highlight w:val="none"/>
          <w:lang w:val="en-US" w:eastAsia="zh-CN"/>
        </w:rPr>
        <w:t>名称：</w:t>
      </w:r>
      <w:r>
        <w:rPr>
          <w:rFonts w:hint="eastAsia" w:ascii="仿宋" w:hAnsi="仿宋" w:eastAsia="仿宋" w:cs="仿宋"/>
          <w:color w:val="auto"/>
          <w:sz w:val="21"/>
          <w:szCs w:val="21"/>
          <w:highlight w:val="none"/>
          <w:u w:val="none"/>
          <w:lang w:val="en-US" w:eastAsia="zh-CN"/>
        </w:rPr>
        <w:t xml:space="preserve">信阳职业技术学院新双高项目管理与绩效评价平台技术服务采购项目   </w:t>
      </w:r>
      <w:r>
        <w:rPr>
          <w:rFonts w:hint="eastAsia" w:ascii="仿宋" w:hAnsi="仿宋" w:eastAsia="仿宋" w:cs="仿宋"/>
          <w:color w:val="auto"/>
          <w:sz w:val="21"/>
          <w:szCs w:val="21"/>
          <w:highlight w:val="none"/>
          <w:lang w:val="en-US" w:eastAsia="zh-CN"/>
        </w:rPr>
        <w:t xml:space="preserve">     </w:t>
      </w:r>
    </w:p>
    <w:p w14:paraId="63F6EC63">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3、采购方式：公开招标  </w:t>
      </w:r>
    </w:p>
    <w:p w14:paraId="1A256BAA">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bCs/>
          <w:color w:val="auto"/>
          <w:highlight w:val="none"/>
          <w:lang w:eastAsia="zh-CN"/>
        </w:rPr>
      </w:pPr>
      <w:r>
        <w:rPr>
          <w:rFonts w:hint="eastAsia" w:ascii="仿宋" w:hAnsi="仿宋" w:eastAsia="仿宋" w:cs="仿宋"/>
          <w:color w:val="auto"/>
          <w:sz w:val="21"/>
          <w:szCs w:val="21"/>
          <w:highlight w:val="none"/>
          <w:lang w:val="en-US" w:eastAsia="zh-CN"/>
        </w:rPr>
        <w:t>4、预算金额：681500.00元</w:t>
      </w:r>
    </w:p>
    <w:p w14:paraId="567B08EE">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最高限价：681500.00元</w:t>
      </w:r>
    </w:p>
    <w:tbl>
      <w:tblPr>
        <w:tblStyle w:val="19"/>
        <w:tblpPr w:leftFromText="180" w:rightFromText="180" w:vertAnchor="text" w:horzAnchor="page" w:tblpXSpec="center" w:tblpY="272"/>
        <w:tblOverlap w:val="never"/>
        <w:tblW w:w="8957"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0" w:type="dxa"/>
          <w:left w:w="0" w:type="dxa"/>
          <w:bottom w:w="0" w:type="dxa"/>
          <w:right w:w="0" w:type="dxa"/>
        </w:tblCellMar>
      </w:tblPr>
      <w:tblGrid>
        <w:gridCol w:w="495"/>
        <w:gridCol w:w="2224"/>
        <w:gridCol w:w="3226"/>
        <w:gridCol w:w="1415"/>
        <w:gridCol w:w="1597"/>
      </w:tblGrid>
      <w:tr w14:paraId="0AF13C4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PrEx>
        <w:trPr>
          <w:trHeight w:val="532" w:hRule="atLeast"/>
          <w:jc w:val="center"/>
        </w:trPr>
        <w:tc>
          <w:tcPr>
            <w:tcW w:w="495" w:type="dxa"/>
            <w:tcBorders>
              <w:top w:val="outset" w:color="auto" w:sz="6" w:space="0"/>
              <w:left w:val="outset" w:color="auto" w:sz="6" w:space="0"/>
              <w:bottom w:val="outset" w:color="auto" w:sz="6" w:space="0"/>
              <w:right w:val="outset" w:color="auto" w:sz="6" w:space="0"/>
            </w:tcBorders>
            <w:shd w:val="clear" w:color="auto" w:fill="FFFFFF"/>
            <w:noWrap w:val="0"/>
            <w:vAlign w:val="center"/>
          </w:tcPr>
          <w:p w14:paraId="5C41803C">
            <w:pPr>
              <w:adjustRightInd w:val="0"/>
              <w:snapToGrid w:val="0"/>
              <w:spacing w:line="240" w:lineRule="auto"/>
              <w:ind w:left="0" w:leftChars="0" w:firstLine="0" w:firstLineChars="0"/>
              <w:jc w:val="center"/>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序号</w:t>
            </w:r>
          </w:p>
        </w:tc>
        <w:tc>
          <w:tcPr>
            <w:tcW w:w="2224" w:type="dxa"/>
            <w:tcBorders>
              <w:top w:val="outset" w:color="auto" w:sz="6" w:space="0"/>
              <w:left w:val="outset" w:color="auto" w:sz="6" w:space="0"/>
              <w:bottom w:val="outset" w:color="auto" w:sz="6" w:space="0"/>
              <w:right w:val="outset" w:color="auto" w:sz="6" w:space="0"/>
            </w:tcBorders>
            <w:shd w:val="clear" w:color="auto" w:fill="FFFFFF"/>
            <w:noWrap w:val="0"/>
            <w:vAlign w:val="center"/>
          </w:tcPr>
          <w:p w14:paraId="06ADA874">
            <w:pPr>
              <w:adjustRightInd w:val="0"/>
              <w:snapToGrid w:val="0"/>
              <w:spacing w:line="240" w:lineRule="auto"/>
              <w:ind w:left="0" w:leftChars="0" w:firstLine="0" w:firstLineChars="0"/>
              <w:jc w:val="center"/>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包号</w:t>
            </w:r>
          </w:p>
        </w:tc>
        <w:tc>
          <w:tcPr>
            <w:tcW w:w="3226" w:type="dxa"/>
            <w:tcBorders>
              <w:top w:val="outset" w:color="auto" w:sz="6" w:space="0"/>
              <w:left w:val="outset" w:color="auto" w:sz="6" w:space="0"/>
              <w:bottom w:val="outset" w:color="auto" w:sz="6" w:space="0"/>
              <w:right w:val="outset" w:color="auto" w:sz="6" w:space="0"/>
            </w:tcBorders>
            <w:shd w:val="clear" w:color="auto" w:fill="FFFFFF"/>
            <w:noWrap w:val="0"/>
            <w:vAlign w:val="center"/>
          </w:tcPr>
          <w:p w14:paraId="27E9EB26">
            <w:pPr>
              <w:adjustRightInd w:val="0"/>
              <w:snapToGrid w:val="0"/>
              <w:spacing w:line="240" w:lineRule="auto"/>
              <w:ind w:left="0" w:leftChars="0" w:firstLine="0" w:firstLineChars="0"/>
              <w:jc w:val="center"/>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包名称</w:t>
            </w:r>
          </w:p>
        </w:tc>
        <w:tc>
          <w:tcPr>
            <w:tcW w:w="1415" w:type="dxa"/>
            <w:tcBorders>
              <w:top w:val="outset" w:color="auto" w:sz="6" w:space="0"/>
              <w:left w:val="outset" w:color="auto" w:sz="6" w:space="0"/>
              <w:bottom w:val="outset" w:color="auto" w:sz="6" w:space="0"/>
              <w:right w:val="outset" w:color="auto" w:sz="6" w:space="0"/>
            </w:tcBorders>
            <w:shd w:val="clear" w:color="auto" w:fill="FFFFFF"/>
            <w:noWrap w:val="0"/>
            <w:vAlign w:val="center"/>
          </w:tcPr>
          <w:p w14:paraId="46174720">
            <w:pPr>
              <w:adjustRightInd w:val="0"/>
              <w:snapToGrid w:val="0"/>
              <w:spacing w:line="240" w:lineRule="auto"/>
              <w:ind w:left="0" w:leftChars="0" w:firstLine="0" w:firstLineChars="0"/>
              <w:jc w:val="center"/>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包预算（元）</w:t>
            </w:r>
          </w:p>
        </w:tc>
        <w:tc>
          <w:tcPr>
            <w:tcW w:w="1597" w:type="dxa"/>
            <w:tcBorders>
              <w:top w:val="outset" w:color="auto" w:sz="6" w:space="0"/>
              <w:left w:val="outset" w:color="auto" w:sz="6" w:space="0"/>
              <w:bottom w:val="outset" w:color="auto" w:sz="6" w:space="0"/>
              <w:right w:val="outset" w:color="auto" w:sz="6" w:space="0"/>
            </w:tcBorders>
            <w:shd w:val="clear" w:color="auto" w:fill="FFFFFF"/>
            <w:noWrap w:val="0"/>
            <w:vAlign w:val="center"/>
          </w:tcPr>
          <w:p w14:paraId="6852552D">
            <w:pPr>
              <w:adjustRightInd w:val="0"/>
              <w:snapToGrid w:val="0"/>
              <w:spacing w:line="240" w:lineRule="auto"/>
              <w:ind w:left="0" w:leftChars="0" w:firstLine="0" w:firstLineChars="0"/>
              <w:jc w:val="center"/>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包最高限价（元）</w:t>
            </w:r>
          </w:p>
        </w:tc>
      </w:tr>
      <w:tr w14:paraId="177977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0" w:type="dxa"/>
            <w:left w:w="0" w:type="dxa"/>
            <w:bottom w:w="0" w:type="dxa"/>
            <w:right w:w="0" w:type="dxa"/>
          </w:tblCellMar>
        </w:tblPrEx>
        <w:trPr>
          <w:trHeight w:val="708" w:hRule="atLeast"/>
          <w:jc w:val="center"/>
        </w:trPr>
        <w:tc>
          <w:tcPr>
            <w:tcW w:w="495" w:type="dxa"/>
            <w:tcBorders>
              <w:top w:val="outset" w:color="auto" w:sz="6" w:space="0"/>
              <w:left w:val="outset" w:color="auto" w:sz="6" w:space="0"/>
              <w:bottom w:val="outset" w:color="auto" w:sz="6" w:space="0"/>
              <w:right w:val="outset" w:color="auto" w:sz="6" w:space="0"/>
            </w:tcBorders>
            <w:shd w:val="clear" w:color="auto" w:fill="FFFFFF"/>
            <w:noWrap w:val="0"/>
            <w:vAlign w:val="center"/>
          </w:tcPr>
          <w:p w14:paraId="564C20B9">
            <w:pPr>
              <w:adjustRightInd w:val="0"/>
              <w:snapToGrid w:val="0"/>
              <w:spacing w:line="240" w:lineRule="auto"/>
              <w:ind w:left="0" w:leftChars="0" w:firstLine="0" w:firstLineChars="0"/>
              <w:jc w:val="center"/>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1</w:t>
            </w:r>
          </w:p>
        </w:tc>
        <w:tc>
          <w:tcPr>
            <w:tcW w:w="2224" w:type="dxa"/>
            <w:tcBorders>
              <w:top w:val="outset" w:color="auto" w:sz="6" w:space="0"/>
              <w:left w:val="outset" w:color="auto" w:sz="6" w:space="0"/>
              <w:bottom w:val="outset" w:color="auto" w:sz="6" w:space="0"/>
              <w:right w:val="outset" w:color="auto" w:sz="6" w:space="0"/>
            </w:tcBorders>
            <w:shd w:val="clear" w:color="auto" w:fill="FFFFFF"/>
            <w:noWrap w:val="0"/>
            <w:vAlign w:val="center"/>
          </w:tcPr>
          <w:p w14:paraId="582DB24E">
            <w:pPr>
              <w:adjustRightInd w:val="0"/>
              <w:snapToGrid w:val="0"/>
              <w:spacing w:line="240" w:lineRule="auto"/>
              <w:ind w:left="0" w:leftChars="0" w:firstLine="0" w:firstLineChars="0"/>
              <w:jc w:val="center"/>
              <w:outlineLvl w:val="9"/>
              <w:rPr>
                <w:rFonts w:hint="default"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信财公开招标-2026-91-1</w:t>
            </w:r>
          </w:p>
        </w:tc>
        <w:tc>
          <w:tcPr>
            <w:tcW w:w="3226" w:type="dxa"/>
            <w:tcBorders>
              <w:top w:val="outset" w:color="auto" w:sz="6" w:space="0"/>
              <w:left w:val="outset" w:color="auto" w:sz="6" w:space="0"/>
              <w:bottom w:val="outset" w:color="auto" w:sz="6" w:space="0"/>
              <w:right w:val="outset" w:color="auto" w:sz="6" w:space="0"/>
            </w:tcBorders>
            <w:shd w:val="clear" w:color="auto" w:fill="FFFFFF"/>
            <w:noWrap w:val="0"/>
            <w:vAlign w:val="center"/>
          </w:tcPr>
          <w:p w14:paraId="02687401">
            <w:pPr>
              <w:adjustRightInd w:val="0"/>
              <w:snapToGrid w:val="0"/>
              <w:spacing w:line="240" w:lineRule="auto"/>
              <w:ind w:left="0" w:leftChars="0" w:firstLine="0" w:firstLineChars="0"/>
              <w:jc w:val="center"/>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u w:val="none"/>
                <w:lang w:val="en-US" w:eastAsia="zh-CN"/>
              </w:rPr>
              <w:t>信阳职业技术学院新双高项目管理与绩效评价平台技术服务采购项目</w:t>
            </w:r>
          </w:p>
        </w:tc>
        <w:tc>
          <w:tcPr>
            <w:tcW w:w="1415" w:type="dxa"/>
            <w:tcBorders>
              <w:top w:val="outset" w:color="auto" w:sz="6" w:space="0"/>
              <w:left w:val="outset" w:color="auto" w:sz="6" w:space="0"/>
              <w:bottom w:val="outset" w:color="auto" w:sz="6" w:space="0"/>
              <w:right w:val="outset" w:color="auto" w:sz="6" w:space="0"/>
            </w:tcBorders>
            <w:shd w:val="clear" w:color="auto" w:fill="FFFFFF"/>
            <w:noWrap w:val="0"/>
            <w:vAlign w:val="center"/>
          </w:tcPr>
          <w:p w14:paraId="7BDA46F6">
            <w:pPr>
              <w:adjustRightInd w:val="0"/>
              <w:snapToGrid w:val="0"/>
              <w:spacing w:line="240" w:lineRule="auto"/>
              <w:ind w:left="0" w:leftChars="0" w:firstLine="0" w:firstLineChars="0"/>
              <w:jc w:val="center"/>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681500.00</w:t>
            </w:r>
          </w:p>
        </w:tc>
        <w:tc>
          <w:tcPr>
            <w:tcW w:w="1597" w:type="dxa"/>
            <w:tcBorders>
              <w:top w:val="outset" w:color="auto" w:sz="6" w:space="0"/>
              <w:left w:val="outset" w:color="auto" w:sz="6" w:space="0"/>
              <w:bottom w:val="outset" w:color="auto" w:sz="6" w:space="0"/>
              <w:right w:val="outset" w:color="auto" w:sz="6" w:space="0"/>
            </w:tcBorders>
            <w:shd w:val="clear" w:color="auto" w:fill="FFFFFF"/>
            <w:noWrap w:val="0"/>
            <w:vAlign w:val="center"/>
          </w:tcPr>
          <w:p w14:paraId="37630FB7">
            <w:pPr>
              <w:adjustRightInd w:val="0"/>
              <w:snapToGrid w:val="0"/>
              <w:spacing w:line="240" w:lineRule="auto"/>
              <w:ind w:left="0" w:leftChars="0" w:firstLine="0" w:firstLineChars="0"/>
              <w:jc w:val="center"/>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681500.00</w:t>
            </w:r>
          </w:p>
        </w:tc>
      </w:tr>
      <w:bookmarkEnd w:id="6"/>
    </w:tbl>
    <w:p w14:paraId="2B45AADF">
      <w:pPr>
        <w:keepNext w:val="0"/>
        <w:keepLines w:val="0"/>
        <w:pageBreakBefore w:val="0"/>
        <w:numPr>
          <w:ilvl w:val="0"/>
          <w:numId w:val="2"/>
        </w:numPr>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采购需求（包括但不限于标的的名称、数量、简要技术需求或服务要求等）：</w:t>
      </w:r>
    </w:p>
    <w:p w14:paraId="3CE4622C">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lang w:eastAsia="zh-CN"/>
        </w:rPr>
        <w:t>采购内容：本次采购共设一个包，</w:t>
      </w:r>
      <w:r>
        <w:rPr>
          <w:rFonts w:hint="eastAsia" w:ascii="仿宋" w:hAnsi="仿宋" w:eastAsia="仿宋" w:cs="仿宋"/>
          <w:color w:val="auto"/>
          <w:sz w:val="21"/>
          <w:szCs w:val="21"/>
          <w:highlight w:val="none"/>
          <w:lang w:val="en-US" w:eastAsia="zh-CN"/>
        </w:rPr>
        <w:t>主要是</w:t>
      </w:r>
      <w:r>
        <w:rPr>
          <w:rFonts w:hint="eastAsia" w:ascii="仿宋" w:hAnsi="仿宋" w:eastAsia="仿宋" w:cs="仿宋"/>
          <w:color w:val="auto"/>
          <w:sz w:val="21"/>
          <w:szCs w:val="21"/>
          <w:highlight w:val="none"/>
          <w:lang w:eastAsia="zh-CN"/>
        </w:rPr>
        <w:t>信阳职业技术学院新双高项目管理与绩效评价平台技术服务采购。具体要求详见招标文件“第五章 技术规格及要求”。</w:t>
      </w:r>
    </w:p>
    <w:p w14:paraId="4C7F6EF9">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5.2 交货期：自合同签订后90日历天内完成交货；</w:t>
      </w:r>
    </w:p>
    <w:p w14:paraId="4A18A513">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5.3 质量要求：符合国家现行规范及标准，并通过采购人验收。</w:t>
      </w:r>
    </w:p>
    <w:p w14:paraId="389A9F3B">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5.4 质保期：自验收合格之日起计算，质保期不低于3年；质保期内所有产品的维护、维修、升级均提供免费上门服务，若技术参数中有特殊要求的，以技术参数要求为准；</w:t>
      </w:r>
    </w:p>
    <w:p w14:paraId="39FCA84C">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6.合同履行期限：合同签订起至质保期满；</w:t>
      </w:r>
    </w:p>
    <w:p w14:paraId="0B48F919">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7.本项目是否接受联合体投标：否；</w:t>
      </w:r>
    </w:p>
    <w:p w14:paraId="28386E74">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8.是否接受进口产品：否；</w:t>
      </w:r>
    </w:p>
    <w:p w14:paraId="1EC807A6">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u w:val="none"/>
          <w:lang w:val="en-US" w:eastAsia="zh-CN"/>
        </w:rPr>
      </w:pPr>
      <w:r>
        <w:rPr>
          <w:rFonts w:hint="eastAsia" w:ascii="仿宋" w:hAnsi="仿宋" w:eastAsia="仿宋" w:cs="仿宋"/>
          <w:color w:val="auto"/>
          <w:sz w:val="21"/>
          <w:szCs w:val="21"/>
          <w:highlight w:val="none"/>
          <w:lang w:val="en-US" w:eastAsia="zh-CN"/>
        </w:rPr>
        <w:t>9.是否专门面向中小企业：是；</w:t>
      </w:r>
    </w:p>
    <w:p w14:paraId="522B6DD6">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二、申请人资格要求</w:t>
      </w:r>
    </w:p>
    <w:p w14:paraId="33E89BBE">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1、满足《中华人民共和国政府采购法》第二十二条规定。</w:t>
      </w:r>
    </w:p>
    <w:p w14:paraId="76CB1119">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2、落实政府采购政策满足的资格要求：</w:t>
      </w:r>
    </w:p>
    <w:p w14:paraId="2DC51CA9">
      <w:pPr>
        <w:keepNext w:val="0"/>
        <w:keepLines w:val="0"/>
        <w:pageBreakBefore w:val="0"/>
        <w:kinsoku/>
        <w:wordWrap/>
        <w:overflowPunct/>
        <w:topLinePunct w:val="0"/>
        <w:autoSpaceDE/>
        <w:autoSpaceDN/>
        <w:bidi w:val="0"/>
        <w:adjustRightInd w:val="0"/>
        <w:snapToGrid w:val="0"/>
        <w:spacing w:line="360" w:lineRule="auto"/>
        <w:ind w:left="420" w:leftChars="200" w:firstLine="0" w:firstLineChars="0"/>
        <w:textAlignment w:val="auto"/>
        <w:outlineLvl w:val="9"/>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SA"/>
        </w:rPr>
        <w:t>2.1本项目专门面向中小企业采购,提供中小企业声明函。</w:t>
      </w:r>
      <w:r>
        <w:rPr>
          <w:rFonts w:hint="eastAsia" w:ascii="仿宋" w:hAnsi="仿宋" w:eastAsia="仿宋" w:cs="仿宋"/>
          <w:color w:val="auto"/>
          <w:kern w:val="0"/>
          <w:sz w:val="21"/>
          <w:szCs w:val="21"/>
          <w:highlight w:val="none"/>
          <w:lang w:val="en-US" w:eastAsia="zh-CN" w:bidi="ar-SA"/>
        </w:rPr>
        <w:br w:type="textWrapping"/>
      </w:r>
      <w:r>
        <w:rPr>
          <w:rFonts w:hint="eastAsia" w:ascii="仿宋" w:hAnsi="仿宋" w:eastAsia="仿宋" w:cs="仿宋"/>
          <w:color w:val="auto"/>
          <w:kern w:val="0"/>
          <w:sz w:val="21"/>
          <w:szCs w:val="21"/>
          <w:highlight w:val="none"/>
          <w:lang w:val="en-US" w:eastAsia="zh-CN" w:bidi="ar-SA"/>
        </w:rPr>
        <w:t>本项目落实节约能源、保护环境、扶持不发达地区和少数民族地区、促进中小微企业、监狱企业及残疾人福利性单位发展等政府采购政策。</w:t>
      </w:r>
    </w:p>
    <w:p w14:paraId="301BF1E0">
      <w:pPr>
        <w:numPr>
          <w:ilvl w:val="0"/>
          <w:numId w:val="0"/>
        </w:numPr>
        <w:spacing w:line="240" w:lineRule="auto"/>
        <w:ind w:firstLine="420" w:firstLineChars="200"/>
        <w:outlineLvl w:val="9"/>
        <w:rPr>
          <w:rFonts w:hint="eastAsia" w:ascii="仿宋" w:hAnsi="仿宋" w:eastAsia="仿宋" w:cs="仿宋"/>
          <w:color w:val="auto"/>
          <w:kern w:val="0"/>
          <w:sz w:val="21"/>
          <w:szCs w:val="21"/>
          <w:highlight w:val="none"/>
          <w:shd w:val="clear" w:color="auto" w:fill="FFFFFF"/>
          <w:lang w:val="en-US" w:eastAsia="zh-CN" w:bidi="ar-SA"/>
        </w:rPr>
      </w:pPr>
      <w:r>
        <w:rPr>
          <w:rFonts w:hint="eastAsia" w:ascii="仿宋" w:hAnsi="仿宋" w:eastAsia="仿宋" w:cs="仿宋"/>
          <w:color w:val="auto"/>
          <w:kern w:val="0"/>
          <w:sz w:val="21"/>
          <w:szCs w:val="21"/>
          <w:highlight w:val="none"/>
          <w:shd w:val="clear" w:color="auto" w:fill="FFFFFF"/>
          <w:lang w:val="en-US" w:eastAsia="zh-CN" w:bidi="ar-SA"/>
        </w:rPr>
        <w:t>3、本项目的特定资格要求：</w:t>
      </w:r>
    </w:p>
    <w:p w14:paraId="1D214F2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jc w:val="left"/>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3.1具有独立承担民事责任的能力（提供法人或者其他组织的营业执照等证明文件）；</w:t>
      </w:r>
    </w:p>
    <w:p w14:paraId="033F7B7A">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jc w:val="left"/>
        <w:textAlignment w:val="auto"/>
        <w:outlineLvl w:val="9"/>
        <w:rPr>
          <w:rFonts w:hint="eastAsia" w:ascii="仿宋" w:hAnsi="仿宋" w:eastAsia="仿宋" w:cs="仿宋"/>
          <w:color w:val="auto"/>
          <w:highlight w:val="none"/>
          <w:lang w:eastAsia="zh-CN"/>
        </w:rPr>
      </w:pPr>
      <w:r>
        <w:rPr>
          <w:rFonts w:hint="eastAsia" w:ascii="仿宋" w:hAnsi="仿宋" w:eastAsia="仿宋" w:cs="仿宋"/>
          <w:color w:val="auto"/>
          <w:sz w:val="21"/>
          <w:szCs w:val="21"/>
          <w:highlight w:val="none"/>
        </w:rPr>
        <w:t>3.2具有良好的商业信誉和健全的财务会计制度</w:t>
      </w:r>
      <w:r>
        <w:rPr>
          <w:rFonts w:hint="eastAsia" w:ascii="仿宋" w:hAnsi="仿宋" w:eastAsia="仿宋" w:cs="仿宋"/>
          <w:color w:val="auto"/>
          <w:sz w:val="21"/>
          <w:szCs w:val="21"/>
          <w:highlight w:val="none"/>
          <w:lang w:eastAsia="zh-CN"/>
        </w:rPr>
        <w:t>（提供202</w:t>
      </w:r>
      <w:r>
        <w:rPr>
          <w:rFonts w:hint="eastAsia" w:ascii="仿宋" w:hAnsi="仿宋" w:eastAsia="仿宋" w:cs="仿宋"/>
          <w:color w:val="auto"/>
          <w:sz w:val="21"/>
          <w:szCs w:val="21"/>
          <w:highlight w:val="none"/>
          <w:lang w:val="en-US" w:eastAsia="zh-CN"/>
        </w:rPr>
        <w:t>4年度或2025年度经审计的财务审计报告；若企业成立时间不足，则提供开户行出具的资信证明或财务报表；具备健全的财务会计制度）；</w:t>
      </w:r>
    </w:p>
    <w:p w14:paraId="76044404">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jc w:val="left"/>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3.3具有履行合同所必需的设备和专业技术能力（提供书面承诺书，格式自拟）； </w:t>
      </w:r>
    </w:p>
    <w:p w14:paraId="211CE2D8">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jc w:val="left"/>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3.4有依法缴纳税收和社会保障资金的良好记录（提供开标前12个月内连续</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个月依法缴纳税收和社会保障金的证明材料，依法不需要缴纳税收和社会保障资金的投标人，应提供相应文件证明）；</w:t>
      </w:r>
    </w:p>
    <w:p w14:paraId="4546E050">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jc w:val="left"/>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3.5参加政府采购活动前三年内，在经营活动中没有重大违法记录（提供书面承诺书，格式自拟）；</w:t>
      </w:r>
    </w:p>
    <w:p w14:paraId="1E6910B9">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jc w:val="left"/>
        <w:textAlignment w:val="auto"/>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3.6</w:t>
      </w:r>
      <w:r>
        <w:rPr>
          <w:rFonts w:hint="eastAsia" w:ascii="仿宋" w:hAnsi="仿宋" w:eastAsia="仿宋" w:cs="仿宋"/>
          <w:color w:val="auto"/>
          <w:sz w:val="21"/>
          <w:szCs w:val="21"/>
          <w:highlight w:val="none"/>
          <w:lang w:eastAsia="zh-CN"/>
        </w:rPr>
        <w:t>根据《关于在政府采购活动中查询及使用信用记录有关问题的通知》（财库〔2016〕125号）及豫财购〔2016〕15号文件规定，供应商须通过以下渠道查询自身信用记录并提供查询网页截图：“信用中国”网站（www.creditchina.gov.cn）查询“失信被执行人（跳转至中国执行信息公开网）”“重大税收违法失信主体”及“政府采购严重违法失信行为记录名单”；中国政府采购网（www.ccgp.gov.cn）查询“政府采购严重违法失信行为记录名单”。查询截止时点为：自公告发布之日起至投标截止之日止。</w:t>
      </w:r>
    </w:p>
    <w:p w14:paraId="453D190D">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jc w:val="left"/>
        <w:textAlignment w:val="auto"/>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val="en-US" w:eastAsia="zh-CN"/>
        </w:rPr>
        <w:t>7</w:t>
      </w:r>
      <w:r>
        <w:rPr>
          <w:rFonts w:hint="eastAsia" w:ascii="仿宋" w:hAnsi="仿宋" w:eastAsia="仿宋" w:cs="仿宋"/>
          <w:color w:val="auto"/>
          <w:sz w:val="21"/>
          <w:szCs w:val="21"/>
          <w:highlight w:val="none"/>
          <w:lang w:eastAsia="zh-CN"/>
        </w:rPr>
        <w:t>单位负责人为同一人或存在直接控股、管理关系的不同单位，不得同时参与同一合同项目下的政府采购活动；【需提供“国家企业信用信息公示系统”中公示的包含股东及出资信息的公司基础信息截图，或其他载明股东及出资信息的有效证明材料，查询截止时点为公告发布之日起至投标截止之日止】；</w:t>
      </w:r>
    </w:p>
    <w:p w14:paraId="5297846E">
      <w:pPr>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val="en-US" w:eastAsia="zh-CN"/>
        </w:rPr>
        <w:t>8</w:t>
      </w:r>
      <w:r>
        <w:rPr>
          <w:rFonts w:hint="eastAsia" w:ascii="仿宋" w:hAnsi="仿宋" w:eastAsia="仿宋" w:cs="仿宋"/>
          <w:color w:val="auto"/>
          <w:sz w:val="21"/>
          <w:szCs w:val="21"/>
          <w:highlight w:val="none"/>
        </w:rPr>
        <w:t>本项目不允许联合体投标，同时不得分包，不得转包（提供书面承诺书，格式自拟）。</w:t>
      </w:r>
    </w:p>
    <w:p w14:paraId="2D15C9E1">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三、获取招标文件</w:t>
      </w:r>
    </w:p>
    <w:p w14:paraId="752196BA">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1、时间：</w:t>
      </w:r>
      <w:r>
        <w:rPr>
          <w:rFonts w:hint="eastAsia" w:ascii="仿宋" w:hAnsi="仿宋" w:eastAsia="仿宋" w:cs="仿宋"/>
          <w:color w:val="FF0000"/>
          <w:sz w:val="21"/>
          <w:szCs w:val="21"/>
          <w:highlight w:val="none"/>
          <w:lang w:val="en-US" w:eastAsia="zh-CN"/>
        </w:rPr>
        <w:t>2026年9月14日00时00分至2026年9月18日23时59分</w:t>
      </w:r>
      <w:r>
        <w:rPr>
          <w:rFonts w:hint="eastAsia" w:ascii="仿宋" w:hAnsi="仿宋" w:eastAsia="仿宋" w:cs="仿宋"/>
          <w:color w:val="auto"/>
          <w:sz w:val="21"/>
          <w:szCs w:val="21"/>
          <w:highlight w:val="none"/>
          <w:lang w:val="en-US" w:eastAsia="zh-CN"/>
        </w:rPr>
        <w:t>（北京时间）；</w:t>
      </w:r>
    </w:p>
    <w:p w14:paraId="1117EDF5">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2、地点：登录“全国公共资源交易平台（河南省·信阳市）（https://ggzyjy.xinyang.gov.cn/”网站，凭办理的企业身份认证锁（CA数字证书）登录会员系统进行网上投标；</w:t>
      </w:r>
    </w:p>
    <w:p w14:paraId="01A1BDCA">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3、方式：</w:t>
      </w:r>
    </w:p>
    <w:p w14:paraId="643FB93E">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3.1投标人注册：投标企业首先登录“全国公共资源交易平台（河南省·信阳市）（https://ggzyjy.xinyang.gov.cn/”网站进行交易主体注册，按网站公告通知有关要求填报企业信息并上传有关原件扫描件至诚信库，不需携带原件到信阳市公共资源交易中心进行审核。投标人应对所上传材料的真实性、合法性、有效性负责，其上传的信息将全部对外公示，接受社会监督。</w:t>
      </w:r>
    </w:p>
    <w:p w14:paraId="4225FC8C">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3.2办理CA数字证书：完成企业诚信库注册后，必须办理CA数字证书方可在网上办理招投标相关业务。投标人根据信阳市公共资源交易网通知公告栏目中《关于信阳市公共资源交易平台数字证书（CA）互认系统正式上线运行的通知》要求，自行选择CA数字证书服务商，线上、线下办理CA数字证书。</w:t>
      </w:r>
    </w:p>
    <w:p w14:paraId="4ABEAAA9">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3.3招标文件获取方式：投标人凭CA数字证书登录会员系统后，即可按网上提示免费下载招标文件及资料（操作程序详见信阳市公共资源交易中心网站下载中心栏目里投标人操作手册）。招标文件(*.XYZF格式)下载后需使用“信阳市投标文件制作工具软件”打开（该工具软件可在“全国公共资源交易平台（河南省·信阳市）（https://ggzyjy.xinyang.gov.cn/”网站下载中心栏目内下载或在招标文件领取页面下载）。</w:t>
      </w:r>
    </w:p>
    <w:p w14:paraId="596A9606">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3.4请投标人下载招标文件后及时关注系统业务菜单（“答疑澄清文件领取”，“控制价文件领取”）内该项目是否有新的答疑澄清文件或控制价文件。如有请直接下载，不再另行通知。</w:t>
      </w:r>
    </w:p>
    <w:p w14:paraId="5798085C">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4、售价：0元。</w:t>
      </w:r>
    </w:p>
    <w:p w14:paraId="40512EC8">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四、投标文件提交的截止时间及地点</w:t>
      </w:r>
    </w:p>
    <w:p w14:paraId="5A7D83F2">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1、时间：</w:t>
      </w:r>
      <w:r>
        <w:rPr>
          <w:rFonts w:hint="eastAsia" w:ascii="仿宋" w:hAnsi="仿宋" w:eastAsia="仿宋" w:cs="仿宋"/>
          <w:color w:val="FF0000"/>
          <w:sz w:val="21"/>
          <w:szCs w:val="21"/>
          <w:highlight w:val="none"/>
          <w:lang w:val="en-US" w:eastAsia="zh-CN"/>
        </w:rPr>
        <w:t>2026年10月13 日09时00分</w:t>
      </w:r>
      <w:r>
        <w:rPr>
          <w:rFonts w:hint="eastAsia" w:ascii="仿宋" w:hAnsi="仿宋" w:eastAsia="仿宋" w:cs="仿宋"/>
          <w:color w:val="auto"/>
          <w:sz w:val="21"/>
          <w:szCs w:val="21"/>
          <w:highlight w:val="none"/>
          <w:lang w:val="en-US" w:eastAsia="zh-CN"/>
        </w:rPr>
        <w:t>（北京时间）</w:t>
      </w:r>
    </w:p>
    <w:p w14:paraId="3511B84E">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2、地点：本项目为不见面开标项目，投标文件递交地点为《信阳市公共资源交易网（http://www.xyggzyjy.cn/）》电子招投标平台会员系统指定位置。</w:t>
      </w:r>
    </w:p>
    <w:p w14:paraId="2F787881">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b/>
          <w:bCs/>
          <w:color w:val="auto"/>
          <w:sz w:val="21"/>
          <w:szCs w:val="21"/>
          <w:highlight w:val="none"/>
          <w:lang w:val="en-US" w:eastAsia="zh-CN"/>
        </w:rPr>
      </w:pPr>
      <w:r>
        <w:rPr>
          <w:rFonts w:hint="eastAsia" w:ascii="仿宋" w:hAnsi="仿宋" w:eastAsia="仿宋" w:cs="仿宋"/>
          <w:color w:val="auto"/>
          <w:sz w:val="21"/>
          <w:szCs w:val="21"/>
          <w:highlight w:val="none"/>
          <w:lang w:val="en-US" w:eastAsia="zh-CN"/>
        </w:rPr>
        <w:t>3、加密电子投标文件逾期上传采购人不予受理。</w:t>
      </w:r>
    </w:p>
    <w:p w14:paraId="2719A7E3">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五、投标文件的开启时间及地点</w:t>
      </w:r>
    </w:p>
    <w:p w14:paraId="0F73D1BE">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1、时间：</w:t>
      </w:r>
      <w:r>
        <w:rPr>
          <w:rFonts w:hint="eastAsia" w:ascii="仿宋" w:hAnsi="仿宋" w:eastAsia="仿宋" w:cs="仿宋"/>
          <w:color w:val="FF0000"/>
          <w:sz w:val="21"/>
          <w:szCs w:val="21"/>
          <w:highlight w:val="none"/>
          <w:lang w:val="en-US" w:eastAsia="zh-CN"/>
        </w:rPr>
        <w:t>2026年10月13 日09时00分</w:t>
      </w:r>
      <w:r>
        <w:rPr>
          <w:rFonts w:hint="eastAsia" w:ascii="仿宋" w:hAnsi="仿宋" w:eastAsia="仿宋" w:cs="仿宋"/>
          <w:color w:val="auto"/>
          <w:sz w:val="21"/>
          <w:szCs w:val="21"/>
          <w:highlight w:val="none"/>
          <w:lang w:val="en-US" w:eastAsia="zh-CN"/>
        </w:rPr>
        <w:t>（北京时间）</w:t>
      </w:r>
    </w:p>
    <w:p w14:paraId="1271955E">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b/>
          <w:bCs/>
          <w:color w:val="auto"/>
          <w:sz w:val="21"/>
          <w:szCs w:val="21"/>
          <w:highlight w:val="none"/>
          <w:lang w:val="en-US" w:eastAsia="zh-CN"/>
        </w:rPr>
      </w:pPr>
      <w:r>
        <w:rPr>
          <w:rFonts w:hint="eastAsia" w:ascii="仿宋" w:hAnsi="仿宋" w:eastAsia="仿宋" w:cs="仿宋"/>
          <w:color w:val="auto"/>
          <w:sz w:val="21"/>
          <w:szCs w:val="21"/>
          <w:highlight w:val="none"/>
          <w:lang w:val="en-US" w:eastAsia="zh-CN"/>
        </w:rPr>
        <w:t>2、地点：信阳市公共资源交易中心AI机器人开标虚拟二厅</w:t>
      </w:r>
    </w:p>
    <w:p w14:paraId="3E90F61A">
      <w:pPr>
        <w:keepNext w:val="0"/>
        <w:keepLines w:val="0"/>
        <w:pageBreakBefore w:val="0"/>
        <w:kinsoku/>
        <w:wordWrap/>
        <w:overflowPunct/>
        <w:topLinePunct w:val="0"/>
        <w:autoSpaceDE/>
        <w:autoSpaceDN/>
        <w:bidi w:val="0"/>
        <w:adjustRightInd w:val="0"/>
        <w:snapToGrid w:val="0"/>
        <w:spacing w:line="360" w:lineRule="auto"/>
        <w:jc w:val="left"/>
        <w:textAlignment w:val="auto"/>
        <w:outlineLvl w:val="9"/>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六、发布公告的媒介及公告期限</w:t>
      </w:r>
    </w:p>
    <w:p w14:paraId="06C1FB07">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本次招标公告在《河南省政府采购网》、《全国公共资源交易平台（河南省·信阳市）》上发布，招标公告期限为五个工作日。</w:t>
      </w:r>
    </w:p>
    <w:p w14:paraId="3CB3AC0E">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七、其他补充事宜</w:t>
      </w:r>
    </w:p>
    <w:p w14:paraId="7C650A4A">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1、本项目采用“不见面开标”交易方式，不见面开标大厅网址为 </w:t>
      </w:r>
      <w:r>
        <w:rPr>
          <w:rFonts w:hint="eastAsia" w:ascii="仿宋" w:hAnsi="仿宋" w:eastAsia="仿宋" w:cs="仿宋"/>
          <w:color w:val="auto"/>
          <w:sz w:val="21"/>
          <w:szCs w:val="21"/>
          <w:highlight w:val="none"/>
          <w:lang w:val="en-US" w:eastAsia="zh-CN"/>
        </w:rPr>
        <w:fldChar w:fldCharType="begin"/>
      </w:r>
      <w:r>
        <w:rPr>
          <w:rFonts w:hint="eastAsia" w:ascii="仿宋" w:hAnsi="仿宋" w:eastAsia="仿宋" w:cs="仿宋"/>
          <w:color w:val="auto"/>
          <w:sz w:val="21"/>
          <w:szCs w:val="21"/>
          <w:highlight w:val="none"/>
          <w:lang w:val="en-US" w:eastAsia="zh-CN"/>
        </w:rPr>
        <w:instrText xml:space="preserve"> HYPERLINK "http://117.158.91.68:8095/xxhy，投标人无需寄送和递交非加密的电子投标文件，无需到现场参加开标会议，无需到达现场提交原件资料。" </w:instrText>
      </w:r>
      <w:r>
        <w:rPr>
          <w:rFonts w:hint="eastAsia" w:ascii="仿宋" w:hAnsi="仿宋" w:eastAsia="仿宋" w:cs="仿宋"/>
          <w:color w:val="auto"/>
          <w:sz w:val="21"/>
          <w:szCs w:val="21"/>
          <w:highlight w:val="none"/>
          <w:lang w:val="en-US" w:eastAsia="zh-CN"/>
        </w:rPr>
        <w:fldChar w:fldCharType="separate"/>
      </w:r>
      <w:r>
        <w:rPr>
          <w:rFonts w:hint="eastAsia" w:ascii="仿宋" w:hAnsi="仿宋" w:eastAsia="仿宋" w:cs="仿宋"/>
          <w:color w:val="auto"/>
          <w:sz w:val="21"/>
          <w:szCs w:val="21"/>
          <w:highlight w:val="none"/>
          <w:lang w:val="en-US" w:eastAsia="zh-CN"/>
        </w:rPr>
        <w:t>https://ggzyjy.xinyang.gov.cn/BidOpening投标人无需寄送和递交非加密的电子投标文件，无需到现场参加开标会议，无需到达现场提交原件资料。</w:t>
      </w:r>
      <w:r>
        <w:rPr>
          <w:rFonts w:hint="eastAsia" w:ascii="仿宋" w:hAnsi="仿宋" w:eastAsia="仿宋" w:cs="仿宋"/>
          <w:color w:val="auto"/>
          <w:sz w:val="21"/>
          <w:szCs w:val="21"/>
          <w:highlight w:val="none"/>
          <w:lang w:val="en-US" w:eastAsia="zh-CN"/>
        </w:rPr>
        <w:fldChar w:fldCharType="end"/>
      </w:r>
    </w:p>
    <w:p w14:paraId="576D2A8B">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2、投标人应当在投标截止时间前，使用投标人CA数字证书登录不见面开标大厅，在线签到并准时参加开标活动，并在规定时间内完成投标文件解密、答疑澄清等。</w:t>
      </w:r>
    </w:p>
    <w:p w14:paraId="60E3A86A">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3、逾期解密或者没有准时在线参加开标活动导致的一切后果投标人自行承担。</w:t>
      </w:r>
    </w:p>
    <w:p w14:paraId="7C39391F">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4、不见面开标服务的具体事宜，请查阅信阳市公共资源交易中心网站首页—下载中心—信阳市不见面开标大厅系统操作手册 。</w:t>
      </w:r>
    </w:p>
    <w:p w14:paraId="2C2B010D">
      <w:pPr>
        <w:widowControl/>
        <w:snapToGrid w:val="0"/>
        <w:spacing w:line="360" w:lineRule="auto"/>
        <w:ind w:firstLine="420"/>
        <w:jc w:val="left"/>
        <w:outlineLvl w:val="9"/>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5、监督机构：信阳市财政局政府采购科</w:t>
      </w:r>
    </w:p>
    <w:p w14:paraId="562B1EA5">
      <w:pPr>
        <w:widowControl/>
        <w:snapToGrid w:val="0"/>
        <w:spacing w:line="360" w:lineRule="auto"/>
        <w:ind w:firstLine="420"/>
        <w:jc w:val="left"/>
        <w:outlineLvl w:val="9"/>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联系方式：0376-6699188</w:t>
      </w:r>
    </w:p>
    <w:p w14:paraId="37B0CF90">
      <w:pPr>
        <w:widowControl/>
        <w:snapToGrid w:val="0"/>
        <w:spacing w:line="360" w:lineRule="auto"/>
        <w:ind w:firstLine="420"/>
        <w:jc w:val="left"/>
        <w:outlineLvl w:val="9"/>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6、本项目代理服务费按不高于“豫招协〔2023〕002号”收费标准收取及信财购〔2020〕4 号规定，收费金额不超过：11580元，由中标人支付。</w:t>
      </w:r>
    </w:p>
    <w:p w14:paraId="1337B834">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特别提示：投标人在线签到时，应如实准确的填写授权委托人的联系电话，开标当天请务必保证电话保持畅通。</w:t>
      </w:r>
    </w:p>
    <w:p w14:paraId="1C8E9B8D">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八、对本次招标提出询问，请按以下方式联系：</w:t>
      </w:r>
    </w:p>
    <w:p w14:paraId="30BA72E1">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1.采购人信息 </w:t>
      </w:r>
    </w:p>
    <w:p w14:paraId="5059DB9A">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采购人：信阳职业技术学院</w:t>
      </w:r>
    </w:p>
    <w:p w14:paraId="279E5331">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地    址：河南省信阳市平桥区羊山新区二十四大街</w:t>
      </w:r>
    </w:p>
    <w:p w14:paraId="6C9F18C8">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联 系 人：杜老师</w:t>
      </w:r>
    </w:p>
    <w:p w14:paraId="335E0392">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电    话：17633700003</w:t>
      </w:r>
    </w:p>
    <w:p w14:paraId="45F55230">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2.采购代理机构信息 </w:t>
      </w:r>
    </w:p>
    <w:p w14:paraId="1DF3B986">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代理机构：郑州众诚建设咨询有限公司 </w:t>
      </w:r>
    </w:p>
    <w:p w14:paraId="7F49C3E3">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地    址：信阳市浉河区春华路林志信阳高科技孵化园B1号楼 </w:t>
      </w:r>
    </w:p>
    <w:p w14:paraId="48CD260A">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联 系 人：魏女士</w:t>
      </w:r>
    </w:p>
    <w:p w14:paraId="353F00A2">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联系方式：13782972384 </w:t>
      </w:r>
    </w:p>
    <w:p w14:paraId="409BF818">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3.项目联系方式 </w:t>
      </w:r>
    </w:p>
    <w:p w14:paraId="24E8DB19">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联 系 人：魏女士</w:t>
      </w:r>
    </w:p>
    <w:p w14:paraId="402D5A29">
      <w:pPr>
        <w:keepNext w:val="0"/>
        <w:keepLines w:val="0"/>
        <w:pageBreakBefore w:val="0"/>
        <w:kinsoku/>
        <w:wordWrap/>
        <w:overflowPunct/>
        <w:topLinePunct w:val="0"/>
        <w:autoSpaceDE/>
        <w:autoSpaceDN/>
        <w:bidi w:val="0"/>
        <w:adjustRightInd w:val="0"/>
        <w:snapToGrid w:val="0"/>
        <w:spacing w:line="360" w:lineRule="auto"/>
        <w:ind w:firstLine="420" w:firstLineChars="20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联系方式：13782972384</w:t>
      </w:r>
    </w:p>
    <w:p w14:paraId="7251EF9B">
      <w:pPr>
        <w:bidi w:val="0"/>
        <w:spacing w:line="360" w:lineRule="auto"/>
        <w:ind w:left="0" w:leftChars="0" w:firstLine="0" w:firstLineChars="0"/>
        <w:jc w:val="center"/>
        <w:outlineLvl w:val="0"/>
        <w:rPr>
          <w:rFonts w:hint="eastAsia" w:ascii="仿宋" w:hAnsi="仿宋" w:eastAsia="仿宋" w:cs="仿宋"/>
          <w:color w:val="auto"/>
          <w:sz w:val="30"/>
          <w:szCs w:val="30"/>
          <w:highlight w:val="none"/>
        </w:rPr>
      </w:pPr>
      <w:bookmarkStart w:id="7" w:name="_Toc27887"/>
      <w:r>
        <w:rPr>
          <w:rFonts w:hint="eastAsia" w:ascii="仿宋" w:hAnsi="仿宋" w:eastAsia="仿宋" w:cs="仿宋"/>
          <w:color w:val="auto"/>
          <w:sz w:val="30"/>
          <w:szCs w:val="30"/>
          <w:highlight w:val="none"/>
        </w:rPr>
        <w:br w:type="page"/>
      </w:r>
      <w:bookmarkStart w:id="8" w:name="_Toc8499"/>
      <w:bookmarkStart w:id="9" w:name="_Toc15911"/>
      <w:r>
        <w:rPr>
          <w:rFonts w:hint="eastAsia" w:ascii="仿宋" w:hAnsi="仿宋" w:eastAsia="仿宋" w:cs="仿宋"/>
          <w:b/>
          <w:color w:val="auto"/>
          <w:kern w:val="2"/>
          <w:sz w:val="36"/>
          <w:szCs w:val="36"/>
          <w:highlight w:val="none"/>
          <w:lang w:val="en-US" w:eastAsia="zh-CN" w:bidi="ar-SA"/>
        </w:rPr>
        <w:t>第二章 投标人须知</w:t>
      </w:r>
      <w:bookmarkEnd w:id="7"/>
      <w:bookmarkEnd w:id="8"/>
      <w:bookmarkEnd w:id="9"/>
    </w:p>
    <w:p w14:paraId="2AB09670">
      <w:pPr>
        <w:bidi w:val="0"/>
        <w:spacing w:line="360" w:lineRule="auto"/>
        <w:jc w:val="center"/>
        <w:outlineLvl w:val="9"/>
        <w:rPr>
          <w:rFonts w:hint="eastAsia" w:ascii="仿宋" w:hAnsi="仿宋" w:eastAsia="仿宋" w:cs="仿宋"/>
          <w:color w:val="auto"/>
          <w:sz w:val="24"/>
          <w:szCs w:val="24"/>
          <w:highlight w:val="none"/>
        </w:rPr>
      </w:pPr>
      <w:bookmarkStart w:id="10" w:name="_Toc15527"/>
      <w:r>
        <w:rPr>
          <w:rFonts w:hint="eastAsia" w:ascii="仿宋" w:hAnsi="仿宋" w:eastAsia="仿宋" w:cs="仿宋"/>
          <w:color w:val="auto"/>
          <w:sz w:val="24"/>
          <w:szCs w:val="24"/>
          <w:highlight w:val="none"/>
        </w:rPr>
        <w:t>投标</w:t>
      </w:r>
      <w:r>
        <w:rPr>
          <w:rFonts w:hint="eastAsia" w:ascii="仿宋" w:hAnsi="仿宋" w:eastAsia="仿宋" w:cs="仿宋"/>
          <w:color w:val="auto"/>
          <w:sz w:val="24"/>
          <w:szCs w:val="24"/>
          <w:highlight w:val="none"/>
          <w:lang w:eastAsia="zh-CN"/>
        </w:rPr>
        <w:t>人</w:t>
      </w:r>
      <w:r>
        <w:rPr>
          <w:rFonts w:hint="eastAsia" w:ascii="仿宋" w:hAnsi="仿宋" w:eastAsia="仿宋" w:cs="仿宋"/>
          <w:color w:val="auto"/>
          <w:sz w:val="24"/>
          <w:szCs w:val="24"/>
          <w:highlight w:val="none"/>
        </w:rPr>
        <w:t>须知前附表</w:t>
      </w:r>
      <w:bookmarkEnd w:id="10"/>
    </w:p>
    <w:tbl>
      <w:tblPr>
        <w:tblStyle w:val="19"/>
        <w:tblW w:w="9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6"/>
        <w:gridCol w:w="1905"/>
        <w:gridCol w:w="6878"/>
      </w:tblGrid>
      <w:tr w14:paraId="3B45D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916" w:type="dxa"/>
            <w:noWrap w:val="0"/>
            <w:vAlign w:val="center"/>
          </w:tcPr>
          <w:p w14:paraId="159E347B">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both"/>
              <w:textAlignment w:val="auto"/>
              <w:outlineLvl w:val="9"/>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rPr>
              <w:t>条款号</w:t>
            </w:r>
          </w:p>
        </w:tc>
        <w:tc>
          <w:tcPr>
            <w:tcW w:w="1905" w:type="dxa"/>
            <w:noWrap w:val="0"/>
            <w:vAlign w:val="center"/>
          </w:tcPr>
          <w:p w14:paraId="5DDB82F2">
            <w:pPr>
              <w:keepNext w:val="0"/>
              <w:keepLines w:val="0"/>
              <w:pageBreakBefore w:val="0"/>
              <w:kinsoku/>
              <w:wordWrap/>
              <w:overflowPunct/>
              <w:topLinePunct w:val="0"/>
              <w:autoSpaceDE w:val="0"/>
              <w:autoSpaceDN w:val="0"/>
              <w:bidi w:val="0"/>
              <w:adjustRightInd w:val="0"/>
              <w:spacing w:line="460" w:lineRule="exact"/>
              <w:jc w:val="center"/>
              <w:textAlignment w:val="auto"/>
              <w:outlineLvl w:val="9"/>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rPr>
              <w:t>条 款 名 称</w:t>
            </w:r>
          </w:p>
        </w:tc>
        <w:tc>
          <w:tcPr>
            <w:tcW w:w="6878" w:type="dxa"/>
            <w:noWrap w:val="0"/>
            <w:vAlign w:val="center"/>
          </w:tcPr>
          <w:p w14:paraId="6DFEAC4F">
            <w:pPr>
              <w:keepNext w:val="0"/>
              <w:keepLines w:val="0"/>
              <w:pageBreakBefore w:val="0"/>
              <w:kinsoku/>
              <w:wordWrap/>
              <w:overflowPunct/>
              <w:topLinePunct w:val="0"/>
              <w:autoSpaceDE w:val="0"/>
              <w:autoSpaceDN w:val="0"/>
              <w:bidi w:val="0"/>
              <w:adjustRightInd w:val="0"/>
              <w:spacing w:line="460" w:lineRule="exact"/>
              <w:jc w:val="center"/>
              <w:textAlignment w:val="auto"/>
              <w:outlineLvl w:val="9"/>
              <w:rPr>
                <w:rFonts w:hint="eastAsia" w:ascii="仿宋" w:hAnsi="仿宋" w:eastAsia="仿宋" w:cs="仿宋"/>
                <w:b/>
                <w:color w:val="auto"/>
                <w:kern w:val="0"/>
                <w:sz w:val="21"/>
                <w:szCs w:val="21"/>
                <w:highlight w:val="none"/>
              </w:rPr>
            </w:pPr>
            <w:r>
              <w:rPr>
                <w:rFonts w:hint="eastAsia" w:ascii="仿宋" w:hAnsi="仿宋" w:eastAsia="仿宋" w:cs="仿宋"/>
                <w:b/>
                <w:color w:val="auto"/>
                <w:kern w:val="0"/>
                <w:sz w:val="21"/>
                <w:szCs w:val="21"/>
                <w:highlight w:val="none"/>
              </w:rPr>
              <w:t>编 列 内 容</w:t>
            </w:r>
          </w:p>
        </w:tc>
      </w:tr>
      <w:tr w14:paraId="7115A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7" w:hRule="atLeast"/>
          <w:jc w:val="center"/>
        </w:trPr>
        <w:tc>
          <w:tcPr>
            <w:tcW w:w="916" w:type="dxa"/>
            <w:noWrap w:val="0"/>
            <w:vAlign w:val="center"/>
          </w:tcPr>
          <w:p w14:paraId="775879D5">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1</w:t>
            </w:r>
            <w:r>
              <w:rPr>
                <w:rFonts w:hint="eastAsia" w:ascii="仿宋" w:hAnsi="仿宋" w:eastAsia="仿宋" w:cs="仿宋"/>
                <w:color w:val="auto"/>
                <w:kern w:val="0"/>
                <w:sz w:val="21"/>
                <w:szCs w:val="21"/>
                <w:highlight w:val="none"/>
                <w:lang w:val="en-US" w:eastAsia="zh-CN"/>
              </w:rPr>
              <w:t>.1.2</w:t>
            </w:r>
          </w:p>
        </w:tc>
        <w:tc>
          <w:tcPr>
            <w:tcW w:w="1905" w:type="dxa"/>
            <w:noWrap w:val="0"/>
            <w:vAlign w:val="center"/>
          </w:tcPr>
          <w:p w14:paraId="41E07A82">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center"/>
              <w:textAlignment w:val="auto"/>
              <w:outlineLvl w:val="9"/>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采购人</w:t>
            </w:r>
          </w:p>
        </w:tc>
        <w:tc>
          <w:tcPr>
            <w:tcW w:w="6878" w:type="dxa"/>
            <w:noWrap w:val="0"/>
            <w:vAlign w:val="center"/>
          </w:tcPr>
          <w:p w14:paraId="209A92FD">
            <w:pPr>
              <w:keepNext w:val="0"/>
              <w:keepLines w:val="0"/>
              <w:pageBreakBefore w:val="0"/>
              <w:kinsoku/>
              <w:wordWrap/>
              <w:overflowPunct/>
              <w:topLinePunct w:val="0"/>
              <w:autoSpaceDE/>
              <w:autoSpaceDN/>
              <w:bidi w:val="0"/>
              <w:adjustRightInd w:val="0"/>
              <w:snapToGrid w:val="0"/>
              <w:spacing w:line="460" w:lineRule="exact"/>
              <w:ind w:left="0" w:leftChars="0" w:firstLine="0" w:firstLineChars="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采购人：信阳职业技术学院</w:t>
            </w:r>
          </w:p>
          <w:p w14:paraId="088D675C">
            <w:pPr>
              <w:keepNext w:val="0"/>
              <w:keepLines w:val="0"/>
              <w:pageBreakBefore w:val="0"/>
              <w:kinsoku/>
              <w:wordWrap/>
              <w:overflowPunct/>
              <w:topLinePunct w:val="0"/>
              <w:autoSpaceDE/>
              <w:autoSpaceDN/>
              <w:bidi w:val="0"/>
              <w:adjustRightInd w:val="0"/>
              <w:snapToGrid w:val="0"/>
              <w:spacing w:line="460" w:lineRule="exact"/>
              <w:ind w:left="0" w:leftChars="0" w:firstLine="0" w:firstLineChars="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地    址：河南省信阳市平桥区羊山新区二十四大街</w:t>
            </w:r>
          </w:p>
          <w:p w14:paraId="46D5E26A">
            <w:pPr>
              <w:keepNext w:val="0"/>
              <w:keepLines w:val="0"/>
              <w:pageBreakBefore w:val="0"/>
              <w:kinsoku/>
              <w:wordWrap/>
              <w:overflowPunct/>
              <w:topLinePunct w:val="0"/>
              <w:autoSpaceDE/>
              <w:autoSpaceDN/>
              <w:bidi w:val="0"/>
              <w:adjustRightInd w:val="0"/>
              <w:snapToGrid w:val="0"/>
              <w:spacing w:line="460" w:lineRule="exact"/>
              <w:ind w:left="0" w:leftChars="0" w:firstLine="0" w:firstLineChars="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联 系 人：杜老师</w:t>
            </w:r>
          </w:p>
          <w:p w14:paraId="7393DA7B">
            <w:pPr>
              <w:keepNext w:val="0"/>
              <w:keepLines w:val="0"/>
              <w:pageBreakBefore w:val="0"/>
              <w:kinsoku/>
              <w:wordWrap/>
              <w:overflowPunct/>
              <w:topLinePunct w:val="0"/>
              <w:autoSpaceDE/>
              <w:autoSpaceDN/>
              <w:bidi w:val="0"/>
              <w:adjustRightInd w:val="0"/>
              <w:snapToGrid w:val="0"/>
              <w:spacing w:line="460" w:lineRule="exact"/>
              <w:ind w:left="0" w:leftChars="0" w:firstLine="0" w:firstLineChars="0"/>
              <w:textAlignment w:val="auto"/>
              <w:outlineLvl w:val="9"/>
              <w:rPr>
                <w:rFonts w:hint="eastAsia" w:ascii="仿宋" w:hAnsi="仿宋" w:eastAsia="仿宋" w:cs="仿宋"/>
                <w:color w:val="auto"/>
                <w:sz w:val="21"/>
                <w:szCs w:val="21"/>
                <w:highlight w:val="none"/>
                <w:lang w:val="en-US"/>
              </w:rPr>
            </w:pPr>
            <w:r>
              <w:rPr>
                <w:rFonts w:hint="eastAsia" w:ascii="仿宋" w:hAnsi="仿宋" w:eastAsia="仿宋" w:cs="仿宋"/>
                <w:color w:val="auto"/>
                <w:sz w:val="21"/>
                <w:szCs w:val="21"/>
                <w:highlight w:val="none"/>
                <w:lang w:val="en-US" w:eastAsia="zh-CN"/>
              </w:rPr>
              <w:t>电    话：17633700003</w:t>
            </w:r>
          </w:p>
        </w:tc>
      </w:tr>
      <w:tr w14:paraId="6BFAD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916" w:type="dxa"/>
            <w:noWrap w:val="0"/>
            <w:vAlign w:val="center"/>
          </w:tcPr>
          <w:p w14:paraId="31D25BD9">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1.1.3</w:t>
            </w:r>
          </w:p>
        </w:tc>
        <w:tc>
          <w:tcPr>
            <w:tcW w:w="1905" w:type="dxa"/>
            <w:noWrap w:val="0"/>
            <w:vAlign w:val="center"/>
          </w:tcPr>
          <w:p w14:paraId="155DE020">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center"/>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采购代理机构</w:t>
            </w:r>
          </w:p>
        </w:tc>
        <w:tc>
          <w:tcPr>
            <w:tcW w:w="6878" w:type="dxa"/>
            <w:noWrap w:val="0"/>
            <w:vAlign w:val="center"/>
          </w:tcPr>
          <w:p w14:paraId="13493F92">
            <w:pPr>
              <w:keepNext w:val="0"/>
              <w:keepLines w:val="0"/>
              <w:pageBreakBefore w:val="0"/>
              <w:kinsoku/>
              <w:wordWrap/>
              <w:overflowPunct/>
              <w:topLinePunct w:val="0"/>
              <w:autoSpaceDE/>
              <w:autoSpaceDN/>
              <w:bidi w:val="0"/>
              <w:adjustRightInd w:val="0"/>
              <w:snapToGrid w:val="0"/>
              <w:spacing w:line="460" w:lineRule="exact"/>
              <w:ind w:left="0" w:leftChars="0" w:firstLine="0" w:firstLineChars="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代理机构：郑州众诚建设咨询有限公司 </w:t>
            </w:r>
          </w:p>
          <w:p w14:paraId="301471F6">
            <w:pPr>
              <w:keepNext w:val="0"/>
              <w:keepLines w:val="0"/>
              <w:pageBreakBefore w:val="0"/>
              <w:kinsoku/>
              <w:wordWrap/>
              <w:overflowPunct/>
              <w:topLinePunct w:val="0"/>
              <w:autoSpaceDE/>
              <w:autoSpaceDN/>
              <w:bidi w:val="0"/>
              <w:adjustRightInd w:val="0"/>
              <w:snapToGrid w:val="0"/>
              <w:spacing w:line="460" w:lineRule="exact"/>
              <w:ind w:left="0" w:leftChars="0" w:firstLine="0" w:firstLineChars="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 xml:space="preserve">地    址：信阳市浉河区春华路林志信阳高科技孵化园B1号楼 </w:t>
            </w:r>
          </w:p>
          <w:p w14:paraId="18C712C0">
            <w:pPr>
              <w:keepNext w:val="0"/>
              <w:keepLines w:val="0"/>
              <w:pageBreakBefore w:val="0"/>
              <w:kinsoku/>
              <w:wordWrap/>
              <w:overflowPunct/>
              <w:topLinePunct w:val="0"/>
              <w:autoSpaceDE/>
              <w:autoSpaceDN/>
              <w:bidi w:val="0"/>
              <w:adjustRightInd w:val="0"/>
              <w:snapToGrid w:val="0"/>
              <w:spacing w:line="460" w:lineRule="exact"/>
              <w:ind w:left="0" w:leftChars="0" w:firstLine="0" w:firstLineChars="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联 系 人：魏女士</w:t>
            </w:r>
          </w:p>
          <w:p w14:paraId="13AA413E">
            <w:pPr>
              <w:keepNext w:val="0"/>
              <w:keepLines w:val="0"/>
              <w:pageBreakBefore w:val="0"/>
              <w:kinsoku/>
              <w:wordWrap/>
              <w:overflowPunct/>
              <w:topLinePunct w:val="0"/>
              <w:autoSpaceDE/>
              <w:autoSpaceDN/>
              <w:bidi w:val="0"/>
              <w:adjustRightInd w:val="0"/>
              <w:snapToGrid w:val="0"/>
              <w:spacing w:line="460" w:lineRule="exact"/>
              <w:ind w:left="0" w:leftChars="0" w:firstLine="0" w:firstLineChars="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联系方式：13782972384</w:t>
            </w:r>
          </w:p>
        </w:tc>
      </w:tr>
      <w:tr w14:paraId="440E2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916" w:type="dxa"/>
            <w:noWrap w:val="0"/>
            <w:vAlign w:val="center"/>
          </w:tcPr>
          <w:p w14:paraId="5E5DCB23">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1.1.4</w:t>
            </w:r>
          </w:p>
        </w:tc>
        <w:tc>
          <w:tcPr>
            <w:tcW w:w="1905" w:type="dxa"/>
            <w:noWrap w:val="0"/>
            <w:vAlign w:val="center"/>
          </w:tcPr>
          <w:p w14:paraId="79EDC368">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center"/>
              <w:textAlignment w:val="auto"/>
              <w:outlineLvl w:val="9"/>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项目名称</w:t>
            </w:r>
          </w:p>
        </w:tc>
        <w:tc>
          <w:tcPr>
            <w:tcW w:w="6878" w:type="dxa"/>
            <w:noWrap w:val="0"/>
            <w:vAlign w:val="center"/>
          </w:tcPr>
          <w:p w14:paraId="24360587">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left"/>
              <w:textAlignment w:val="auto"/>
              <w:outlineLvl w:val="9"/>
              <w:rPr>
                <w:rFonts w:hint="eastAsia" w:ascii="仿宋" w:hAnsi="仿宋" w:eastAsia="仿宋" w:cs="仿宋"/>
                <w:b w:val="0"/>
                <w:bCs w:val="0"/>
                <w:color w:val="auto"/>
                <w:kern w:val="0"/>
                <w:sz w:val="21"/>
                <w:szCs w:val="21"/>
                <w:highlight w:val="none"/>
                <w:lang w:val="en-US" w:eastAsia="zh-CN"/>
              </w:rPr>
            </w:pPr>
            <w:r>
              <w:rPr>
                <w:rFonts w:hint="eastAsia" w:ascii="仿宋" w:hAnsi="仿宋" w:eastAsia="仿宋" w:cs="仿宋"/>
                <w:b w:val="0"/>
                <w:bCs w:val="0"/>
                <w:color w:val="auto"/>
                <w:kern w:val="0"/>
                <w:sz w:val="21"/>
                <w:szCs w:val="21"/>
                <w:highlight w:val="none"/>
                <w:lang w:val="en-US" w:eastAsia="zh-CN"/>
              </w:rPr>
              <w:t>信阳职业技术学院新双高项目管理与绩效评价平台技术服务采购项目</w:t>
            </w:r>
          </w:p>
        </w:tc>
      </w:tr>
      <w:tr w14:paraId="4DFA4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916" w:type="dxa"/>
            <w:noWrap w:val="0"/>
            <w:vAlign w:val="center"/>
          </w:tcPr>
          <w:p w14:paraId="342991DC">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1.1.5</w:t>
            </w:r>
          </w:p>
        </w:tc>
        <w:tc>
          <w:tcPr>
            <w:tcW w:w="1905" w:type="dxa"/>
            <w:noWrap w:val="0"/>
            <w:vAlign w:val="center"/>
          </w:tcPr>
          <w:p w14:paraId="017505EF">
            <w:pPr>
              <w:keepNext w:val="0"/>
              <w:keepLines w:val="0"/>
              <w:pageBreakBefore w:val="0"/>
              <w:kinsoku/>
              <w:wordWrap/>
              <w:overflowPunct/>
              <w:topLinePunct w:val="0"/>
              <w:autoSpaceDE w:val="0"/>
              <w:autoSpaceDN w:val="0"/>
              <w:bidi w:val="0"/>
              <w:adjustRightInd w:val="0"/>
              <w:spacing w:line="460" w:lineRule="exact"/>
              <w:ind w:left="0" w:leftChars="0" w:right="35" w:firstLine="0" w:firstLineChars="0"/>
              <w:jc w:val="center"/>
              <w:textAlignment w:val="auto"/>
              <w:outlineLvl w:val="9"/>
              <w:rPr>
                <w:rFonts w:hint="eastAsia" w:ascii="仿宋" w:hAnsi="仿宋" w:eastAsia="仿宋" w:cs="仿宋"/>
                <w:color w:val="auto"/>
                <w:spacing w:val="1"/>
                <w:kern w:val="0"/>
                <w:sz w:val="21"/>
                <w:szCs w:val="21"/>
                <w:highlight w:val="none"/>
              </w:rPr>
            </w:pPr>
            <w:r>
              <w:rPr>
                <w:rFonts w:hint="eastAsia" w:ascii="仿宋" w:hAnsi="仿宋" w:eastAsia="仿宋" w:cs="仿宋"/>
                <w:color w:val="auto"/>
                <w:spacing w:val="1"/>
                <w:kern w:val="0"/>
                <w:sz w:val="21"/>
                <w:szCs w:val="21"/>
                <w:highlight w:val="none"/>
                <w:lang w:eastAsia="zh-CN"/>
              </w:rPr>
              <w:t>采购</w:t>
            </w:r>
            <w:r>
              <w:rPr>
                <w:rFonts w:hint="eastAsia" w:ascii="仿宋" w:hAnsi="仿宋" w:eastAsia="仿宋" w:cs="仿宋"/>
                <w:color w:val="auto"/>
                <w:spacing w:val="1"/>
                <w:kern w:val="0"/>
                <w:sz w:val="21"/>
                <w:szCs w:val="21"/>
                <w:highlight w:val="none"/>
              </w:rPr>
              <w:t>方式</w:t>
            </w:r>
          </w:p>
        </w:tc>
        <w:tc>
          <w:tcPr>
            <w:tcW w:w="6878" w:type="dxa"/>
            <w:noWrap w:val="0"/>
            <w:vAlign w:val="center"/>
          </w:tcPr>
          <w:p w14:paraId="7C68F34A">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left"/>
              <w:textAlignment w:val="auto"/>
              <w:outlineLvl w:val="9"/>
              <w:rPr>
                <w:rFonts w:hint="eastAsia" w:ascii="仿宋" w:hAnsi="仿宋" w:eastAsia="仿宋" w:cs="仿宋"/>
                <w:b w:val="0"/>
                <w:bCs w:val="0"/>
                <w:color w:val="auto"/>
                <w:kern w:val="0"/>
                <w:sz w:val="21"/>
                <w:szCs w:val="21"/>
                <w:highlight w:val="none"/>
                <w:lang w:eastAsia="zh-CN"/>
              </w:rPr>
            </w:pPr>
            <w:r>
              <w:rPr>
                <w:rFonts w:hint="eastAsia" w:ascii="仿宋" w:hAnsi="仿宋" w:eastAsia="仿宋" w:cs="仿宋"/>
                <w:b w:val="0"/>
                <w:bCs w:val="0"/>
                <w:color w:val="auto"/>
                <w:kern w:val="0"/>
                <w:sz w:val="21"/>
                <w:szCs w:val="21"/>
                <w:highlight w:val="none"/>
                <w:lang w:eastAsia="zh-CN"/>
              </w:rPr>
              <w:t>公开招标</w:t>
            </w:r>
          </w:p>
        </w:tc>
      </w:tr>
      <w:tr w14:paraId="247E6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916" w:type="dxa"/>
            <w:noWrap w:val="0"/>
            <w:vAlign w:val="center"/>
          </w:tcPr>
          <w:p w14:paraId="3039A1D0">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1.1.6</w:t>
            </w:r>
          </w:p>
        </w:tc>
        <w:tc>
          <w:tcPr>
            <w:tcW w:w="1905" w:type="dxa"/>
            <w:noWrap w:val="0"/>
            <w:vAlign w:val="center"/>
          </w:tcPr>
          <w:p w14:paraId="2C7C0FA7">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center"/>
              <w:textAlignment w:val="auto"/>
              <w:outlineLvl w:val="9"/>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lang w:eastAsia="zh-CN"/>
              </w:rPr>
              <w:t>预算价（</w:t>
            </w:r>
            <w:r>
              <w:rPr>
                <w:rFonts w:hint="eastAsia" w:ascii="仿宋" w:hAnsi="仿宋" w:eastAsia="仿宋" w:cs="仿宋"/>
                <w:b/>
                <w:bCs/>
                <w:color w:val="auto"/>
                <w:sz w:val="21"/>
                <w:szCs w:val="21"/>
                <w:highlight w:val="none"/>
                <w:lang w:val="en-US" w:eastAsia="zh-CN"/>
              </w:rPr>
              <w:t>最高限价</w:t>
            </w:r>
            <w:r>
              <w:rPr>
                <w:rFonts w:hint="eastAsia" w:ascii="仿宋" w:hAnsi="仿宋" w:eastAsia="仿宋" w:cs="仿宋"/>
                <w:b/>
                <w:bCs/>
                <w:color w:val="auto"/>
                <w:kern w:val="0"/>
                <w:sz w:val="21"/>
                <w:szCs w:val="21"/>
                <w:highlight w:val="none"/>
                <w:lang w:eastAsia="zh-CN"/>
              </w:rPr>
              <w:t>）</w:t>
            </w:r>
          </w:p>
        </w:tc>
        <w:tc>
          <w:tcPr>
            <w:tcW w:w="6878" w:type="dxa"/>
            <w:noWrap w:val="0"/>
            <w:vAlign w:val="center"/>
          </w:tcPr>
          <w:p w14:paraId="31B98C4A">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left"/>
              <w:textAlignment w:val="auto"/>
              <w:outlineLvl w:val="9"/>
              <w:rPr>
                <w:rFonts w:hint="eastAsia" w:ascii="仿宋" w:hAnsi="仿宋" w:eastAsia="仿宋" w:cs="仿宋"/>
                <w:b/>
                <w:bCs/>
                <w:color w:val="auto"/>
                <w:kern w:val="0"/>
                <w:sz w:val="21"/>
                <w:szCs w:val="21"/>
                <w:highlight w:val="none"/>
              </w:rPr>
            </w:pPr>
            <w:r>
              <w:rPr>
                <w:rFonts w:hint="eastAsia" w:ascii="仿宋" w:hAnsi="仿宋" w:eastAsia="仿宋" w:cs="仿宋"/>
                <w:b/>
                <w:bCs/>
                <w:color w:val="auto"/>
                <w:kern w:val="0"/>
                <w:sz w:val="21"/>
                <w:szCs w:val="21"/>
                <w:highlight w:val="none"/>
                <w:lang w:eastAsia="zh-CN"/>
              </w:rPr>
              <w:t>预算价（最高限价）</w:t>
            </w:r>
            <w:r>
              <w:rPr>
                <w:rFonts w:hint="eastAsia" w:ascii="仿宋" w:hAnsi="仿宋" w:eastAsia="仿宋" w:cs="仿宋"/>
                <w:b/>
                <w:bCs/>
                <w:color w:val="auto"/>
                <w:kern w:val="0"/>
                <w:sz w:val="21"/>
                <w:szCs w:val="21"/>
                <w:highlight w:val="none"/>
                <w:lang w:val="en-US" w:eastAsia="zh-CN"/>
              </w:rPr>
              <w:t xml:space="preserve">681500.00元 </w:t>
            </w:r>
            <w:r>
              <w:rPr>
                <w:rFonts w:hint="eastAsia" w:ascii="仿宋" w:hAnsi="仿宋" w:eastAsia="仿宋" w:cs="仿宋"/>
                <w:b/>
                <w:bCs/>
                <w:color w:val="auto"/>
                <w:kern w:val="0"/>
                <w:sz w:val="21"/>
                <w:szCs w:val="21"/>
                <w:highlight w:val="none"/>
                <w:lang w:eastAsia="zh-CN"/>
              </w:rPr>
              <w:t>（预算金额包含代理服务费）</w:t>
            </w:r>
          </w:p>
          <w:p w14:paraId="6B9FAF72">
            <w:pPr>
              <w:keepNext w:val="0"/>
              <w:keepLines w:val="0"/>
              <w:pageBreakBefore w:val="0"/>
              <w:numPr>
                <w:ilvl w:val="0"/>
                <w:numId w:val="0"/>
              </w:numPr>
              <w:kinsoku/>
              <w:wordWrap/>
              <w:overflowPunct/>
              <w:topLinePunct w:val="0"/>
              <w:autoSpaceDE w:val="0"/>
              <w:autoSpaceDN w:val="0"/>
              <w:bidi w:val="0"/>
              <w:adjustRightInd w:val="0"/>
              <w:spacing w:line="460" w:lineRule="exact"/>
              <w:ind w:leftChars="0"/>
              <w:jc w:val="left"/>
              <w:textAlignment w:val="auto"/>
              <w:outlineLvl w:val="9"/>
              <w:rPr>
                <w:rFonts w:hint="eastAsia" w:ascii="仿宋" w:hAnsi="仿宋" w:eastAsia="仿宋" w:cs="仿宋"/>
                <w:b/>
                <w:bCs/>
                <w:color w:val="auto"/>
                <w:highlight w:val="none"/>
                <w:lang w:val="en-US" w:eastAsia="zh-CN"/>
              </w:rPr>
            </w:pPr>
            <w:r>
              <w:rPr>
                <w:rFonts w:hint="eastAsia" w:ascii="仿宋" w:hAnsi="仿宋" w:eastAsia="仿宋" w:cs="仿宋"/>
                <w:b/>
                <w:bCs/>
                <w:color w:val="auto"/>
                <w:kern w:val="0"/>
                <w:sz w:val="21"/>
                <w:szCs w:val="21"/>
                <w:highlight w:val="none"/>
              </w:rPr>
              <w:t>投标</w:t>
            </w:r>
            <w:r>
              <w:rPr>
                <w:rFonts w:hint="eastAsia" w:ascii="仿宋" w:hAnsi="仿宋" w:eastAsia="仿宋" w:cs="仿宋"/>
                <w:b/>
                <w:bCs/>
                <w:color w:val="auto"/>
                <w:kern w:val="0"/>
                <w:sz w:val="21"/>
                <w:szCs w:val="21"/>
                <w:highlight w:val="none"/>
                <w:lang w:val="en-US" w:eastAsia="zh-CN"/>
              </w:rPr>
              <w:t>总</w:t>
            </w:r>
            <w:r>
              <w:rPr>
                <w:rFonts w:hint="eastAsia" w:ascii="仿宋" w:hAnsi="仿宋" w:eastAsia="仿宋" w:cs="仿宋"/>
                <w:b/>
                <w:bCs/>
                <w:color w:val="auto"/>
                <w:kern w:val="0"/>
                <w:sz w:val="21"/>
                <w:szCs w:val="21"/>
                <w:highlight w:val="none"/>
              </w:rPr>
              <w:t>报价超过</w:t>
            </w:r>
            <w:r>
              <w:rPr>
                <w:rFonts w:hint="eastAsia" w:ascii="仿宋" w:hAnsi="仿宋" w:eastAsia="仿宋" w:cs="仿宋"/>
                <w:b/>
                <w:bCs/>
                <w:color w:val="auto"/>
                <w:kern w:val="0"/>
                <w:sz w:val="21"/>
                <w:szCs w:val="21"/>
                <w:highlight w:val="none"/>
                <w:lang w:eastAsia="zh-CN"/>
              </w:rPr>
              <w:t>预算价（最高限价）</w:t>
            </w:r>
            <w:r>
              <w:rPr>
                <w:rFonts w:hint="eastAsia" w:ascii="仿宋" w:hAnsi="仿宋" w:eastAsia="仿宋" w:cs="仿宋"/>
                <w:b/>
                <w:bCs/>
                <w:color w:val="auto"/>
                <w:kern w:val="0"/>
                <w:sz w:val="21"/>
                <w:szCs w:val="21"/>
                <w:highlight w:val="none"/>
              </w:rPr>
              <w:t>按无效</w:t>
            </w:r>
            <w:r>
              <w:rPr>
                <w:rFonts w:hint="eastAsia" w:ascii="仿宋" w:hAnsi="仿宋" w:eastAsia="仿宋" w:cs="仿宋"/>
                <w:b/>
                <w:bCs/>
                <w:color w:val="auto"/>
                <w:kern w:val="0"/>
                <w:sz w:val="21"/>
                <w:szCs w:val="21"/>
                <w:highlight w:val="none"/>
                <w:lang w:eastAsia="zh-CN"/>
              </w:rPr>
              <w:t>投标</w:t>
            </w:r>
            <w:r>
              <w:rPr>
                <w:rFonts w:hint="eastAsia" w:ascii="仿宋" w:hAnsi="仿宋" w:eastAsia="仿宋" w:cs="仿宋"/>
                <w:b/>
                <w:bCs/>
                <w:color w:val="auto"/>
                <w:kern w:val="0"/>
                <w:sz w:val="21"/>
                <w:szCs w:val="21"/>
                <w:highlight w:val="none"/>
              </w:rPr>
              <w:t>处理</w:t>
            </w:r>
            <w:r>
              <w:rPr>
                <w:rFonts w:hint="eastAsia" w:ascii="仿宋" w:hAnsi="仿宋" w:eastAsia="仿宋" w:cs="仿宋"/>
                <w:b/>
                <w:bCs/>
                <w:color w:val="auto"/>
                <w:kern w:val="0"/>
                <w:sz w:val="21"/>
                <w:szCs w:val="21"/>
                <w:highlight w:val="none"/>
                <w:lang w:eastAsia="zh-CN"/>
              </w:rPr>
              <w:t>；</w:t>
            </w:r>
          </w:p>
        </w:tc>
      </w:tr>
      <w:tr w14:paraId="1B02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916" w:type="dxa"/>
            <w:noWrap w:val="0"/>
            <w:vAlign w:val="center"/>
          </w:tcPr>
          <w:p w14:paraId="3499DA93">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1.2.1</w:t>
            </w:r>
          </w:p>
        </w:tc>
        <w:tc>
          <w:tcPr>
            <w:tcW w:w="1905" w:type="dxa"/>
            <w:noWrap w:val="0"/>
            <w:vAlign w:val="center"/>
          </w:tcPr>
          <w:p w14:paraId="3B6CF782">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center"/>
              <w:textAlignment w:val="auto"/>
              <w:outlineLvl w:val="9"/>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资金来源</w:t>
            </w:r>
          </w:p>
        </w:tc>
        <w:tc>
          <w:tcPr>
            <w:tcW w:w="6878" w:type="dxa"/>
            <w:noWrap w:val="0"/>
            <w:vAlign w:val="center"/>
          </w:tcPr>
          <w:p w14:paraId="15A0B87F">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left"/>
              <w:textAlignment w:val="auto"/>
              <w:outlineLvl w:val="9"/>
              <w:rPr>
                <w:rFonts w:hint="eastAsia" w:ascii="仿宋" w:hAnsi="仿宋" w:eastAsia="仿宋" w:cs="仿宋"/>
                <w:b w:val="0"/>
                <w:bCs w:val="0"/>
                <w:color w:val="auto"/>
                <w:kern w:val="0"/>
                <w:sz w:val="21"/>
                <w:szCs w:val="21"/>
                <w:highlight w:val="none"/>
                <w:lang w:val="en-US" w:eastAsia="zh-CN"/>
              </w:rPr>
            </w:pPr>
            <w:r>
              <w:rPr>
                <w:rFonts w:hint="eastAsia" w:ascii="仿宋" w:hAnsi="仿宋" w:eastAsia="仿宋" w:cs="仿宋"/>
                <w:b w:val="0"/>
                <w:bCs w:val="0"/>
                <w:color w:val="auto"/>
                <w:kern w:val="0"/>
                <w:sz w:val="21"/>
                <w:szCs w:val="21"/>
                <w:highlight w:val="none"/>
                <w:lang w:val="en-US" w:eastAsia="zh-CN"/>
              </w:rPr>
              <w:t>财政资金</w:t>
            </w:r>
          </w:p>
        </w:tc>
      </w:tr>
      <w:tr w14:paraId="614FC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6" w:type="dxa"/>
            <w:noWrap w:val="0"/>
            <w:vAlign w:val="center"/>
          </w:tcPr>
          <w:p w14:paraId="7801DD71">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1.2.2</w:t>
            </w:r>
          </w:p>
        </w:tc>
        <w:tc>
          <w:tcPr>
            <w:tcW w:w="1905" w:type="dxa"/>
            <w:noWrap w:val="0"/>
            <w:vAlign w:val="center"/>
          </w:tcPr>
          <w:p w14:paraId="04E27560">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center"/>
              <w:textAlignment w:val="auto"/>
              <w:outlineLvl w:val="9"/>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出资比例</w:t>
            </w:r>
          </w:p>
        </w:tc>
        <w:tc>
          <w:tcPr>
            <w:tcW w:w="6878" w:type="dxa"/>
            <w:noWrap w:val="0"/>
            <w:vAlign w:val="center"/>
          </w:tcPr>
          <w:p w14:paraId="4BB3B5E2">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left"/>
              <w:textAlignment w:val="auto"/>
              <w:outlineLvl w:val="9"/>
              <w:rPr>
                <w:rFonts w:hint="eastAsia" w:ascii="仿宋" w:hAnsi="仿宋" w:eastAsia="仿宋" w:cs="仿宋"/>
                <w:b w:val="0"/>
                <w:bCs w:val="0"/>
                <w:color w:val="auto"/>
                <w:kern w:val="0"/>
                <w:sz w:val="21"/>
                <w:szCs w:val="21"/>
                <w:highlight w:val="none"/>
                <w:lang w:val="en-US" w:eastAsia="zh-CN"/>
              </w:rPr>
            </w:pPr>
            <w:r>
              <w:rPr>
                <w:rFonts w:hint="eastAsia" w:ascii="仿宋" w:hAnsi="仿宋" w:eastAsia="仿宋" w:cs="仿宋"/>
                <w:b w:val="0"/>
                <w:bCs w:val="0"/>
                <w:color w:val="auto"/>
                <w:kern w:val="0"/>
                <w:sz w:val="21"/>
                <w:szCs w:val="21"/>
                <w:highlight w:val="none"/>
                <w:lang w:val="en-US" w:eastAsia="zh-CN"/>
              </w:rPr>
              <w:t>100%</w:t>
            </w:r>
          </w:p>
        </w:tc>
      </w:tr>
      <w:tr w14:paraId="11BB3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916" w:type="dxa"/>
            <w:noWrap w:val="0"/>
            <w:vAlign w:val="center"/>
          </w:tcPr>
          <w:p w14:paraId="6908CD1D">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1.3.1</w:t>
            </w:r>
          </w:p>
        </w:tc>
        <w:tc>
          <w:tcPr>
            <w:tcW w:w="1905" w:type="dxa"/>
            <w:noWrap w:val="0"/>
            <w:vAlign w:val="center"/>
          </w:tcPr>
          <w:p w14:paraId="0FF0726F">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center"/>
              <w:textAlignment w:val="auto"/>
              <w:outlineLvl w:val="9"/>
              <w:rPr>
                <w:rFonts w:hint="eastAsia" w:ascii="仿宋" w:hAnsi="仿宋" w:eastAsia="仿宋" w:cs="仿宋"/>
                <w:b w:val="0"/>
                <w:bCs w:val="0"/>
                <w:color w:val="auto"/>
                <w:kern w:val="0"/>
                <w:sz w:val="21"/>
                <w:szCs w:val="21"/>
                <w:highlight w:val="none"/>
                <w:lang w:eastAsia="zh-CN"/>
              </w:rPr>
            </w:pPr>
            <w:r>
              <w:rPr>
                <w:rFonts w:hint="eastAsia" w:ascii="仿宋" w:hAnsi="仿宋" w:eastAsia="仿宋" w:cs="仿宋"/>
                <w:b w:val="0"/>
                <w:bCs w:val="0"/>
                <w:color w:val="auto"/>
                <w:kern w:val="0"/>
                <w:sz w:val="21"/>
                <w:szCs w:val="21"/>
                <w:highlight w:val="none"/>
                <w:lang w:eastAsia="zh-CN"/>
              </w:rPr>
              <w:t>采购内容</w:t>
            </w:r>
          </w:p>
        </w:tc>
        <w:tc>
          <w:tcPr>
            <w:tcW w:w="6878" w:type="dxa"/>
            <w:noWrap w:val="0"/>
            <w:vAlign w:val="center"/>
          </w:tcPr>
          <w:p w14:paraId="43EF2B26">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left"/>
              <w:textAlignment w:val="auto"/>
              <w:outlineLvl w:val="9"/>
              <w:rPr>
                <w:rFonts w:hint="eastAsia" w:ascii="仿宋" w:hAnsi="仿宋" w:eastAsia="仿宋" w:cs="仿宋"/>
                <w:b w:val="0"/>
                <w:bCs w:val="0"/>
                <w:color w:val="auto"/>
                <w:kern w:val="0"/>
                <w:sz w:val="21"/>
                <w:szCs w:val="21"/>
                <w:highlight w:val="none"/>
              </w:rPr>
            </w:pPr>
            <w:r>
              <w:rPr>
                <w:rFonts w:hint="eastAsia" w:ascii="仿宋" w:hAnsi="仿宋" w:eastAsia="仿宋" w:cs="仿宋"/>
                <w:color w:val="auto"/>
                <w:sz w:val="21"/>
                <w:szCs w:val="21"/>
                <w:highlight w:val="none"/>
                <w:lang w:eastAsia="zh-CN"/>
              </w:rPr>
              <w:t>本次采购共设一个包，</w:t>
            </w:r>
            <w:r>
              <w:rPr>
                <w:rFonts w:hint="eastAsia" w:ascii="仿宋" w:hAnsi="仿宋" w:eastAsia="仿宋" w:cs="仿宋"/>
                <w:color w:val="auto"/>
                <w:sz w:val="21"/>
                <w:szCs w:val="21"/>
                <w:highlight w:val="none"/>
                <w:lang w:val="en-US" w:eastAsia="zh-CN"/>
              </w:rPr>
              <w:t>主要是</w:t>
            </w:r>
            <w:r>
              <w:rPr>
                <w:rFonts w:hint="eastAsia" w:ascii="仿宋" w:hAnsi="仿宋" w:eastAsia="仿宋" w:cs="仿宋"/>
                <w:color w:val="auto"/>
                <w:sz w:val="21"/>
                <w:szCs w:val="21"/>
                <w:highlight w:val="none"/>
                <w:lang w:eastAsia="zh-CN"/>
              </w:rPr>
              <w:t>信阳职业技术学院新双高项目管理与绩效评价平台技术服务采购。具体要求详见招标文件“第五章 技术规格及要求”</w:t>
            </w:r>
          </w:p>
        </w:tc>
      </w:tr>
      <w:tr w14:paraId="65F9F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916" w:type="dxa"/>
            <w:noWrap w:val="0"/>
            <w:vAlign w:val="center"/>
          </w:tcPr>
          <w:p w14:paraId="1877448E">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1.3.2</w:t>
            </w:r>
          </w:p>
        </w:tc>
        <w:tc>
          <w:tcPr>
            <w:tcW w:w="1905" w:type="dxa"/>
            <w:noWrap w:val="0"/>
            <w:vAlign w:val="center"/>
          </w:tcPr>
          <w:p w14:paraId="3765AA84">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center"/>
              <w:textAlignment w:val="auto"/>
              <w:outlineLvl w:val="9"/>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质量要求</w:t>
            </w:r>
          </w:p>
        </w:tc>
        <w:tc>
          <w:tcPr>
            <w:tcW w:w="6878" w:type="dxa"/>
            <w:noWrap w:val="0"/>
            <w:vAlign w:val="center"/>
          </w:tcPr>
          <w:p w14:paraId="017C8F01">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left"/>
              <w:textAlignment w:val="auto"/>
              <w:outlineLvl w:val="9"/>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符合国家现行规范及标准，并通过采购人验收</w:t>
            </w:r>
          </w:p>
        </w:tc>
      </w:tr>
      <w:tr w14:paraId="6C462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916" w:type="dxa"/>
            <w:vMerge w:val="restart"/>
            <w:noWrap w:val="0"/>
            <w:vAlign w:val="center"/>
          </w:tcPr>
          <w:p w14:paraId="58F2D728">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1.3.3</w:t>
            </w:r>
          </w:p>
        </w:tc>
        <w:tc>
          <w:tcPr>
            <w:tcW w:w="1905" w:type="dxa"/>
            <w:noWrap w:val="0"/>
            <w:vAlign w:val="center"/>
          </w:tcPr>
          <w:p w14:paraId="7CB85106">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center"/>
              <w:textAlignment w:val="auto"/>
              <w:outlineLvl w:val="9"/>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sz w:val="21"/>
                <w:szCs w:val="21"/>
                <w:highlight w:val="none"/>
              </w:rPr>
              <w:t>交货期</w:t>
            </w:r>
          </w:p>
        </w:tc>
        <w:tc>
          <w:tcPr>
            <w:tcW w:w="6878" w:type="dxa"/>
            <w:noWrap w:val="0"/>
            <w:vAlign w:val="center"/>
          </w:tcPr>
          <w:p w14:paraId="7FE89F70">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left"/>
              <w:textAlignment w:val="auto"/>
              <w:outlineLvl w:val="9"/>
              <w:rPr>
                <w:rFonts w:hint="eastAsia" w:ascii="仿宋" w:hAnsi="仿宋" w:eastAsia="仿宋" w:cs="仿宋"/>
                <w:b w:val="0"/>
                <w:bCs w:val="0"/>
                <w:color w:val="auto"/>
                <w:kern w:val="0"/>
                <w:sz w:val="21"/>
                <w:szCs w:val="21"/>
                <w:highlight w:val="none"/>
              </w:rPr>
            </w:pPr>
            <w:r>
              <w:rPr>
                <w:rFonts w:hint="eastAsia" w:ascii="仿宋" w:hAnsi="仿宋" w:eastAsia="仿宋" w:cs="仿宋"/>
                <w:color w:val="auto"/>
                <w:sz w:val="21"/>
                <w:szCs w:val="21"/>
                <w:highlight w:val="none"/>
                <w:lang w:val="en-US" w:eastAsia="zh-CN"/>
              </w:rPr>
              <w:t>自合同签订后90日历天内完成交货</w:t>
            </w:r>
          </w:p>
        </w:tc>
      </w:tr>
      <w:tr w14:paraId="6DA4E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916" w:type="dxa"/>
            <w:vMerge w:val="continue"/>
            <w:noWrap w:val="0"/>
            <w:vAlign w:val="center"/>
          </w:tcPr>
          <w:p w14:paraId="26BCBB3D">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p>
        </w:tc>
        <w:tc>
          <w:tcPr>
            <w:tcW w:w="1905" w:type="dxa"/>
            <w:noWrap w:val="0"/>
            <w:vAlign w:val="center"/>
          </w:tcPr>
          <w:p w14:paraId="69F2EF73">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center"/>
              <w:textAlignment w:val="auto"/>
              <w:outlineLvl w:val="9"/>
              <w:rPr>
                <w:rFonts w:hint="eastAsia" w:ascii="仿宋" w:hAnsi="仿宋" w:eastAsia="仿宋" w:cs="仿宋"/>
                <w:b w:val="0"/>
                <w:bCs w:val="0"/>
                <w:color w:val="auto"/>
                <w:sz w:val="21"/>
                <w:szCs w:val="21"/>
                <w:highlight w:val="none"/>
                <w:lang w:val="en-US" w:eastAsia="zh-CN"/>
              </w:rPr>
            </w:pPr>
            <w:r>
              <w:rPr>
                <w:rFonts w:hint="eastAsia" w:ascii="仿宋" w:hAnsi="仿宋" w:eastAsia="仿宋" w:cs="仿宋"/>
                <w:b w:val="0"/>
                <w:bCs w:val="0"/>
                <w:color w:val="auto"/>
                <w:sz w:val="21"/>
                <w:szCs w:val="21"/>
                <w:highlight w:val="none"/>
                <w:lang w:val="en-US" w:eastAsia="zh-CN"/>
              </w:rPr>
              <w:t>交货地点</w:t>
            </w:r>
          </w:p>
        </w:tc>
        <w:tc>
          <w:tcPr>
            <w:tcW w:w="6878" w:type="dxa"/>
            <w:noWrap w:val="0"/>
            <w:vAlign w:val="center"/>
          </w:tcPr>
          <w:p w14:paraId="3108F15C">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left"/>
              <w:textAlignment w:val="auto"/>
              <w:outlineLvl w:val="9"/>
              <w:rPr>
                <w:rFonts w:hint="eastAsia" w:ascii="仿宋" w:hAnsi="仿宋" w:eastAsia="仿宋" w:cs="仿宋"/>
                <w:b w:val="0"/>
                <w:bCs w:val="0"/>
                <w:color w:val="auto"/>
                <w:kern w:val="0"/>
                <w:sz w:val="21"/>
                <w:szCs w:val="21"/>
                <w:highlight w:val="none"/>
                <w:lang w:val="en-US" w:eastAsia="zh-CN"/>
              </w:rPr>
            </w:pPr>
            <w:r>
              <w:rPr>
                <w:rFonts w:hint="eastAsia" w:ascii="仿宋" w:hAnsi="仿宋" w:eastAsia="仿宋" w:cs="仿宋"/>
                <w:b w:val="0"/>
                <w:bCs w:val="0"/>
                <w:color w:val="auto"/>
                <w:kern w:val="0"/>
                <w:sz w:val="21"/>
                <w:szCs w:val="21"/>
                <w:highlight w:val="none"/>
                <w:lang w:val="en-US" w:eastAsia="zh-CN"/>
              </w:rPr>
              <w:t>采购人指定地点</w:t>
            </w:r>
          </w:p>
        </w:tc>
      </w:tr>
      <w:tr w14:paraId="5DF8D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6" w:type="dxa"/>
            <w:noWrap w:val="0"/>
            <w:vAlign w:val="center"/>
          </w:tcPr>
          <w:p w14:paraId="5B228B3B">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1.3.4</w:t>
            </w:r>
          </w:p>
        </w:tc>
        <w:tc>
          <w:tcPr>
            <w:tcW w:w="1905" w:type="dxa"/>
            <w:noWrap w:val="0"/>
            <w:vAlign w:val="center"/>
          </w:tcPr>
          <w:p w14:paraId="1FDF57C9">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center"/>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质保期</w:t>
            </w:r>
          </w:p>
        </w:tc>
        <w:tc>
          <w:tcPr>
            <w:tcW w:w="6878" w:type="dxa"/>
            <w:noWrap w:val="0"/>
            <w:vAlign w:val="center"/>
          </w:tcPr>
          <w:p w14:paraId="779B596B">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left"/>
              <w:textAlignment w:val="auto"/>
              <w:outlineLvl w:val="9"/>
              <w:rPr>
                <w:rFonts w:hint="eastAsia" w:ascii="仿宋" w:hAnsi="仿宋" w:eastAsia="仿宋" w:cs="仿宋"/>
                <w:b w:val="0"/>
                <w:bCs w:val="0"/>
                <w:color w:val="auto"/>
                <w:kern w:val="0"/>
                <w:sz w:val="21"/>
                <w:szCs w:val="21"/>
                <w:highlight w:val="none"/>
                <w:lang w:val="en-US" w:eastAsia="zh-CN"/>
              </w:rPr>
            </w:pPr>
            <w:r>
              <w:rPr>
                <w:rFonts w:hint="eastAsia" w:ascii="仿宋" w:hAnsi="仿宋" w:eastAsia="仿宋" w:cs="仿宋"/>
                <w:b w:val="0"/>
                <w:bCs w:val="0"/>
                <w:color w:val="auto"/>
                <w:kern w:val="0"/>
                <w:sz w:val="21"/>
                <w:szCs w:val="21"/>
                <w:highlight w:val="none"/>
                <w:lang w:val="en-US" w:eastAsia="zh-CN"/>
              </w:rPr>
              <w:t>自验收合格之日起计算，质保期不低于3年；质保期内所有产品的维护、维修、升级均提供免费上门服务，若技术参数中有特殊要求的，以技术参数要求为准。</w:t>
            </w:r>
          </w:p>
        </w:tc>
      </w:tr>
      <w:tr w14:paraId="54181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6" w:type="dxa"/>
            <w:tcBorders>
              <w:top w:val="single" w:color="auto" w:sz="4" w:space="0"/>
            </w:tcBorders>
            <w:noWrap w:val="0"/>
            <w:vAlign w:val="center"/>
          </w:tcPr>
          <w:p w14:paraId="0D360697">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1.4.1</w:t>
            </w:r>
          </w:p>
        </w:tc>
        <w:tc>
          <w:tcPr>
            <w:tcW w:w="1905" w:type="dxa"/>
            <w:tcBorders>
              <w:top w:val="single" w:color="auto" w:sz="4" w:space="0"/>
            </w:tcBorders>
            <w:noWrap w:val="0"/>
            <w:vAlign w:val="center"/>
          </w:tcPr>
          <w:p w14:paraId="75FE2107">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center"/>
              <w:textAlignment w:val="auto"/>
              <w:outlineLvl w:val="9"/>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投标人资格要求</w:t>
            </w:r>
          </w:p>
        </w:tc>
        <w:tc>
          <w:tcPr>
            <w:tcW w:w="6878" w:type="dxa"/>
            <w:tcBorders>
              <w:top w:val="single" w:color="auto" w:sz="4" w:space="0"/>
            </w:tcBorders>
            <w:noWrap w:val="0"/>
            <w:vAlign w:val="center"/>
          </w:tcPr>
          <w:p w14:paraId="7F441A48">
            <w:pPr>
              <w:keepNext w:val="0"/>
              <w:keepLines w:val="0"/>
              <w:pageBreakBefore w:val="0"/>
              <w:kinsoku/>
              <w:wordWrap/>
              <w:overflowPunct/>
              <w:topLinePunct w:val="0"/>
              <w:autoSpaceDE/>
              <w:autoSpaceDN/>
              <w:bidi w:val="0"/>
              <w:adjustRightInd w:val="0"/>
              <w:snapToGrid w:val="0"/>
              <w:spacing w:line="460" w:lineRule="exact"/>
              <w:ind w:left="0" w:leftChars="0" w:firstLine="0" w:firstLineChars="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详见第一章招标公告中“二、申请人资格要求”</w:t>
            </w:r>
          </w:p>
        </w:tc>
      </w:tr>
      <w:tr w14:paraId="62CF2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6" w:type="dxa"/>
            <w:tcBorders>
              <w:top w:val="single" w:color="auto" w:sz="4" w:space="0"/>
            </w:tcBorders>
            <w:noWrap w:val="0"/>
            <w:vAlign w:val="center"/>
          </w:tcPr>
          <w:p w14:paraId="00711304">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1.5</w:t>
            </w:r>
          </w:p>
        </w:tc>
        <w:tc>
          <w:tcPr>
            <w:tcW w:w="1905" w:type="dxa"/>
            <w:tcBorders>
              <w:top w:val="single" w:color="auto" w:sz="4" w:space="0"/>
            </w:tcBorders>
            <w:noWrap w:val="0"/>
            <w:vAlign w:val="center"/>
          </w:tcPr>
          <w:p w14:paraId="37F82973">
            <w:pPr>
              <w:keepNext w:val="0"/>
              <w:keepLines w:val="0"/>
              <w:pageBreakBefore w:val="0"/>
              <w:kinsoku/>
              <w:wordWrap/>
              <w:overflowPunct/>
              <w:topLinePunct w:val="0"/>
              <w:bidi w:val="0"/>
              <w:spacing w:line="460" w:lineRule="exact"/>
              <w:ind w:left="0" w:leftChars="0" w:firstLine="0" w:firstLineChars="0"/>
              <w:jc w:val="center"/>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付款方式</w:t>
            </w:r>
          </w:p>
        </w:tc>
        <w:tc>
          <w:tcPr>
            <w:tcW w:w="6878" w:type="dxa"/>
            <w:tcBorders>
              <w:top w:val="single" w:color="auto" w:sz="4" w:space="0"/>
            </w:tcBorders>
            <w:noWrap w:val="0"/>
            <w:vAlign w:val="center"/>
          </w:tcPr>
          <w:p w14:paraId="36935393">
            <w:pPr>
              <w:keepNext w:val="0"/>
              <w:keepLines w:val="0"/>
              <w:pageBreakBefore w:val="0"/>
              <w:kinsoku/>
              <w:wordWrap/>
              <w:overflowPunct/>
              <w:topLinePunct w:val="0"/>
              <w:bidi w:val="0"/>
              <w:spacing w:line="460" w:lineRule="exact"/>
              <w:ind w:left="0" w:leftChars="0" w:firstLine="0" w:firstLineChars="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按合同约定执行</w:t>
            </w:r>
          </w:p>
        </w:tc>
      </w:tr>
      <w:tr w14:paraId="5B682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916" w:type="dxa"/>
            <w:noWrap w:val="0"/>
            <w:vAlign w:val="center"/>
          </w:tcPr>
          <w:p w14:paraId="0E74EA09">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2.2.2</w:t>
            </w:r>
          </w:p>
        </w:tc>
        <w:tc>
          <w:tcPr>
            <w:tcW w:w="1905" w:type="dxa"/>
            <w:noWrap w:val="0"/>
            <w:vAlign w:val="center"/>
          </w:tcPr>
          <w:p w14:paraId="04D9D8C8">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center"/>
              <w:textAlignment w:val="auto"/>
              <w:outlineLvl w:val="9"/>
              <w:rPr>
                <w:rFonts w:hint="eastAsia" w:ascii="仿宋" w:hAnsi="仿宋" w:eastAsia="仿宋" w:cs="仿宋"/>
                <w:color w:val="auto"/>
                <w:spacing w:val="-6"/>
                <w:kern w:val="0"/>
                <w:sz w:val="21"/>
                <w:szCs w:val="21"/>
                <w:highlight w:val="none"/>
              </w:rPr>
            </w:pPr>
            <w:r>
              <w:rPr>
                <w:rFonts w:hint="eastAsia" w:ascii="仿宋" w:hAnsi="仿宋" w:eastAsia="仿宋" w:cs="仿宋"/>
                <w:color w:val="auto"/>
                <w:spacing w:val="-6"/>
                <w:kern w:val="0"/>
                <w:sz w:val="21"/>
                <w:szCs w:val="21"/>
                <w:highlight w:val="none"/>
              </w:rPr>
              <w:t>投标截止时间</w:t>
            </w:r>
          </w:p>
        </w:tc>
        <w:tc>
          <w:tcPr>
            <w:tcW w:w="6878" w:type="dxa"/>
            <w:noWrap w:val="0"/>
            <w:vAlign w:val="center"/>
          </w:tcPr>
          <w:p w14:paraId="112E217C">
            <w:pPr>
              <w:keepNext w:val="0"/>
              <w:keepLines w:val="0"/>
              <w:pageBreakBefore w:val="0"/>
              <w:kinsoku/>
              <w:wordWrap/>
              <w:overflowPunct/>
              <w:topLinePunct w:val="0"/>
              <w:autoSpaceDE w:val="0"/>
              <w:autoSpaceDN w:val="0"/>
              <w:bidi w:val="0"/>
              <w:adjustRightInd w:val="0"/>
              <w:spacing w:line="460" w:lineRule="exact"/>
              <w:ind w:left="0" w:leftChars="0" w:firstLine="0" w:firstLineChars="0"/>
              <w:textAlignment w:val="auto"/>
              <w:outlineLvl w:val="9"/>
              <w:rPr>
                <w:rFonts w:hint="eastAsia" w:ascii="仿宋" w:hAnsi="仿宋" w:eastAsia="仿宋" w:cs="仿宋"/>
                <w:color w:val="auto"/>
                <w:spacing w:val="-6"/>
                <w:kern w:val="0"/>
                <w:sz w:val="21"/>
                <w:szCs w:val="21"/>
                <w:highlight w:val="none"/>
              </w:rPr>
            </w:pPr>
            <w:r>
              <w:rPr>
                <w:rFonts w:hint="eastAsia" w:ascii="仿宋" w:hAnsi="仿宋" w:eastAsia="仿宋" w:cs="仿宋"/>
                <w:color w:val="auto"/>
                <w:spacing w:val="-6"/>
                <w:kern w:val="0"/>
                <w:sz w:val="21"/>
                <w:szCs w:val="21"/>
                <w:highlight w:val="none"/>
              </w:rPr>
              <w:t>详见第一章招标公告中“五、投标文件的开启时间及地点 ”</w:t>
            </w:r>
          </w:p>
        </w:tc>
      </w:tr>
      <w:tr w14:paraId="4D0A7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6" w:type="dxa"/>
            <w:noWrap w:val="0"/>
            <w:vAlign w:val="center"/>
          </w:tcPr>
          <w:p w14:paraId="54412FC4">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2.2.3</w:t>
            </w:r>
          </w:p>
        </w:tc>
        <w:tc>
          <w:tcPr>
            <w:tcW w:w="1905" w:type="dxa"/>
            <w:noWrap w:val="0"/>
            <w:vAlign w:val="center"/>
          </w:tcPr>
          <w:p w14:paraId="4D1FDF79">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center"/>
              <w:textAlignment w:val="auto"/>
              <w:outlineLvl w:val="9"/>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投标人确认收到招标文件澄清的时间</w:t>
            </w:r>
          </w:p>
        </w:tc>
        <w:tc>
          <w:tcPr>
            <w:tcW w:w="6878" w:type="dxa"/>
            <w:noWrap w:val="0"/>
            <w:vAlign w:val="center"/>
          </w:tcPr>
          <w:p w14:paraId="1785D10B">
            <w:pPr>
              <w:keepNext w:val="0"/>
              <w:keepLines w:val="0"/>
              <w:pageBreakBefore w:val="0"/>
              <w:kinsoku/>
              <w:wordWrap/>
              <w:overflowPunct/>
              <w:topLinePunct w:val="0"/>
              <w:autoSpaceDE w:val="0"/>
              <w:autoSpaceDN w:val="0"/>
              <w:bidi w:val="0"/>
              <w:adjustRightInd w:val="0"/>
              <w:spacing w:line="460" w:lineRule="exact"/>
              <w:ind w:left="0" w:leftChars="0" w:firstLine="0" w:firstLineChars="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在收到相应澄清文件后24小时内</w:t>
            </w:r>
          </w:p>
          <w:p w14:paraId="5DFF08E8">
            <w:pPr>
              <w:keepNext w:val="0"/>
              <w:keepLines w:val="0"/>
              <w:pageBreakBefore w:val="0"/>
              <w:kinsoku/>
              <w:wordWrap/>
              <w:overflowPunct/>
              <w:topLinePunct w:val="0"/>
              <w:autoSpaceDE w:val="0"/>
              <w:autoSpaceDN w:val="0"/>
              <w:bidi w:val="0"/>
              <w:adjustRightInd w:val="0"/>
              <w:spacing w:line="460" w:lineRule="exact"/>
              <w:ind w:left="0" w:leftChars="0" w:firstLine="0" w:firstLineChars="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将通过“公共资源交易中心”电子平台发布，一经发布即视为投标人已收到并确认，并对其具有约束力。请各投标人及时关注本项目通过公共资源交易中心系统发出的通知，如有遗漏自行负责</w:t>
            </w:r>
          </w:p>
        </w:tc>
      </w:tr>
      <w:tr w14:paraId="5D8F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16" w:type="dxa"/>
            <w:noWrap w:val="0"/>
            <w:vAlign w:val="center"/>
          </w:tcPr>
          <w:p w14:paraId="62CECC50">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2.3</w:t>
            </w:r>
          </w:p>
        </w:tc>
        <w:tc>
          <w:tcPr>
            <w:tcW w:w="1905" w:type="dxa"/>
            <w:noWrap w:val="0"/>
            <w:vAlign w:val="center"/>
          </w:tcPr>
          <w:p w14:paraId="4A41A2FA">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center"/>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eastAsia="zh-CN"/>
              </w:rPr>
              <w:t>采购人</w:t>
            </w:r>
            <w:r>
              <w:rPr>
                <w:rFonts w:hint="eastAsia" w:ascii="仿宋" w:hAnsi="仿宋" w:eastAsia="仿宋" w:cs="仿宋"/>
                <w:color w:val="auto"/>
                <w:sz w:val="21"/>
                <w:szCs w:val="21"/>
                <w:highlight w:val="none"/>
              </w:rPr>
              <w:t>澄清的时间</w:t>
            </w:r>
          </w:p>
        </w:tc>
        <w:tc>
          <w:tcPr>
            <w:tcW w:w="6878" w:type="dxa"/>
            <w:noWrap w:val="0"/>
            <w:vAlign w:val="center"/>
          </w:tcPr>
          <w:p w14:paraId="5689AC67">
            <w:pPr>
              <w:keepNext w:val="0"/>
              <w:keepLines w:val="0"/>
              <w:pageBreakBefore w:val="0"/>
              <w:kinsoku/>
              <w:wordWrap/>
              <w:overflowPunct/>
              <w:topLinePunct w:val="0"/>
              <w:autoSpaceDE w:val="0"/>
              <w:autoSpaceDN w:val="0"/>
              <w:bidi w:val="0"/>
              <w:adjustRightInd w:val="0"/>
              <w:spacing w:line="460" w:lineRule="exact"/>
              <w:ind w:left="0" w:leftChars="0" w:firstLine="0" w:firstLineChars="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提交投标文件截止时间15日前</w:t>
            </w:r>
          </w:p>
          <w:p w14:paraId="2F3C1D56">
            <w:pPr>
              <w:keepNext w:val="0"/>
              <w:keepLines w:val="0"/>
              <w:pageBreakBefore w:val="0"/>
              <w:kinsoku/>
              <w:wordWrap/>
              <w:overflowPunct/>
              <w:topLinePunct w:val="0"/>
              <w:autoSpaceDE w:val="0"/>
              <w:autoSpaceDN w:val="0"/>
              <w:bidi w:val="0"/>
              <w:adjustRightInd w:val="0"/>
              <w:spacing w:line="460" w:lineRule="exact"/>
              <w:ind w:left="0" w:leftChars="0" w:firstLine="0" w:firstLineChars="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将通过“公共资源交易中心”电子平台发布，一经发布即视为投标人已收到并确认，并对其具有约束力。请各投标人及时关注本项目通过公共资源交易中心系统发出的通知，如有遗漏自行负责</w:t>
            </w:r>
          </w:p>
        </w:tc>
      </w:tr>
      <w:tr w14:paraId="11BEB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16" w:type="dxa"/>
            <w:noWrap w:val="0"/>
            <w:vAlign w:val="center"/>
          </w:tcPr>
          <w:p w14:paraId="2DA22888">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2.3.2</w:t>
            </w:r>
          </w:p>
        </w:tc>
        <w:tc>
          <w:tcPr>
            <w:tcW w:w="1905" w:type="dxa"/>
            <w:noWrap w:val="0"/>
            <w:vAlign w:val="center"/>
          </w:tcPr>
          <w:p w14:paraId="42AC41EE">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center"/>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eastAsia="zh-CN"/>
              </w:rPr>
              <w:t>供应商</w:t>
            </w:r>
            <w:r>
              <w:rPr>
                <w:rFonts w:hint="eastAsia" w:ascii="仿宋" w:hAnsi="仿宋" w:eastAsia="仿宋" w:cs="仿宋"/>
                <w:color w:val="auto"/>
                <w:sz w:val="21"/>
                <w:szCs w:val="21"/>
                <w:highlight w:val="none"/>
              </w:rPr>
              <w:t>确认收到招标文件修改的时间</w:t>
            </w:r>
          </w:p>
        </w:tc>
        <w:tc>
          <w:tcPr>
            <w:tcW w:w="6878" w:type="dxa"/>
            <w:noWrap w:val="0"/>
            <w:vAlign w:val="center"/>
          </w:tcPr>
          <w:p w14:paraId="1D9DC21D">
            <w:pPr>
              <w:keepNext w:val="0"/>
              <w:keepLines w:val="0"/>
              <w:pageBreakBefore w:val="0"/>
              <w:kinsoku/>
              <w:wordWrap/>
              <w:overflowPunct/>
              <w:topLinePunct w:val="0"/>
              <w:autoSpaceDE w:val="0"/>
              <w:autoSpaceDN w:val="0"/>
              <w:bidi w:val="0"/>
              <w:adjustRightInd w:val="0"/>
              <w:spacing w:line="460" w:lineRule="exact"/>
              <w:ind w:left="0" w:leftChars="0" w:firstLine="0" w:firstLineChars="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在收到相应修改文件后24小时内</w:t>
            </w:r>
          </w:p>
          <w:p w14:paraId="13FDCD8B">
            <w:pPr>
              <w:keepNext w:val="0"/>
              <w:keepLines w:val="0"/>
              <w:pageBreakBefore w:val="0"/>
              <w:kinsoku/>
              <w:wordWrap/>
              <w:overflowPunct/>
              <w:topLinePunct w:val="0"/>
              <w:autoSpaceDE w:val="0"/>
              <w:autoSpaceDN w:val="0"/>
              <w:bidi w:val="0"/>
              <w:adjustRightInd w:val="0"/>
              <w:spacing w:line="460" w:lineRule="exact"/>
              <w:ind w:left="0" w:leftChars="0" w:firstLine="0" w:firstLineChars="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将通过“公共资源交易中心”电子平台发布，一经发布即视为投标人已收到并确认，并对其具有约束力。请各投标人及时关注本项目通过公共资源交易中心系统发出的通知，如有遗漏自行负责</w:t>
            </w:r>
          </w:p>
        </w:tc>
      </w:tr>
      <w:tr w14:paraId="3F2A2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916" w:type="dxa"/>
            <w:tcBorders>
              <w:bottom w:val="single" w:color="auto" w:sz="4" w:space="0"/>
            </w:tcBorders>
            <w:noWrap w:val="0"/>
            <w:vAlign w:val="center"/>
          </w:tcPr>
          <w:p w14:paraId="3B8231AA">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3.1</w:t>
            </w:r>
          </w:p>
        </w:tc>
        <w:tc>
          <w:tcPr>
            <w:tcW w:w="1905" w:type="dxa"/>
            <w:tcBorders>
              <w:bottom w:val="single" w:color="auto" w:sz="4" w:space="0"/>
            </w:tcBorders>
            <w:noWrap w:val="0"/>
            <w:vAlign w:val="center"/>
          </w:tcPr>
          <w:p w14:paraId="436D1C65">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center"/>
              <w:textAlignment w:val="auto"/>
              <w:outlineLvl w:val="9"/>
              <w:rPr>
                <w:rFonts w:hint="eastAsia" w:ascii="仿宋" w:hAnsi="仿宋" w:eastAsia="仿宋" w:cs="仿宋"/>
                <w:color w:val="auto"/>
                <w:spacing w:val="-6"/>
                <w:kern w:val="0"/>
                <w:sz w:val="21"/>
                <w:szCs w:val="21"/>
                <w:highlight w:val="none"/>
              </w:rPr>
            </w:pPr>
            <w:r>
              <w:rPr>
                <w:rFonts w:hint="eastAsia" w:ascii="仿宋" w:hAnsi="仿宋" w:eastAsia="仿宋" w:cs="仿宋"/>
                <w:color w:val="auto"/>
                <w:spacing w:val="-6"/>
                <w:kern w:val="0"/>
                <w:sz w:val="21"/>
                <w:szCs w:val="21"/>
                <w:highlight w:val="none"/>
              </w:rPr>
              <w:t>构成投标文件的其他材料</w:t>
            </w:r>
          </w:p>
        </w:tc>
        <w:tc>
          <w:tcPr>
            <w:tcW w:w="6878" w:type="dxa"/>
            <w:tcBorders>
              <w:bottom w:val="single" w:color="auto" w:sz="4" w:space="0"/>
            </w:tcBorders>
            <w:noWrap w:val="0"/>
            <w:vAlign w:val="center"/>
          </w:tcPr>
          <w:p w14:paraId="52FC67D4">
            <w:pPr>
              <w:keepNext w:val="0"/>
              <w:keepLines w:val="0"/>
              <w:pageBreakBefore w:val="0"/>
              <w:kinsoku/>
              <w:wordWrap/>
              <w:overflowPunct/>
              <w:topLinePunct w:val="0"/>
              <w:autoSpaceDE w:val="0"/>
              <w:autoSpaceDN w:val="0"/>
              <w:bidi w:val="0"/>
              <w:adjustRightInd w:val="0"/>
              <w:spacing w:line="460" w:lineRule="exact"/>
              <w:ind w:left="0" w:leftChars="0" w:firstLine="0" w:firstLineChars="0"/>
              <w:textAlignment w:val="auto"/>
              <w:outlineLvl w:val="9"/>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eastAsia="zh-CN"/>
              </w:rPr>
              <w:t>投标人</w:t>
            </w:r>
            <w:r>
              <w:rPr>
                <w:rFonts w:hint="eastAsia" w:ascii="仿宋" w:hAnsi="仿宋" w:eastAsia="仿宋" w:cs="仿宋"/>
                <w:color w:val="auto"/>
                <w:kern w:val="0"/>
                <w:sz w:val="21"/>
                <w:szCs w:val="21"/>
                <w:highlight w:val="none"/>
              </w:rPr>
              <w:t>认为</w:t>
            </w:r>
            <w:r>
              <w:rPr>
                <w:rFonts w:hint="eastAsia" w:ascii="仿宋" w:hAnsi="仿宋" w:eastAsia="仿宋" w:cs="仿宋"/>
                <w:color w:val="auto"/>
                <w:kern w:val="0"/>
                <w:sz w:val="21"/>
                <w:szCs w:val="21"/>
                <w:highlight w:val="none"/>
                <w:lang w:eastAsia="zh-CN"/>
              </w:rPr>
              <w:t>其他</w:t>
            </w:r>
            <w:r>
              <w:rPr>
                <w:rFonts w:hint="eastAsia" w:ascii="仿宋" w:hAnsi="仿宋" w:eastAsia="仿宋" w:cs="仿宋"/>
                <w:color w:val="auto"/>
                <w:kern w:val="0"/>
                <w:sz w:val="21"/>
                <w:szCs w:val="21"/>
                <w:highlight w:val="none"/>
              </w:rPr>
              <w:t>所需要补充的内容</w:t>
            </w:r>
          </w:p>
        </w:tc>
      </w:tr>
      <w:tr w14:paraId="55A4B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16" w:type="dxa"/>
            <w:noWrap w:val="0"/>
            <w:vAlign w:val="center"/>
          </w:tcPr>
          <w:p w14:paraId="623500DA">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3.4.1</w:t>
            </w:r>
          </w:p>
        </w:tc>
        <w:tc>
          <w:tcPr>
            <w:tcW w:w="1905" w:type="dxa"/>
            <w:noWrap w:val="0"/>
            <w:vAlign w:val="center"/>
          </w:tcPr>
          <w:p w14:paraId="04110826">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center"/>
              <w:textAlignment w:val="auto"/>
              <w:outlineLvl w:val="9"/>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投标有效期</w:t>
            </w:r>
          </w:p>
        </w:tc>
        <w:tc>
          <w:tcPr>
            <w:tcW w:w="6878" w:type="dxa"/>
            <w:noWrap w:val="0"/>
            <w:vAlign w:val="center"/>
          </w:tcPr>
          <w:p w14:paraId="0D3ACC02">
            <w:pPr>
              <w:keepNext w:val="0"/>
              <w:keepLines w:val="0"/>
              <w:pageBreakBefore w:val="0"/>
              <w:kinsoku/>
              <w:wordWrap/>
              <w:overflowPunct/>
              <w:topLinePunct w:val="0"/>
              <w:autoSpaceDE w:val="0"/>
              <w:autoSpaceDN w:val="0"/>
              <w:bidi w:val="0"/>
              <w:adjustRightInd w:val="0"/>
              <w:spacing w:line="460" w:lineRule="exact"/>
              <w:ind w:left="0" w:leftChars="0" w:firstLine="0" w:firstLineChars="0"/>
              <w:textAlignment w:val="auto"/>
              <w:outlineLvl w:val="9"/>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60日历天（从投标截止之日算起）</w:t>
            </w:r>
          </w:p>
        </w:tc>
      </w:tr>
      <w:tr w14:paraId="7323B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916" w:type="dxa"/>
            <w:noWrap w:val="0"/>
            <w:vAlign w:val="center"/>
          </w:tcPr>
          <w:p w14:paraId="73ACEC67">
            <w:pPr>
              <w:keepNext w:val="0"/>
              <w:keepLines w:val="0"/>
              <w:pageBreakBefore w:val="0"/>
              <w:kinsoku/>
              <w:wordWrap/>
              <w:overflowPunct/>
              <w:topLinePunct w:val="0"/>
              <w:autoSpaceDE w:val="0"/>
              <w:autoSpaceDN w:val="0"/>
              <w:bidi w:val="0"/>
              <w:adjustRightInd w:val="0"/>
              <w:snapToGrid/>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3.5.8</w:t>
            </w:r>
          </w:p>
        </w:tc>
        <w:tc>
          <w:tcPr>
            <w:tcW w:w="1905" w:type="dxa"/>
            <w:noWrap w:val="0"/>
            <w:vAlign w:val="center"/>
          </w:tcPr>
          <w:p w14:paraId="713C5D4D">
            <w:pPr>
              <w:keepNext w:val="0"/>
              <w:keepLines w:val="0"/>
              <w:pageBreakBefore w:val="0"/>
              <w:kinsoku/>
              <w:wordWrap/>
              <w:overflowPunct/>
              <w:topLinePunct w:val="0"/>
              <w:autoSpaceDE w:val="0"/>
              <w:autoSpaceDN w:val="0"/>
              <w:bidi w:val="0"/>
              <w:adjustRightInd w:val="0"/>
              <w:snapToGrid/>
              <w:spacing w:line="460" w:lineRule="exact"/>
              <w:ind w:left="0" w:leftChars="0" w:firstLine="0" w:firstLineChars="0"/>
              <w:jc w:val="center"/>
              <w:textAlignment w:val="auto"/>
              <w:outlineLvl w:val="9"/>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投标文件签字和盖章要求</w:t>
            </w:r>
          </w:p>
        </w:tc>
        <w:tc>
          <w:tcPr>
            <w:tcW w:w="6878" w:type="dxa"/>
            <w:noWrap w:val="0"/>
            <w:vAlign w:val="center"/>
          </w:tcPr>
          <w:p w14:paraId="2CC14EBB">
            <w:pPr>
              <w:keepNext w:val="0"/>
              <w:keepLines w:val="0"/>
              <w:pageBreakBefore w:val="0"/>
              <w:kinsoku/>
              <w:wordWrap/>
              <w:overflowPunct/>
              <w:topLinePunct w:val="0"/>
              <w:autoSpaceDE w:val="0"/>
              <w:autoSpaceDN w:val="0"/>
              <w:bidi w:val="0"/>
              <w:adjustRightInd w:val="0"/>
              <w:snapToGrid/>
              <w:spacing w:line="460" w:lineRule="exact"/>
              <w:ind w:left="0" w:leftChars="0" w:firstLine="0" w:firstLineChars="0"/>
              <w:textAlignment w:val="auto"/>
              <w:outlineLvl w:val="9"/>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1、投标文件格式中所有要求投标人加盖公章的地方都须加盖投标人的 CA 印章。</w:t>
            </w:r>
          </w:p>
          <w:p w14:paraId="0ED9AF5F">
            <w:pPr>
              <w:keepNext w:val="0"/>
              <w:keepLines w:val="0"/>
              <w:pageBreakBefore w:val="0"/>
              <w:kinsoku/>
              <w:wordWrap/>
              <w:overflowPunct/>
              <w:topLinePunct w:val="0"/>
              <w:autoSpaceDE w:val="0"/>
              <w:autoSpaceDN w:val="0"/>
              <w:bidi w:val="0"/>
              <w:adjustRightInd w:val="0"/>
              <w:snapToGrid/>
              <w:spacing w:line="460" w:lineRule="exact"/>
              <w:ind w:left="0" w:leftChars="0" w:firstLine="0" w:firstLineChars="0"/>
              <w:textAlignment w:val="auto"/>
              <w:outlineLvl w:val="9"/>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2、所有要求法定代表人或其委托代理人签字的地方都须法定代表人或其委托代理人加盖CA印章或签字。</w:t>
            </w:r>
          </w:p>
        </w:tc>
      </w:tr>
      <w:tr w14:paraId="35AC8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jc w:val="center"/>
        </w:trPr>
        <w:tc>
          <w:tcPr>
            <w:tcW w:w="916" w:type="dxa"/>
            <w:noWrap w:val="0"/>
            <w:vAlign w:val="center"/>
          </w:tcPr>
          <w:p w14:paraId="2515FBD4">
            <w:pPr>
              <w:keepNext w:val="0"/>
              <w:keepLines w:val="0"/>
              <w:pageBreakBefore w:val="0"/>
              <w:kinsoku/>
              <w:wordWrap/>
              <w:overflowPunct/>
              <w:topLinePunct w:val="0"/>
              <w:autoSpaceDE w:val="0"/>
              <w:autoSpaceDN w:val="0"/>
              <w:bidi w:val="0"/>
              <w:adjustRightInd w:val="0"/>
              <w:snapToGrid/>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3.5.9</w:t>
            </w:r>
          </w:p>
        </w:tc>
        <w:tc>
          <w:tcPr>
            <w:tcW w:w="1905" w:type="dxa"/>
            <w:noWrap w:val="0"/>
            <w:vAlign w:val="center"/>
          </w:tcPr>
          <w:p w14:paraId="3BC6E221">
            <w:pPr>
              <w:keepNext w:val="0"/>
              <w:keepLines w:val="0"/>
              <w:pageBreakBefore w:val="0"/>
              <w:kinsoku/>
              <w:wordWrap/>
              <w:overflowPunct/>
              <w:topLinePunct w:val="0"/>
              <w:autoSpaceDE w:val="0"/>
              <w:autoSpaceDN w:val="0"/>
              <w:bidi w:val="0"/>
              <w:adjustRightInd w:val="0"/>
              <w:snapToGrid/>
              <w:spacing w:line="460" w:lineRule="exact"/>
              <w:ind w:left="0" w:leftChars="0" w:firstLine="0" w:firstLineChars="0"/>
              <w:jc w:val="center"/>
              <w:textAlignment w:val="auto"/>
              <w:outlineLvl w:val="9"/>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投标文件份数及其他要求</w:t>
            </w:r>
          </w:p>
        </w:tc>
        <w:tc>
          <w:tcPr>
            <w:tcW w:w="6878" w:type="dxa"/>
            <w:noWrap w:val="0"/>
            <w:vAlign w:val="center"/>
          </w:tcPr>
          <w:p w14:paraId="69C52E51">
            <w:pPr>
              <w:keepNext w:val="0"/>
              <w:keepLines w:val="0"/>
              <w:pageBreakBefore w:val="0"/>
              <w:kinsoku/>
              <w:wordWrap/>
              <w:overflowPunct/>
              <w:topLinePunct w:val="0"/>
              <w:autoSpaceDE w:val="0"/>
              <w:autoSpaceDN w:val="0"/>
              <w:bidi w:val="0"/>
              <w:adjustRightInd w:val="0"/>
              <w:snapToGrid/>
              <w:spacing w:line="460" w:lineRule="exact"/>
              <w:ind w:left="0" w:leftChars="0" w:firstLine="0" w:firstLineChars="0"/>
              <w:textAlignment w:val="auto"/>
              <w:outlineLvl w:val="9"/>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加密的电子投标文件壹份（*.XYTF 格式，在会员系统指定位置上传）</w:t>
            </w:r>
          </w:p>
        </w:tc>
      </w:tr>
      <w:tr w14:paraId="35ACD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916" w:type="dxa"/>
            <w:noWrap w:val="0"/>
            <w:vAlign w:val="center"/>
          </w:tcPr>
          <w:p w14:paraId="76B98C11">
            <w:pPr>
              <w:keepNext w:val="0"/>
              <w:keepLines w:val="0"/>
              <w:pageBreakBefore w:val="0"/>
              <w:kinsoku/>
              <w:wordWrap/>
              <w:overflowPunct/>
              <w:topLinePunct w:val="0"/>
              <w:autoSpaceDE w:val="0"/>
              <w:autoSpaceDN w:val="0"/>
              <w:bidi w:val="0"/>
              <w:adjustRightInd w:val="0"/>
              <w:snapToGrid/>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4.2</w:t>
            </w:r>
          </w:p>
        </w:tc>
        <w:tc>
          <w:tcPr>
            <w:tcW w:w="1905" w:type="dxa"/>
            <w:noWrap w:val="0"/>
            <w:vAlign w:val="center"/>
          </w:tcPr>
          <w:p w14:paraId="7D9A8CBB">
            <w:pPr>
              <w:keepNext w:val="0"/>
              <w:keepLines w:val="0"/>
              <w:pageBreakBefore w:val="0"/>
              <w:kinsoku/>
              <w:wordWrap/>
              <w:overflowPunct/>
              <w:topLinePunct w:val="0"/>
              <w:autoSpaceDE w:val="0"/>
              <w:autoSpaceDN w:val="0"/>
              <w:bidi w:val="0"/>
              <w:adjustRightInd w:val="0"/>
              <w:snapToGrid/>
              <w:spacing w:line="460" w:lineRule="exact"/>
              <w:ind w:left="0" w:leftChars="0" w:firstLine="0" w:firstLineChars="0"/>
              <w:jc w:val="center"/>
              <w:textAlignment w:val="auto"/>
              <w:outlineLvl w:val="9"/>
              <w:rPr>
                <w:rFonts w:hint="eastAsia" w:ascii="仿宋" w:hAnsi="仿宋" w:eastAsia="仿宋" w:cs="仿宋"/>
                <w:color w:val="auto"/>
                <w:kern w:val="0"/>
                <w:sz w:val="21"/>
                <w:szCs w:val="21"/>
                <w:highlight w:val="none"/>
                <w:lang w:eastAsia="zh-CN"/>
              </w:rPr>
            </w:pPr>
            <w:r>
              <w:rPr>
                <w:rFonts w:hint="eastAsia" w:ascii="仿宋" w:hAnsi="仿宋" w:eastAsia="仿宋" w:cs="仿宋"/>
                <w:color w:val="auto"/>
                <w:kern w:val="0"/>
                <w:sz w:val="21"/>
                <w:szCs w:val="21"/>
                <w:highlight w:val="none"/>
              </w:rPr>
              <w:t>投标文件</w:t>
            </w:r>
            <w:r>
              <w:rPr>
                <w:rFonts w:hint="eastAsia" w:ascii="仿宋" w:hAnsi="仿宋" w:eastAsia="仿宋" w:cs="仿宋"/>
                <w:color w:val="auto"/>
                <w:kern w:val="0"/>
                <w:sz w:val="21"/>
                <w:szCs w:val="21"/>
                <w:highlight w:val="none"/>
                <w:lang w:eastAsia="zh-CN"/>
              </w:rPr>
              <w:t>递交</w:t>
            </w:r>
          </w:p>
        </w:tc>
        <w:tc>
          <w:tcPr>
            <w:tcW w:w="6878" w:type="dxa"/>
            <w:noWrap w:val="0"/>
            <w:vAlign w:val="center"/>
          </w:tcPr>
          <w:p w14:paraId="4BC6BBA2">
            <w:pPr>
              <w:keepNext w:val="0"/>
              <w:keepLines w:val="0"/>
              <w:pageBreakBefore w:val="0"/>
              <w:kinsoku/>
              <w:wordWrap/>
              <w:overflowPunct/>
              <w:topLinePunct w:val="0"/>
              <w:bidi w:val="0"/>
              <w:adjustRightInd w:val="0"/>
              <w:snapToGrid/>
              <w:spacing w:line="460" w:lineRule="exact"/>
              <w:ind w:left="0" w:leftChars="0" w:firstLine="0" w:firstLineChars="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1、电子投标文件的递交</w:t>
            </w:r>
          </w:p>
          <w:p w14:paraId="229053EC">
            <w:pPr>
              <w:keepNext w:val="0"/>
              <w:keepLines w:val="0"/>
              <w:pageBreakBefore w:val="0"/>
              <w:kinsoku/>
              <w:wordWrap/>
              <w:overflowPunct/>
              <w:topLinePunct w:val="0"/>
              <w:bidi w:val="0"/>
              <w:adjustRightInd w:val="0"/>
              <w:snapToGrid/>
              <w:spacing w:line="460" w:lineRule="exact"/>
              <w:ind w:left="0" w:leftChars="0" w:firstLine="0" w:firstLineChars="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各投标人应在投标截止时间前上传加密的电子投标文件（*.XYTF）到会员系统的指定位置。上传时必须得到交易系统“上传成功”的确认回复后方为上传成功。请投标人在上传前务必认真检查上传投标文件是否完整、正确。</w:t>
            </w:r>
          </w:p>
          <w:p w14:paraId="071B1856">
            <w:pPr>
              <w:keepNext w:val="0"/>
              <w:keepLines w:val="0"/>
              <w:pageBreakBefore w:val="0"/>
              <w:kinsoku/>
              <w:wordWrap/>
              <w:overflowPunct/>
              <w:topLinePunct w:val="0"/>
              <w:bidi w:val="0"/>
              <w:snapToGrid/>
              <w:spacing w:line="460" w:lineRule="exact"/>
              <w:ind w:left="0" w:leftChars="0" w:firstLine="0" w:firstLineChars="0"/>
              <w:textAlignment w:val="auto"/>
              <w:outlineLvl w:val="9"/>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lang w:val="en-US" w:eastAsia="zh-CN"/>
              </w:rPr>
              <w:t>2、</w:t>
            </w:r>
            <w:r>
              <w:rPr>
                <w:rFonts w:hint="eastAsia" w:ascii="仿宋" w:hAnsi="仿宋" w:eastAsia="仿宋" w:cs="仿宋"/>
                <w:color w:val="auto"/>
                <w:kern w:val="0"/>
                <w:sz w:val="21"/>
                <w:szCs w:val="21"/>
                <w:highlight w:val="none"/>
              </w:rPr>
              <w:t xml:space="preserve">本项目采用“不见面开标”交易方式，不见面开标大厅网址为 </w:t>
            </w:r>
            <w:r>
              <w:rPr>
                <w:rFonts w:hint="eastAsia" w:ascii="仿宋" w:hAnsi="仿宋" w:eastAsia="仿宋" w:cs="仿宋"/>
                <w:color w:val="auto"/>
                <w:sz w:val="21"/>
                <w:szCs w:val="21"/>
                <w:highlight w:val="none"/>
                <w:lang w:val="en-US" w:eastAsia="zh-CN"/>
              </w:rPr>
              <w:t>https://ggzyjy.xinyang.gov.cn/BidOpening</w:t>
            </w:r>
            <w:r>
              <w:rPr>
                <w:rFonts w:hint="eastAsia" w:ascii="仿宋" w:hAnsi="仿宋" w:eastAsia="仿宋" w:cs="仿宋"/>
                <w:color w:val="auto"/>
                <w:kern w:val="0"/>
                <w:sz w:val="21"/>
                <w:szCs w:val="21"/>
                <w:highlight w:val="none"/>
              </w:rPr>
              <w:t>投标人无需寄送和递交非加密的电子投标文件，无需到现场参加开标会议，无需到达现场提交原件资料。</w:t>
            </w:r>
          </w:p>
        </w:tc>
      </w:tr>
      <w:tr w14:paraId="3C951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916" w:type="dxa"/>
            <w:noWrap w:val="0"/>
            <w:vAlign w:val="center"/>
          </w:tcPr>
          <w:p w14:paraId="3531EDDD">
            <w:pPr>
              <w:keepNext w:val="0"/>
              <w:keepLines w:val="0"/>
              <w:pageBreakBefore w:val="0"/>
              <w:kinsoku/>
              <w:wordWrap/>
              <w:overflowPunct/>
              <w:topLinePunct w:val="0"/>
              <w:autoSpaceDE w:val="0"/>
              <w:autoSpaceDN w:val="0"/>
              <w:bidi w:val="0"/>
              <w:adjustRightInd w:val="0"/>
              <w:snapToGrid/>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5.1</w:t>
            </w:r>
          </w:p>
        </w:tc>
        <w:tc>
          <w:tcPr>
            <w:tcW w:w="1905" w:type="dxa"/>
            <w:noWrap w:val="0"/>
            <w:vAlign w:val="center"/>
          </w:tcPr>
          <w:p w14:paraId="1B9D9269">
            <w:pPr>
              <w:keepNext w:val="0"/>
              <w:keepLines w:val="0"/>
              <w:pageBreakBefore w:val="0"/>
              <w:kinsoku/>
              <w:wordWrap/>
              <w:overflowPunct/>
              <w:topLinePunct w:val="0"/>
              <w:autoSpaceDE w:val="0"/>
              <w:autoSpaceDN w:val="0"/>
              <w:bidi w:val="0"/>
              <w:adjustRightInd w:val="0"/>
              <w:snapToGrid/>
              <w:spacing w:line="460" w:lineRule="exact"/>
              <w:ind w:left="0" w:leftChars="0" w:firstLine="0" w:firstLineChars="0"/>
              <w:jc w:val="center"/>
              <w:textAlignment w:val="auto"/>
              <w:outlineLvl w:val="9"/>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开标时间和地点</w:t>
            </w:r>
          </w:p>
        </w:tc>
        <w:tc>
          <w:tcPr>
            <w:tcW w:w="6878" w:type="dxa"/>
            <w:noWrap w:val="0"/>
            <w:vAlign w:val="center"/>
          </w:tcPr>
          <w:p w14:paraId="02838B83">
            <w:pPr>
              <w:keepNext w:val="0"/>
              <w:keepLines w:val="0"/>
              <w:pageBreakBefore w:val="0"/>
              <w:widowControl/>
              <w:kinsoku/>
              <w:wordWrap/>
              <w:overflowPunct/>
              <w:topLinePunct w:val="0"/>
              <w:autoSpaceDE w:val="0"/>
              <w:autoSpaceDN w:val="0"/>
              <w:bidi w:val="0"/>
              <w:adjustRightInd w:val="0"/>
              <w:snapToGrid/>
              <w:spacing w:line="460" w:lineRule="exact"/>
              <w:ind w:left="0" w:leftChars="0" w:firstLine="0" w:firstLineChars="0"/>
              <w:jc w:val="left"/>
              <w:textAlignment w:val="auto"/>
              <w:outlineLvl w:val="9"/>
              <w:rPr>
                <w:rFonts w:hint="eastAsia" w:ascii="仿宋" w:hAnsi="仿宋" w:eastAsia="仿宋" w:cs="仿宋"/>
                <w:b w:val="0"/>
                <w:bCs w:val="0"/>
                <w:color w:val="auto"/>
                <w:kern w:val="0"/>
                <w:sz w:val="21"/>
                <w:szCs w:val="21"/>
                <w:highlight w:val="none"/>
              </w:rPr>
            </w:pPr>
            <w:r>
              <w:rPr>
                <w:rFonts w:hint="eastAsia" w:ascii="仿宋" w:hAnsi="仿宋" w:eastAsia="仿宋" w:cs="仿宋"/>
                <w:b w:val="0"/>
                <w:bCs w:val="0"/>
                <w:color w:val="auto"/>
                <w:kern w:val="0"/>
                <w:sz w:val="21"/>
                <w:szCs w:val="21"/>
                <w:highlight w:val="none"/>
              </w:rPr>
              <w:t>开标时间：详见第一章招标公告中“五、投标文件的开启时间及地点 ”</w:t>
            </w:r>
          </w:p>
          <w:p w14:paraId="61FD5CB4">
            <w:pPr>
              <w:pStyle w:val="36"/>
              <w:keepNext w:val="0"/>
              <w:keepLines w:val="0"/>
              <w:pageBreakBefore w:val="0"/>
              <w:widowControl/>
              <w:kinsoku/>
              <w:wordWrap/>
              <w:overflowPunct/>
              <w:topLinePunct w:val="0"/>
              <w:bidi w:val="0"/>
              <w:snapToGrid/>
              <w:spacing w:line="460" w:lineRule="exact"/>
              <w:ind w:firstLine="0" w:firstLineChars="0"/>
              <w:jc w:val="left"/>
              <w:textAlignment w:val="auto"/>
              <w:outlineLvl w:val="9"/>
              <w:rPr>
                <w:rFonts w:hint="eastAsia" w:ascii="仿宋" w:hAnsi="仿宋" w:eastAsia="仿宋" w:cs="仿宋"/>
                <w:b w:val="0"/>
                <w:bCs w:val="0"/>
                <w:color w:val="auto"/>
                <w:kern w:val="0"/>
                <w:szCs w:val="21"/>
                <w:highlight w:val="none"/>
              </w:rPr>
            </w:pPr>
            <w:r>
              <w:rPr>
                <w:rFonts w:hint="eastAsia" w:ascii="仿宋" w:hAnsi="仿宋" w:eastAsia="仿宋" w:cs="仿宋"/>
                <w:b w:val="0"/>
                <w:bCs w:val="0"/>
                <w:color w:val="auto"/>
                <w:kern w:val="0"/>
                <w:szCs w:val="21"/>
                <w:highlight w:val="none"/>
              </w:rPr>
              <w:t>开标地点：详见第一章招标公告中“五、投标文件的开启时间及地点 ”</w:t>
            </w:r>
          </w:p>
        </w:tc>
      </w:tr>
      <w:tr w14:paraId="0837F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6" w:hRule="atLeast"/>
          <w:jc w:val="center"/>
        </w:trPr>
        <w:tc>
          <w:tcPr>
            <w:tcW w:w="916" w:type="dxa"/>
            <w:noWrap w:val="0"/>
            <w:vAlign w:val="center"/>
          </w:tcPr>
          <w:p w14:paraId="4E881EBF">
            <w:pPr>
              <w:keepNext w:val="0"/>
              <w:keepLines w:val="0"/>
              <w:pageBreakBefore w:val="0"/>
              <w:kinsoku/>
              <w:wordWrap/>
              <w:overflowPunct/>
              <w:topLinePunct w:val="0"/>
              <w:autoSpaceDE w:val="0"/>
              <w:autoSpaceDN w:val="0"/>
              <w:bidi w:val="0"/>
              <w:adjustRightInd w:val="0"/>
              <w:snapToGrid/>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6.1</w:t>
            </w:r>
          </w:p>
        </w:tc>
        <w:tc>
          <w:tcPr>
            <w:tcW w:w="1905" w:type="dxa"/>
            <w:noWrap w:val="0"/>
            <w:vAlign w:val="center"/>
          </w:tcPr>
          <w:p w14:paraId="3CCB73A4">
            <w:pPr>
              <w:keepNext w:val="0"/>
              <w:keepLines w:val="0"/>
              <w:pageBreakBefore w:val="0"/>
              <w:kinsoku/>
              <w:wordWrap/>
              <w:overflowPunct/>
              <w:topLinePunct w:val="0"/>
              <w:autoSpaceDE w:val="0"/>
              <w:autoSpaceDN w:val="0"/>
              <w:bidi w:val="0"/>
              <w:adjustRightInd w:val="0"/>
              <w:snapToGrid/>
              <w:spacing w:line="460" w:lineRule="exact"/>
              <w:ind w:left="0" w:leftChars="0" w:firstLine="0" w:firstLineChars="0"/>
              <w:jc w:val="center"/>
              <w:textAlignment w:val="auto"/>
              <w:outlineLvl w:val="9"/>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评标委员会的组建</w:t>
            </w:r>
          </w:p>
        </w:tc>
        <w:tc>
          <w:tcPr>
            <w:tcW w:w="6878" w:type="dxa"/>
            <w:noWrap w:val="0"/>
            <w:vAlign w:val="center"/>
          </w:tcPr>
          <w:p w14:paraId="5E6F3ED6">
            <w:pPr>
              <w:keepNext w:val="0"/>
              <w:keepLines w:val="0"/>
              <w:pageBreakBefore w:val="0"/>
              <w:kinsoku/>
              <w:wordWrap/>
              <w:overflowPunct/>
              <w:topLinePunct w:val="0"/>
              <w:autoSpaceDE w:val="0"/>
              <w:autoSpaceDN w:val="0"/>
              <w:bidi w:val="0"/>
              <w:adjustRightInd w:val="0"/>
              <w:snapToGrid/>
              <w:spacing w:line="460" w:lineRule="exact"/>
              <w:ind w:left="0" w:leftChars="0" w:firstLine="0" w:firstLineChars="0"/>
              <w:textAlignment w:val="auto"/>
              <w:outlineLvl w:val="9"/>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评标委员会构成：</w:t>
            </w:r>
            <w:r>
              <w:rPr>
                <w:rFonts w:hint="eastAsia" w:ascii="仿宋" w:hAnsi="仿宋" w:eastAsia="仿宋" w:cs="仿宋"/>
                <w:color w:val="auto"/>
                <w:kern w:val="0"/>
                <w:sz w:val="21"/>
                <w:szCs w:val="21"/>
                <w:highlight w:val="none"/>
                <w:u w:val="single"/>
                <w:lang w:val="en-US" w:eastAsia="zh-CN"/>
              </w:rPr>
              <w:t>5</w:t>
            </w:r>
            <w:r>
              <w:rPr>
                <w:rFonts w:hint="eastAsia" w:ascii="仿宋" w:hAnsi="仿宋" w:eastAsia="仿宋" w:cs="仿宋"/>
                <w:color w:val="auto"/>
                <w:kern w:val="0"/>
                <w:sz w:val="21"/>
                <w:szCs w:val="21"/>
                <w:highlight w:val="none"/>
              </w:rPr>
              <w:t>人，其中</w:t>
            </w:r>
            <w:r>
              <w:rPr>
                <w:rFonts w:hint="eastAsia" w:ascii="仿宋" w:hAnsi="仿宋" w:eastAsia="仿宋" w:cs="仿宋"/>
                <w:color w:val="auto"/>
                <w:kern w:val="0"/>
                <w:sz w:val="21"/>
                <w:szCs w:val="21"/>
                <w:highlight w:val="none"/>
                <w:lang w:eastAsia="zh-CN"/>
              </w:rPr>
              <w:t>业主评委</w:t>
            </w:r>
            <w:r>
              <w:rPr>
                <w:rFonts w:hint="eastAsia" w:ascii="仿宋" w:hAnsi="仿宋" w:eastAsia="仿宋" w:cs="仿宋"/>
                <w:color w:val="auto"/>
                <w:kern w:val="0"/>
                <w:sz w:val="21"/>
                <w:szCs w:val="21"/>
                <w:highlight w:val="none"/>
                <w:u w:val="single"/>
              </w:rPr>
              <w:t xml:space="preserve"> </w:t>
            </w:r>
            <w:r>
              <w:rPr>
                <w:rFonts w:hint="eastAsia" w:ascii="仿宋" w:hAnsi="仿宋" w:eastAsia="仿宋" w:cs="仿宋"/>
                <w:color w:val="auto"/>
                <w:kern w:val="0"/>
                <w:sz w:val="21"/>
                <w:szCs w:val="21"/>
                <w:highlight w:val="none"/>
                <w:u w:val="single"/>
                <w:lang w:val="en-US" w:eastAsia="zh-CN"/>
              </w:rPr>
              <w:t xml:space="preserve">1 </w:t>
            </w:r>
            <w:r>
              <w:rPr>
                <w:rFonts w:hint="eastAsia" w:ascii="仿宋" w:hAnsi="仿宋" w:eastAsia="仿宋" w:cs="仿宋"/>
                <w:color w:val="auto"/>
                <w:kern w:val="0"/>
                <w:sz w:val="21"/>
                <w:szCs w:val="21"/>
                <w:highlight w:val="none"/>
              </w:rPr>
              <w:t>人（为采购人在职人员），评审专家</w:t>
            </w:r>
            <w:r>
              <w:rPr>
                <w:rFonts w:hint="eastAsia" w:ascii="仿宋" w:hAnsi="仿宋" w:eastAsia="仿宋" w:cs="仿宋"/>
                <w:color w:val="auto"/>
                <w:kern w:val="0"/>
                <w:sz w:val="21"/>
                <w:szCs w:val="21"/>
                <w:highlight w:val="none"/>
                <w:u w:val="single"/>
                <w:lang w:val="en-US" w:eastAsia="zh-CN"/>
              </w:rPr>
              <w:t xml:space="preserve"> 4 </w:t>
            </w:r>
            <w:r>
              <w:rPr>
                <w:rFonts w:hint="eastAsia" w:ascii="仿宋" w:hAnsi="仿宋" w:eastAsia="仿宋" w:cs="仿宋"/>
                <w:color w:val="auto"/>
                <w:kern w:val="0"/>
                <w:sz w:val="21"/>
                <w:szCs w:val="21"/>
                <w:highlight w:val="none"/>
              </w:rPr>
              <w:t>人。专家从</w:t>
            </w:r>
            <w:r>
              <w:rPr>
                <w:rFonts w:hint="eastAsia" w:ascii="仿宋" w:hAnsi="仿宋" w:eastAsia="仿宋" w:cs="仿宋"/>
                <w:color w:val="auto"/>
                <w:kern w:val="0"/>
                <w:sz w:val="21"/>
                <w:szCs w:val="21"/>
                <w:highlight w:val="none"/>
                <w:lang w:eastAsia="zh-CN"/>
              </w:rPr>
              <w:t>政府采购</w:t>
            </w:r>
            <w:r>
              <w:rPr>
                <w:rFonts w:hint="eastAsia" w:ascii="仿宋" w:hAnsi="仿宋" w:eastAsia="仿宋" w:cs="仿宋"/>
                <w:color w:val="auto"/>
                <w:kern w:val="0"/>
                <w:sz w:val="21"/>
                <w:szCs w:val="21"/>
                <w:highlight w:val="none"/>
              </w:rPr>
              <w:t>专家库中随机抽取。</w:t>
            </w:r>
          </w:p>
        </w:tc>
      </w:tr>
      <w:tr w14:paraId="21247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916" w:type="dxa"/>
            <w:noWrap w:val="0"/>
            <w:vAlign w:val="center"/>
          </w:tcPr>
          <w:p w14:paraId="67CC9809">
            <w:pPr>
              <w:keepNext w:val="0"/>
              <w:keepLines w:val="0"/>
              <w:pageBreakBefore w:val="0"/>
              <w:kinsoku/>
              <w:wordWrap/>
              <w:overflowPunct/>
              <w:topLinePunct w:val="0"/>
              <w:autoSpaceDE w:val="0"/>
              <w:autoSpaceDN w:val="0"/>
              <w:bidi w:val="0"/>
              <w:adjustRightInd w:val="0"/>
              <w:snapToGrid/>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7.1</w:t>
            </w:r>
          </w:p>
        </w:tc>
        <w:tc>
          <w:tcPr>
            <w:tcW w:w="1905" w:type="dxa"/>
            <w:noWrap w:val="0"/>
            <w:vAlign w:val="center"/>
          </w:tcPr>
          <w:p w14:paraId="53EB8602">
            <w:pPr>
              <w:keepNext w:val="0"/>
              <w:keepLines w:val="0"/>
              <w:pageBreakBefore w:val="0"/>
              <w:kinsoku/>
              <w:wordWrap/>
              <w:overflowPunct/>
              <w:topLinePunct w:val="0"/>
              <w:autoSpaceDE w:val="0"/>
              <w:autoSpaceDN w:val="0"/>
              <w:bidi w:val="0"/>
              <w:adjustRightInd w:val="0"/>
              <w:snapToGrid/>
              <w:spacing w:line="460" w:lineRule="exact"/>
              <w:ind w:left="0" w:leftChars="0" w:firstLine="0" w:firstLineChars="0"/>
              <w:jc w:val="center"/>
              <w:textAlignment w:val="auto"/>
              <w:outlineLvl w:val="9"/>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是否授权评标委员会确定中标人</w:t>
            </w:r>
          </w:p>
        </w:tc>
        <w:tc>
          <w:tcPr>
            <w:tcW w:w="6878" w:type="dxa"/>
            <w:noWrap w:val="0"/>
            <w:vAlign w:val="center"/>
          </w:tcPr>
          <w:p w14:paraId="3679DE25">
            <w:pPr>
              <w:keepNext w:val="0"/>
              <w:keepLines w:val="0"/>
              <w:pageBreakBefore w:val="0"/>
              <w:kinsoku/>
              <w:wordWrap/>
              <w:overflowPunct/>
              <w:topLinePunct w:val="0"/>
              <w:autoSpaceDE w:val="0"/>
              <w:autoSpaceDN w:val="0"/>
              <w:bidi w:val="0"/>
              <w:adjustRightInd w:val="0"/>
              <w:snapToGrid/>
              <w:spacing w:line="460" w:lineRule="exact"/>
              <w:ind w:left="0" w:leftChars="0" w:firstLine="0" w:firstLineChars="0"/>
              <w:textAlignment w:val="auto"/>
              <w:outlineLvl w:val="9"/>
              <w:rPr>
                <w:rFonts w:hint="eastAsia" w:ascii="仿宋" w:hAnsi="仿宋" w:eastAsia="仿宋" w:cs="仿宋"/>
                <w:color w:val="auto"/>
                <w:kern w:val="0"/>
                <w:sz w:val="21"/>
                <w:szCs w:val="21"/>
                <w:highlight w:val="none"/>
              </w:rPr>
            </w:pPr>
            <w:r>
              <w:rPr>
                <w:rFonts w:hint="eastAsia" w:ascii="仿宋" w:hAnsi="仿宋" w:eastAsia="仿宋" w:cs="仿宋"/>
                <w:color w:val="auto"/>
                <w:kern w:val="0"/>
                <w:sz w:val="21"/>
                <w:szCs w:val="21"/>
                <w:highlight w:val="none"/>
              </w:rPr>
              <w:t>否，推荐3名中标候选人。</w:t>
            </w:r>
          </w:p>
        </w:tc>
      </w:tr>
      <w:tr w14:paraId="40F32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916" w:type="dxa"/>
            <w:noWrap w:val="0"/>
            <w:vAlign w:val="center"/>
          </w:tcPr>
          <w:p w14:paraId="46FB7228">
            <w:pPr>
              <w:keepNext w:val="0"/>
              <w:keepLines w:val="0"/>
              <w:pageBreakBefore w:val="0"/>
              <w:kinsoku/>
              <w:wordWrap/>
              <w:overflowPunct/>
              <w:topLinePunct w:val="0"/>
              <w:autoSpaceDE w:val="0"/>
              <w:autoSpaceDN w:val="0"/>
              <w:bidi w:val="0"/>
              <w:adjustRightInd w:val="0"/>
              <w:snapToGrid/>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7.3</w:t>
            </w:r>
          </w:p>
        </w:tc>
        <w:tc>
          <w:tcPr>
            <w:tcW w:w="1905" w:type="dxa"/>
            <w:noWrap w:val="0"/>
            <w:vAlign w:val="center"/>
          </w:tcPr>
          <w:p w14:paraId="1DEB2ED9">
            <w:pPr>
              <w:keepNext w:val="0"/>
              <w:keepLines w:val="0"/>
              <w:pageBreakBefore w:val="0"/>
              <w:kinsoku/>
              <w:wordWrap/>
              <w:overflowPunct/>
              <w:topLinePunct w:val="0"/>
              <w:autoSpaceDE w:val="0"/>
              <w:autoSpaceDN w:val="0"/>
              <w:bidi w:val="0"/>
              <w:adjustRightInd w:val="0"/>
              <w:snapToGrid/>
              <w:spacing w:line="460" w:lineRule="exact"/>
              <w:ind w:left="0" w:leftChars="0" w:firstLine="0" w:firstLineChars="0"/>
              <w:jc w:val="center"/>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rPr>
              <w:t>履约</w:t>
            </w:r>
            <w:r>
              <w:rPr>
                <w:rFonts w:hint="eastAsia" w:ascii="仿宋" w:hAnsi="仿宋" w:eastAsia="仿宋" w:cs="仿宋"/>
                <w:color w:val="auto"/>
                <w:kern w:val="0"/>
                <w:sz w:val="21"/>
                <w:szCs w:val="21"/>
                <w:highlight w:val="none"/>
                <w:lang w:eastAsia="zh-CN"/>
              </w:rPr>
              <w:t>保证金</w:t>
            </w:r>
          </w:p>
        </w:tc>
        <w:tc>
          <w:tcPr>
            <w:tcW w:w="6878" w:type="dxa"/>
            <w:noWrap w:val="0"/>
            <w:vAlign w:val="center"/>
          </w:tcPr>
          <w:p w14:paraId="74C3CA52">
            <w:pPr>
              <w:keepNext w:val="0"/>
              <w:keepLines w:val="0"/>
              <w:pageBreakBefore w:val="0"/>
              <w:kinsoku/>
              <w:wordWrap/>
              <w:overflowPunct/>
              <w:topLinePunct w:val="0"/>
              <w:autoSpaceDE w:val="0"/>
              <w:autoSpaceDN w:val="0"/>
              <w:bidi w:val="0"/>
              <w:adjustRightInd w:val="0"/>
              <w:snapToGrid/>
              <w:spacing w:line="460" w:lineRule="exact"/>
              <w:ind w:left="0" w:leftChars="0" w:firstLine="0" w:firstLineChars="0"/>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无</w:t>
            </w:r>
          </w:p>
        </w:tc>
      </w:tr>
      <w:tr w14:paraId="7E3CE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916" w:type="dxa"/>
            <w:vMerge w:val="restart"/>
            <w:noWrap w:val="0"/>
            <w:vAlign w:val="center"/>
          </w:tcPr>
          <w:p w14:paraId="27FA1FC2">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bookmarkStart w:id="11" w:name="_Toc244935163"/>
            <w:bookmarkStart w:id="12" w:name="_Toc19222"/>
            <w:bookmarkStart w:id="13" w:name="_Toc244934194"/>
            <w:r>
              <w:rPr>
                <w:rFonts w:hint="eastAsia" w:ascii="仿宋" w:hAnsi="仿宋" w:eastAsia="仿宋" w:cs="仿宋"/>
                <w:color w:val="auto"/>
                <w:kern w:val="0"/>
                <w:sz w:val="21"/>
                <w:szCs w:val="21"/>
                <w:highlight w:val="none"/>
                <w:lang w:val="en-US" w:eastAsia="zh-CN"/>
              </w:rPr>
              <w:t>其他补充内容</w:t>
            </w:r>
          </w:p>
        </w:tc>
        <w:tc>
          <w:tcPr>
            <w:tcW w:w="1905" w:type="dxa"/>
            <w:noWrap w:val="0"/>
            <w:vAlign w:val="center"/>
          </w:tcPr>
          <w:p w14:paraId="0A543E81">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center"/>
              <w:textAlignment w:val="auto"/>
              <w:outlineLvl w:val="9"/>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 w:val="21"/>
                <w:szCs w:val="21"/>
                <w:highlight w:val="none"/>
                <w:lang w:val="en-US" w:eastAsia="zh-CN"/>
              </w:rPr>
              <w:t>标书雷同性分析</w:t>
            </w:r>
          </w:p>
        </w:tc>
        <w:tc>
          <w:tcPr>
            <w:tcW w:w="6878" w:type="dxa"/>
            <w:noWrap w:val="0"/>
            <w:vAlign w:val="center"/>
          </w:tcPr>
          <w:p w14:paraId="5BB421E5">
            <w:pPr>
              <w:keepNext w:val="0"/>
              <w:keepLines w:val="0"/>
              <w:pageBreakBefore w:val="0"/>
              <w:numPr>
                <w:ilvl w:val="0"/>
                <w:numId w:val="3"/>
              </w:numPr>
              <w:kinsoku/>
              <w:wordWrap/>
              <w:overflowPunct/>
              <w:topLinePunct w:val="0"/>
              <w:autoSpaceDE w:val="0"/>
              <w:autoSpaceDN w:val="0"/>
              <w:bidi w:val="0"/>
              <w:adjustRightInd w:val="0"/>
              <w:spacing w:line="460" w:lineRule="exact"/>
              <w:ind w:left="0" w:leftChars="0" w:firstLine="0" w:firstLineChars="0"/>
              <w:jc w:val="both"/>
              <w:textAlignment w:val="auto"/>
              <w:outlineLvl w:val="9"/>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文件制作机器码、文件创建标识码有相同的按废标处理。</w:t>
            </w:r>
          </w:p>
          <w:p w14:paraId="1575B954">
            <w:pPr>
              <w:keepNext w:val="0"/>
              <w:keepLines w:val="0"/>
              <w:pageBreakBefore w:val="0"/>
              <w:widowControl/>
              <w:kinsoku/>
              <w:wordWrap/>
              <w:overflowPunct/>
              <w:topLinePunct w:val="0"/>
              <w:bidi w:val="0"/>
              <w:spacing w:line="460" w:lineRule="exact"/>
              <w:ind w:left="0" w:leftChars="0" w:firstLine="0" w:firstLineChars="0"/>
              <w:jc w:val="left"/>
              <w:textAlignment w:val="auto"/>
              <w:outlineLvl w:val="9"/>
              <w:rPr>
                <w:rFonts w:hint="eastAsia" w:ascii="仿宋" w:hAnsi="仿宋" w:eastAsia="仿宋" w:cs="仿宋"/>
                <w:color w:val="auto"/>
                <w:highlight w:val="none"/>
                <w:lang w:val="en-US" w:eastAsia="zh-CN"/>
              </w:rPr>
            </w:pPr>
            <w:r>
              <w:rPr>
                <w:rFonts w:hint="eastAsia" w:ascii="仿宋" w:hAnsi="仿宋" w:eastAsia="仿宋" w:cs="仿宋"/>
                <w:b/>
                <w:bCs/>
                <w:color w:val="auto"/>
                <w:sz w:val="21"/>
                <w:szCs w:val="21"/>
                <w:highlight w:val="none"/>
                <w:u w:val="double"/>
                <w:lang w:val="en-US" w:eastAsia="zh-CN"/>
              </w:rPr>
              <w:t>2、潜在供应商有异议的，可以在公告发布之日起七个工作日内，以书面形式同时向采购人与招标代理机构提交质疑函和必要的证明材料。质疑函应当包括下列内容：（一）供应商的姓名或者名称、地址、邮编、联系人及联系电话；（二）质疑项目的名称、编号；（三）具体、明确的质疑事项和与质疑事项相关的请求；（四）事实依据；（五）必要的法律依据；（六）提出质疑的日期。供应商为自然人的，应当由本人签字；供应商为法人或者其他组织的，应当由法定代表人、主要负责人，或者其授权代表签字或者盖章，并加盖公章。（企业营业执照复印件及本人身份证复印件（加盖单位公章）一并提交），以质疑函接收确认日期作为受理时间；逾期未提交或未按照要求提交的质疑函将不予受理。</w:t>
            </w:r>
          </w:p>
        </w:tc>
      </w:tr>
      <w:tr w14:paraId="4754D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916" w:type="dxa"/>
            <w:vMerge w:val="continue"/>
            <w:noWrap w:val="0"/>
            <w:vAlign w:val="center"/>
          </w:tcPr>
          <w:p w14:paraId="5409E27E">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both"/>
              <w:textAlignment w:val="auto"/>
              <w:outlineLvl w:val="9"/>
              <w:rPr>
                <w:rFonts w:hint="eastAsia" w:ascii="仿宋" w:hAnsi="仿宋" w:eastAsia="仿宋" w:cs="仿宋"/>
                <w:color w:val="auto"/>
                <w:kern w:val="0"/>
                <w:sz w:val="21"/>
                <w:szCs w:val="21"/>
                <w:highlight w:val="none"/>
                <w:lang w:val="en-US" w:eastAsia="zh-CN"/>
              </w:rPr>
            </w:pPr>
          </w:p>
        </w:tc>
        <w:tc>
          <w:tcPr>
            <w:tcW w:w="1905" w:type="dxa"/>
            <w:noWrap w:val="0"/>
            <w:vAlign w:val="center"/>
          </w:tcPr>
          <w:p w14:paraId="781B7ADD">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center"/>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代理服务费</w:t>
            </w:r>
          </w:p>
        </w:tc>
        <w:tc>
          <w:tcPr>
            <w:tcW w:w="6878" w:type="dxa"/>
            <w:noWrap w:val="0"/>
            <w:vAlign w:val="center"/>
          </w:tcPr>
          <w:p w14:paraId="287AF057">
            <w:pPr>
              <w:keepNext w:val="0"/>
              <w:keepLines w:val="0"/>
              <w:pageBreakBefore w:val="0"/>
              <w:suppressLineNumbers w:val="0"/>
              <w:kinsoku/>
              <w:wordWrap/>
              <w:overflowPunct/>
              <w:topLinePunct w:val="0"/>
              <w:bidi w:val="0"/>
              <w:spacing w:before="0" w:beforeAutospacing="0" w:after="0" w:afterAutospacing="0" w:line="460" w:lineRule="exact"/>
              <w:ind w:left="0" w:leftChars="0" w:right="0" w:firstLine="0" w:firstLineChars="0"/>
              <w:textAlignment w:val="auto"/>
              <w:outlineLvl w:val="9"/>
              <w:rPr>
                <w:rFonts w:hint="eastAsia" w:ascii="仿宋" w:hAnsi="仿宋" w:eastAsia="仿宋" w:cs="仿宋"/>
                <w:color w:val="auto"/>
                <w:szCs w:val="21"/>
                <w:highlight w:val="none"/>
              </w:rPr>
            </w:pPr>
            <w:r>
              <w:rPr>
                <w:rFonts w:hint="eastAsia" w:ascii="仿宋" w:hAnsi="仿宋" w:eastAsia="仿宋" w:cs="仿宋"/>
                <w:color w:val="auto"/>
                <w:szCs w:val="21"/>
                <w:highlight w:val="none"/>
              </w:rPr>
              <w:t>代理费收费约定：</w:t>
            </w:r>
          </w:p>
          <w:p w14:paraId="64EA468C">
            <w:pPr>
              <w:keepNext w:val="0"/>
              <w:keepLines w:val="0"/>
              <w:pageBreakBefore w:val="0"/>
              <w:suppressLineNumbers w:val="0"/>
              <w:kinsoku/>
              <w:wordWrap/>
              <w:overflowPunct/>
              <w:topLinePunct w:val="0"/>
              <w:bidi w:val="0"/>
              <w:spacing w:before="0" w:beforeAutospacing="0" w:after="0" w:afterAutospacing="0" w:line="460" w:lineRule="exact"/>
              <w:ind w:left="0" w:leftChars="0" w:right="0" w:firstLine="0" w:firstLineChars="0"/>
              <w:textAlignment w:val="auto"/>
              <w:outlineLvl w:val="9"/>
              <w:rPr>
                <w:rFonts w:hint="eastAsia" w:ascii="仿宋" w:hAnsi="仿宋" w:eastAsia="仿宋" w:cs="仿宋"/>
                <w:color w:val="auto"/>
                <w:szCs w:val="21"/>
                <w:highlight w:val="none"/>
              </w:rPr>
            </w:pPr>
            <w:r>
              <w:rPr>
                <w:rFonts w:hint="eastAsia" w:ascii="仿宋" w:hAnsi="仿宋" w:eastAsia="仿宋" w:cs="仿宋"/>
                <w:color w:val="auto"/>
                <w:szCs w:val="21"/>
                <w:highlight w:val="none"/>
              </w:rPr>
              <w:t>1.本项目代理费由中标企业支付，供应商报价应当包含该项目代理服务费（代理服务费支付金额为不含税金额且不含评委劳务费等其他费用）。</w:t>
            </w:r>
          </w:p>
          <w:p w14:paraId="3AF930ED">
            <w:pPr>
              <w:keepNext w:val="0"/>
              <w:keepLines w:val="0"/>
              <w:pageBreakBefore w:val="0"/>
              <w:suppressLineNumbers w:val="0"/>
              <w:kinsoku/>
              <w:wordWrap/>
              <w:overflowPunct/>
              <w:topLinePunct w:val="0"/>
              <w:bidi w:val="0"/>
              <w:spacing w:before="0" w:beforeAutospacing="0" w:after="0" w:afterAutospacing="0" w:line="460" w:lineRule="exact"/>
              <w:ind w:left="0" w:leftChars="0" w:right="0" w:firstLine="0" w:firstLineChars="0"/>
              <w:textAlignment w:val="auto"/>
              <w:outlineLvl w:val="9"/>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rPr>
              <w:t>2.本项目参照《河南省招标代理服务收费指导意见》豫招协〔2023〕2号文件的规定收取代理费用，由中标人在领取中标通知书前向招标代理机构支付。备注：不执行不足 1 万按 1 万收取标准</w:t>
            </w:r>
            <w:r>
              <w:rPr>
                <w:rFonts w:hint="eastAsia" w:ascii="仿宋" w:hAnsi="仿宋" w:eastAsia="仿宋" w:cs="仿宋"/>
                <w:color w:val="auto"/>
                <w:szCs w:val="21"/>
                <w:highlight w:val="none"/>
                <w:lang w:eastAsia="zh-CN"/>
              </w:rPr>
              <w:t>。</w:t>
            </w:r>
          </w:p>
          <w:p w14:paraId="405CB425">
            <w:pPr>
              <w:keepNext w:val="0"/>
              <w:keepLines w:val="0"/>
              <w:pageBreakBefore w:val="0"/>
              <w:suppressLineNumbers w:val="0"/>
              <w:kinsoku/>
              <w:wordWrap/>
              <w:overflowPunct/>
              <w:topLinePunct w:val="0"/>
              <w:bidi w:val="0"/>
              <w:spacing w:before="0" w:beforeAutospacing="0" w:after="0" w:afterAutospacing="0" w:line="460" w:lineRule="exact"/>
              <w:ind w:left="0" w:leftChars="0" w:right="0" w:firstLine="0" w:firstLineChars="0"/>
              <w:textAlignment w:val="auto"/>
              <w:outlineLvl w:val="9"/>
              <w:rPr>
                <w:rFonts w:hint="eastAsia" w:ascii="仿宋" w:hAnsi="仿宋" w:eastAsia="仿宋" w:cs="仿宋"/>
                <w:color w:val="auto"/>
                <w:szCs w:val="21"/>
                <w:highlight w:val="none"/>
              </w:rPr>
            </w:pPr>
            <w:r>
              <w:rPr>
                <w:rFonts w:hint="eastAsia" w:ascii="仿宋" w:hAnsi="仿宋" w:eastAsia="仿宋" w:cs="仿宋"/>
                <w:color w:val="auto"/>
                <w:szCs w:val="21"/>
                <w:highlight w:val="none"/>
              </w:rPr>
              <w:t>附：规定收费标准：</w:t>
            </w:r>
          </w:p>
          <w:p w14:paraId="4F16016C">
            <w:pPr>
              <w:keepNext w:val="0"/>
              <w:keepLines w:val="0"/>
              <w:pageBreakBefore w:val="0"/>
              <w:suppressLineNumbers w:val="0"/>
              <w:kinsoku/>
              <w:wordWrap/>
              <w:overflowPunct/>
              <w:topLinePunct w:val="0"/>
              <w:bidi w:val="0"/>
              <w:spacing w:before="0" w:beforeAutospacing="0" w:after="0" w:afterAutospacing="0" w:line="460" w:lineRule="exact"/>
              <w:ind w:left="0" w:leftChars="0" w:right="0" w:firstLine="0" w:firstLineChars="0"/>
              <w:textAlignment w:val="auto"/>
              <w:outlineLvl w:val="9"/>
              <w:rPr>
                <w:rFonts w:hint="eastAsia" w:ascii="仿宋" w:hAnsi="仿宋" w:eastAsia="仿宋" w:cs="仿宋"/>
                <w:color w:val="auto"/>
                <w:szCs w:val="21"/>
                <w:highlight w:val="none"/>
              </w:rPr>
            </w:pPr>
            <w:r>
              <w:rPr>
                <w:rFonts w:hint="eastAsia" w:ascii="仿宋" w:hAnsi="仿宋" w:eastAsia="仿宋" w:cs="仿宋"/>
                <w:color w:val="auto"/>
                <w:szCs w:val="21"/>
                <w:highlight w:val="none"/>
              </w:rPr>
              <w:t>中标服务费的收取按差额定率累进法计算中标金额的 100 万（含） 以下部分费率为 1.7%；</w:t>
            </w:r>
          </w:p>
          <w:p w14:paraId="1B19EF08">
            <w:pPr>
              <w:keepNext w:val="0"/>
              <w:keepLines w:val="0"/>
              <w:pageBreakBefore w:val="0"/>
              <w:suppressLineNumbers w:val="0"/>
              <w:kinsoku/>
              <w:wordWrap/>
              <w:overflowPunct/>
              <w:topLinePunct w:val="0"/>
              <w:bidi w:val="0"/>
              <w:spacing w:before="0" w:beforeAutospacing="0" w:after="0" w:afterAutospacing="0" w:line="460" w:lineRule="exact"/>
              <w:ind w:left="0" w:leftChars="0" w:right="0" w:firstLine="0" w:firstLineChars="0"/>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szCs w:val="21"/>
                <w:highlight w:val="none"/>
              </w:rPr>
              <w:t>中标金额的 100 万以上－500 万（含）部分费率为 1.2%；</w:t>
            </w:r>
          </w:p>
        </w:tc>
      </w:tr>
      <w:tr w14:paraId="01A26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916" w:type="dxa"/>
            <w:vMerge w:val="continue"/>
            <w:noWrap w:val="0"/>
            <w:vAlign w:val="center"/>
          </w:tcPr>
          <w:p w14:paraId="6A02E1F5">
            <w:pPr>
              <w:keepNext w:val="0"/>
              <w:keepLines w:val="0"/>
              <w:pageBreakBefore w:val="0"/>
              <w:kinsoku/>
              <w:wordWrap/>
              <w:overflowPunct/>
              <w:topLinePunct w:val="0"/>
              <w:bidi w:val="0"/>
              <w:spacing w:line="460" w:lineRule="exact"/>
              <w:ind w:left="0" w:leftChars="0" w:firstLine="0" w:firstLineChars="0"/>
              <w:jc w:val="center"/>
              <w:textAlignment w:val="auto"/>
              <w:outlineLvl w:val="9"/>
              <w:rPr>
                <w:rFonts w:hint="eastAsia" w:ascii="仿宋" w:hAnsi="仿宋" w:eastAsia="仿宋" w:cs="仿宋"/>
                <w:color w:val="auto"/>
                <w:kern w:val="0"/>
                <w:sz w:val="21"/>
                <w:szCs w:val="21"/>
                <w:highlight w:val="none"/>
                <w:lang w:val="en-US" w:eastAsia="zh-CN"/>
              </w:rPr>
            </w:pPr>
          </w:p>
        </w:tc>
        <w:tc>
          <w:tcPr>
            <w:tcW w:w="1905" w:type="dxa"/>
            <w:vMerge w:val="restart"/>
            <w:noWrap w:val="0"/>
            <w:vAlign w:val="center"/>
          </w:tcPr>
          <w:p w14:paraId="77AA01AF">
            <w:pPr>
              <w:keepNext w:val="0"/>
              <w:keepLines w:val="0"/>
              <w:pageBreakBefore w:val="0"/>
              <w:kinsoku/>
              <w:wordWrap/>
              <w:overflowPunct/>
              <w:topLinePunct w:val="0"/>
              <w:autoSpaceDE w:val="0"/>
              <w:autoSpaceDN w:val="0"/>
              <w:bidi w:val="0"/>
              <w:adjustRightInd w:val="0"/>
              <w:spacing w:line="460" w:lineRule="exact"/>
              <w:ind w:left="0" w:leftChars="0" w:firstLine="0" w:firstLineChars="0"/>
              <w:jc w:val="center"/>
              <w:textAlignment w:val="auto"/>
              <w:outlineLvl w:val="9"/>
              <w:rPr>
                <w:rFonts w:hint="eastAsia" w:ascii="仿宋" w:hAnsi="仿宋" w:eastAsia="仿宋" w:cs="仿宋"/>
                <w:color w:val="auto"/>
                <w:kern w:val="0"/>
                <w:sz w:val="21"/>
                <w:szCs w:val="21"/>
                <w:highlight w:val="none"/>
                <w:lang w:val="en-US" w:eastAsia="zh-CN"/>
              </w:rPr>
            </w:pPr>
            <w:r>
              <w:rPr>
                <w:rFonts w:hint="eastAsia" w:ascii="仿宋" w:hAnsi="仿宋" w:eastAsia="仿宋" w:cs="仿宋"/>
                <w:color w:val="auto"/>
                <w:kern w:val="0"/>
                <w:sz w:val="21"/>
                <w:szCs w:val="21"/>
                <w:highlight w:val="none"/>
                <w:lang w:val="en-US" w:eastAsia="zh-CN"/>
              </w:rPr>
              <w:t>其他</w:t>
            </w:r>
          </w:p>
        </w:tc>
        <w:tc>
          <w:tcPr>
            <w:tcW w:w="6878" w:type="dxa"/>
            <w:noWrap w:val="0"/>
            <w:vAlign w:val="center"/>
          </w:tcPr>
          <w:p w14:paraId="1595451D">
            <w:pPr>
              <w:pStyle w:val="34"/>
              <w:keepNext w:val="0"/>
              <w:keepLines w:val="0"/>
              <w:pageBreakBefore w:val="0"/>
              <w:kinsoku/>
              <w:wordWrap/>
              <w:overflowPunct/>
              <w:topLinePunct w:val="0"/>
              <w:bidi w:val="0"/>
              <w:spacing w:line="460" w:lineRule="exact"/>
              <w:ind w:left="0" w:leftChars="0" w:firstLine="0" w:firstLineChars="0"/>
              <w:textAlignment w:val="auto"/>
              <w:outlineLvl w:val="9"/>
              <w:rPr>
                <w:rFonts w:hint="eastAsia" w:ascii="仿宋" w:hAnsi="仿宋" w:eastAsia="仿宋" w:cs="仿宋"/>
                <w:b/>
                <w:bCs/>
                <w:color w:val="auto"/>
                <w:szCs w:val="21"/>
                <w:highlight w:val="none"/>
                <w:lang w:eastAsia="zh-CN"/>
              </w:rPr>
            </w:pPr>
            <w:r>
              <w:rPr>
                <w:rFonts w:hint="eastAsia" w:ascii="仿宋" w:hAnsi="仿宋" w:eastAsia="仿宋" w:cs="仿宋"/>
                <w:b/>
                <w:bCs/>
                <w:color w:val="auto"/>
                <w:highlight w:val="none"/>
              </w:rPr>
              <w:t>本项目中标单位所投产品及附属不得擅自更换。否则，采购人有权解除合同，中标人需承担因此引起的违约责任，赔偿给采购人造成的相应损失。</w:t>
            </w:r>
          </w:p>
        </w:tc>
      </w:tr>
      <w:tr w14:paraId="25730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916" w:type="dxa"/>
            <w:vMerge w:val="continue"/>
            <w:noWrap w:val="0"/>
            <w:vAlign w:val="center"/>
          </w:tcPr>
          <w:p w14:paraId="7F36EA52">
            <w:pPr>
              <w:keepNext w:val="0"/>
              <w:keepLines w:val="0"/>
              <w:pageBreakBefore w:val="0"/>
              <w:kinsoku/>
              <w:wordWrap/>
              <w:overflowPunct/>
              <w:topLinePunct w:val="0"/>
              <w:bidi w:val="0"/>
              <w:spacing w:line="460" w:lineRule="exact"/>
              <w:ind w:firstLine="1260" w:firstLineChars="600"/>
              <w:jc w:val="center"/>
              <w:textAlignment w:val="auto"/>
              <w:outlineLvl w:val="9"/>
              <w:rPr>
                <w:rFonts w:hint="eastAsia" w:ascii="仿宋" w:hAnsi="仿宋" w:eastAsia="仿宋" w:cs="仿宋"/>
                <w:color w:val="auto"/>
                <w:kern w:val="0"/>
                <w:sz w:val="21"/>
                <w:szCs w:val="21"/>
                <w:highlight w:val="none"/>
                <w:lang w:val="en-US" w:eastAsia="zh-CN"/>
              </w:rPr>
            </w:pPr>
          </w:p>
        </w:tc>
        <w:tc>
          <w:tcPr>
            <w:tcW w:w="1905" w:type="dxa"/>
            <w:vMerge w:val="continue"/>
            <w:noWrap w:val="0"/>
            <w:vAlign w:val="center"/>
          </w:tcPr>
          <w:p w14:paraId="6A1F4623">
            <w:pPr>
              <w:keepNext w:val="0"/>
              <w:keepLines w:val="0"/>
              <w:pageBreakBefore w:val="0"/>
              <w:kinsoku/>
              <w:wordWrap/>
              <w:overflowPunct/>
              <w:topLinePunct w:val="0"/>
              <w:bidi w:val="0"/>
              <w:spacing w:line="460" w:lineRule="exact"/>
              <w:ind w:firstLine="1265" w:firstLineChars="600"/>
              <w:jc w:val="center"/>
              <w:textAlignment w:val="auto"/>
              <w:outlineLvl w:val="9"/>
              <w:rPr>
                <w:rFonts w:hint="eastAsia" w:ascii="仿宋" w:hAnsi="仿宋" w:eastAsia="仿宋" w:cs="仿宋"/>
                <w:b/>
                <w:bCs/>
                <w:color w:val="auto"/>
                <w:kern w:val="0"/>
                <w:sz w:val="21"/>
                <w:szCs w:val="21"/>
                <w:highlight w:val="none"/>
                <w:lang w:val="en-US" w:eastAsia="zh-CN"/>
              </w:rPr>
            </w:pPr>
          </w:p>
        </w:tc>
        <w:tc>
          <w:tcPr>
            <w:tcW w:w="6878" w:type="dxa"/>
            <w:noWrap w:val="0"/>
            <w:vAlign w:val="center"/>
          </w:tcPr>
          <w:p w14:paraId="2E91B147">
            <w:pPr>
              <w:pStyle w:val="34"/>
              <w:keepNext w:val="0"/>
              <w:keepLines w:val="0"/>
              <w:pageBreakBefore w:val="0"/>
              <w:kinsoku/>
              <w:wordWrap/>
              <w:overflowPunct/>
              <w:topLinePunct w:val="0"/>
              <w:bidi w:val="0"/>
              <w:spacing w:line="460" w:lineRule="exact"/>
              <w:ind w:left="0" w:leftChars="0" w:firstLine="0" w:firstLineChars="0"/>
              <w:textAlignment w:val="auto"/>
              <w:outlineLvl w:val="9"/>
              <w:rPr>
                <w:rFonts w:hint="eastAsia" w:ascii="仿宋" w:hAnsi="仿宋" w:eastAsia="仿宋" w:cs="仿宋"/>
                <w:b/>
                <w:bCs/>
                <w:color w:val="auto"/>
                <w:highlight w:val="none"/>
              </w:rPr>
            </w:pPr>
            <w:r>
              <w:rPr>
                <w:rFonts w:hint="eastAsia" w:ascii="仿宋" w:hAnsi="仿宋" w:eastAsia="仿宋" w:cs="仿宋"/>
                <w:b/>
                <w:bCs/>
                <w:color w:val="auto"/>
                <w:highlight w:val="none"/>
              </w:rPr>
              <w:t>解释权</w:t>
            </w:r>
            <w:r>
              <w:rPr>
                <w:rFonts w:hint="eastAsia" w:ascii="仿宋" w:hAnsi="仿宋" w:eastAsia="仿宋" w:cs="仿宋"/>
                <w:b/>
                <w:bCs/>
                <w:color w:val="auto"/>
                <w:highlight w:val="none"/>
              </w:rPr>
              <w:tab/>
            </w:r>
          </w:p>
          <w:p w14:paraId="24C78B3B">
            <w:pPr>
              <w:pStyle w:val="34"/>
              <w:keepNext w:val="0"/>
              <w:keepLines w:val="0"/>
              <w:pageBreakBefore w:val="0"/>
              <w:kinsoku/>
              <w:wordWrap/>
              <w:overflowPunct/>
              <w:topLinePunct w:val="0"/>
              <w:bidi w:val="0"/>
              <w:spacing w:line="460" w:lineRule="exact"/>
              <w:ind w:left="0" w:leftChars="0" w:firstLine="0" w:firstLineChars="0"/>
              <w:textAlignment w:val="auto"/>
              <w:outlineLvl w:val="9"/>
              <w:rPr>
                <w:rFonts w:hint="eastAsia" w:ascii="仿宋" w:hAnsi="仿宋" w:eastAsia="仿宋" w:cs="仿宋"/>
                <w:b/>
                <w:bCs/>
                <w:color w:val="auto"/>
                <w:szCs w:val="21"/>
                <w:highlight w:val="none"/>
                <w:lang w:eastAsia="zh-CN"/>
              </w:rPr>
            </w:pPr>
            <w:r>
              <w:rPr>
                <w:rFonts w:hint="eastAsia" w:ascii="仿宋" w:hAnsi="仿宋" w:eastAsia="仿宋" w:cs="仿宋"/>
                <w:b/>
                <w:bCs/>
                <w:color w:val="auto"/>
                <w:highlight w:val="none"/>
              </w:rPr>
              <w:t>构成本</w:t>
            </w:r>
            <w:r>
              <w:rPr>
                <w:rFonts w:hint="eastAsia" w:ascii="仿宋" w:hAnsi="仿宋" w:eastAsia="仿宋" w:cs="仿宋"/>
                <w:b/>
                <w:bCs/>
                <w:color w:val="auto"/>
                <w:highlight w:val="none"/>
                <w:lang w:eastAsia="zh-CN"/>
              </w:rPr>
              <w:t>招标文件</w:t>
            </w:r>
            <w:r>
              <w:rPr>
                <w:rFonts w:hint="eastAsia" w:ascii="仿宋" w:hAnsi="仿宋" w:eastAsia="仿宋" w:cs="仿宋"/>
                <w:b/>
                <w:bCs/>
                <w:color w:val="auto"/>
                <w:highlight w:val="none"/>
              </w:rPr>
              <w:t>的各个组成文件应互为解释，互为说明；如有不明确或不一致，按</w:t>
            </w:r>
            <w:r>
              <w:rPr>
                <w:rFonts w:hint="eastAsia" w:ascii="仿宋" w:hAnsi="仿宋" w:eastAsia="仿宋" w:cs="仿宋"/>
                <w:b/>
                <w:bCs/>
                <w:color w:val="auto"/>
                <w:highlight w:val="none"/>
                <w:lang w:val="en-US" w:eastAsia="zh-CN"/>
              </w:rPr>
              <w:t>招标</w:t>
            </w:r>
            <w:r>
              <w:rPr>
                <w:rFonts w:hint="eastAsia" w:ascii="仿宋" w:hAnsi="仿宋" w:eastAsia="仿宋" w:cs="仿宋"/>
                <w:b/>
                <w:bCs/>
                <w:color w:val="auto"/>
                <w:highlight w:val="none"/>
              </w:rPr>
              <w:t>公告、投标人须知、评审办法、</w:t>
            </w:r>
            <w:r>
              <w:rPr>
                <w:rFonts w:hint="eastAsia" w:ascii="仿宋" w:hAnsi="仿宋" w:eastAsia="仿宋" w:cs="仿宋"/>
                <w:b/>
                <w:bCs/>
                <w:color w:val="auto"/>
                <w:highlight w:val="none"/>
                <w:lang w:val="en-US" w:eastAsia="zh-CN"/>
              </w:rPr>
              <w:t>投标</w:t>
            </w:r>
            <w:r>
              <w:rPr>
                <w:rFonts w:hint="eastAsia" w:ascii="仿宋" w:hAnsi="仿宋" w:eastAsia="仿宋" w:cs="仿宋"/>
                <w:b/>
                <w:bCs/>
                <w:color w:val="auto"/>
                <w:highlight w:val="none"/>
              </w:rPr>
              <w:t>文件格式的先后顺序解释；同一组成文件中就同一事项的规定或约定不一致的，以编排顺序在后者为准；同一组成文件不同版本之间有不一致的，以形成时间在后者为准。按本款前述规定仍不能形成结论的，由</w:t>
            </w:r>
            <w:r>
              <w:rPr>
                <w:rFonts w:hint="eastAsia" w:ascii="仿宋" w:hAnsi="仿宋" w:eastAsia="仿宋" w:cs="仿宋"/>
                <w:b/>
                <w:bCs/>
                <w:color w:val="auto"/>
                <w:highlight w:val="none"/>
                <w:lang w:val="en-US" w:eastAsia="zh-CN"/>
              </w:rPr>
              <w:t>招标人</w:t>
            </w:r>
            <w:r>
              <w:rPr>
                <w:rFonts w:hint="eastAsia" w:ascii="仿宋" w:hAnsi="仿宋" w:eastAsia="仿宋" w:cs="仿宋"/>
                <w:b/>
                <w:bCs/>
                <w:color w:val="auto"/>
                <w:highlight w:val="none"/>
              </w:rPr>
              <w:t>负责解释。</w:t>
            </w:r>
          </w:p>
        </w:tc>
      </w:tr>
      <w:tr w14:paraId="0A2F6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916" w:type="dxa"/>
            <w:vMerge w:val="continue"/>
            <w:noWrap w:val="0"/>
            <w:vAlign w:val="center"/>
          </w:tcPr>
          <w:p w14:paraId="3E9CAD14">
            <w:pPr>
              <w:keepNext w:val="0"/>
              <w:keepLines w:val="0"/>
              <w:pageBreakBefore w:val="0"/>
              <w:kinsoku/>
              <w:wordWrap/>
              <w:overflowPunct/>
              <w:topLinePunct w:val="0"/>
              <w:bidi w:val="0"/>
              <w:spacing w:line="460" w:lineRule="exact"/>
              <w:ind w:firstLine="1260" w:firstLineChars="600"/>
              <w:jc w:val="center"/>
              <w:textAlignment w:val="auto"/>
              <w:outlineLvl w:val="9"/>
              <w:rPr>
                <w:rFonts w:hint="eastAsia" w:ascii="仿宋" w:hAnsi="仿宋" w:eastAsia="仿宋" w:cs="仿宋"/>
                <w:color w:val="auto"/>
                <w:kern w:val="0"/>
                <w:sz w:val="21"/>
                <w:szCs w:val="21"/>
                <w:highlight w:val="none"/>
                <w:lang w:val="en-US" w:eastAsia="zh-CN"/>
              </w:rPr>
            </w:pPr>
          </w:p>
        </w:tc>
        <w:tc>
          <w:tcPr>
            <w:tcW w:w="1905" w:type="dxa"/>
            <w:noWrap w:val="0"/>
            <w:vAlign w:val="center"/>
          </w:tcPr>
          <w:p w14:paraId="420C766E">
            <w:pPr>
              <w:keepNext w:val="0"/>
              <w:keepLines w:val="0"/>
              <w:pageBreakBefore w:val="0"/>
              <w:kinsoku/>
              <w:wordWrap/>
              <w:overflowPunct/>
              <w:topLinePunct w:val="0"/>
              <w:bidi w:val="0"/>
              <w:spacing w:line="460" w:lineRule="exact"/>
              <w:ind w:right="0" w:rightChars="0" w:firstLine="0" w:firstLineChars="0"/>
              <w:jc w:val="both"/>
              <w:textAlignment w:val="auto"/>
              <w:outlineLvl w:val="9"/>
              <w:rPr>
                <w:rFonts w:hint="eastAsia" w:ascii="仿宋" w:hAnsi="仿宋" w:eastAsia="仿宋" w:cs="仿宋"/>
                <w:b/>
                <w:bCs/>
                <w:color w:val="auto"/>
                <w:kern w:val="0"/>
                <w:sz w:val="21"/>
                <w:szCs w:val="21"/>
                <w:highlight w:val="none"/>
                <w:lang w:val="en-US" w:eastAsia="zh-CN" w:bidi="ar-SA"/>
              </w:rPr>
            </w:pPr>
            <w:r>
              <w:rPr>
                <w:rFonts w:hint="eastAsia" w:ascii="仿宋" w:hAnsi="仿宋" w:eastAsia="仿宋" w:cs="仿宋"/>
                <w:b/>
                <w:bCs/>
                <w:color w:val="auto"/>
                <w:kern w:val="0"/>
                <w:sz w:val="21"/>
                <w:szCs w:val="21"/>
                <w:highlight w:val="none"/>
                <w:lang w:val="en-US" w:eastAsia="zh-CN"/>
              </w:rPr>
              <w:t>本项目所属行业</w:t>
            </w:r>
          </w:p>
        </w:tc>
        <w:tc>
          <w:tcPr>
            <w:tcW w:w="6878" w:type="dxa"/>
            <w:noWrap w:val="0"/>
            <w:vAlign w:val="center"/>
          </w:tcPr>
          <w:p w14:paraId="64236B0F">
            <w:pPr>
              <w:pStyle w:val="34"/>
              <w:keepNext w:val="0"/>
              <w:keepLines w:val="0"/>
              <w:pageBreakBefore w:val="0"/>
              <w:kinsoku/>
              <w:wordWrap/>
              <w:overflowPunct/>
              <w:topLinePunct w:val="0"/>
              <w:bidi w:val="0"/>
              <w:spacing w:line="460" w:lineRule="exact"/>
              <w:ind w:left="0" w:leftChars="0" w:right="0" w:rightChars="0" w:firstLine="0" w:firstLineChars="0"/>
              <w:textAlignment w:val="auto"/>
              <w:outlineLvl w:val="9"/>
              <w:rPr>
                <w:rFonts w:hint="default" w:ascii="仿宋" w:hAnsi="仿宋" w:eastAsia="仿宋" w:cs="仿宋"/>
                <w:b/>
                <w:bCs/>
                <w:color w:val="auto"/>
                <w:kern w:val="2"/>
                <w:sz w:val="21"/>
                <w:szCs w:val="21"/>
                <w:highlight w:val="none"/>
                <w:lang w:val="en-US" w:eastAsia="zh-CN" w:bidi="ar-SA"/>
              </w:rPr>
            </w:pPr>
            <w:r>
              <w:rPr>
                <w:rFonts w:hint="eastAsia" w:ascii="仿宋" w:hAnsi="仿宋" w:eastAsia="仿宋" w:cs="仿宋"/>
                <w:b/>
                <w:bCs/>
                <w:color w:val="auto"/>
                <w:kern w:val="2"/>
                <w:sz w:val="21"/>
                <w:szCs w:val="21"/>
                <w:highlight w:val="none"/>
                <w:lang w:val="en-US" w:eastAsia="zh-CN" w:bidi="ar-SA"/>
              </w:rPr>
              <w:t>软件和信息技术服务业</w:t>
            </w:r>
          </w:p>
        </w:tc>
      </w:tr>
      <w:tr w14:paraId="40A42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 w:hRule="atLeast"/>
          <w:jc w:val="center"/>
        </w:trPr>
        <w:tc>
          <w:tcPr>
            <w:tcW w:w="9699" w:type="dxa"/>
            <w:gridSpan w:val="3"/>
            <w:noWrap w:val="0"/>
            <w:vAlign w:val="center"/>
          </w:tcPr>
          <w:p w14:paraId="198043BA">
            <w:pPr>
              <w:pStyle w:val="34"/>
              <w:keepNext w:val="0"/>
              <w:keepLines w:val="0"/>
              <w:pageBreakBefore w:val="0"/>
              <w:kinsoku/>
              <w:wordWrap/>
              <w:overflowPunct/>
              <w:topLinePunct w:val="0"/>
              <w:bidi w:val="0"/>
              <w:spacing w:line="460" w:lineRule="exact"/>
              <w:ind w:left="0" w:leftChars="0" w:right="0" w:rightChars="0" w:firstLine="0" w:firstLineChars="0"/>
              <w:textAlignment w:val="auto"/>
              <w:outlineLvl w:val="9"/>
              <w:rPr>
                <w:rFonts w:hint="eastAsia" w:ascii="仿宋" w:hAnsi="仿宋" w:eastAsia="仿宋" w:cs="仿宋"/>
                <w:b w:val="0"/>
                <w:bCs w:val="0"/>
                <w:color w:val="auto"/>
                <w:sz w:val="21"/>
                <w:szCs w:val="21"/>
                <w:highlight w:val="none"/>
                <w:lang w:eastAsia="zh-CN"/>
              </w:rPr>
            </w:pPr>
            <w:r>
              <w:rPr>
                <w:rFonts w:hint="eastAsia" w:ascii="仿宋" w:hAnsi="仿宋" w:eastAsia="仿宋" w:cs="仿宋"/>
                <w:b w:val="0"/>
                <w:bCs w:val="0"/>
                <w:color w:val="auto"/>
                <w:sz w:val="21"/>
                <w:szCs w:val="21"/>
                <w:highlight w:val="none"/>
                <w:lang w:eastAsia="zh-CN"/>
              </w:rPr>
              <w:t>政府采购政策执行：</w:t>
            </w:r>
          </w:p>
          <w:p w14:paraId="7005BD87">
            <w:pPr>
              <w:pStyle w:val="34"/>
              <w:keepNext w:val="0"/>
              <w:keepLines w:val="0"/>
              <w:pageBreakBefore w:val="0"/>
              <w:kinsoku/>
              <w:wordWrap/>
              <w:overflowPunct/>
              <w:topLinePunct w:val="0"/>
              <w:bidi w:val="0"/>
              <w:spacing w:line="460" w:lineRule="exact"/>
              <w:ind w:left="0" w:leftChars="0" w:right="0" w:rightChars="0" w:firstLine="0" w:firstLineChars="0"/>
              <w:textAlignment w:val="auto"/>
              <w:outlineLvl w:val="9"/>
              <w:rPr>
                <w:rFonts w:hint="eastAsia" w:ascii="仿宋" w:hAnsi="仿宋" w:eastAsia="仿宋" w:cs="仿宋"/>
                <w:b w:val="0"/>
                <w:bCs w:val="0"/>
                <w:color w:val="auto"/>
                <w:sz w:val="21"/>
                <w:szCs w:val="21"/>
                <w:highlight w:val="none"/>
                <w:lang w:eastAsia="zh-CN"/>
              </w:rPr>
            </w:pPr>
            <w:r>
              <w:rPr>
                <w:rFonts w:hint="eastAsia" w:ascii="仿宋" w:hAnsi="仿宋" w:eastAsia="仿宋" w:cs="仿宋"/>
                <w:b w:val="0"/>
                <w:bCs w:val="0"/>
                <w:color w:val="auto"/>
                <w:sz w:val="21"/>
                <w:szCs w:val="21"/>
                <w:highlight w:val="none"/>
                <w:lang w:eastAsia="zh-CN"/>
              </w:rPr>
              <w:t>（一）为贯彻落实财库〔2020〕46号，财政部、工业和信息化部关于印发《政府采购促进中小企业发展管理办法》和财库〔2022〕19号《关于进一步加大政府采购支持中小企业力度的通知》的通知，本项目鼓励中小企业参与投标，中小企业划型标准以工信部联企业〔2011〕300号，工业和信息化部、国家统计局、国家发展和改革委员会、财政部关于印发《中小企业划型标准规定的通知》为依据，关于投标报价评分中给予小型和微型企业制造的采购标的价格优惠的说明：</w:t>
            </w:r>
          </w:p>
          <w:p w14:paraId="3ABF4EE7">
            <w:pPr>
              <w:pStyle w:val="34"/>
              <w:keepNext w:val="0"/>
              <w:keepLines w:val="0"/>
              <w:pageBreakBefore w:val="0"/>
              <w:kinsoku/>
              <w:wordWrap/>
              <w:overflowPunct/>
              <w:topLinePunct w:val="0"/>
              <w:bidi w:val="0"/>
              <w:spacing w:line="460" w:lineRule="exact"/>
              <w:ind w:left="0" w:leftChars="0" w:right="0" w:rightChars="0" w:firstLine="0" w:firstLineChars="0"/>
              <w:textAlignment w:val="auto"/>
              <w:outlineLvl w:val="9"/>
              <w:rPr>
                <w:rFonts w:hint="default" w:ascii="仿宋" w:hAnsi="仿宋" w:eastAsia="仿宋" w:cs="仿宋"/>
                <w:b w:val="0"/>
                <w:bCs w:val="0"/>
                <w:color w:val="auto"/>
                <w:sz w:val="21"/>
                <w:szCs w:val="21"/>
                <w:highlight w:val="none"/>
                <w:lang w:val="en-US" w:eastAsia="zh-CN"/>
              </w:rPr>
            </w:pPr>
            <w:r>
              <w:rPr>
                <w:rFonts w:hint="eastAsia" w:ascii="仿宋" w:hAnsi="仿宋" w:eastAsia="仿宋" w:cs="仿宋"/>
                <w:b w:val="0"/>
                <w:bCs w:val="0"/>
                <w:color w:val="auto"/>
                <w:sz w:val="21"/>
                <w:szCs w:val="21"/>
                <w:highlight w:val="none"/>
                <w:lang w:eastAsia="zh-CN"/>
              </w:rPr>
              <w:t>1、对于经主管预算单位统筹后未预留份额专门面向中小企业采购的采购项目，以及预留份额项目中的非预留部分采购包，采购人、采购代理机构应当对符合本办法规定的小型和微型企业制造的采购标的报价给予10%-20%的扣除，用扣除后的价格参加评审；</w:t>
            </w:r>
            <w:r>
              <w:rPr>
                <w:rFonts w:hint="eastAsia" w:ascii="仿宋" w:hAnsi="仿宋" w:eastAsia="仿宋" w:cs="仿宋"/>
                <w:b w:val="0"/>
                <w:bCs w:val="0"/>
                <w:color w:val="auto"/>
                <w:sz w:val="21"/>
                <w:szCs w:val="21"/>
                <w:highlight w:val="none"/>
                <w:lang w:val="en-US" w:eastAsia="zh-CN"/>
              </w:rPr>
              <w:t>本项目专门面向中小企业，因此不参与价格扣除。</w:t>
            </w:r>
          </w:p>
          <w:p w14:paraId="214BCF78">
            <w:pPr>
              <w:pStyle w:val="34"/>
              <w:keepNext w:val="0"/>
              <w:keepLines w:val="0"/>
              <w:pageBreakBefore w:val="0"/>
              <w:kinsoku/>
              <w:wordWrap/>
              <w:overflowPunct/>
              <w:topLinePunct w:val="0"/>
              <w:bidi w:val="0"/>
              <w:spacing w:line="460" w:lineRule="exact"/>
              <w:ind w:left="0" w:leftChars="0" w:right="0" w:rightChars="0" w:firstLine="0" w:firstLineChars="0"/>
              <w:textAlignment w:val="auto"/>
              <w:outlineLvl w:val="9"/>
              <w:rPr>
                <w:rFonts w:hint="eastAsia" w:ascii="仿宋" w:hAnsi="仿宋" w:eastAsia="仿宋" w:cs="仿宋"/>
                <w:b w:val="0"/>
                <w:bCs w:val="0"/>
                <w:color w:val="auto"/>
                <w:sz w:val="21"/>
                <w:szCs w:val="21"/>
                <w:highlight w:val="none"/>
                <w:lang w:eastAsia="zh-CN"/>
              </w:rPr>
            </w:pPr>
            <w:r>
              <w:rPr>
                <w:rFonts w:hint="eastAsia" w:ascii="仿宋" w:hAnsi="仿宋" w:eastAsia="仿宋" w:cs="仿宋"/>
                <w:b w:val="0"/>
                <w:bCs w:val="0"/>
                <w:color w:val="auto"/>
                <w:sz w:val="21"/>
                <w:szCs w:val="21"/>
                <w:highlight w:val="none"/>
                <w:lang w:eastAsia="zh-CN"/>
              </w:rPr>
              <w:t>2、中小企业参加政府采购活动，应当出具财库〔2020〕46号规定的《中小企业声明函》，否则不得享受相关中小企业扶持政策。</w:t>
            </w:r>
          </w:p>
          <w:p w14:paraId="48A4A910">
            <w:pPr>
              <w:pStyle w:val="34"/>
              <w:keepNext w:val="0"/>
              <w:keepLines w:val="0"/>
              <w:pageBreakBefore w:val="0"/>
              <w:kinsoku/>
              <w:wordWrap/>
              <w:overflowPunct/>
              <w:topLinePunct w:val="0"/>
              <w:bidi w:val="0"/>
              <w:spacing w:line="460" w:lineRule="exact"/>
              <w:ind w:left="0" w:leftChars="0" w:right="0" w:rightChars="0" w:firstLine="0" w:firstLineChars="0"/>
              <w:textAlignment w:val="auto"/>
              <w:outlineLvl w:val="9"/>
              <w:rPr>
                <w:rFonts w:hint="eastAsia" w:ascii="仿宋" w:hAnsi="仿宋" w:eastAsia="仿宋" w:cs="仿宋"/>
                <w:b w:val="0"/>
                <w:bCs w:val="0"/>
                <w:color w:val="auto"/>
                <w:sz w:val="21"/>
                <w:szCs w:val="21"/>
                <w:highlight w:val="none"/>
                <w:lang w:eastAsia="zh-CN"/>
              </w:rPr>
            </w:pPr>
            <w:r>
              <w:rPr>
                <w:rFonts w:hint="eastAsia" w:ascii="仿宋" w:hAnsi="仿宋" w:eastAsia="仿宋" w:cs="仿宋"/>
                <w:b w:val="0"/>
                <w:bCs w:val="0"/>
                <w:color w:val="auto"/>
                <w:sz w:val="21"/>
                <w:szCs w:val="21"/>
                <w:highlight w:val="none"/>
                <w:lang w:eastAsia="zh-CN"/>
              </w:rPr>
              <w:t>3、依据规定享受扶持政策获得政府采购合同的，小微企业不得将合同分包给大中型企业，中型企业不得将合同分包给大型企业。</w:t>
            </w:r>
          </w:p>
          <w:p w14:paraId="1B99720E">
            <w:pPr>
              <w:pStyle w:val="34"/>
              <w:keepNext w:val="0"/>
              <w:keepLines w:val="0"/>
              <w:pageBreakBefore w:val="0"/>
              <w:kinsoku/>
              <w:wordWrap/>
              <w:overflowPunct/>
              <w:topLinePunct w:val="0"/>
              <w:bidi w:val="0"/>
              <w:spacing w:line="460" w:lineRule="exact"/>
              <w:ind w:left="0" w:leftChars="0" w:right="0" w:rightChars="0" w:firstLine="0" w:firstLineChars="0"/>
              <w:textAlignment w:val="auto"/>
              <w:outlineLvl w:val="9"/>
              <w:rPr>
                <w:rFonts w:hint="eastAsia" w:ascii="仿宋" w:hAnsi="仿宋" w:eastAsia="仿宋" w:cs="仿宋"/>
                <w:b w:val="0"/>
                <w:bCs w:val="0"/>
                <w:color w:val="auto"/>
                <w:sz w:val="21"/>
                <w:szCs w:val="21"/>
                <w:highlight w:val="none"/>
                <w:lang w:eastAsia="zh-CN"/>
              </w:rPr>
            </w:pPr>
            <w:r>
              <w:rPr>
                <w:rFonts w:hint="eastAsia" w:ascii="仿宋" w:hAnsi="仿宋" w:eastAsia="仿宋" w:cs="仿宋"/>
                <w:b w:val="0"/>
                <w:bCs w:val="0"/>
                <w:color w:val="auto"/>
                <w:sz w:val="21"/>
                <w:szCs w:val="21"/>
                <w:highlight w:val="none"/>
                <w:lang w:eastAsia="zh-CN"/>
              </w:rPr>
              <w:t>（二）根据《财政部、司法部关于政府采购支持监狱企业发展有关问题的通知》（财库〔2014〕68号）规定，本项目支持监狱企业参与政府采购活动。监狱企业参加本项目投标时，须提供由省级以上监狱管理局、戒毒管理局（含新疆生产建设兵团）出具的属于监狱企业的证明文件，视同小型、微型企业，享受评审中价格等政府采购促进中小企业发展的政府采购政策，监狱企业属于小型、微型企业的，不重复享受政策。</w:t>
            </w:r>
          </w:p>
          <w:p w14:paraId="370BE544">
            <w:pPr>
              <w:pStyle w:val="34"/>
              <w:keepNext w:val="0"/>
              <w:keepLines w:val="0"/>
              <w:pageBreakBefore w:val="0"/>
              <w:kinsoku/>
              <w:wordWrap/>
              <w:overflowPunct/>
              <w:topLinePunct w:val="0"/>
              <w:bidi w:val="0"/>
              <w:spacing w:line="460" w:lineRule="exact"/>
              <w:ind w:left="0" w:leftChars="0" w:right="0" w:rightChars="0" w:firstLine="0" w:firstLineChars="0"/>
              <w:textAlignment w:val="auto"/>
              <w:outlineLvl w:val="9"/>
              <w:rPr>
                <w:rFonts w:hint="eastAsia" w:ascii="仿宋" w:hAnsi="仿宋" w:eastAsia="仿宋" w:cs="仿宋"/>
                <w:b w:val="0"/>
                <w:bCs w:val="0"/>
                <w:color w:val="auto"/>
                <w:sz w:val="21"/>
                <w:szCs w:val="21"/>
                <w:highlight w:val="none"/>
                <w:lang w:eastAsia="zh-CN"/>
              </w:rPr>
            </w:pPr>
            <w:r>
              <w:rPr>
                <w:rFonts w:hint="eastAsia" w:ascii="仿宋" w:hAnsi="仿宋" w:eastAsia="仿宋" w:cs="仿宋"/>
                <w:b w:val="0"/>
                <w:bCs w:val="0"/>
                <w:color w:val="auto"/>
                <w:sz w:val="21"/>
                <w:szCs w:val="21"/>
                <w:highlight w:val="none"/>
                <w:lang w:eastAsia="zh-CN"/>
              </w:rPr>
              <w:t>（三）根据《关于促进残疾人就业政府采购政策的通知》（财库〔2017〕141号）文件规定，本项目支持残疾人福利性单位参与政府采购活动。符合条件的残疾人福利性单位参加本项目投标时，应当提供本通知规定的《残疾人福利性单位声明函》，并对声明的真实性负责，视同小型、微型企业，享受评审中价格等政府采购促进中小企业发展的政府采购政策，残疾人福利性单位属于小型、微型企业的，不重复享受政策。</w:t>
            </w:r>
          </w:p>
          <w:p w14:paraId="0149000A">
            <w:pPr>
              <w:pStyle w:val="34"/>
              <w:keepNext w:val="0"/>
              <w:keepLines w:val="0"/>
              <w:pageBreakBefore w:val="0"/>
              <w:kinsoku/>
              <w:wordWrap/>
              <w:overflowPunct/>
              <w:topLinePunct w:val="0"/>
              <w:bidi w:val="0"/>
              <w:spacing w:line="460" w:lineRule="exact"/>
              <w:ind w:left="0" w:leftChars="0" w:right="0" w:rightChars="0" w:firstLine="0" w:firstLineChars="0"/>
              <w:textAlignment w:val="auto"/>
              <w:outlineLvl w:val="9"/>
              <w:rPr>
                <w:rFonts w:hint="eastAsia" w:ascii="仿宋" w:hAnsi="仿宋" w:eastAsia="仿宋" w:cs="仿宋"/>
                <w:b w:val="0"/>
                <w:bCs w:val="0"/>
                <w:color w:val="auto"/>
                <w:sz w:val="21"/>
                <w:szCs w:val="21"/>
                <w:highlight w:val="none"/>
                <w:lang w:eastAsia="zh-CN"/>
              </w:rPr>
            </w:pPr>
            <w:r>
              <w:rPr>
                <w:rFonts w:hint="eastAsia" w:ascii="仿宋" w:hAnsi="仿宋" w:eastAsia="仿宋" w:cs="仿宋"/>
                <w:b w:val="0"/>
                <w:bCs w:val="0"/>
                <w:color w:val="auto"/>
                <w:sz w:val="21"/>
                <w:szCs w:val="21"/>
                <w:highlight w:val="none"/>
                <w:lang w:eastAsia="zh-CN"/>
              </w:rPr>
              <w:t>（四）优先采购节能、环保产品。对于已列入品目清单的产品，依据国家确定的认证机构出具的、处于有效期之内的节能产品、环境标志产品认证证书，对获得证书的产品实施优先采购。</w:t>
            </w:r>
          </w:p>
          <w:p w14:paraId="50BF32AB">
            <w:pPr>
              <w:pStyle w:val="34"/>
              <w:keepNext w:val="0"/>
              <w:keepLines w:val="0"/>
              <w:pageBreakBefore w:val="0"/>
              <w:kinsoku/>
              <w:wordWrap/>
              <w:overflowPunct/>
              <w:topLinePunct w:val="0"/>
              <w:bidi w:val="0"/>
              <w:spacing w:line="460" w:lineRule="exact"/>
              <w:ind w:left="0" w:leftChars="0" w:right="0" w:rightChars="0" w:firstLine="0" w:firstLineChars="0"/>
              <w:textAlignment w:val="auto"/>
              <w:outlineLvl w:val="9"/>
              <w:rPr>
                <w:rFonts w:hint="eastAsia" w:ascii="仿宋" w:hAnsi="仿宋" w:eastAsia="仿宋" w:cs="仿宋"/>
                <w:b w:val="0"/>
                <w:bCs w:val="0"/>
                <w:color w:val="auto"/>
                <w:sz w:val="21"/>
                <w:szCs w:val="21"/>
                <w:highlight w:val="none"/>
                <w:lang w:eastAsia="zh-CN"/>
              </w:rPr>
            </w:pPr>
            <w:r>
              <w:rPr>
                <w:rFonts w:hint="eastAsia" w:ascii="仿宋" w:hAnsi="仿宋" w:eastAsia="仿宋" w:cs="仿宋"/>
                <w:b w:val="0"/>
                <w:bCs w:val="0"/>
                <w:color w:val="auto"/>
                <w:sz w:val="21"/>
                <w:szCs w:val="21"/>
                <w:highlight w:val="none"/>
                <w:lang w:eastAsia="zh-CN"/>
              </w:rPr>
              <w:t>（五）支持本国产品内容</w:t>
            </w:r>
          </w:p>
          <w:p w14:paraId="76B25C16">
            <w:pPr>
              <w:pStyle w:val="34"/>
              <w:keepNext w:val="0"/>
              <w:keepLines w:val="0"/>
              <w:pageBreakBefore w:val="0"/>
              <w:kinsoku/>
              <w:wordWrap/>
              <w:overflowPunct/>
              <w:topLinePunct w:val="0"/>
              <w:bidi w:val="0"/>
              <w:spacing w:line="460" w:lineRule="exact"/>
              <w:ind w:left="0" w:leftChars="0" w:right="0" w:rightChars="0" w:firstLine="0" w:firstLineChars="0"/>
              <w:textAlignment w:val="auto"/>
              <w:outlineLvl w:val="9"/>
              <w:rPr>
                <w:rFonts w:hint="eastAsia" w:ascii="仿宋" w:hAnsi="仿宋" w:eastAsia="仿宋" w:cs="仿宋"/>
                <w:b w:val="0"/>
                <w:bCs w:val="0"/>
                <w:color w:val="auto"/>
                <w:sz w:val="21"/>
                <w:szCs w:val="21"/>
                <w:highlight w:val="none"/>
                <w:lang w:eastAsia="zh-CN"/>
              </w:rPr>
            </w:pPr>
            <w:r>
              <w:rPr>
                <w:rFonts w:hint="eastAsia" w:ascii="仿宋" w:hAnsi="仿宋" w:eastAsia="仿宋" w:cs="仿宋"/>
                <w:b w:val="0"/>
                <w:bCs w:val="0"/>
                <w:color w:val="auto"/>
                <w:sz w:val="21"/>
                <w:szCs w:val="21"/>
                <w:highlight w:val="none"/>
                <w:lang w:eastAsia="zh-CN"/>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47F11534">
            <w:pPr>
              <w:pStyle w:val="34"/>
              <w:keepNext w:val="0"/>
              <w:keepLines w:val="0"/>
              <w:pageBreakBefore w:val="0"/>
              <w:kinsoku/>
              <w:wordWrap/>
              <w:overflowPunct/>
              <w:topLinePunct w:val="0"/>
              <w:bidi w:val="0"/>
              <w:spacing w:line="460" w:lineRule="exact"/>
              <w:ind w:left="0" w:leftChars="0" w:right="0" w:rightChars="0" w:firstLine="0" w:firstLineChars="0"/>
              <w:textAlignment w:val="auto"/>
              <w:outlineLvl w:val="9"/>
              <w:rPr>
                <w:rFonts w:hint="eastAsia" w:ascii="仿宋" w:hAnsi="仿宋" w:eastAsia="仿宋" w:cs="仿宋"/>
                <w:b w:val="0"/>
                <w:bCs w:val="0"/>
                <w:color w:val="auto"/>
                <w:sz w:val="21"/>
                <w:szCs w:val="21"/>
                <w:highlight w:val="none"/>
                <w:lang w:eastAsia="zh-CN"/>
              </w:rPr>
            </w:pPr>
            <w:r>
              <w:rPr>
                <w:rFonts w:hint="eastAsia" w:ascii="仿宋" w:hAnsi="仿宋" w:eastAsia="仿宋" w:cs="仿宋"/>
                <w:b w:val="0"/>
                <w:bCs w:val="0"/>
                <w:color w:val="auto"/>
                <w:sz w:val="21"/>
                <w:szCs w:val="21"/>
                <w:highlight w:val="none"/>
                <w:lang w:eastAsia="zh-CN"/>
              </w:rPr>
              <w:t>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 80%以上时，依法对该供应商提供的全部产品给予价格评审优惠，即对该供应商提供的全部产品的总报价给予20%的价格扣除，用扣除后的价格参与评审。</w:t>
            </w:r>
          </w:p>
          <w:p w14:paraId="01B34516">
            <w:pPr>
              <w:pStyle w:val="34"/>
              <w:keepNext w:val="0"/>
              <w:keepLines w:val="0"/>
              <w:pageBreakBefore w:val="0"/>
              <w:kinsoku/>
              <w:wordWrap/>
              <w:overflowPunct/>
              <w:topLinePunct w:val="0"/>
              <w:bidi w:val="0"/>
              <w:spacing w:line="460" w:lineRule="exact"/>
              <w:ind w:left="0" w:leftChars="0" w:right="0" w:rightChars="0" w:firstLine="0" w:firstLineChars="0"/>
              <w:textAlignment w:val="auto"/>
              <w:outlineLvl w:val="9"/>
              <w:rPr>
                <w:rFonts w:hint="eastAsia" w:ascii="仿宋" w:hAnsi="仿宋" w:eastAsia="仿宋" w:cs="仿宋"/>
                <w:b w:val="0"/>
                <w:bCs w:val="0"/>
                <w:color w:val="auto"/>
                <w:sz w:val="21"/>
                <w:szCs w:val="21"/>
                <w:highlight w:val="none"/>
                <w:lang w:eastAsia="zh-CN"/>
              </w:rPr>
            </w:pPr>
            <w:r>
              <w:rPr>
                <w:rFonts w:hint="eastAsia" w:ascii="仿宋" w:hAnsi="仿宋" w:eastAsia="仿宋" w:cs="仿宋"/>
                <w:b w:val="0"/>
                <w:bCs w:val="0"/>
                <w:color w:val="auto"/>
                <w:sz w:val="21"/>
                <w:szCs w:val="21"/>
                <w:highlight w:val="none"/>
                <w:lang w:eastAsia="zh-CN"/>
              </w:rPr>
              <w:t>供应商对其提供的产品出具《关于符合本国产品标准的声明函》（以下简称《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w:t>
            </w:r>
          </w:p>
          <w:p w14:paraId="1FDC16F2">
            <w:pPr>
              <w:pStyle w:val="34"/>
              <w:keepNext w:val="0"/>
              <w:keepLines w:val="0"/>
              <w:pageBreakBefore w:val="0"/>
              <w:kinsoku/>
              <w:wordWrap/>
              <w:overflowPunct/>
              <w:topLinePunct w:val="0"/>
              <w:bidi w:val="0"/>
              <w:spacing w:line="460" w:lineRule="exact"/>
              <w:ind w:left="0" w:leftChars="0" w:right="0" w:rightChars="0" w:firstLine="0" w:firstLineChars="0"/>
              <w:textAlignment w:val="auto"/>
              <w:outlineLvl w:val="9"/>
              <w:rPr>
                <w:rFonts w:hint="eastAsia" w:ascii="仿宋" w:hAnsi="仿宋" w:eastAsia="仿宋" w:cs="仿宋"/>
                <w:b/>
                <w:bCs/>
                <w:color w:val="auto"/>
                <w:sz w:val="21"/>
                <w:szCs w:val="21"/>
                <w:highlight w:val="none"/>
                <w:lang w:eastAsia="zh-CN"/>
              </w:rPr>
            </w:pPr>
            <w:r>
              <w:rPr>
                <w:rFonts w:hint="eastAsia" w:ascii="仿宋" w:hAnsi="仿宋" w:eastAsia="仿宋" w:cs="仿宋"/>
                <w:b w:val="0"/>
                <w:bCs w:val="0"/>
                <w:color w:val="auto"/>
                <w:sz w:val="21"/>
                <w:szCs w:val="21"/>
                <w:highlight w:val="none"/>
                <w:lang w:eastAsia="zh-CN"/>
              </w:rPr>
              <w:t>根据《关于贯彻落实&lt;国务院办公厅关于在政府采购中实施本国产品标准及相关政策的通知&gt;的意见》（财库〔2025〕30号）的规定，评审中发现《声明函》内容含义不明确、同类事项与投标文件表述不一致或者有明显文字错误等情况的，评标委员会应当以书面形式要求供应商作出必要的澄清、说明或者补正。经澄清、说明或者补正的《声明函》仍然不符合《通知》规定要求的，供应商提供的相关产品视为不符合本国产品标准。</w:t>
            </w:r>
          </w:p>
        </w:tc>
      </w:tr>
    </w:tbl>
    <w:p w14:paraId="07982183">
      <w:pPr>
        <w:pageBreakBefore w:val="0"/>
        <w:kinsoku/>
        <w:wordWrap/>
        <w:overflowPunct/>
        <w:topLinePunct w:val="0"/>
        <w:bidi w:val="0"/>
        <w:spacing w:line="400" w:lineRule="exact"/>
        <w:outlineLvl w:val="9"/>
        <w:rPr>
          <w:rFonts w:hint="eastAsia" w:ascii="仿宋" w:hAnsi="仿宋" w:eastAsia="仿宋" w:cs="仿宋"/>
          <w:color w:val="auto"/>
          <w:sz w:val="21"/>
          <w:szCs w:val="21"/>
          <w:highlight w:val="none"/>
        </w:rPr>
      </w:pPr>
    </w:p>
    <w:p w14:paraId="5145D96D">
      <w:pPr>
        <w:outlineLvl w:val="9"/>
        <w:rPr>
          <w:rFonts w:hint="eastAsia" w:ascii="仿宋" w:hAnsi="仿宋" w:eastAsia="仿宋" w:cs="仿宋"/>
          <w:color w:val="auto"/>
          <w:highlight w:val="none"/>
        </w:rPr>
      </w:pPr>
    </w:p>
    <w:p w14:paraId="58CF8D7A">
      <w:pPr>
        <w:pageBreakBefore w:val="0"/>
        <w:kinsoku/>
        <w:wordWrap/>
        <w:overflowPunct/>
        <w:topLinePunct w:val="0"/>
        <w:bidi w:val="0"/>
        <w:spacing w:line="400" w:lineRule="exact"/>
        <w:outlineLvl w:val="9"/>
        <w:rPr>
          <w:rFonts w:hint="eastAsia" w:ascii="仿宋" w:hAnsi="仿宋" w:eastAsia="仿宋" w:cs="仿宋"/>
          <w:color w:val="auto"/>
          <w:sz w:val="21"/>
          <w:szCs w:val="21"/>
          <w:highlight w:val="none"/>
        </w:rPr>
        <w:sectPr>
          <w:pgSz w:w="11905" w:h="16838"/>
          <w:pgMar w:top="1417" w:right="1417" w:bottom="1417" w:left="1417" w:header="850" w:footer="850" w:gutter="0"/>
          <w:pgBorders>
            <w:top w:val="none" w:sz="0" w:space="0"/>
            <w:left w:val="none" w:sz="0" w:space="0"/>
            <w:bottom w:val="none" w:sz="0" w:space="0"/>
            <w:right w:val="none" w:sz="0" w:space="0"/>
          </w:pgBorders>
          <w:pgNumType w:fmt="numberInDash"/>
          <w:cols w:space="0" w:num="1"/>
          <w:rtlGutter w:val="0"/>
          <w:docGrid w:type="lines" w:linePitch="412" w:charSpace="0"/>
        </w:sectPr>
      </w:pPr>
    </w:p>
    <w:p w14:paraId="746E9F8B">
      <w:pPr>
        <w:pageBreakBefore w:val="0"/>
        <w:kinsoku/>
        <w:wordWrap/>
        <w:overflowPunct/>
        <w:topLinePunct w:val="0"/>
        <w:bidi w:val="0"/>
        <w:spacing w:line="400" w:lineRule="exact"/>
        <w:outlineLvl w:val="9"/>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1.总则</w:t>
      </w:r>
      <w:bookmarkEnd w:id="11"/>
      <w:bookmarkEnd w:id="12"/>
      <w:bookmarkEnd w:id="13"/>
    </w:p>
    <w:p w14:paraId="6E7E5383">
      <w:pPr>
        <w:pageBreakBefore w:val="0"/>
        <w:widowControl/>
        <w:numPr>
          <w:ilvl w:val="0"/>
          <w:numId w:val="0"/>
        </w:numPr>
        <w:tabs>
          <w:tab w:val="left" w:pos="350"/>
        </w:tabs>
        <w:kinsoku/>
        <w:wordWrap/>
        <w:overflowPunct/>
        <w:topLinePunct w:val="0"/>
        <w:bidi w:val="0"/>
        <w:snapToGrid/>
        <w:spacing w:line="400" w:lineRule="exact"/>
        <w:ind w:firstLine="422" w:firstLineChars="200"/>
        <w:jc w:val="left"/>
        <w:textAlignment w:val="auto"/>
        <w:outlineLvl w:val="9"/>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1.1项目概况</w:t>
      </w:r>
      <w:r>
        <w:rPr>
          <w:rFonts w:hint="eastAsia" w:ascii="仿宋" w:hAnsi="仿宋" w:eastAsia="仿宋" w:cs="仿宋"/>
          <w:b/>
          <w:bCs/>
          <w:color w:val="auto"/>
          <w:sz w:val="21"/>
          <w:szCs w:val="21"/>
          <w:highlight w:val="none"/>
          <w:lang w:val="en-US" w:eastAsia="zh-CN"/>
        </w:rPr>
        <w:tab/>
      </w:r>
    </w:p>
    <w:p w14:paraId="0EB85CF7">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1.1.1根据《中华人民共和国政府采购法》等有关法律、法规和规章的规定，本招标项目已具备招标条件，现对本项目进行公开招标。</w:t>
      </w:r>
    </w:p>
    <w:p w14:paraId="4AB0C899">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1.1.2采购人：见投标人须知前附表。</w:t>
      </w:r>
    </w:p>
    <w:p w14:paraId="31CF7079">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1.1.3采购代理机构：见投标人须知前附表。</w:t>
      </w:r>
    </w:p>
    <w:p w14:paraId="526987D3">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1.1.4项目名称：见投标人须知前附表。</w:t>
      </w:r>
    </w:p>
    <w:p w14:paraId="4192CFBE">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1.1.5招标方式：见投标人须知前附表。</w:t>
      </w:r>
    </w:p>
    <w:p w14:paraId="1F4E4B4B">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1.1.6预算价（最高限价）：见投标人须知前附表。</w:t>
      </w:r>
    </w:p>
    <w:p w14:paraId="69ED4E55">
      <w:pPr>
        <w:pageBreakBefore w:val="0"/>
        <w:widowControl/>
        <w:numPr>
          <w:ilvl w:val="0"/>
          <w:numId w:val="0"/>
        </w:numPr>
        <w:tabs>
          <w:tab w:val="left" w:pos="350"/>
        </w:tabs>
        <w:kinsoku/>
        <w:wordWrap/>
        <w:overflowPunct/>
        <w:topLinePunct w:val="0"/>
        <w:bidi w:val="0"/>
        <w:snapToGrid/>
        <w:spacing w:line="400" w:lineRule="exact"/>
        <w:ind w:firstLine="422" w:firstLineChars="200"/>
        <w:jc w:val="left"/>
        <w:textAlignment w:val="auto"/>
        <w:outlineLvl w:val="9"/>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1.2资金来源和落实情况</w:t>
      </w:r>
    </w:p>
    <w:p w14:paraId="29F5982D">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1.2.1资金来源及落实情况：见投标人须知前附表。</w:t>
      </w:r>
    </w:p>
    <w:p w14:paraId="32D939EC">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1.2.2出资比例：见投标人须知前附表。</w:t>
      </w:r>
    </w:p>
    <w:p w14:paraId="73F0405C">
      <w:pPr>
        <w:pageBreakBefore w:val="0"/>
        <w:widowControl/>
        <w:numPr>
          <w:ilvl w:val="0"/>
          <w:numId w:val="0"/>
        </w:numPr>
        <w:tabs>
          <w:tab w:val="left" w:pos="350"/>
        </w:tabs>
        <w:kinsoku/>
        <w:wordWrap/>
        <w:overflowPunct/>
        <w:topLinePunct w:val="0"/>
        <w:bidi w:val="0"/>
        <w:snapToGrid/>
        <w:spacing w:line="400" w:lineRule="exact"/>
        <w:ind w:firstLine="422" w:firstLineChars="200"/>
        <w:jc w:val="left"/>
        <w:textAlignment w:val="auto"/>
        <w:outlineLvl w:val="9"/>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1.3采购内容、质量要求、交货期、质保期</w:t>
      </w:r>
    </w:p>
    <w:p w14:paraId="25749124">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1.3.1采购内容：见投标人须知前附表。</w:t>
      </w:r>
    </w:p>
    <w:p w14:paraId="07648A05">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1.3.2质量要求：见投标人须知前附表。</w:t>
      </w:r>
    </w:p>
    <w:p w14:paraId="0C0CFA7B">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1.3.3交货期：见投标人须知前附表。</w:t>
      </w:r>
    </w:p>
    <w:p w14:paraId="33ED3DAB">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1.3.4质保期：见投标人须知前附表。</w:t>
      </w:r>
    </w:p>
    <w:p w14:paraId="2133F0E4">
      <w:pPr>
        <w:pageBreakBefore w:val="0"/>
        <w:widowControl/>
        <w:numPr>
          <w:ilvl w:val="0"/>
          <w:numId w:val="0"/>
        </w:numPr>
        <w:kinsoku/>
        <w:wordWrap/>
        <w:overflowPunct/>
        <w:topLinePunct w:val="0"/>
        <w:bidi w:val="0"/>
        <w:snapToGrid/>
        <w:spacing w:line="400" w:lineRule="exact"/>
        <w:ind w:firstLine="422" w:firstLineChars="200"/>
        <w:jc w:val="left"/>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lang w:val="en-US" w:eastAsia="zh-CN"/>
        </w:rPr>
        <w:t>1.4</w:t>
      </w:r>
      <w:r>
        <w:rPr>
          <w:rFonts w:hint="eastAsia" w:ascii="仿宋" w:hAnsi="仿宋" w:eastAsia="仿宋" w:cs="仿宋"/>
          <w:b/>
          <w:color w:val="auto"/>
          <w:sz w:val="21"/>
          <w:szCs w:val="21"/>
          <w:highlight w:val="none"/>
        </w:rPr>
        <w:t xml:space="preserve">投标人资格要求 </w:t>
      </w:r>
    </w:p>
    <w:p w14:paraId="220B696F">
      <w:pPr>
        <w:pageBreakBefore w:val="0"/>
        <w:widowControl/>
        <w:numPr>
          <w:ilvl w:val="0"/>
          <w:numId w:val="0"/>
        </w:numPr>
        <w:tabs>
          <w:tab w:val="left" w:pos="350"/>
        </w:tabs>
        <w:kinsoku/>
        <w:wordWrap/>
        <w:overflowPunct/>
        <w:topLinePunct w:val="0"/>
        <w:bidi w:val="0"/>
        <w:snapToGrid/>
        <w:spacing w:line="400" w:lineRule="exact"/>
        <w:ind w:firstLine="420" w:firstLineChars="200"/>
        <w:jc w:val="left"/>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1.4.1</w:t>
      </w:r>
      <w:r>
        <w:rPr>
          <w:rFonts w:hint="eastAsia" w:ascii="仿宋" w:hAnsi="仿宋" w:eastAsia="仿宋" w:cs="仿宋"/>
          <w:color w:val="auto"/>
          <w:sz w:val="21"/>
          <w:szCs w:val="21"/>
          <w:highlight w:val="none"/>
        </w:rPr>
        <w:t>投标人资格要求：见投标人须知前附表。</w:t>
      </w:r>
    </w:p>
    <w:p w14:paraId="690D0161">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 xml:space="preserve">1.4.2 </w:t>
      </w:r>
      <w:r>
        <w:rPr>
          <w:rFonts w:hint="eastAsia" w:ascii="仿宋" w:hAnsi="仿宋" w:eastAsia="仿宋" w:cs="仿宋"/>
          <w:color w:val="auto"/>
          <w:sz w:val="21"/>
          <w:szCs w:val="21"/>
          <w:highlight w:val="none"/>
          <w:lang w:eastAsia="zh-CN"/>
        </w:rPr>
        <w:t>合格的投标供应商不得存在违法行为，且近三年内无不良经营行为。若投标供应商在本次招标投标活动中被有关管理部门认定存在违法行为，采购人有权拒绝其投标或取消其中标资格。</w:t>
      </w:r>
    </w:p>
    <w:p w14:paraId="2BE25C06">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1.4.3 投标人不得存在下列情形：　</w:t>
      </w:r>
    </w:p>
    <w:p w14:paraId="4E3F1DA8">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（1）为</w:t>
      </w:r>
      <w:r>
        <w:rPr>
          <w:rFonts w:hint="eastAsia" w:ascii="仿宋" w:hAnsi="仿宋" w:eastAsia="仿宋" w:cs="仿宋"/>
          <w:color w:val="auto"/>
          <w:sz w:val="21"/>
          <w:szCs w:val="21"/>
          <w:highlight w:val="none"/>
          <w:lang w:eastAsia="zh-CN"/>
        </w:rPr>
        <w:t>采购人</w:t>
      </w:r>
      <w:r>
        <w:rPr>
          <w:rFonts w:hint="eastAsia" w:ascii="仿宋" w:hAnsi="仿宋" w:eastAsia="仿宋" w:cs="仿宋"/>
          <w:color w:val="auto"/>
          <w:sz w:val="21"/>
          <w:szCs w:val="21"/>
          <w:highlight w:val="none"/>
        </w:rPr>
        <w:t>不具有独立法人资格的附属机构（单位）；</w:t>
      </w:r>
    </w:p>
    <w:p w14:paraId="313844C2">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（2）被责令停业的；</w:t>
      </w:r>
    </w:p>
    <w:p w14:paraId="20E8DFFB">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（3）被暂停或取消投标资格的；</w:t>
      </w:r>
    </w:p>
    <w:p w14:paraId="65463601">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（4）财产被接管或冻结的；</w:t>
      </w:r>
    </w:p>
    <w:p w14:paraId="20A93273">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（5）在最近三年内有骗取中标或严重违约的；</w:t>
      </w:r>
    </w:p>
    <w:p w14:paraId="3BC89E65">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（6）在招标活动中曾出现过违规违纪行为的。</w:t>
      </w:r>
    </w:p>
    <w:p w14:paraId="637455F2">
      <w:pPr>
        <w:pageBreakBefore w:val="0"/>
        <w:widowControl/>
        <w:tabs>
          <w:tab w:val="left" w:pos="0"/>
        </w:tabs>
        <w:kinsoku/>
        <w:wordWrap/>
        <w:overflowPunct/>
        <w:topLinePunct w:val="0"/>
        <w:bidi w:val="0"/>
        <w:snapToGrid/>
        <w:spacing w:line="400" w:lineRule="exact"/>
        <w:ind w:left="0" w:leftChars="0" w:firstLine="422" w:firstLineChars="200"/>
        <w:jc w:val="left"/>
        <w:textAlignment w:val="auto"/>
        <w:outlineLvl w:val="9"/>
        <w:rPr>
          <w:rFonts w:hint="eastAsia" w:ascii="仿宋" w:hAnsi="仿宋" w:eastAsia="仿宋" w:cs="仿宋"/>
          <w:b/>
          <w:color w:val="auto"/>
          <w:sz w:val="21"/>
          <w:szCs w:val="21"/>
          <w:highlight w:val="none"/>
        </w:rPr>
      </w:pPr>
      <w:bookmarkStart w:id="14" w:name="_Toc297211670"/>
      <w:r>
        <w:rPr>
          <w:rFonts w:hint="eastAsia" w:ascii="仿宋" w:hAnsi="仿宋" w:eastAsia="仿宋" w:cs="仿宋"/>
          <w:b/>
          <w:color w:val="auto"/>
          <w:sz w:val="21"/>
          <w:szCs w:val="21"/>
          <w:highlight w:val="none"/>
        </w:rPr>
        <w:t>1.5 付款方式</w:t>
      </w:r>
      <w:bookmarkEnd w:id="14"/>
    </w:p>
    <w:p w14:paraId="42432117">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见投标人须知前附表。</w:t>
      </w:r>
    </w:p>
    <w:p w14:paraId="448C8768">
      <w:pPr>
        <w:pageBreakBefore w:val="0"/>
        <w:widowControl/>
        <w:numPr>
          <w:ilvl w:val="1"/>
          <w:numId w:val="4"/>
        </w:numPr>
        <w:kinsoku/>
        <w:wordWrap/>
        <w:overflowPunct/>
        <w:topLinePunct w:val="0"/>
        <w:bidi w:val="0"/>
        <w:snapToGrid/>
        <w:spacing w:line="400" w:lineRule="exact"/>
        <w:ind w:left="0" w:leftChars="0" w:firstLine="422" w:firstLineChars="200"/>
        <w:jc w:val="left"/>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 xml:space="preserve"> 费用承担</w:t>
      </w:r>
    </w:p>
    <w:p w14:paraId="3AD2C603">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投标人准备和参加投标活动发生的费用自理。</w:t>
      </w:r>
    </w:p>
    <w:p w14:paraId="209F71B4">
      <w:pPr>
        <w:pageBreakBefore w:val="0"/>
        <w:widowControl/>
        <w:numPr>
          <w:ilvl w:val="1"/>
          <w:numId w:val="4"/>
        </w:numPr>
        <w:kinsoku/>
        <w:wordWrap/>
        <w:overflowPunct/>
        <w:topLinePunct w:val="0"/>
        <w:bidi w:val="0"/>
        <w:snapToGrid/>
        <w:spacing w:line="400" w:lineRule="exact"/>
        <w:ind w:left="0" w:leftChars="0" w:firstLine="422" w:firstLineChars="200"/>
        <w:jc w:val="left"/>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 xml:space="preserve"> 保密</w:t>
      </w:r>
    </w:p>
    <w:p w14:paraId="1C79D258">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参与招标投标活动的各方应对招标文件和投标文件中的商业和技术等秘密保密，违者应对由此造成的后果承担法律责任。</w:t>
      </w:r>
    </w:p>
    <w:p w14:paraId="637BDC64">
      <w:pPr>
        <w:pageBreakBefore w:val="0"/>
        <w:widowControl/>
        <w:numPr>
          <w:ilvl w:val="1"/>
          <w:numId w:val="4"/>
        </w:numPr>
        <w:kinsoku/>
        <w:wordWrap/>
        <w:overflowPunct/>
        <w:topLinePunct w:val="0"/>
        <w:bidi w:val="0"/>
        <w:snapToGrid/>
        <w:spacing w:line="400" w:lineRule="exact"/>
        <w:ind w:left="0" w:leftChars="0" w:firstLine="422" w:firstLineChars="200"/>
        <w:jc w:val="left"/>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语言文字</w:t>
      </w:r>
    </w:p>
    <w:p w14:paraId="7FB649D0">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除专用术语外，与招标投标有关的语言均使用中文。必要时专用术语应附有中文注释。</w:t>
      </w:r>
    </w:p>
    <w:p w14:paraId="433DE248">
      <w:pPr>
        <w:pageBreakBefore w:val="0"/>
        <w:widowControl/>
        <w:numPr>
          <w:ilvl w:val="1"/>
          <w:numId w:val="4"/>
        </w:numPr>
        <w:kinsoku/>
        <w:wordWrap/>
        <w:overflowPunct/>
        <w:topLinePunct w:val="0"/>
        <w:bidi w:val="0"/>
        <w:snapToGrid/>
        <w:spacing w:line="400" w:lineRule="exact"/>
        <w:ind w:left="0" w:leftChars="0" w:firstLine="422" w:firstLineChars="200"/>
        <w:jc w:val="left"/>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计量单位</w:t>
      </w:r>
    </w:p>
    <w:p w14:paraId="1C78478A">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所有计量均采用中华人民共和国法定计量单位。</w:t>
      </w:r>
    </w:p>
    <w:p w14:paraId="01210AD9">
      <w:pPr>
        <w:pageBreakBefore w:val="0"/>
        <w:kinsoku/>
        <w:wordWrap/>
        <w:overflowPunct/>
        <w:topLinePunct w:val="0"/>
        <w:bidi w:val="0"/>
        <w:snapToGrid/>
        <w:spacing w:after="0" w:afterLines="0" w:line="400" w:lineRule="exact"/>
        <w:ind w:left="0" w:leftChars="0" w:firstLine="422" w:firstLineChars="200"/>
        <w:textAlignment w:val="auto"/>
        <w:outlineLvl w:val="9"/>
        <w:rPr>
          <w:rFonts w:hint="eastAsia" w:ascii="仿宋" w:hAnsi="仿宋" w:eastAsia="仿宋" w:cs="仿宋"/>
          <w:b/>
          <w:bCs/>
          <w:color w:val="auto"/>
          <w:sz w:val="21"/>
          <w:szCs w:val="21"/>
          <w:highlight w:val="none"/>
        </w:rPr>
      </w:pPr>
      <w:bookmarkStart w:id="15" w:name="_Toc191983616"/>
      <w:bookmarkStart w:id="16" w:name="_Toc244935164"/>
      <w:bookmarkStart w:id="17" w:name="_Toc234213529"/>
      <w:bookmarkStart w:id="18" w:name="_Toc24501"/>
      <w:bookmarkStart w:id="19" w:name="_Toc244934195"/>
      <w:r>
        <w:rPr>
          <w:rFonts w:hint="eastAsia" w:ascii="仿宋" w:hAnsi="仿宋" w:eastAsia="仿宋" w:cs="仿宋"/>
          <w:b/>
          <w:bCs/>
          <w:color w:val="auto"/>
          <w:sz w:val="21"/>
          <w:szCs w:val="21"/>
          <w:highlight w:val="none"/>
        </w:rPr>
        <w:t>2. 招标文件</w:t>
      </w:r>
      <w:bookmarkEnd w:id="15"/>
      <w:bookmarkEnd w:id="16"/>
      <w:bookmarkEnd w:id="17"/>
      <w:bookmarkEnd w:id="18"/>
      <w:bookmarkEnd w:id="19"/>
    </w:p>
    <w:p w14:paraId="1F5A37E7">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color w:val="auto"/>
          <w:sz w:val="21"/>
          <w:szCs w:val="21"/>
          <w:highlight w:val="none"/>
        </w:rPr>
      </w:pPr>
      <w:bookmarkStart w:id="20" w:name="_Toc297211672"/>
      <w:r>
        <w:rPr>
          <w:rFonts w:hint="eastAsia" w:ascii="仿宋" w:hAnsi="仿宋" w:eastAsia="仿宋" w:cs="仿宋"/>
          <w:b/>
          <w:color w:val="auto"/>
          <w:sz w:val="21"/>
          <w:szCs w:val="21"/>
          <w:highlight w:val="none"/>
        </w:rPr>
        <w:t>2.1 招标文件的组成</w:t>
      </w:r>
      <w:bookmarkEnd w:id="20"/>
    </w:p>
    <w:p w14:paraId="71743C04">
      <w:pPr>
        <w:pageBreakBefore w:val="0"/>
        <w:widowControl/>
        <w:numPr>
          <w:ilvl w:val="0"/>
          <w:numId w:val="5"/>
        </w:numPr>
        <w:tabs>
          <w:tab w:val="left" w:pos="525"/>
          <w:tab w:val="clear" w:pos="420"/>
        </w:tabs>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本招标文件包括：</w:t>
      </w:r>
      <w:r>
        <w:rPr>
          <w:rFonts w:hint="eastAsia" w:ascii="仿宋" w:hAnsi="仿宋" w:eastAsia="仿宋" w:cs="仿宋"/>
          <w:color w:val="auto"/>
          <w:sz w:val="21"/>
          <w:szCs w:val="21"/>
          <w:highlight w:val="none"/>
          <w:lang w:val="en-US" w:eastAsia="zh-CN"/>
        </w:rPr>
        <w:t>详见招标文件格式要求。</w:t>
      </w:r>
    </w:p>
    <w:p w14:paraId="6DD56C9D">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根据本章第 2.2.1款和第 2.2.2 款对招标文件</w:t>
      </w:r>
      <w:r>
        <w:rPr>
          <w:rFonts w:hint="eastAsia" w:ascii="仿宋" w:hAnsi="仿宋" w:eastAsia="仿宋" w:cs="仿宋"/>
          <w:color w:val="auto"/>
          <w:sz w:val="21"/>
          <w:szCs w:val="21"/>
          <w:highlight w:val="none"/>
          <w:lang w:eastAsia="zh-CN"/>
        </w:rPr>
        <w:t>所做的</w:t>
      </w:r>
      <w:r>
        <w:rPr>
          <w:rFonts w:hint="eastAsia" w:ascii="仿宋" w:hAnsi="仿宋" w:eastAsia="仿宋" w:cs="仿宋"/>
          <w:color w:val="auto"/>
          <w:sz w:val="21"/>
          <w:szCs w:val="21"/>
          <w:highlight w:val="none"/>
        </w:rPr>
        <w:t>澄清、修改，构成招标文件的组成部分。</w:t>
      </w:r>
    </w:p>
    <w:p w14:paraId="3DDB7908">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bCs w:val="0"/>
          <w:color w:val="auto"/>
          <w:sz w:val="21"/>
          <w:szCs w:val="21"/>
          <w:highlight w:val="none"/>
        </w:rPr>
      </w:pPr>
      <w:bookmarkStart w:id="21" w:name="_Toc472429287"/>
      <w:bookmarkStart w:id="22" w:name="_Toc472337642"/>
      <w:bookmarkStart w:id="23" w:name="_Toc30722"/>
      <w:r>
        <w:rPr>
          <w:rFonts w:hint="eastAsia" w:ascii="仿宋" w:hAnsi="仿宋" w:eastAsia="仿宋" w:cs="仿宋"/>
          <w:b/>
          <w:bCs w:val="0"/>
          <w:color w:val="auto"/>
          <w:sz w:val="21"/>
          <w:szCs w:val="21"/>
          <w:highlight w:val="none"/>
        </w:rPr>
        <w:t>2.2  招标文件的澄清</w:t>
      </w:r>
      <w:bookmarkEnd w:id="21"/>
      <w:bookmarkEnd w:id="22"/>
    </w:p>
    <w:p w14:paraId="30E4B9CB">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2.2.1</w:t>
      </w:r>
      <w:r>
        <w:rPr>
          <w:rFonts w:hint="eastAsia" w:ascii="仿宋" w:hAnsi="仿宋" w:eastAsia="仿宋" w:cs="仿宋"/>
          <w:bCs/>
          <w:color w:val="auto"/>
          <w:sz w:val="21"/>
          <w:szCs w:val="21"/>
          <w:highlight w:val="none"/>
          <w:lang w:eastAsia="zh-CN"/>
        </w:rPr>
        <w:t>投标人</w:t>
      </w:r>
      <w:r>
        <w:rPr>
          <w:rFonts w:hint="eastAsia" w:ascii="仿宋" w:hAnsi="仿宋" w:eastAsia="仿宋" w:cs="仿宋"/>
          <w:bCs/>
          <w:color w:val="auto"/>
          <w:sz w:val="21"/>
          <w:szCs w:val="21"/>
          <w:highlight w:val="none"/>
        </w:rPr>
        <w:t>应仔细阅读和检查招标文件的全部内容。如发现缺页或附件不全，应及时向采购人提出，以便补齐。如有疑问，应在投标须知前附表规定的时间前以书面形式(包括信函、电报、传真等可以有形地表现所载内容的形式，下同)，要求采购人对招标文件予以澄清。</w:t>
      </w:r>
    </w:p>
    <w:p w14:paraId="166F4E4E">
      <w:pPr>
        <w:pageBreakBefore w:val="0"/>
        <w:kinsoku/>
        <w:wordWrap/>
        <w:overflowPunct/>
        <w:topLinePunct w:val="0"/>
        <w:bidi w:val="0"/>
        <w:snapToGrid/>
        <w:spacing w:line="400" w:lineRule="exact"/>
        <w:ind w:firstLine="420" w:firstLineChars="200"/>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2.2.2 招标文件的澄清将在投标须知前附表规定的投标截止时间15天前在信阳市公共资源交易系统“变更公告”或“答疑文件”将澄清内容予以发布，但不指明澄清问题的来源。如果澄清发出的时间距投标截止时间不足15天的，并且澄清的内容可能影响投标文件编制的，将相应延长投标截止时间。</w:t>
      </w:r>
    </w:p>
    <w:p w14:paraId="457E2B75">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xml:space="preserve">2.2.3 </w:t>
      </w:r>
      <w:r>
        <w:rPr>
          <w:rFonts w:hint="eastAsia" w:ascii="仿宋" w:hAnsi="仿宋" w:eastAsia="仿宋" w:cs="仿宋"/>
          <w:bCs/>
          <w:color w:val="auto"/>
          <w:sz w:val="21"/>
          <w:szCs w:val="21"/>
          <w:highlight w:val="none"/>
          <w:lang w:eastAsia="zh-CN"/>
        </w:rPr>
        <w:t>投标人</w:t>
      </w:r>
      <w:r>
        <w:rPr>
          <w:rFonts w:hint="eastAsia" w:ascii="仿宋" w:hAnsi="仿宋" w:eastAsia="仿宋" w:cs="仿宋"/>
          <w:bCs/>
          <w:color w:val="auto"/>
          <w:sz w:val="21"/>
          <w:szCs w:val="21"/>
          <w:highlight w:val="none"/>
        </w:rPr>
        <w:t>应在投标文件递交截止时间前及时查看澄清内容，因</w:t>
      </w:r>
      <w:r>
        <w:rPr>
          <w:rFonts w:hint="eastAsia" w:ascii="仿宋" w:hAnsi="仿宋" w:eastAsia="仿宋" w:cs="仿宋"/>
          <w:bCs/>
          <w:color w:val="auto"/>
          <w:sz w:val="21"/>
          <w:szCs w:val="21"/>
          <w:highlight w:val="none"/>
          <w:lang w:eastAsia="zh-CN"/>
        </w:rPr>
        <w:t>投标人</w:t>
      </w:r>
      <w:r>
        <w:rPr>
          <w:rFonts w:hint="eastAsia" w:ascii="仿宋" w:hAnsi="仿宋" w:eastAsia="仿宋" w:cs="仿宋"/>
          <w:bCs/>
          <w:color w:val="auto"/>
          <w:sz w:val="21"/>
          <w:szCs w:val="21"/>
          <w:highlight w:val="none"/>
        </w:rPr>
        <w:t>未及时查看而造成的后果自负。</w:t>
      </w:r>
    </w:p>
    <w:p w14:paraId="18ABB9F0">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b/>
          <w:bCs w:val="0"/>
          <w:color w:val="auto"/>
          <w:sz w:val="21"/>
          <w:szCs w:val="21"/>
          <w:highlight w:val="none"/>
        </w:rPr>
      </w:pPr>
      <w:r>
        <w:rPr>
          <w:rFonts w:hint="eastAsia" w:ascii="仿宋" w:hAnsi="仿宋" w:eastAsia="仿宋" w:cs="仿宋"/>
          <w:bCs/>
          <w:color w:val="auto"/>
          <w:sz w:val="21"/>
          <w:szCs w:val="21"/>
          <w:highlight w:val="none"/>
        </w:rPr>
        <w:t>2.2.4 除非采购人认为确有必要答复，否则，采购人有权拒绝回复</w:t>
      </w:r>
      <w:r>
        <w:rPr>
          <w:rFonts w:hint="eastAsia" w:ascii="仿宋" w:hAnsi="仿宋" w:eastAsia="仿宋" w:cs="仿宋"/>
          <w:bCs/>
          <w:color w:val="auto"/>
          <w:sz w:val="21"/>
          <w:szCs w:val="21"/>
          <w:highlight w:val="none"/>
          <w:lang w:eastAsia="zh-CN"/>
        </w:rPr>
        <w:t>投标人</w:t>
      </w:r>
      <w:r>
        <w:rPr>
          <w:rFonts w:hint="eastAsia" w:ascii="仿宋" w:hAnsi="仿宋" w:eastAsia="仿宋" w:cs="仿宋"/>
          <w:bCs/>
          <w:color w:val="auto"/>
          <w:sz w:val="21"/>
          <w:szCs w:val="21"/>
          <w:highlight w:val="none"/>
        </w:rPr>
        <w:t>在本章第2.2.1项规定的时间后的任何澄清要求。</w:t>
      </w:r>
      <w:bookmarkStart w:id="24" w:name="_Toc472429288"/>
      <w:bookmarkStart w:id="25" w:name="_Toc472337643"/>
    </w:p>
    <w:p w14:paraId="08FE5899">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bCs w:val="0"/>
          <w:color w:val="auto"/>
          <w:sz w:val="21"/>
          <w:szCs w:val="21"/>
          <w:highlight w:val="none"/>
        </w:rPr>
      </w:pPr>
      <w:r>
        <w:rPr>
          <w:rFonts w:hint="eastAsia" w:ascii="仿宋" w:hAnsi="仿宋" w:eastAsia="仿宋" w:cs="仿宋"/>
          <w:b/>
          <w:bCs w:val="0"/>
          <w:color w:val="auto"/>
          <w:sz w:val="21"/>
          <w:szCs w:val="21"/>
          <w:highlight w:val="none"/>
        </w:rPr>
        <w:t>2.3  招标文件的修改</w:t>
      </w:r>
      <w:bookmarkEnd w:id="24"/>
      <w:bookmarkEnd w:id="25"/>
    </w:p>
    <w:p w14:paraId="489B7199">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2.3.1在投标截止时间15天前，</w:t>
      </w:r>
      <w:r>
        <w:rPr>
          <w:rFonts w:hint="eastAsia" w:ascii="仿宋" w:hAnsi="仿宋" w:eastAsia="仿宋" w:cs="仿宋"/>
          <w:bCs/>
          <w:color w:val="auto"/>
          <w:sz w:val="21"/>
          <w:szCs w:val="21"/>
          <w:highlight w:val="none"/>
          <w:lang w:eastAsia="zh-CN"/>
        </w:rPr>
        <w:t>采购人</w:t>
      </w:r>
      <w:r>
        <w:rPr>
          <w:rFonts w:hint="eastAsia" w:ascii="仿宋" w:hAnsi="仿宋" w:eastAsia="仿宋" w:cs="仿宋"/>
          <w:bCs/>
          <w:color w:val="auto"/>
          <w:sz w:val="21"/>
          <w:szCs w:val="21"/>
          <w:highlight w:val="none"/>
        </w:rPr>
        <w:t>可以修改招标文件。如有修改，应在信阳市公共资源交易系统“变更公告”或“答疑文件”将修改内容予以发布。如果修改的内容可能影响投标文件编制且发出的时间距投标截止时间不足15天，相应延长投标截止时间。</w:t>
      </w:r>
    </w:p>
    <w:p w14:paraId="702C934F">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2.3.2当招标文件的澄清、修改、补充等在同一内容的表述上不一致时，以最后在信阳市公共资源交易系统发出的文件为准。</w:t>
      </w:r>
    </w:p>
    <w:p w14:paraId="50BD8154">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2.3.3</w:t>
      </w:r>
      <w:r>
        <w:rPr>
          <w:rFonts w:hint="eastAsia" w:ascii="仿宋" w:hAnsi="仿宋" w:eastAsia="仿宋" w:cs="仿宋"/>
          <w:bCs/>
          <w:color w:val="auto"/>
          <w:sz w:val="21"/>
          <w:szCs w:val="21"/>
          <w:highlight w:val="none"/>
          <w:lang w:eastAsia="zh-CN"/>
        </w:rPr>
        <w:t>投标人</w:t>
      </w:r>
      <w:r>
        <w:rPr>
          <w:rFonts w:hint="eastAsia" w:ascii="仿宋" w:hAnsi="仿宋" w:eastAsia="仿宋" w:cs="仿宋"/>
          <w:bCs/>
          <w:color w:val="auto"/>
          <w:sz w:val="21"/>
          <w:szCs w:val="21"/>
          <w:highlight w:val="none"/>
        </w:rPr>
        <w:t>应在投标文件递交截止时间前及时查看修改内容，因</w:t>
      </w:r>
      <w:r>
        <w:rPr>
          <w:rFonts w:hint="eastAsia" w:ascii="仿宋" w:hAnsi="仿宋" w:eastAsia="仿宋" w:cs="仿宋"/>
          <w:bCs/>
          <w:color w:val="auto"/>
          <w:sz w:val="21"/>
          <w:szCs w:val="21"/>
          <w:highlight w:val="none"/>
          <w:lang w:eastAsia="zh-CN"/>
        </w:rPr>
        <w:t>投标人</w:t>
      </w:r>
      <w:r>
        <w:rPr>
          <w:rFonts w:hint="eastAsia" w:ascii="仿宋" w:hAnsi="仿宋" w:eastAsia="仿宋" w:cs="仿宋"/>
          <w:bCs/>
          <w:color w:val="auto"/>
          <w:sz w:val="21"/>
          <w:szCs w:val="21"/>
          <w:highlight w:val="none"/>
        </w:rPr>
        <w:t>未及时查看而造成的后果自负。</w:t>
      </w:r>
    </w:p>
    <w:p w14:paraId="2870086C">
      <w:pPr>
        <w:pageBreakBefore w:val="0"/>
        <w:kinsoku/>
        <w:wordWrap/>
        <w:overflowPunct/>
        <w:topLinePunct w:val="0"/>
        <w:bidi w:val="0"/>
        <w:snapToGrid/>
        <w:spacing w:after="0" w:afterLines="0" w:line="400" w:lineRule="exact"/>
        <w:ind w:left="0" w:leftChars="0" w:firstLine="422" w:firstLineChars="200"/>
        <w:textAlignment w:val="auto"/>
        <w:outlineLvl w:val="9"/>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3. 投标文件</w:t>
      </w:r>
      <w:bookmarkEnd w:id="23"/>
    </w:p>
    <w:p w14:paraId="48E937A0">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3.1投标文件的组成</w:t>
      </w:r>
    </w:p>
    <w:p w14:paraId="08C71196">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bCs/>
          <w:color w:val="auto"/>
          <w:sz w:val="21"/>
          <w:szCs w:val="21"/>
          <w:highlight w:val="none"/>
          <w:lang w:val="en-US" w:eastAsia="zh-CN"/>
        </w:rPr>
      </w:pPr>
      <w:r>
        <w:rPr>
          <w:rFonts w:hint="eastAsia" w:ascii="仿宋" w:hAnsi="仿宋" w:eastAsia="仿宋" w:cs="仿宋"/>
          <w:color w:val="auto"/>
          <w:sz w:val="21"/>
          <w:szCs w:val="21"/>
          <w:highlight w:val="none"/>
        </w:rPr>
        <w:t>投标文件应包括内容</w:t>
      </w:r>
      <w:bookmarkStart w:id="26" w:name="_Toc297211674"/>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详见第六章投标文件格式。</w:t>
      </w:r>
    </w:p>
    <w:p w14:paraId="357E3128">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3.2 投标报价</w:t>
      </w:r>
      <w:bookmarkEnd w:id="26"/>
    </w:p>
    <w:p w14:paraId="30DD8DEA">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3.2.1投标人应按招标文件、招标文件澄清（答疑）纪要、招标文件修改补充通知及相关技术要求进行报价。</w:t>
      </w:r>
    </w:p>
    <w:p w14:paraId="6A440943">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color w:val="auto"/>
          <w:sz w:val="21"/>
          <w:szCs w:val="21"/>
          <w:highlight w:val="none"/>
          <w:lang w:eastAsia="zh-CN"/>
        </w:rPr>
      </w:pPr>
      <w:r>
        <w:rPr>
          <w:rFonts w:hint="eastAsia" w:ascii="仿宋" w:hAnsi="仿宋" w:eastAsia="仿宋" w:cs="仿宋"/>
          <w:b/>
          <w:color w:val="auto"/>
          <w:sz w:val="21"/>
          <w:szCs w:val="21"/>
          <w:highlight w:val="none"/>
        </w:rPr>
        <w:t>3.2.2本项目设</w:t>
      </w:r>
      <w:r>
        <w:rPr>
          <w:rFonts w:hint="eastAsia" w:ascii="仿宋" w:hAnsi="仿宋" w:eastAsia="仿宋" w:cs="仿宋"/>
          <w:b/>
          <w:color w:val="auto"/>
          <w:sz w:val="21"/>
          <w:szCs w:val="21"/>
          <w:highlight w:val="none"/>
          <w:lang w:eastAsia="zh-CN"/>
        </w:rPr>
        <w:t>预算价（最高限价）</w:t>
      </w:r>
      <w:r>
        <w:rPr>
          <w:rFonts w:hint="eastAsia" w:ascii="仿宋" w:hAnsi="仿宋" w:eastAsia="仿宋" w:cs="仿宋"/>
          <w:b/>
          <w:color w:val="auto"/>
          <w:sz w:val="21"/>
          <w:szCs w:val="21"/>
          <w:highlight w:val="none"/>
        </w:rPr>
        <w:t>（见投标人须知前附表），投标人的报价不得超过</w:t>
      </w:r>
      <w:r>
        <w:rPr>
          <w:rFonts w:hint="eastAsia" w:ascii="仿宋" w:hAnsi="仿宋" w:eastAsia="仿宋" w:cs="仿宋"/>
          <w:b/>
          <w:color w:val="auto"/>
          <w:sz w:val="21"/>
          <w:szCs w:val="21"/>
          <w:highlight w:val="none"/>
          <w:lang w:eastAsia="zh-CN"/>
        </w:rPr>
        <w:t>采购人</w:t>
      </w:r>
      <w:r>
        <w:rPr>
          <w:rFonts w:hint="eastAsia" w:ascii="仿宋" w:hAnsi="仿宋" w:eastAsia="仿宋" w:cs="仿宋"/>
          <w:b/>
          <w:color w:val="auto"/>
          <w:sz w:val="21"/>
          <w:szCs w:val="21"/>
          <w:highlight w:val="none"/>
        </w:rPr>
        <w:t>发布的</w:t>
      </w:r>
      <w:r>
        <w:rPr>
          <w:rFonts w:hint="eastAsia" w:ascii="仿宋" w:hAnsi="仿宋" w:eastAsia="仿宋" w:cs="仿宋"/>
          <w:b/>
          <w:color w:val="auto"/>
          <w:sz w:val="21"/>
          <w:szCs w:val="21"/>
          <w:highlight w:val="none"/>
          <w:lang w:eastAsia="zh-CN"/>
        </w:rPr>
        <w:t>预算价（最高限价）</w:t>
      </w:r>
      <w:r>
        <w:rPr>
          <w:rFonts w:hint="eastAsia" w:ascii="仿宋" w:hAnsi="仿宋" w:eastAsia="仿宋" w:cs="仿宋"/>
          <w:b/>
          <w:color w:val="auto"/>
          <w:sz w:val="21"/>
          <w:szCs w:val="21"/>
          <w:highlight w:val="none"/>
        </w:rPr>
        <w:t>，否则其投标做无效</w:t>
      </w:r>
      <w:r>
        <w:rPr>
          <w:rFonts w:hint="eastAsia" w:ascii="仿宋" w:hAnsi="仿宋" w:eastAsia="仿宋" w:cs="仿宋"/>
          <w:b/>
          <w:color w:val="auto"/>
          <w:sz w:val="21"/>
          <w:szCs w:val="21"/>
          <w:highlight w:val="none"/>
          <w:lang w:eastAsia="zh-CN"/>
        </w:rPr>
        <w:t>投标</w:t>
      </w:r>
      <w:r>
        <w:rPr>
          <w:rFonts w:hint="eastAsia" w:ascii="仿宋" w:hAnsi="仿宋" w:eastAsia="仿宋" w:cs="仿宋"/>
          <w:b/>
          <w:color w:val="auto"/>
          <w:sz w:val="21"/>
          <w:szCs w:val="21"/>
          <w:highlight w:val="none"/>
        </w:rPr>
        <w:t>处理。</w:t>
      </w:r>
      <w:r>
        <w:rPr>
          <w:rFonts w:hint="eastAsia" w:ascii="仿宋" w:hAnsi="仿宋" w:eastAsia="仿宋" w:cs="仿宋"/>
          <w:b/>
          <w:color w:val="auto"/>
          <w:sz w:val="21"/>
          <w:szCs w:val="21"/>
          <w:highlight w:val="none"/>
          <w:lang w:eastAsia="zh-CN"/>
        </w:rPr>
        <w:t>投标人在投标报价中的投标报价明显低于其他通过符合性审查投标人的投标报价且该投标人技术等主要指标有大量或明显故意不符，可能影响采购质量或者项目履约的，应当要求在评标现场合理的时间内提供书面说明（</w:t>
      </w:r>
      <w:r>
        <w:rPr>
          <w:rFonts w:hint="eastAsia" w:ascii="仿宋" w:hAnsi="仿宋" w:eastAsia="仿宋" w:cs="仿宋"/>
          <w:b/>
          <w:color w:val="auto"/>
          <w:sz w:val="21"/>
          <w:szCs w:val="21"/>
          <w:highlight w:val="none"/>
          <w:lang w:val="en-US" w:eastAsia="zh-CN"/>
        </w:rPr>
        <w:t>提供书面说明具体时间以评标委员会在系统中设定的时间点为准）</w:t>
      </w:r>
      <w:r>
        <w:rPr>
          <w:rFonts w:hint="eastAsia" w:ascii="仿宋" w:hAnsi="仿宋" w:eastAsia="仿宋" w:cs="仿宋"/>
          <w:b/>
          <w:color w:val="auto"/>
          <w:sz w:val="21"/>
          <w:szCs w:val="21"/>
          <w:highlight w:val="none"/>
          <w:lang w:eastAsia="zh-CN"/>
        </w:rPr>
        <w:t>，投标人不能证明其报价合理性的，评标委员会应当将其做为无效投标处理。</w:t>
      </w:r>
    </w:p>
    <w:p w14:paraId="6E442B23">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3.2.3本项目的投标总报价以3.2.1条为依据由投标人自主报价，即投标人根据招标项目的具体内容、现场情况、技术要求等自主报价，投标人的报价不得低于企业成本。</w:t>
      </w:r>
    </w:p>
    <w:p w14:paraId="701BBE14">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3.2.4投标人的投标总报价应包括本次购置货物所有的品种、数量、运杂费、保险费、税费、安装费、特种工具费、调试费、保管费、水电费、技术服务费（含售后服务费）、培训费、检验费、手续费相关部门验收费、计量检定费及货物验收合格正式交付使用前所发生的一切费用。</w:t>
      </w:r>
    </w:p>
    <w:p w14:paraId="67D199C5">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3.2.5 投标人的投标总报价具有唯一性，</w:t>
      </w:r>
      <w:r>
        <w:rPr>
          <w:rFonts w:hint="eastAsia" w:ascii="仿宋" w:hAnsi="仿宋" w:eastAsia="仿宋" w:cs="仿宋"/>
          <w:color w:val="auto"/>
          <w:sz w:val="21"/>
          <w:szCs w:val="21"/>
          <w:highlight w:val="none"/>
          <w:lang w:eastAsia="zh-CN"/>
        </w:rPr>
        <w:t>采购人</w:t>
      </w:r>
      <w:r>
        <w:rPr>
          <w:rFonts w:hint="eastAsia" w:ascii="仿宋" w:hAnsi="仿宋" w:eastAsia="仿宋" w:cs="仿宋"/>
          <w:color w:val="auto"/>
          <w:sz w:val="21"/>
          <w:szCs w:val="21"/>
          <w:highlight w:val="none"/>
        </w:rPr>
        <w:t>不接受任何可变价，投标人的投标报价理解为所有费用（3.2.4条所列各项等一切费用），投标人的投标报价如有漏项，视为已经包含在投标报价内。</w:t>
      </w:r>
    </w:p>
    <w:p w14:paraId="645548F6">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3.2.6投标人负责国外生产的</w:t>
      </w:r>
      <w:r>
        <w:rPr>
          <w:rFonts w:hint="eastAsia" w:ascii="仿宋" w:hAnsi="仿宋" w:eastAsia="仿宋" w:cs="仿宋"/>
          <w:color w:val="auto"/>
          <w:sz w:val="21"/>
          <w:szCs w:val="21"/>
          <w:highlight w:val="none"/>
          <w:lang w:eastAsia="zh-CN"/>
        </w:rPr>
        <w:t>货物</w:t>
      </w:r>
      <w:r>
        <w:rPr>
          <w:rFonts w:hint="eastAsia" w:ascii="仿宋" w:hAnsi="仿宋" w:eastAsia="仿宋" w:cs="仿宋"/>
          <w:color w:val="auto"/>
          <w:sz w:val="21"/>
          <w:szCs w:val="21"/>
          <w:highlight w:val="none"/>
        </w:rPr>
        <w:t>的进口手续办理（如有的话）。用外汇购入某些投标货物，需折合人民币计入总报价中；</w:t>
      </w:r>
    </w:p>
    <w:p w14:paraId="2F90C1AF">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3.2.7投标总报价是评标的重要依据，但不是唯一依据，最低报价不是中标的决定因素；</w:t>
      </w:r>
    </w:p>
    <w:p w14:paraId="65C51DC5">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3.2.8全部报价均应以人民币为计量币种，并以人民币进行结算。</w:t>
      </w:r>
    </w:p>
    <w:p w14:paraId="12497278">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bCs/>
          <w:color w:val="auto"/>
          <w:sz w:val="21"/>
          <w:szCs w:val="21"/>
          <w:highlight w:val="none"/>
          <w:lang w:val="zh-CN"/>
        </w:rPr>
      </w:pPr>
      <w:r>
        <w:rPr>
          <w:rFonts w:hint="eastAsia" w:ascii="仿宋" w:hAnsi="仿宋" w:eastAsia="仿宋" w:cs="仿宋"/>
          <w:b/>
          <w:bCs/>
          <w:color w:val="auto"/>
          <w:sz w:val="21"/>
          <w:szCs w:val="21"/>
          <w:highlight w:val="none"/>
          <w:lang w:val="en-US" w:eastAsia="zh-CN"/>
        </w:rPr>
        <w:t>3.3</w:t>
      </w:r>
      <w:r>
        <w:rPr>
          <w:rFonts w:hint="eastAsia" w:ascii="仿宋" w:hAnsi="仿宋" w:eastAsia="仿宋" w:cs="仿宋"/>
          <w:b/>
          <w:bCs/>
          <w:color w:val="auto"/>
          <w:sz w:val="21"/>
          <w:szCs w:val="21"/>
          <w:highlight w:val="none"/>
        </w:rPr>
        <w:t xml:space="preserve"> </w:t>
      </w:r>
      <w:r>
        <w:rPr>
          <w:rFonts w:hint="eastAsia" w:ascii="仿宋" w:hAnsi="仿宋" w:eastAsia="仿宋" w:cs="仿宋"/>
          <w:b/>
          <w:bCs/>
          <w:color w:val="auto"/>
          <w:sz w:val="21"/>
          <w:szCs w:val="21"/>
          <w:highlight w:val="none"/>
          <w:lang w:val="zh-CN"/>
        </w:rPr>
        <w:t>小型微型企业认定及评标价格评审（非专门面向中小企业适用）</w:t>
      </w:r>
    </w:p>
    <w:p w14:paraId="15C1239B">
      <w:pPr>
        <w:pStyle w:val="37"/>
        <w:pageBreakBefore w:val="0"/>
        <w:kinsoku/>
        <w:wordWrap/>
        <w:overflowPunct/>
        <w:topLinePunct w:val="0"/>
        <w:bidi w:val="0"/>
        <w:snapToGrid/>
        <w:spacing w:line="400" w:lineRule="exact"/>
        <w:ind w:left="0" w:leftChars="0" w:firstLine="480" w:firstLineChars="200"/>
        <w:textAlignment w:val="auto"/>
        <w:outlineLvl w:val="9"/>
        <w:rPr>
          <w:rFonts w:hint="eastAsia" w:ascii="仿宋" w:hAnsi="仿宋" w:eastAsia="仿宋" w:cs="仿宋"/>
          <w:color w:val="auto"/>
          <w:highlight w:val="none"/>
          <w:lang w:val="zh-CN"/>
        </w:rPr>
      </w:pPr>
    </w:p>
    <w:tbl>
      <w:tblPr>
        <w:tblStyle w:val="19"/>
        <w:tblW w:w="90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1"/>
        <w:gridCol w:w="1561"/>
        <w:gridCol w:w="1492"/>
        <w:gridCol w:w="2273"/>
        <w:gridCol w:w="2094"/>
      </w:tblGrid>
      <w:tr w14:paraId="5BEDE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1591" w:type="dxa"/>
            <w:noWrap w:val="0"/>
            <w:vAlign w:val="center"/>
          </w:tcPr>
          <w:p w14:paraId="319CC049">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内容</w:t>
            </w:r>
          </w:p>
        </w:tc>
        <w:tc>
          <w:tcPr>
            <w:tcW w:w="1561" w:type="dxa"/>
            <w:noWrap w:val="0"/>
            <w:vAlign w:val="center"/>
          </w:tcPr>
          <w:p w14:paraId="52C5C5B4">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大型企业</w:t>
            </w:r>
          </w:p>
        </w:tc>
        <w:tc>
          <w:tcPr>
            <w:tcW w:w="1492" w:type="dxa"/>
            <w:noWrap w:val="0"/>
            <w:vAlign w:val="center"/>
          </w:tcPr>
          <w:p w14:paraId="166B313A">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中型企业</w:t>
            </w:r>
          </w:p>
        </w:tc>
        <w:tc>
          <w:tcPr>
            <w:tcW w:w="2273" w:type="dxa"/>
            <w:noWrap w:val="0"/>
            <w:vAlign w:val="center"/>
          </w:tcPr>
          <w:p w14:paraId="27A068F5">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小型企业</w:t>
            </w:r>
          </w:p>
        </w:tc>
        <w:tc>
          <w:tcPr>
            <w:tcW w:w="2094" w:type="dxa"/>
            <w:noWrap w:val="0"/>
            <w:vAlign w:val="center"/>
          </w:tcPr>
          <w:p w14:paraId="6EA2CC41">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微型企业</w:t>
            </w:r>
          </w:p>
        </w:tc>
      </w:tr>
      <w:tr w14:paraId="0253B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591" w:type="dxa"/>
            <w:noWrap w:val="0"/>
            <w:vAlign w:val="center"/>
          </w:tcPr>
          <w:p w14:paraId="1C84B4E2">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价格=</w:t>
            </w:r>
          </w:p>
        </w:tc>
        <w:tc>
          <w:tcPr>
            <w:tcW w:w="1561" w:type="dxa"/>
            <w:noWrap w:val="0"/>
            <w:vAlign w:val="center"/>
          </w:tcPr>
          <w:p w14:paraId="4EBA102D">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报价</w:t>
            </w:r>
          </w:p>
        </w:tc>
        <w:tc>
          <w:tcPr>
            <w:tcW w:w="1492" w:type="dxa"/>
            <w:noWrap w:val="0"/>
            <w:vAlign w:val="center"/>
          </w:tcPr>
          <w:p w14:paraId="16574E09">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报价</w:t>
            </w:r>
          </w:p>
        </w:tc>
        <w:tc>
          <w:tcPr>
            <w:tcW w:w="2273" w:type="dxa"/>
            <w:noWrap w:val="0"/>
            <w:vAlign w:val="center"/>
          </w:tcPr>
          <w:p w14:paraId="3EBED04C">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报价×（1-</w:t>
            </w:r>
            <w:r>
              <w:rPr>
                <w:rFonts w:hint="eastAsia" w:ascii="仿宋" w:hAnsi="仿宋" w:eastAsia="仿宋" w:cs="仿宋"/>
                <w:color w:val="auto"/>
                <w:sz w:val="21"/>
                <w:szCs w:val="21"/>
                <w:highlight w:val="none"/>
                <w:lang w:val="en-US" w:eastAsia="zh-CN"/>
              </w:rPr>
              <w:t>20</w:t>
            </w:r>
            <w:r>
              <w:rPr>
                <w:rFonts w:hint="eastAsia" w:ascii="仿宋" w:hAnsi="仿宋" w:eastAsia="仿宋" w:cs="仿宋"/>
                <w:color w:val="auto"/>
                <w:sz w:val="21"/>
                <w:szCs w:val="21"/>
                <w:highlight w:val="none"/>
                <w:lang w:val="zh-CN"/>
              </w:rPr>
              <w:t>%）</w:t>
            </w:r>
          </w:p>
        </w:tc>
        <w:tc>
          <w:tcPr>
            <w:tcW w:w="2094" w:type="dxa"/>
            <w:noWrap w:val="0"/>
            <w:vAlign w:val="center"/>
          </w:tcPr>
          <w:p w14:paraId="1C858A47">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lang w:val="zh-CN"/>
              </w:rPr>
            </w:pPr>
            <w:r>
              <w:rPr>
                <w:rFonts w:hint="eastAsia" w:ascii="仿宋" w:hAnsi="仿宋" w:eastAsia="仿宋" w:cs="仿宋"/>
                <w:color w:val="auto"/>
                <w:sz w:val="21"/>
                <w:szCs w:val="21"/>
                <w:highlight w:val="none"/>
                <w:lang w:val="zh-CN"/>
              </w:rPr>
              <w:t>报价×（1-</w:t>
            </w:r>
            <w:r>
              <w:rPr>
                <w:rFonts w:hint="eastAsia" w:ascii="仿宋" w:hAnsi="仿宋" w:eastAsia="仿宋" w:cs="仿宋"/>
                <w:color w:val="auto"/>
                <w:sz w:val="21"/>
                <w:szCs w:val="21"/>
                <w:highlight w:val="none"/>
                <w:lang w:val="en-US" w:eastAsia="zh-CN"/>
              </w:rPr>
              <w:t>20</w:t>
            </w:r>
            <w:r>
              <w:rPr>
                <w:rFonts w:hint="eastAsia" w:ascii="仿宋" w:hAnsi="仿宋" w:eastAsia="仿宋" w:cs="仿宋"/>
                <w:color w:val="auto"/>
                <w:sz w:val="21"/>
                <w:szCs w:val="21"/>
                <w:highlight w:val="none"/>
                <w:lang w:val="zh-CN"/>
              </w:rPr>
              <w:t>%）</w:t>
            </w:r>
          </w:p>
        </w:tc>
      </w:tr>
    </w:tbl>
    <w:p w14:paraId="798DA76B">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1</w:t>
      </w:r>
      <w:r>
        <w:rPr>
          <w:rFonts w:hint="eastAsia" w:ascii="仿宋" w:hAnsi="仿宋" w:eastAsia="仿宋" w:cs="仿宋"/>
          <w:color w:val="auto"/>
          <w:sz w:val="21"/>
          <w:szCs w:val="21"/>
          <w:highlight w:val="none"/>
          <w:lang w:val="zh-CN"/>
        </w:rPr>
        <w:t>根据《政府采购促进中小企业发展管理办法》（财库[20</w:t>
      </w:r>
      <w:r>
        <w:rPr>
          <w:rFonts w:hint="eastAsia" w:ascii="仿宋" w:hAnsi="仿宋" w:eastAsia="仿宋" w:cs="仿宋"/>
          <w:color w:val="auto"/>
          <w:sz w:val="21"/>
          <w:szCs w:val="21"/>
          <w:highlight w:val="none"/>
        </w:rPr>
        <w:t>20</w:t>
      </w:r>
      <w:r>
        <w:rPr>
          <w:rFonts w:hint="eastAsia" w:ascii="仿宋" w:hAnsi="仿宋" w:eastAsia="仿宋" w:cs="仿宋"/>
          <w:color w:val="auto"/>
          <w:sz w:val="21"/>
          <w:szCs w:val="21"/>
          <w:highlight w:val="none"/>
          <w:lang w:val="zh-CN"/>
        </w:rPr>
        <w:t>]</w:t>
      </w:r>
      <w:r>
        <w:rPr>
          <w:rFonts w:hint="eastAsia" w:ascii="仿宋" w:hAnsi="仿宋" w:eastAsia="仿宋" w:cs="仿宋"/>
          <w:color w:val="auto"/>
          <w:sz w:val="21"/>
          <w:szCs w:val="21"/>
          <w:highlight w:val="none"/>
        </w:rPr>
        <w:t>46</w:t>
      </w:r>
      <w:r>
        <w:rPr>
          <w:rFonts w:hint="eastAsia" w:ascii="仿宋" w:hAnsi="仿宋" w:eastAsia="仿宋" w:cs="仿宋"/>
          <w:color w:val="auto"/>
          <w:sz w:val="21"/>
          <w:szCs w:val="21"/>
          <w:highlight w:val="none"/>
          <w:lang w:val="zh-CN"/>
        </w:rPr>
        <w:t>号）的规定、《工业和信息化部、国家统计局、国家发展和改革委员会、财政部关于印发中小企业划型标准规定的通知》（工信部联企业[</w:t>
      </w:r>
      <w:r>
        <w:rPr>
          <w:rFonts w:hint="eastAsia" w:ascii="仿宋" w:hAnsi="仿宋" w:eastAsia="仿宋" w:cs="仿宋"/>
          <w:color w:val="auto"/>
          <w:sz w:val="21"/>
          <w:szCs w:val="21"/>
          <w:highlight w:val="none"/>
        </w:rPr>
        <w:t>20</w:t>
      </w:r>
      <w:r>
        <w:rPr>
          <w:rFonts w:hint="eastAsia" w:ascii="仿宋" w:hAnsi="仿宋" w:eastAsia="仿宋" w:cs="仿宋"/>
          <w:color w:val="auto"/>
          <w:sz w:val="21"/>
          <w:szCs w:val="21"/>
          <w:highlight w:val="none"/>
          <w:lang w:val="zh-CN"/>
        </w:rPr>
        <w:t>11]300号）、河南省财政厅 河南省工业和信息化厅《关于政府采购促进小型微型企业发展的实施意见》（豫财购[</w:t>
      </w:r>
      <w:r>
        <w:rPr>
          <w:rFonts w:hint="eastAsia" w:ascii="仿宋" w:hAnsi="仿宋" w:eastAsia="仿宋" w:cs="仿宋"/>
          <w:color w:val="auto"/>
          <w:sz w:val="21"/>
          <w:szCs w:val="21"/>
          <w:highlight w:val="none"/>
        </w:rPr>
        <w:t>20</w:t>
      </w:r>
      <w:r>
        <w:rPr>
          <w:rFonts w:hint="eastAsia" w:ascii="仿宋" w:hAnsi="仿宋" w:eastAsia="仿宋" w:cs="仿宋"/>
          <w:color w:val="auto"/>
          <w:sz w:val="21"/>
          <w:szCs w:val="21"/>
          <w:highlight w:val="none"/>
          <w:lang w:val="zh-CN"/>
        </w:rPr>
        <w:t>13]14号）文件规定，对小型和微型企业产品的价格给予</w:t>
      </w:r>
      <w:r>
        <w:rPr>
          <w:rFonts w:hint="eastAsia" w:ascii="仿宋" w:hAnsi="仿宋" w:eastAsia="仿宋" w:cs="仿宋"/>
          <w:color w:val="auto"/>
          <w:sz w:val="21"/>
          <w:szCs w:val="21"/>
          <w:highlight w:val="none"/>
          <w:lang w:val="en-US" w:eastAsia="zh-CN"/>
        </w:rPr>
        <w:t>20</w:t>
      </w:r>
      <w:r>
        <w:rPr>
          <w:rFonts w:hint="eastAsia" w:ascii="仿宋" w:hAnsi="仿宋" w:eastAsia="仿宋" w:cs="仿宋"/>
          <w:color w:val="auto"/>
          <w:sz w:val="21"/>
          <w:szCs w:val="21"/>
          <w:highlight w:val="none"/>
          <w:lang w:val="zh-CN"/>
        </w:rPr>
        <w:t>%的扣除，用扣除后的价格参与评审。</w:t>
      </w:r>
    </w:p>
    <w:p w14:paraId="74E4B206">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2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其报价享受</w:t>
      </w:r>
      <w:r>
        <w:rPr>
          <w:rFonts w:hint="eastAsia" w:ascii="仿宋" w:hAnsi="仿宋" w:eastAsia="仿宋" w:cs="仿宋"/>
          <w:color w:val="auto"/>
          <w:sz w:val="21"/>
          <w:szCs w:val="21"/>
          <w:highlight w:val="none"/>
          <w:lang w:val="en-US" w:eastAsia="zh-CN"/>
        </w:rPr>
        <w:t>20</w:t>
      </w:r>
      <w:r>
        <w:rPr>
          <w:rFonts w:hint="eastAsia" w:ascii="仿宋" w:hAnsi="仿宋" w:eastAsia="仿宋" w:cs="仿宋"/>
          <w:color w:val="auto"/>
          <w:sz w:val="21"/>
          <w:szCs w:val="21"/>
          <w:highlight w:val="none"/>
        </w:rPr>
        <w:t>%的价格扣除，但必须提供由省级以上监狱管理局、戒毒管理局（含新疆生产建设兵团）出具的属于监狱企业的证明文件，否则评审时不予价格扣除优惠。</w:t>
      </w:r>
    </w:p>
    <w:p w14:paraId="231AD389">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3根据财库(2017)141号文件规定</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在政府</w:t>
      </w:r>
      <w:r>
        <w:rPr>
          <w:rFonts w:hint="eastAsia" w:ascii="仿宋" w:hAnsi="仿宋" w:eastAsia="仿宋" w:cs="仿宋"/>
          <w:color w:val="auto"/>
          <w:sz w:val="21"/>
          <w:szCs w:val="21"/>
          <w:highlight w:val="none"/>
          <w:lang w:eastAsia="zh-CN"/>
        </w:rPr>
        <w:t>采购</w:t>
      </w:r>
      <w:r>
        <w:rPr>
          <w:rFonts w:hint="eastAsia" w:ascii="仿宋" w:hAnsi="仿宋" w:eastAsia="仿宋" w:cs="仿宋"/>
          <w:color w:val="auto"/>
          <w:sz w:val="21"/>
          <w:szCs w:val="21"/>
          <w:highlight w:val="none"/>
        </w:rPr>
        <w:t>活动中</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残疾人福利性单位视同小型、微型企业</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享受预留份额、评审中价格扣除等促进中小企业发展的政府采购政策。残疾人福利性单位属于小型、微型企业的</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不重复享受政策。符合条件的残疾人福利性单位在参加政府采购活动时</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应当提供《残疾人福利性单位声明函》(见投标文件格式)</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并对声明的真实性负责。</w:t>
      </w:r>
      <w:r>
        <w:rPr>
          <w:rFonts w:hint="eastAsia" w:ascii="仿宋" w:hAnsi="仿宋" w:eastAsia="仿宋" w:cs="仿宋"/>
          <w:color w:val="auto"/>
          <w:szCs w:val="21"/>
          <w:highlight w:val="none"/>
          <w:lang w:eastAsia="zh-CN"/>
        </w:rPr>
        <w:t>为了突出对小型和微型企业的扶持，本次采购</w:t>
      </w:r>
      <w:r>
        <w:rPr>
          <w:rFonts w:hint="eastAsia" w:ascii="仿宋" w:hAnsi="仿宋" w:eastAsia="仿宋" w:cs="仿宋"/>
          <w:color w:val="auto"/>
          <w:szCs w:val="21"/>
          <w:highlight w:val="none"/>
          <w:lang w:val="en-US" w:eastAsia="zh-CN"/>
        </w:rPr>
        <w:t>专门面向中小企业因此不参与</w:t>
      </w:r>
      <w:r>
        <w:rPr>
          <w:rFonts w:hint="eastAsia" w:ascii="仿宋" w:hAnsi="仿宋" w:eastAsia="仿宋" w:cs="仿宋"/>
          <w:color w:val="auto"/>
          <w:szCs w:val="21"/>
          <w:highlight w:val="none"/>
          <w:lang w:eastAsia="zh-CN"/>
        </w:rPr>
        <w:t>价格扣除。</w:t>
      </w:r>
    </w:p>
    <w:p w14:paraId="0FCCEA3F">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b/>
          <w:bCs/>
          <w:color w:val="auto"/>
          <w:sz w:val="21"/>
          <w:szCs w:val="21"/>
          <w:highlight w:val="none"/>
        </w:rPr>
        <w:t>注：投标价格为含税价，应包含</w:t>
      </w:r>
      <w:r>
        <w:rPr>
          <w:rFonts w:hint="eastAsia" w:ascii="仿宋" w:hAnsi="仿宋" w:eastAsia="仿宋" w:cs="仿宋"/>
          <w:b/>
          <w:bCs/>
          <w:color w:val="auto"/>
          <w:sz w:val="21"/>
          <w:szCs w:val="21"/>
          <w:highlight w:val="none"/>
          <w:lang w:eastAsia="zh-CN"/>
        </w:rPr>
        <w:t>货物</w:t>
      </w:r>
      <w:r>
        <w:rPr>
          <w:rFonts w:hint="eastAsia" w:ascii="仿宋" w:hAnsi="仿宋" w:eastAsia="仿宋" w:cs="仿宋"/>
          <w:b/>
          <w:bCs/>
          <w:color w:val="auto"/>
          <w:sz w:val="21"/>
          <w:szCs w:val="21"/>
          <w:highlight w:val="none"/>
        </w:rPr>
        <w:t>配送到</w:t>
      </w:r>
      <w:r>
        <w:rPr>
          <w:rFonts w:hint="eastAsia" w:ascii="仿宋" w:hAnsi="仿宋" w:eastAsia="仿宋" w:cs="仿宋"/>
          <w:b/>
          <w:bCs/>
          <w:color w:val="auto"/>
          <w:sz w:val="21"/>
          <w:szCs w:val="21"/>
          <w:highlight w:val="none"/>
          <w:lang w:eastAsia="zh-CN"/>
        </w:rPr>
        <w:t>采购人</w:t>
      </w:r>
      <w:r>
        <w:rPr>
          <w:rFonts w:hint="eastAsia" w:ascii="仿宋" w:hAnsi="仿宋" w:eastAsia="仿宋" w:cs="仿宋"/>
          <w:b/>
          <w:bCs/>
          <w:color w:val="auto"/>
          <w:sz w:val="21"/>
          <w:szCs w:val="21"/>
          <w:highlight w:val="none"/>
        </w:rPr>
        <w:t>指定地点落地交货前的一切费用及后期培训费用等。</w:t>
      </w:r>
    </w:p>
    <w:p w14:paraId="14A6893E">
      <w:pPr>
        <w:pageBreakBefore w:val="0"/>
        <w:widowControl/>
        <w:kinsoku/>
        <w:wordWrap/>
        <w:overflowPunct/>
        <w:topLinePunct w:val="0"/>
        <w:bidi w:val="0"/>
        <w:snapToGrid/>
        <w:spacing w:line="400" w:lineRule="exact"/>
        <w:ind w:left="0" w:leftChars="0" w:firstLine="422" w:firstLineChars="200"/>
        <w:jc w:val="left"/>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3.</w:t>
      </w:r>
      <w:r>
        <w:rPr>
          <w:rFonts w:hint="eastAsia" w:ascii="仿宋" w:hAnsi="仿宋" w:eastAsia="仿宋" w:cs="仿宋"/>
          <w:b/>
          <w:color w:val="auto"/>
          <w:sz w:val="21"/>
          <w:szCs w:val="21"/>
          <w:highlight w:val="none"/>
          <w:lang w:val="en-US" w:eastAsia="zh-CN"/>
        </w:rPr>
        <w:t>4</w:t>
      </w:r>
      <w:r>
        <w:rPr>
          <w:rFonts w:hint="eastAsia" w:ascii="仿宋" w:hAnsi="仿宋" w:eastAsia="仿宋" w:cs="仿宋"/>
          <w:b/>
          <w:color w:val="auto"/>
          <w:sz w:val="21"/>
          <w:szCs w:val="21"/>
          <w:highlight w:val="none"/>
        </w:rPr>
        <w:t>投标有效期</w:t>
      </w:r>
    </w:p>
    <w:p w14:paraId="4735AE61">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val="en-US" w:eastAsia="zh-CN"/>
        </w:rPr>
        <w:t>4</w:t>
      </w:r>
      <w:r>
        <w:rPr>
          <w:rFonts w:hint="eastAsia" w:ascii="仿宋" w:hAnsi="仿宋" w:eastAsia="仿宋" w:cs="仿宋"/>
          <w:color w:val="auto"/>
          <w:sz w:val="21"/>
          <w:szCs w:val="21"/>
          <w:highlight w:val="none"/>
        </w:rPr>
        <w:t>.1在投标人须知前附表规定的投标有效期内，投标人不得要求撤销或修改其投标文件。</w:t>
      </w:r>
    </w:p>
    <w:p w14:paraId="581010CF">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val="en-US" w:eastAsia="zh-CN"/>
        </w:rPr>
        <w:t>4</w:t>
      </w:r>
      <w:r>
        <w:rPr>
          <w:rFonts w:hint="eastAsia" w:ascii="仿宋" w:hAnsi="仿宋" w:eastAsia="仿宋" w:cs="仿宋"/>
          <w:color w:val="auto"/>
          <w:sz w:val="21"/>
          <w:szCs w:val="21"/>
          <w:highlight w:val="none"/>
        </w:rPr>
        <w:t>.2出现特殊情况需要延长投标有效期的，</w:t>
      </w:r>
      <w:r>
        <w:rPr>
          <w:rFonts w:hint="eastAsia" w:ascii="仿宋" w:hAnsi="仿宋" w:eastAsia="仿宋" w:cs="仿宋"/>
          <w:color w:val="auto"/>
          <w:sz w:val="21"/>
          <w:szCs w:val="21"/>
          <w:highlight w:val="none"/>
          <w:lang w:eastAsia="zh-CN"/>
        </w:rPr>
        <w:t>采购人</w:t>
      </w:r>
      <w:r>
        <w:rPr>
          <w:rFonts w:hint="eastAsia" w:ascii="仿宋" w:hAnsi="仿宋" w:eastAsia="仿宋" w:cs="仿宋"/>
          <w:color w:val="auto"/>
          <w:sz w:val="21"/>
          <w:szCs w:val="21"/>
          <w:highlight w:val="none"/>
        </w:rPr>
        <w:t>以书面形式通知所有投标人延长投标有效期。投标人同意延长的，不得要求或被允许修改或撤销其投标文件；投标人拒绝延长的，其投标失效。</w:t>
      </w:r>
    </w:p>
    <w:p w14:paraId="37CAA9F6">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color w:val="auto"/>
          <w:sz w:val="21"/>
          <w:szCs w:val="21"/>
          <w:highlight w:val="none"/>
        </w:rPr>
      </w:pPr>
      <w:bookmarkStart w:id="27" w:name="_Toc297211678"/>
      <w:r>
        <w:rPr>
          <w:rFonts w:hint="eastAsia" w:ascii="仿宋" w:hAnsi="仿宋" w:eastAsia="仿宋" w:cs="仿宋"/>
          <w:b/>
          <w:color w:val="auto"/>
          <w:sz w:val="21"/>
          <w:szCs w:val="21"/>
          <w:highlight w:val="none"/>
        </w:rPr>
        <w:t>3.</w:t>
      </w:r>
      <w:bookmarkEnd w:id="27"/>
      <w:r>
        <w:rPr>
          <w:rFonts w:hint="eastAsia" w:ascii="仿宋" w:hAnsi="仿宋" w:eastAsia="仿宋" w:cs="仿宋"/>
          <w:b/>
          <w:color w:val="auto"/>
          <w:sz w:val="21"/>
          <w:szCs w:val="21"/>
          <w:highlight w:val="none"/>
          <w:lang w:val="en-US" w:eastAsia="zh-CN"/>
        </w:rPr>
        <w:t>5</w:t>
      </w:r>
      <w:r>
        <w:rPr>
          <w:rFonts w:hint="eastAsia" w:ascii="仿宋" w:hAnsi="仿宋" w:eastAsia="仿宋" w:cs="仿宋"/>
          <w:b/>
          <w:color w:val="auto"/>
          <w:sz w:val="21"/>
          <w:szCs w:val="21"/>
          <w:highlight w:val="none"/>
        </w:rPr>
        <w:t>、投标文件的制作：</w:t>
      </w:r>
    </w:p>
    <w:p w14:paraId="57B783B0">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3.</w:t>
      </w:r>
      <w:r>
        <w:rPr>
          <w:rFonts w:hint="eastAsia" w:ascii="仿宋" w:hAnsi="仿宋" w:eastAsia="仿宋" w:cs="仿宋"/>
          <w:b/>
          <w:color w:val="auto"/>
          <w:sz w:val="21"/>
          <w:szCs w:val="21"/>
          <w:highlight w:val="none"/>
          <w:lang w:val="en-US" w:eastAsia="zh-CN"/>
        </w:rPr>
        <w:t>5</w:t>
      </w:r>
      <w:r>
        <w:rPr>
          <w:rFonts w:hint="eastAsia" w:ascii="仿宋" w:hAnsi="仿宋" w:eastAsia="仿宋" w:cs="仿宋"/>
          <w:b/>
          <w:color w:val="auto"/>
          <w:sz w:val="21"/>
          <w:szCs w:val="21"/>
          <w:highlight w:val="none"/>
        </w:rPr>
        <w:t>.1、投标人通过“信阳市公共资源交易网（</w:t>
      </w:r>
      <w:r>
        <w:rPr>
          <w:rFonts w:hint="eastAsia" w:ascii="仿宋" w:hAnsi="仿宋" w:eastAsia="仿宋" w:cs="仿宋"/>
          <w:b/>
          <w:color w:val="auto"/>
          <w:sz w:val="21"/>
          <w:szCs w:val="21"/>
          <w:highlight w:val="none"/>
          <w:lang w:eastAsia="zh-CN"/>
        </w:rPr>
        <w:t>https://ggzyjy.xinyang.gov.cn/</w:t>
      </w:r>
      <w:r>
        <w:rPr>
          <w:rFonts w:hint="eastAsia" w:ascii="仿宋" w:hAnsi="仿宋" w:eastAsia="仿宋" w:cs="仿宋"/>
          <w:b/>
          <w:color w:val="auto"/>
          <w:sz w:val="21"/>
          <w:szCs w:val="21"/>
          <w:highlight w:val="none"/>
        </w:rPr>
        <w:t>”网站下载中心栏目内下载或招标文件领取页面下载“信阳市投标文件制作工具软件”。</w:t>
      </w:r>
    </w:p>
    <w:p w14:paraId="0A66A433">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3.</w:t>
      </w:r>
      <w:r>
        <w:rPr>
          <w:rFonts w:hint="eastAsia" w:ascii="仿宋" w:hAnsi="仿宋" w:eastAsia="仿宋" w:cs="仿宋"/>
          <w:b/>
          <w:color w:val="auto"/>
          <w:sz w:val="21"/>
          <w:szCs w:val="21"/>
          <w:highlight w:val="none"/>
          <w:lang w:val="en-US" w:eastAsia="zh-CN"/>
        </w:rPr>
        <w:t>5</w:t>
      </w:r>
      <w:r>
        <w:rPr>
          <w:rFonts w:hint="eastAsia" w:ascii="仿宋" w:hAnsi="仿宋" w:eastAsia="仿宋" w:cs="仿宋"/>
          <w:b/>
          <w:color w:val="auto"/>
          <w:sz w:val="21"/>
          <w:szCs w:val="21"/>
          <w:highlight w:val="none"/>
        </w:rPr>
        <w:t>.2、使用“信阳市投标文件制作工具”软件制作生成加密版和非未加密的电子投标文件，软件操作手册可在网站下载中心下载或打开软件后在右上角菜单内领取。</w:t>
      </w:r>
    </w:p>
    <w:p w14:paraId="6AD579FC">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3.</w:t>
      </w:r>
      <w:r>
        <w:rPr>
          <w:rFonts w:hint="eastAsia" w:ascii="仿宋" w:hAnsi="仿宋" w:eastAsia="仿宋" w:cs="仿宋"/>
          <w:b/>
          <w:color w:val="auto"/>
          <w:sz w:val="21"/>
          <w:szCs w:val="21"/>
          <w:highlight w:val="none"/>
          <w:lang w:val="en-US" w:eastAsia="zh-CN"/>
        </w:rPr>
        <w:t>5</w:t>
      </w:r>
      <w:r>
        <w:rPr>
          <w:rFonts w:hint="eastAsia" w:ascii="仿宋" w:hAnsi="仿宋" w:eastAsia="仿宋" w:cs="仿宋"/>
          <w:b/>
          <w:color w:val="auto"/>
          <w:sz w:val="21"/>
          <w:szCs w:val="21"/>
          <w:highlight w:val="none"/>
        </w:rPr>
        <w:t>.3、投标人在电子投标文件制作完成后生成投标文件时须加盖电子签章/签名。其他要求签字盖章的投标文件格式内容，如无法进行电子签章/签名，投标人可将盖章/签名后的扫描件上传到电子投标文件中。开标一览表报价将作为电子开标的唱标依据。</w:t>
      </w:r>
    </w:p>
    <w:p w14:paraId="30E2F23B">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3.</w:t>
      </w:r>
      <w:r>
        <w:rPr>
          <w:rFonts w:hint="eastAsia" w:ascii="仿宋" w:hAnsi="仿宋" w:eastAsia="仿宋" w:cs="仿宋"/>
          <w:b/>
          <w:color w:val="auto"/>
          <w:sz w:val="21"/>
          <w:szCs w:val="21"/>
          <w:highlight w:val="none"/>
          <w:lang w:val="en-US" w:eastAsia="zh-CN"/>
        </w:rPr>
        <w:t>5</w:t>
      </w:r>
      <w:r>
        <w:rPr>
          <w:rFonts w:hint="eastAsia" w:ascii="仿宋" w:hAnsi="仿宋" w:eastAsia="仿宋" w:cs="仿宋"/>
          <w:b/>
          <w:color w:val="auto"/>
          <w:sz w:val="21"/>
          <w:szCs w:val="21"/>
          <w:highlight w:val="none"/>
        </w:rPr>
        <w:t>.4、招标文件格式所要求包含的全部资料应全部制作在投标文件内，严格按照本项目招标文件所有格式如实填写（不涉及的内容除外），不应存在漏项或缺项，否则将存在投标文件被拒绝的风险。</w:t>
      </w:r>
    </w:p>
    <w:p w14:paraId="62803C9C">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1"/>
          <w:szCs w:val="21"/>
          <w:highlight w:val="none"/>
        </w:rPr>
        <w:t>3.</w:t>
      </w:r>
      <w:r>
        <w:rPr>
          <w:rFonts w:hint="eastAsia" w:ascii="仿宋" w:hAnsi="仿宋" w:eastAsia="仿宋" w:cs="仿宋"/>
          <w:b/>
          <w:color w:val="auto"/>
          <w:sz w:val="21"/>
          <w:szCs w:val="21"/>
          <w:highlight w:val="none"/>
          <w:lang w:val="en-US" w:eastAsia="zh-CN"/>
        </w:rPr>
        <w:t>5</w:t>
      </w:r>
      <w:r>
        <w:rPr>
          <w:rFonts w:hint="eastAsia" w:ascii="仿宋" w:hAnsi="仿宋" w:eastAsia="仿宋" w:cs="仿宋"/>
          <w:b/>
          <w:color w:val="auto"/>
          <w:sz w:val="21"/>
          <w:szCs w:val="21"/>
          <w:highlight w:val="none"/>
        </w:rPr>
        <w:t>.5、投标人编辑电子投标文件时，最后一步生成电子投标文件（*.XYTF 格式和*.NXYTF格式）时，请使用本单位的企业 CA 数字证书。</w:t>
      </w:r>
    </w:p>
    <w:p w14:paraId="6AF8E8CB">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rPr>
        <w:t>.6 投标文件应按第六章“投标文件格式”进行编写，如有必要，可以增加附页，作为投标文件的组成部分。</w:t>
      </w:r>
    </w:p>
    <w:p w14:paraId="11C0705C">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rPr>
        <w:t>.7 投标文件应当对招标文件有关货物交货期、质保期、投标有效期、技术标准和要求、</w:t>
      </w:r>
      <w:r>
        <w:rPr>
          <w:rFonts w:hint="eastAsia" w:ascii="仿宋" w:hAnsi="仿宋" w:eastAsia="仿宋" w:cs="仿宋"/>
          <w:color w:val="auto"/>
          <w:sz w:val="21"/>
          <w:szCs w:val="21"/>
          <w:highlight w:val="none"/>
          <w:lang w:eastAsia="zh-CN"/>
        </w:rPr>
        <w:t>采购内容</w:t>
      </w:r>
      <w:r>
        <w:rPr>
          <w:rFonts w:hint="eastAsia" w:ascii="仿宋" w:hAnsi="仿宋" w:eastAsia="仿宋" w:cs="仿宋"/>
          <w:color w:val="auto"/>
          <w:sz w:val="21"/>
          <w:szCs w:val="21"/>
          <w:highlight w:val="none"/>
        </w:rPr>
        <w:t>等实质性内容作出响应。</w:t>
      </w:r>
    </w:p>
    <w:p w14:paraId="27F8192F">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rPr>
        <w:t>.8</w:t>
      </w:r>
      <w:r>
        <w:rPr>
          <w:rFonts w:hint="eastAsia" w:ascii="仿宋" w:hAnsi="仿宋" w:eastAsia="仿宋" w:cs="仿宋"/>
          <w:color w:val="auto"/>
          <w:sz w:val="21"/>
          <w:szCs w:val="21"/>
          <w:highlight w:val="none"/>
          <w:lang w:eastAsia="zh-CN"/>
        </w:rPr>
        <w:t>投标文件应由投标人的法定代表人或其委托代理人签字并加盖单位公章。若由委托代理人签字，投标文件应附法定代表人签署的授权委托书。签字或盖章的具体要求详见投标人须知前附表。</w:t>
      </w:r>
    </w:p>
    <w:p w14:paraId="3B9F38DA">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rPr>
        <w:t>.9投标文件份数见投标人须知前附表。</w:t>
      </w:r>
    </w:p>
    <w:p w14:paraId="5B2FC0DD">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3.</w:t>
      </w: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rPr>
        <w:t>.10投标人应按照招标文件的要求，规范、明确、准时的提交投标文件。如果没有按照招标文件的要求保证所提供全部资料的真实性，或没有对招标文件</w:t>
      </w:r>
      <w:r>
        <w:rPr>
          <w:rFonts w:hint="eastAsia" w:ascii="仿宋" w:hAnsi="仿宋" w:eastAsia="仿宋" w:cs="仿宋"/>
          <w:color w:val="auto"/>
          <w:sz w:val="21"/>
          <w:szCs w:val="21"/>
          <w:highlight w:val="none"/>
          <w:lang w:eastAsia="zh-CN"/>
        </w:rPr>
        <w:t>作出</w:t>
      </w:r>
      <w:r>
        <w:rPr>
          <w:rFonts w:hint="eastAsia" w:ascii="仿宋" w:hAnsi="仿宋" w:eastAsia="仿宋" w:cs="仿宋"/>
          <w:color w:val="auto"/>
          <w:sz w:val="21"/>
          <w:szCs w:val="21"/>
          <w:highlight w:val="none"/>
        </w:rPr>
        <w:t>实质性响应，其风险应由投标人自行承担。</w:t>
      </w:r>
    </w:p>
    <w:p w14:paraId="2DE66ABF">
      <w:pPr>
        <w:pageBreakBefore w:val="0"/>
        <w:kinsoku/>
        <w:wordWrap/>
        <w:overflowPunct/>
        <w:topLinePunct w:val="0"/>
        <w:bidi w:val="0"/>
        <w:snapToGrid/>
        <w:spacing w:after="0" w:afterLines="0" w:line="400" w:lineRule="exact"/>
        <w:ind w:left="0" w:leftChars="0" w:firstLine="422" w:firstLineChars="200"/>
        <w:textAlignment w:val="auto"/>
        <w:outlineLvl w:val="9"/>
        <w:rPr>
          <w:rFonts w:hint="eastAsia" w:ascii="仿宋" w:hAnsi="仿宋" w:eastAsia="仿宋" w:cs="仿宋"/>
          <w:b/>
          <w:bCs/>
          <w:color w:val="auto"/>
          <w:sz w:val="21"/>
          <w:szCs w:val="21"/>
          <w:highlight w:val="none"/>
        </w:rPr>
      </w:pPr>
      <w:bookmarkStart w:id="28" w:name="_Toc10958"/>
      <w:bookmarkStart w:id="29" w:name="_Toc191983618"/>
      <w:bookmarkStart w:id="30" w:name="_Toc244934197"/>
      <w:bookmarkStart w:id="31" w:name="_Toc234213531"/>
      <w:bookmarkStart w:id="32" w:name="_Toc244935166"/>
      <w:r>
        <w:rPr>
          <w:rFonts w:hint="eastAsia" w:ascii="仿宋" w:hAnsi="仿宋" w:eastAsia="仿宋" w:cs="仿宋"/>
          <w:b/>
          <w:bCs/>
          <w:color w:val="auto"/>
          <w:sz w:val="21"/>
          <w:szCs w:val="21"/>
          <w:highlight w:val="none"/>
        </w:rPr>
        <w:t>4. 投标</w:t>
      </w:r>
      <w:bookmarkEnd w:id="28"/>
      <w:bookmarkEnd w:id="29"/>
      <w:bookmarkEnd w:id="30"/>
      <w:bookmarkEnd w:id="31"/>
      <w:bookmarkEnd w:id="32"/>
    </w:p>
    <w:p w14:paraId="3549D80F">
      <w:pPr>
        <w:pageBreakBefore w:val="0"/>
        <w:kinsoku/>
        <w:wordWrap/>
        <w:overflowPunct/>
        <w:topLinePunct w:val="0"/>
        <w:bidi w:val="0"/>
        <w:snapToGrid/>
        <w:spacing w:after="0" w:afterLines="0" w:line="400" w:lineRule="exact"/>
        <w:ind w:left="0" w:leftChars="0" w:firstLine="422" w:firstLineChars="200"/>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4.1 投标文件的上传</w:t>
      </w:r>
    </w:p>
    <w:p w14:paraId="344E58AB">
      <w:pPr>
        <w:pStyle w:val="17"/>
        <w:bidi w:val="0"/>
        <w:spacing w:after="0" w:line="400" w:lineRule="exact"/>
        <w:ind w:firstLine="420" w:firstLineChars="200"/>
        <w:outlineLvl w:val="9"/>
        <w:rPr>
          <w:rFonts w:hint="eastAsia" w:ascii="仿宋" w:hAnsi="仿宋" w:eastAsia="仿宋" w:cs="仿宋"/>
          <w:color w:val="auto"/>
          <w:highlight w:val="none"/>
        </w:rPr>
      </w:pPr>
      <w:r>
        <w:rPr>
          <w:rFonts w:hint="eastAsia" w:ascii="仿宋" w:hAnsi="仿宋" w:eastAsia="仿宋" w:cs="仿宋"/>
          <w:color w:val="auto"/>
          <w:highlight w:val="none"/>
        </w:rPr>
        <w:t>4.1.1网上上传的电子投标文件应使用</w:t>
      </w:r>
      <w:r>
        <w:rPr>
          <w:rFonts w:hint="eastAsia" w:ascii="仿宋" w:hAnsi="仿宋" w:eastAsia="仿宋" w:cs="仿宋"/>
          <w:color w:val="auto"/>
          <w:highlight w:val="none"/>
          <w:lang w:eastAsia="zh-CN"/>
        </w:rPr>
        <w:t>投标人</w:t>
      </w:r>
      <w:r>
        <w:rPr>
          <w:rFonts w:hint="eastAsia" w:ascii="仿宋" w:hAnsi="仿宋" w:eastAsia="仿宋" w:cs="仿宋"/>
          <w:color w:val="auto"/>
          <w:highlight w:val="none"/>
        </w:rPr>
        <w:t>数字证书认证并加密。</w:t>
      </w:r>
    </w:p>
    <w:p w14:paraId="6A608BD9">
      <w:pPr>
        <w:pageBreakBefore w:val="0"/>
        <w:kinsoku/>
        <w:wordWrap/>
        <w:overflowPunct/>
        <w:topLinePunct w:val="0"/>
        <w:bidi w:val="0"/>
        <w:snapToGrid/>
        <w:spacing w:after="0" w:afterLines="0" w:line="400" w:lineRule="exact"/>
        <w:ind w:left="0" w:leftChars="0" w:firstLine="422" w:firstLineChars="200"/>
        <w:textAlignment w:val="auto"/>
        <w:outlineLvl w:val="9"/>
        <w:rPr>
          <w:rFonts w:hint="eastAsia" w:ascii="仿宋" w:hAnsi="仿宋" w:eastAsia="仿宋" w:cs="仿宋"/>
          <w:b/>
          <w:color w:val="auto"/>
          <w:sz w:val="21"/>
          <w:szCs w:val="21"/>
          <w:highlight w:val="none"/>
          <w:lang w:eastAsia="zh-CN"/>
        </w:rPr>
      </w:pPr>
      <w:r>
        <w:rPr>
          <w:rFonts w:hint="eastAsia" w:ascii="仿宋" w:hAnsi="仿宋" w:eastAsia="仿宋" w:cs="仿宋"/>
          <w:b/>
          <w:color w:val="auto"/>
          <w:sz w:val="21"/>
          <w:szCs w:val="21"/>
          <w:highlight w:val="none"/>
        </w:rPr>
        <w:t>4.2 投标文件的递交</w:t>
      </w:r>
    </w:p>
    <w:p w14:paraId="0E2C5023">
      <w:pPr>
        <w:pStyle w:val="17"/>
        <w:bidi w:val="0"/>
        <w:spacing w:after="0" w:line="400" w:lineRule="exact"/>
        <w:ind w:firstLine="420" w:firstLineChars="200"/>
        <w:outlineLvl w:val="9"/>
        <w:rPr>
          <w:rFonts w:hint="eastAsia" w:ascii="仿宋" w:hAnsi="仿宋" w:eastAsia="仿宋" w:cs="仿宋"/>
          <w:color w:val="auto"/>
          <w:highlight w:val="none"/>
        </w:rPr>
      </w:pPr>
      <w:r>
        <w:rPr>
          <w:rFonts w:hint="eastAsia" w:ascii="仿宋" w:hAnsi="仿宋" w:eastAsia="仿宋" w:cs="仿宋"/>
          <w:color w:val="auto"/>
          <w:highlight w:val="none"/>
        </w:rPr>
        <w:t>4.2.1电子投标文件的递交</w:t>
      </w:r>
    </w:p>
    <w:p w14:paraId="122DD52C">
      <w:pPr>
        <w:pStyle w:val="17"/>
        <w:bidi w:val="0"/>
        <w:spacing w:after="0" w:line="400" w:lineRule="exact"/>
        <w:ind w:firstLine="420" w:firstLineChars="200"/>
        <w:outlineLvl w:val="9"/>
        <w:rPr>
          <w:rFonts w:hint="eastAsia" w:ascii="仿宋" w:hAnsi="仿宋" w:eastAsia="仿宋" w:cs="仿宋"/>
          <w:color w:val="auto"/>
          <w:highlight w:val="none"/>
        </w:rPr>
      </w:pPr>
      <w:r>
        <w:rPr>
          <w:rFonts w:hint="eastAsia" w:ascii="仿宋" w:hAnsi="仿宋" w:eastAsia="仿宋" w:cs="仿宋"/>
          <w:color w:val="auto"/>
          <w:highlight w:val="none"/>
        </w:rPr>
        <w:t>各</w:t>
      </w:r>
      <w:r>
        <w:rPr>
          <w:rFonts w:hint="eastAsia" w:ascii="仿宋" w:hAnsi="仿宋" w:eastAsia="仿宋" w:cs="仿宋"/>
          <w:color w:val="auto"/>
          <w:highlight w:val="none"/>
          <w:lang w:eastAsia="zh-CN"/>
        </w:rPr>
        <w:t>投标人</w:t>
      </w:r>
      <w:r>
        <w:rPr>
          <w:rFonts w:hint="eastAsia" w:ascii="仿宋" w:hAnsi="仿宋" w:eastAsia="仿宋" w:cs="仿宋"/>
          <w:color w:val="auto"/>
          <w:highlight w:val="none"/>
        </w:rPr>
        <w:t>应在投标截止时间前上传加密的电子投标文件（*.XYTF）到会员系统的指定位置。上传的电子投标文件应使用投标人CA数字证书认证并加密。上传时必须得到交易系统“上传成功”的确认回复后方为上传成功。请</w:t>
      </w:r>
      <w:r>
        <w:rPr>
          <w:rFonts w:hint="eastAsia" w:ascii="仿宋" w:hAnsi="仿宋" w:eastAsia="仿宋" w:cs="仿宋"/>
          <w:color w:val="auto"/>
          <w:highlight w:val="none"/>
          <w:lang w:eastAsia="zh-CN"/>
        </w:rPr>
        <w:t>投标人</w:t>
      </w:r>
      <w:r>
        <w:rPr>
          <w:rFonts w:hint="eastAsia" w:ascii="仿宋" w:hAnsi="仿宋" w:eastAsia="仿宋" w:cs="仿宋"/>
          <w:color w:val="auto"/>
          <w:highlight w:val="none"/>
        </w:rPr>
        <w:t>在上传前务必认真检查上传投标文件是否完整、正确。</w:t>
      </w:r>
    </w:p>
    <w:p w14:paraId="2BC1DD36">
      <w:pPr>
        <w:pageBreakBefore w:val="0"/>
        <w:kinsoku/>
        <w:wordWrap/>
        <w:overflowPunct/>
        <w:topLinePunct w:val="0"/>
        <w:bidi w:val="0"/>
        <w:snapToGrid/>
        <w:spacing w:after="0" w:afterLines="0" w:line="400" w:lineRule="exact"/>
        <w:ind w:left="0" w:leftChars="0" w:firstLine="422" w:firstLineChars="200"/>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4.3 投标文件的修改与撤回</w:t>
      </w:r>
    </w:p>
    <w:p w14:paraId="4C634958">
      <w:pPr>
        <w:pStyle w:val="17"/>
        <w:bidi w:val="0"/>
        <w:spacing w:after="0" w:line="400" w:lineRule="exact"/>
        <w:ind w:firstLine="420" w:firstLineChars="200"/>
        <w:outlineLvl w:val="9"/>
        <w:rPr>
          <w:rFonts w:hint="eastAsia" w:ascii="仿宋" w:hAnsi="仿宋" w:eastAsia="仿宋" w:cs="仿宋"/>
          <w:color w:val="auto"/>
          <w:highlight w:val="none"/>
        </w:rPr>
      </w:pPr>
      <w:r>
        <w:rPr>
          <w:rFonts w:hint="eastAsia" w:ascii="仿宋" w:hAnsi="仿宋" w:eastAsia="仿宋" w:cs="仿宋"/>
          <w:color w:val="auto"/>
          <w:highlight w:val="none"/>
        </w:rPr>
        <w:t>4.3.1 在第一章“招标公告”规定的投标截止时间前，</w:t>
      </w:r>
      <w:r>
        <w:rPr>
          <w:rFonts w:hint="eastAsia" w:ascii="仿宋" w:hAnsi="仿宋" w:eastAsia="仿宋" w:cs="仿宋"/>
          <w:color w:val="auto"/>
          <w:highlight w:val="none"/>
          <w:lang w:eastAsia="zh-CN"/>
        </w:rPr>
        <w:t>投标人</w:t>
      </w:r>
      <w:r>
        <w:rPr>
          <w:rFonts w:hint="eastAsia" w:ascii="仿宋" w:hAnsi="仿宋" w:eastAsia="仿宋" w:cs="仿宋"/>
          <w:color w:val="auto"/>
          <w:highlight w:val="none"/>
        </w:rPr>
        <w:t>可以多次修改或撤回已递交的投标文件，最终投标文件以投标截止时间前完成上传至信阳市公共资源交易中心交易系统最后一份投标文件为准。</w:t>
      </w:r>
    </w:p>
    <w:p w14:paraId="47AC3D5B">
      <w:pPr>
        <w:pStyle w:val="17"/>
        <w:bidi w:val="0"/>
        <w:spacing w:after="0" w:line="400" w:lineRule="exact"/>
        <w:ind w:firstLine="420" w:firstLineChars="200"/>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highlight w:val="none"/>
        </w:rPr>
        <w:t>4.3.2修改的投标文件应按照本章第3.</w:t>
      </w:r>
      <w:r>
        <w:rPr>
          <w:rFonts w:hint="eastAsia" w:ascii="仿宋" w:hAnsi="仿宋" w:eastAsia="仿宋" w:cs="仿宋"/>
          <w:color w:val="auto"/>
          <w:highlight w:val="none"/>
          <w:lang w:val="en-US" w:eastAsia="zh-CN"/>
        </w:rPr>
        <w:t>5</w:t>
      </w:r>
      <w:r>
        <w:rPr>
          <w:rFonts w:hint="eastAsia" w:ascii="仿宋" w:hAnsi="仿宋" w:eastAsia="仿宋" w:cs="仿宋"/>
          <w:color w:val="auto"/>
          <w:highlight w:val="none"/>
        </w:rPr>
        <w:t>条、第4.2条规定进行</w:t>
      </w:r>
      <w:r>
        <w:rPr>
          <w:rFonts w:hint="eastAsia" w:ascii="仿宋" w:hAnsi="仿宋" w:eastAsia="仿宋" w:cs="仿宋"/>
          <w:color w:val="auto"/>
          <w:highlight w:val="none"/>
          <w:lang w:eastAsia="zh-CN"/>
        </w:rPr>
        <w:t>制作</w:t>
      </w:r>
      <w:r>
        <w:rPr>
          <w:rFonts w:hint="eastAsia" w:ascii="仿宋" w:hAnsi="仿宋" w:eastAsia="仿宋" w:cs="仿宋"/>
          <w:color w:val="auto"/>
          <w:highlight w:val="none"/>
        </w:rPr>
        <w:t>和递交。</w:t>
      </w:r>
    </w:p>
    <w:p w14:paraId="012C59FC">
      <w:pPr>
        <w:pageBreakBefore w:val="0"/>
        <w:kinsoku/>
        <w:wordWrap/>
        <w:overflowPunct/>
        <w:topLinePunct w:val="0"/>
        <w:bidi w:val="0"/>
        <w:snapToGrid/>
        <w:spacing w:after="0" w:afterLines="0" w:line="400" w:lineRule="exact"/>
        <w:ind w:left="0" w:leftChars="0" w:firstLine="422" w:firstLineChars="200"/>
        <w:textAlignment w:val="auto"/>
        <w:outlineLvl w:val="9"/>
        <w:rPr>
          <w:rFonts w:hint="eastAsia" w:ascii="仿宋" w:hAnsi="仿宋" w:eastAsia="仿宋" w:cs="仿宋"/>
          <w:b/>
          <w:bCs/>
          <w:color w:val="auto"/>
          <w:sz w:val="21"/>
          <w:szCs w:val="21"/>
          <w:highlight w:val="none"/>
        </w:rPr>
      </w:pPr>
      <w:bookmarkStart w:id="33" w:name="_Toc234213532"/>
      <w:bookmarkStart w:id="34" w:name="_Toc244935167"/>
      <w:bookmarkStart w:id="35" w:name="_Toc244934198"/>
      <w:bookmarkStart w:id="36" w:name="_Toc191983619"/>
      <w:bookmarkStart w:id="37" w:name="_Toc25793"/>
      <w:r>
        <w:rPr>
          <w:rFonts w:hint="eastAsia" w:ascii="仿宋" w:hAnsi="仿宋" w:eastAsia="仿宋" w:cs="仿宋"/>
          <w:b/>
          <w:bCs/>
          <w:color w:val="auto"/>
          <w:sz w:val="21"/>
          <w:szCs w:val="21"/>
          <w:highlight w:val="none"/>
        </w:rPr>
        <w:t>5. 开标</w:t>
      </w:r>
      <w:bookmarkEnd w:id="33"/>
      <w:bookmarkEnd w:id="34"/>
      <w:bookmarkEnd w:id="35"/>
      <w:bookmarkEnd w:id="36"/>
      <w:bookmarkEnd w:id="37"/>
    </w:p>
    <w:p w14:paraId="657B9055">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color w:val="auto"/>
          <w:sz w:val="21"/>
          <w:szCs w:val="21"/>
          <w:highlight w:val="none"/>
        </w:rPr>
      </w:pPr>
      <w:bookmarkStart w:id="38" w:name="_Toc297211680"/>
      <w:r>
        <w:rPr>
          <w:rFonts w:hint="eastAsia" w:ascii="仿宋" w:hAnsi="仿宋" w:eastAsia="仿宋" w:cs="仿宋"/>
          <w:b/>
          <w:color w:val="auto"/>
          <w:sz w:val="21"/>
          <w:szCs w:val="21"/>
          <w:highlight w:val="none"/>
        </w:rPr>
        <w:t>5.1开标时间和地点</w:t>
      </w:r>
      <w:bookmarkEnd w:id="38"/>
    </w:p>
    <w:p w14:paraId="1DE4B45E">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b/>
          <w:color w:val="auto"/>
          <w:sz w:val="21"/>
          <w:szCs w:val="21"/>
          <w:highlight w:val="none"/>
          <w:lang w:eastAsia="zh-CN"/>
        </w:rPr>
      </w:pPr>
      <w:r>
        <w:rPr>
          <w:rFonts w:hint="eastAsia" w:ascii="仿宋" w:hAnsi="仿宋" w:eastAsia="仿宋" w:cs="仿宋"/>
          <w:color w:val="auto"/>
          <w:sz w:val="21"/>
          <w:szCs w:val="21"/>
          <w:highlight w:val="none"/>
          <w:lang w:eastAsia="zh-CN"/>
        </w:rPr>
        <w:t>采购人</w:t>
      </w:r>
      <w:r>
        <w:rPr>
          <w:rFonts w:hint="eastAsia" w:ascii="仿宋" w:hAnsi="仿宋" w:eastAsia="仿宋" w:cs="仿宋"/>
          <w:color w:val="auto"/>
          <w:sz w:val="21"/>
          <w:szCs w:val="21"/>
          <w:highlight w:val="none"/>
        </w:rPr>
        <w:t>在规定的投标截止时间（开标时间）和投标人须知前附表规定的地点公开开标</w:t>
      </w:r>
      <w:r>
        <w:rPr>
          <w:rFonts w:hint="eastAsia" w:ascii="仿宋" w:hAnsi="仿宋" w:eastAsia="仿宋" w:cs="仿宋"/>
          <w:color w:val="auto"/>
          <w:sz w:val="21"/>
          <w:szCs w:val="21"/>
          <w:highlight w:val="none"/>
          <w:lang w:eastAsia="zh-CN"/>
        </w:rPr>
        <w:t>。</w:t>
      </w:r>
    </w:p>
    <w:p w14:paraId="01D39C4D">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color w:val="auto"/>
          <w:sz w:val="21"/>
          <w:szCs w:val="21"/>
          <w:highlight w:val="none"/>
        </w:rPr>
      </w:pPr>
      <w:bookmarkStart w:id="39" w:name="_Toc297211681"/>
      <w:r>
        <w:rPr>
          <w:rFonts w:hint="eastAsia" w:ascii="仿宋" w:hAnsi="仿宋" w:eastAsia="仿宋" w:cs="仿宋"/>
          <w:b/>
          <w:color w:val="auto"/>
          <w:sz w:val="21"/>
          <w:szCs w:val="21"/>
          <w:highlight w:val="none"/>
        </w:rPr>
        <w:t>5.2 开标程序</w:t>
      </w:r>
      <w:bookmarkEnd w:id="39"/>
    </w:p>
    <w:p w14:paraId="49465CD2">
      <w:pPr>
        <w:bidi w:val="0"/>
        <w:spacing w:line="440" w:lineRule="exact"/>
        <w:ind w:firstLine="420" w:firstLineChars="200"/>
        <w:outlineLvl w:val="9"/>
        <w:rPr>
          <w:rFonts w:hint="eastAsia" w:ascii="仿宋" w:hAnsi="仿宋" w:eastAsia="仿宋" w:cs="仿宋"/>
          <w:b/>
          <w:bCs/>
          <w:color w:val="auto"/>
          <w:sz w:val="21"/>
          <w:szCs w:val="21"/>
          <w:highlight w:val="none"/>
          <w:lang w:val="en-US" w:eastAsia="zh-CN"/>
        </w:rPr>
      </w:pPr>
      <w:r>
        <w:rPr>
          <w:rFonts w:hint="eastAsia" w:ascii="仿宋" w:hAnsi="仿宋" w:eastAsia="仿宋" w:cs="仿宋"/>
          <w:b w:val="0"/>
          <w:bCs/>
          <w:color w:val="auto"/>
          <w:sz w:val="21"/>
          <w:szCs w:val="21"/>
          <w:highlight w:val="none"/>
          <w:lang w:val="en-US" w:eastAsia="zh-CN"/>
        </w:rPr>
        <w:t xml:space="preserve"> </w:t>
      </w:r>
      <w:r>
        <w:rPr>
          <w:rFonts w:hint="eastAsia" w:ascii="仿宋" w:hAnsi="仿宋" w:eastAsia="仿宋" w:cs="仿宋"/>
          <w:b/>
          <w:bCs w:val="0"/>
          <w:color w:val="auto"/>
          <w:sz w:val="21"/>
          <w:szCs w:val="21"/>
          <w:highlight w:val="none"/>
          <w:lang w:val="en-US" w:eastAsia="zh-CN"/>
        </w:rPr>
        <w:t xml:space="preserve"> 5.2.1</w:t>
      </w:r>
      <w:r>
        <w:rPr>
          <w:rFonts w:hint="eastAsia" w:ascii="仿宋" w:hAnsi="仿宋" w:eastAsia="仿宋" w:cs="仿宋"/>
          <w:b/>
          <w:bCs/>
          <w:color w:val="auto"/>
          <w:sz w:val="21"/>
          <w:szCs w:val="21"/>
          <w:highlight w:val="none"/>
          <w:lang w:val="en-US" w:eastAsia="zh-CN"/>
        </w:rPr>
        <w:t xml:space="preserve">本项目采用“不见面开标”交易方式，不见面开标大厅网址为 </w:t>
      </w:r>
      <w:r>
        <w:rPr>
          <w:rFonts w:hint="eastAsia" w:ascii="仿宋" w:hAnsi="仿宋" w:eastAsia="仿宋" w:cs="仿宋"/>
          <w:b/>
          <w:bCs/>
          <w:color w:val="auto"/>
          <w:sz w:val="21"/>
          <w:szCs w:val="21"/>
          <w:highlight w:val="none"/>
          <w:lang w:val="en-US" w:eastAsia="zh-CN"/>
        </w:rPr>
        <w:fldChar w:fldCharType="begin"/>
      </w:r>
      <w:r>
        <w:rPr>
          <w:rFonts w:hint="eastAsia" w:ascii="仿宋" w:hAnsi="仿宋" w:eastAsia="仿宋" w:cs="仿宋"/>
          <w:b/>
          <w:bCs/>
          <w:color w:val="auto"/>
          <w:sz w:val="21"/>
          <w:szCs w:val="21"/>
          <w:highlight w:val="none"/>
          <w:lang w:val="en-US" w:eastAsia="zh-CN"/>
        </w:rPr>
        <w:instrText xml:space="preserve"> HYPERLINK "http://117.158.91.68:8095/xxhy，投标人无需寄送和递交非加密的电子投标文件，无需到现场参加开标会议，无需到达现场提交原件资料。" </w:instrText>
      </w:r>
      <w:r>
        <w:rPr>
          <w:rFonts w:hint="eastAsia" w:ascii="仿宋" w:hAnsi="仿宋" w:eastAsia="仿宋" w:cs="仿宋"/>
          <w:b/>
          <w:bCs/>
          <w:color w:val="auto"/>
          <w:sz w:val="21"/>
          <w:szCs w:val="21"/>
          <w:highlight w:val="none"/>
          <w:lang w:val="en-US" w:eastAsia="zh-CN"/>
        </w:rPr>
        <w:fldChar w:fldCharType="separate"/>
      </w:r>
      <w:r>
        <w:rPr>
          <w:rFonts w:hint="eastAsia" w:ascii="仿宋" w:hAnsi="仿宋" w:eastAsia="仿宋" w:cs="仿宋"/>
          <w:color w:val="auto"/>
          <w:sz w:val="21"/>
          <w:szCs w:val="21"/>
          <w:highlight w:val="none"/>
          <w:lang w:val="en-US" w:eastAsia="zh-CN"/>
        </w:rPr>
        <w:t>https://ggzyjy.xinyang.gov.cn/BidOpening</w:t>
      </w:r>
      <w:r>
        <w:rPr>
          <w:rFonts w:hint="eastAsia" w:ascii="仿宋" w:hAnsi="仿宋" w:eastAsia="仿宋" w:cs="仿宋"/>
          <w:b/>
          <w:bCs/>
          <w:color w:val="auto"/>
          <w:sz w:val="21"/>
          <w:szCs w:val="21"/>
          <w:highlight w:val="none"/>
          <w:lang w:val="en-US" w:eastAsia="zh-CN"/>
        </w:rPr>
        <w:t>投标人无需寄送和递交</w:t>
      </w:r>
      <w:r>
        <w:rPr>
          <w:rFonts w:hint="eastAsia" w:ascii="仿宋" w:hAnsi="仿宋" w:eastAsia="仿宋" w:cs="仿宋"/>
          <w:b/>
          <w:bCs/>
          <w:color w:val="auto"/>
          <w:sz w:val="21"/>
          <w:szCs w:val="21"/>
          <w:highlight w:val="none"/>
        </w:rPr>
        <w:t>非加密的电子投标文件</w:t>
      </w:r>
      <w:r>
        <w:rPr>
          <w:rFonts w:hint="eastAsia" w:ascii="仿宋" w:hAnsi="仿宋" w:eastAsia="仿宋" w:cs="仿宋"/>
          <w:b/>
          <w:bCs/>
          <w:color w:val="auto"/>
          <w:sz w:val="21"/>
          <w:szCs w:val="21"/>
          <w:highlight w:val="none"/>
          <w:lang w:eastAsia="zh-CN"/>
        </w:rPr>
        <w:t>，</w:t>
      </w:r>
      <w:r>
        <w:rPr>
          <w:rFonts w:hint="eastAsia" w:ascii="仿宋" w:hAnsi="仿宋" w:eastAsia="仿宋" w:cs="仿宋"/>
          <w:b/>
          <w:bCs/>
          <w:color w:val="auto"/>
          <w:sz w:val="21"/>
          <w:szCs w:val="21"/>
          <w:highlight w:val="none"/>
          <w:lang w:val="en-US" w:eastAsia="zh-CN"/>
        </w:rPr>
        <w:t>无需到现场参加开标会议，无需到达现场提交原件资料。</w:t>
      </w:r>
      <w:r>
        <w:rPr>
          <w:rFonts w:hint="eastAsia" w:ascii="仿宋" w:hAnsi="仿宋" w:eastAsia="仿宋" w:cs="仿宋"/>
          <w:b/>
          <w:bCs/>
          <w:color w:val="auto"/>
          <w:sz w:val="21"/>
          <w:szCs w:val="21"/>
          <w:highlight w:val="none"/>
          <w:lang w:val="en-US" w:eastAsia="zh-CN"/>
        </w:rPr>
        <w:fldChar w:fldCharType="end"/>
      </w:r>
    </w:p>
    <w:p w14:paraId="59DE2929">
      <w:pPr>
        <w:bidi w:val="0"/>
        <w:spacing w:line="440" w:lineRule="exact"/>
        <w:ind w:firstLine="422" w:firstLineChars="200"/>
        <w:outlineLvl w:val="9"/>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投标人应当在投标截止时间前，使用投标人CA数字证书登录不见面开标大厅，在线签到并准时参加开标活动，并在规定时间内完成投标文件解密、答疑澄清等。</w:t>
      </w:r>
    </w:p>
    <w:p w14:paraId="2EFF10AB">
      <w:pPr>
        <w:bidi w:val="0"/>
        <w:spacing w:line="440" w:lineRule="exact"/>
        <w:ind w:firstLine="422" w:firstLineChars="200"/>
        <w:outlineLvl w:val="9"/>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投标人需在解密开始后10分钟内完成解密（当投标人过多时，解密时间可以适当延长）。在投标文件解密过程中，因投标人原因（如投标人准备不到位、电脑网络问题等），造成无法及时解密的，将被退回投标文件。</w:t>
      </w:r>
    </w:p>
    <w:p w14:paraId="19F7F58A">
      <w:pPr>
        <w:bidi w:val="0"/>
        <w:spacing w:line="440" w:lineRule="exact"/>
        <w:ind w:firstLine="422" w:firstLineChars="200"/>
        <w:outlineLvl w:val="9"/>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不见面开标服务的具体事宜，请查阅信阳市公共资源交易中心网站首页—下载中心—信阳市不见面开标大厅系统操作手册 。</w:t>
      </w:r>
    </w:p>
    <w:p w14:paraId="2573C422">
      <w:pPr>
        <w:bidi w:val="0"/>
        <w:spacing w:line="440" w:lineRule="exact"/>
        <w:ind w:firstLine="422" w:firstLineChars="200"/>
        <w:outlineLvl w:val="9"/>
        <w:rPr>
          <w:rFonts w:hint="eastAsia" w:ascii="仿宋" w:hAnsi="仿宋" w:eastAsia="仿宋" w:cs="仿宋"/>
          <w:b w:val="0"/>
          <w:bCs/>
          <w:color w:val="auto"/>
          <w:sz w:val="21"/>
          <w:szCs w:val="21"/>
          <w:highlight w:val="none"/>
          <w:lang w:val="en-US" w:eastAsia="zh-CN"/>
        </w:rPr>
      </w:pPr>
      <w:r>
        <w:rPr>
          <w:rFonts w:hint="eastAsia" w:ascii="仿宋" w:hAnsi="仿宋" w:eastAsia="仿宋" w:cs="仿宋"/>
          <w:b/>
          <w:bCs/>
          <w:color w:val="auto"/>
          <w:sz w:val="21"/>
          <w:szCs w:val="21"/>
          <w:highlight w:val="none"/>
        </w:rPr>
        <w:t>开标</w:t>
      </w:r>
      <w:r>
        <w:rPr>
          <w:rFonts w:hint="eastAsia" w:ascii="仿宋" w:hAnsi="仿宋" w:eastAsia="仿宋" w:cs="仿宋"/>
          <w:b/>
          <w:bCs/>
          <w:color w:val="auto"/>
          <w:sz w:val="21"/>
          <w:szCs w:val="21"/>
          <w:highlight w:val="none"/>
          <w:lang w:eastAsia="zh-CN"/>
        </w:rPr>
        <w:t>过程中</w:t>
      </w:r>
      <w:r>
        <w:rPr>
          <w:rFonts w:hint="eastAsia" w:ascii="仿宋" w:hAnsi="仿宋" w:eastAsia="仿宋" w:cs="仿宋"/>
          <w:b/>
          <w:bCs/>
          <w:color w:val="auto"/>
          <w:sz w:val="21"/>
          <w:szCs w:val="21"/>
          <w:highlight w:val="none"/>
        </w:rPr>
        <w:t>，</w:t>
      </w:r>
      <w:r>
        <w:rPr>
          <w:rFonts w:hint="eastAsia" w:ascii="仿宋" w:hAnsi="仿宋" w:eastAsia="仿宋" w:cs="仿宋"/>
          <w:b/>
          <w:bCs/>
          <w:color w:val="auto"/>
          <w:sz w:val="21"/>
          <w:szCs w:val="21"/>
          <w:highlight w:val="none"/>
          <w:lang w:eastAsia="zh-CN"/>
        </w:rPr>
        <w:t>投标人</w:t>
      </w:r>
      <w:r>
        <w:rPr>
          <w:rFonts w:hint="eastAsia" w:ascii="仿宋" w:hAnsi="仿宋" w:eastAsia="仿宋" w:cs="仿宋"/>
          <w:b/>
          <w:bCs/>
          <w:color w:val="auto"/>
          <w:sz w:val="21"/>
          <w:szCs w:val="21"/>
          <w:highlight w:val="none"/>
        </w:rPr>
        <w:t>如有异议，须</w:t>
      </w:r>
      <w:r>
        <w:rPr>
          <w:rFonts w:hint="eastAsia" w:ascii="仿宋" w:hAnsi="仿宋" w:eastAsia="仿宋" w:cs="仿宋"/>
          <w:b/>
          <w:bCs/>
          <w:color w:val="auto"/>
          <w:sz w:val="21"/>
          <w:szCs w:val="21"/>
          <w:highlight w:val="none"/>
          <w:lang w:eastAsia="zh-CN"/>
        </w:rPr>
        <w:t>在开标结束前</w:t>
      </w:r>
      <w:r>
        <w:rPr>
          <w:rFonts w:hint="eastAsia" w:ascii="仿宋" w:hAnsi="仿宋" w:eastAsia="仿宋" w:cs="仿宋"/>
          <w:b/>
          <w:bCs/>
          <w:color w:val="auto"/>
          <w:sz w:val="21"/>
          <w:szCs w:val="21"/>
          <w:highlight w:val="none"/>
        </w:rPr>
        <w:t>通过系统提出，否则视同</w:t>
      </w:r>
      <w:r>
        <w:rPr>
          <w:rFonts w:hint="eastAsia" w:ascii="仿宋" w:hAnsi="仿宋" w:eastAsia="仿宋" w:cs="仿宋"/>
          <w:b/>
          <w:bCs/>
          <w:color w:val="auto"/>
          <w:sz w:val="21"/>
          <w:szCs w:val="21"/>
          <w:highlight w:val="none"/>
          <w:lang w:eastAsia="zh-CN"/>
        </w:rPr>
        <w:t>认可</w:t>
      </w:r>
      <w:r>
        <w:rPr>
          <w:rFonts w:hint="eastAsia" w:ascii="仿宋" w:hAnsi="仿宋" w:eastAsia="仿宋" w:cs="仿宋"/>
          <w:b/>
          <w:bCs/>
          <w:color w:val="auto"/>
          <w:sz w:val="21"/>
          <w:szCs w:val="21"/>
          <w:highlight w:val="none"/>
        </w:rPr>
        <w:t>开标记录</w:t>
      </w:r>
      <w:r>
        <w:rPr>
          <w:rFonts w:hint="eastAsia" w:ascii="仿宋" w:hAnsi="仿宋" w:eastAsia="仿宋" w:cs="仿宋"/>
          <w:b/>
          <w:bCs/>
          <w:color w:val="auto"/>
          <w:sz w:val="21"/>
          <w:szCs w:val="21"/>
          <w:highlight w:val="none"/>
          <w:lang w:eastAsia="zh-CN"/>
        </w:rPr>
        <w:t>。开标结束后，</w:t>
      </w:r>
      <w:r>
        <w:rPr>
          <w:rFonts w:hint="eastAsia" w:ascii="仿宋" w:hAnsi="仿宋" w:eastAsia="仿宋" w:cs="仿宋"/>
          <w:b/>
          <w:bCs/>
          <w:color w:val="auto"/>
          <w:sz w:val="21"/>
          <w:szCs w:val="21"/>
          <w:highlight w:val="none"/>
        </w:rPr>
        <w:t>对开标记录</w:t>
      </w:r>
      <w:r>
        <w:rPr>
          <w:rFonts w:hint="eastAsia" w:ascii="仿宋" w:hAnsi="仿宋" w:eastAsia="仿宋" w:cs="仿宋"/>
          <w:b/>
          <w:bCs/>
          <w:color w:val="auto"/>
          <w:sz w:val="21"/>
          <w:szCs w:val="21"/>
          <w:highlight w:val="none"/>
          <w:lang w:eastAsia="zh-CN"/>
        </w:rPr>
        <w:t>的</w:t>
      </w:r>
      <w:r>
        <w:rPr>
          <w:rFonts w:hint="eastAsia" w:ascii="仿宋" w:hAnsi="仿宋" w:eastAsia="仿宋" w:cs="仿宋"/>
          <w:b/>
          <w:bCs/>
          <w:color w:val="auto"/>
          <w:sz w:val="21"/>
          <w:szCs w:val="21"/>
          <w:highlight w:val="none"/>
        </w:rPr>
        <w:t>任何异议</w:t>
      </w:r>
      <w:r>
        <w:rPr>
          <w:rFonts w:hint="eastAsia" w:ascii="仿宋" w:hAnsi="仿宋" w:eastAsia="仿宋" w:cs="仿宋"/>
          <w:b/>
          <w:bCs/>
          <w:color w:val="auto"/>
          <w:sz w:val="21"/>
          <w:szCs w:val="21"/>
          <w:highlight w:val="none"/>
          <w:lang w:eastAsia="zh-CN"/>
        </w:rPr>
        <w:t>不再接受</w:t>
      </w:r>
      <w:r>
        <w:rPr>
          <w:rFonts w:hint="eastAsia" w:ascii="仿宋" w:hAnsi="仿宋" w:eastAsia="仿宋" w:cs="仿宋"/>
          <w:b/>
          <w:bCs/>
          <w:color w:val="auto"/>
          <w:sz w:val="21"/>
          <w:szCs w:val="21"/>
          <w:highlight w:val="none"/>
        </w:rPr>
        <w:t xml:space="preserve">。 </w:t>
      </w:r>
    </w:p>
    <w:p w14:paraId="4AD1E4B4">
      <w:pPr>
        <w:pStyle w:val="5"/>
        <w:pageBreakBefore w:val="0"/>
        <w:kinsoku/>
        <w:wordWrap/>
        <w:overflowPunct/>
        <w:topLinePunct w:val="0"/>
        <w:bidi w:val="0"/>
        <w:snapToGrid/>
        <w:spacing w:after="0" w:afterLines="0" w:line="400" w:lineRule="exact"/>
        <w:ind w:left="0" w:leftChars="0" w:firstLine="422" w:firstLineChars="200"/>
        <w:textAlignment w:val="auto"/>
        <w:outlineLvl w:val="9"/>
        <w:rPr>
          <w:rFonts w:hint="eastAsia" w:ascii="仿宋" w:hAnsi="仿宋" w:eastAsia="仿宋" w:cs="仿宋"/>
          <w:b/>
          <w:color w:val="auto"/>
          <w:szCs w:val="21"/>
          <w:highlight w:val="none"/>
        </w:rPr>
      </w:pPr>
      <w:bookmarkStart w:id="40" w:name="_Toc234213533"/>
      <w:bookmarkStart w:id="41" w:name="_Toc12176"/>
      <w:bookmarkStart w:id="42" w:name="_Toc191983620"/>
      <w:bookmarkStart w:id="43" w:name="_Toc244935168"/>
      <w:bookmarkStart w:id="44" w:name="_Toc244934199"/>
      <w:r>
        <w:rPr>
          <w:rFonts w:hint="eastAsia" w:ascii="仿宋" w:hAnsi="仿宋" w:eastAsia="仿宋" w:cs="仿宋"/>
          <w:b/>
          <w:color w:val="auto"/>
          <w:szCs w:val="21"/>
          <w:highlight w:val="none"/>
        </w:rPr>
        <w:t>5.2.2资格审查</w:t>
      </w:r>
    </w:p>
    <w:p w14:paraId="72AE928D">
      <w:pPr>
        <w:pStyle w:val="5"/>
        <w:pageBreakBefore w:val="0"/>
        <w:kinsoku/>
        <w:wordWrap/>
        <w:overflowPunct/>
        <w:topLinePunct w:val="0"/>
        <w:bidi w:val="0"/>
        <w:snapToGrid/>
        <w:spacing w:after="0" w:afterLines="0" w:line="400" w:lineRule="exact"/>
        <w:ind w:left="0" w:leftChars="0" w:firstLine="420" w:firstLineChars="200"/>
        <w:textAlignment w:val="auto"/>
        <w:outlineLvl w:val="9"/>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开标结束后，由采购</w:t>
      </w:r>
      <w:r>
        <w:rPr>
          <w:rFonts w:hint="eastAsia" w:ascii="仿宋" w:hAnsi="仿宋" w:eastAsia="仿宋" w:cs="仿宋"/>
          <w:bCs/>
          <w:color w:val="auto"/>
          <w:szCs w:val="21"/>
          <w:highlight w:val="none"/>
          <w:lang w:eastAsia="zh-CN"/>
        </w:rPr>
        <w:t>代理</w:t>
      </w:r>
      <w:r>
        <w:rPr>
          <w:rFonts w:hint="eastAsia" w:ascii="仿宋" w:hAnsi="仿宋" w:eastAsia="仿宋" w:cs="仿宋"/>
          <w:bCs/>
          <w:color w:val="auto"/>
          <w:szCs w:val="21"/>
          <w:highlight w:val="none"/>
        </w:rPr>
        <w:t>机构成立资格审查小组，按照“投标人须知前附表</w:t>
      </w:r>
      <w:r>
        <w:rPr>
          <w:rFonts w:hint="eastAsia" w:ascii="仿宋" w:hAnsi="仿宋" w:eastAsia="仿宋" w:cs="仿宋"/>
          <w:bCs/>
          <w:color w:val="auto"/>
          <w:szCs w:val="21"/>
          <w:highlight w:val="none"/>
          <w:lang w:val="en-US" w:eastAsia="zh-CN"/>
        </w:rPr>
        <w:t>1.4.1</w:t>
      </w:r>
      <w:r>
        <w:rPr>
          <w:rFonts w:hint="eastAsia" w:ascii="仿宋" w:hAnsi="仿宋" w:eastAsia="仿宋" w:cs="仿宋"/>
          <w:bCs/>
          <w:color w:val="auto"/>
          <w:szCs w:val="21"/>
          <w:highlight w:val="none"/>
        </w:rPr>
        <w:t>投标人资格要求”对投标人进行资格审查。</w:t>
      </w:r>
    </w:p>
    <w:p w14:paraId="518A81BF">
      <w:pPr>
        <w:pStyle w:val="5"/>
        <w:pageBreakBefore w:val="0"/>
        <w:kinsoku/>
        <w:wordWrap/>
        <w:overflowPunct/>
        <w:topLinePunct w:val="0"/>
        <w:bidi w:val="0"/>
        <w:snapToGrid/>
        <w:spacing w:after="0" w:afterLines="0" w:line="400" w:lineRule="exact"/>
        <w:ind w:left="0" w:leftChars="0" w:firstLine="420" w:firstLineChars="200"/>
        <w:textAlignment w:val="auto"/>
        <w:outlineLvl w:val="9"/>
        <w:rPr>
          <w:rFonts w:hint="eastAsia" w:ascii="仿宋" w:hAnsi="仿宋" w:eastAsia="仿宋" w:cs="仿宋"/>
          <w:bCs/>
          <w:color w:val="auto"/>
          <w:szCs w:val="21"/>
          <w:highlight w:val="none"/>
        </w:rPr>
      </w:pPr>
      <w:r>
        <w:rPr>
          <w:rFonts w:hint="eastAsia" w:ascii="仿宋" w:hAnsi="仿宋" w:eastAsia="仿宋" w:cs="仿宋"/>
          <w:bCs/>
          <w:color w:val="auto"/>
          <w:szCs w:val="21"/>
          <w:highlight w:val="none"/>
        </w:rPr>
        <w:t xml:space="preserve">通过资格审查的投标人不足三家的，按废标处理，采购人应依法重新招标。   </w:t>
      </w:r>
    </w:p>
    <w:p w14:paraId="3932929C">
      <w:pPr>
        <w:pageBreakBefore w:val="0"/>
        <w:kinsoku/>
        <w:wordWrap/>
        <w:overflowPunct/>
        <w:topLinePunct w:val="0"/>
        <w:bidi w:val="0"/>
        <w:snapToGrid/>
        <w:spacing w:after="0" w:afterLines="0" w:line="400" w:lineRule="exact"/>
        <w:ind w:left="0" w:leftChars="0" w:firstLine="422" w:firstLineChars="200"/>
        <w:textAlignment w:val="auto"/>
        <w:outlineLvl w:val="9"/>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6. 评标</w:t>
      </w:r>
      <w:bookmarkEnd w:id="40"/>
      <w:bookmarkEnd w:id="41"/>
      <w:bookmarkEnd w:id="42"/>
      <w:bookmarkEnd w:id="43"/>
      <w:bookmarkEnd w:id="44"/>
    </w:p>
    <w:p w14:paraId="53924D85">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bCs/>
          <w:color w:val="auto"/>
          <w:sz w:val="21"/>
          <w:szCs w:val="21"/>
          <w:highlight w:val="none"/>
        </w:rPr>
      </w:pPr>
      <w:bookmarkStart w:id="45" w:name="_Toc244935169"/>
      <w:bookmarkStart w:id="46" w:name="_Toc191983621"/>
      <w:bookmarkStart w:id="47" w:name="_Toc244934200"/>
      <w:bookmarkStart w:id="48" w:name="_Toc234213534"/>
      <w:r>
        <w:rPr>
          <w:rFonts w:hint="eastAsia" w:ascii="仿宋" w:hAnsi="仿宋" w:eastAsia="仿宋" w:cs="仿宋"/>
          <w:b/>
          <w:bCs/>
          <w:color w:val="auto"/>
          <w:sz w:val="21"/>
          <w:szCs w:val="21"/>
          <w:highlight w:val="none"/>
        </w:rPr>
        <w:t>6.1评标委员会</w:t>
      </w:r>
    </w:p>
    <w:p w14:paraId="62604383">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6.1.1  评标由采购人依法组建的评标委员会负责。评标委员会由采购人熟悉相关业务的代表，以及有关技术、经济等方面的专家组成。评标委员会成员人数以及技术、经济等方面专家的确定方式见投标人须知前附表。</w:t>
      </w:r>
    </w:p>
    <w:p w14:paraId="1F7DC98C">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6.1.2  评标委员会成员有下列情形之一的，应当回避：</w:t>
      </w:r>
    </w:p>
    <w:p w14:paraId="1EDFFB3C">
      <w:pPr>
        <w:pageBreakBefore w:val="0"/>
        <w:numPr>
          <w:ilvl w:val="0"/>
          <w:numId w:val="6"/>
        </w:numPr>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投标人或投标人的主要负责人的近亲属；</w:t>
      </w:r>
    </w:p>
    <w:p w14:paraId="7ACC57AC">
      <w:pPr>
        <w:pageBreakBefore w:val="0"/>
        <w:numPr>
          <w:ilvl w:val="0"/>
          <w:numId w:val="6"/>
        </w:numPr>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项目主管部门或者行政监督部门的人员；</w:t>
      </w:r>
    </w:p>
    <w:p w14:paraId="489CBFD7">
      <w:pPr>
        <w:pageBreakBefore w:val="0"/>
        <w:numPr>
          <w:ilvl w:val="0"/>
          <w:numId w:val="6"/>
        </w:numPr>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与投标人有经济利益关系，可能影响对投标公正评审的；</w:t>
      </w:r>
    </w:p>
    <w:p w14:paraId="52F04D8A">
      <w:pPr>
        <w:pageBreakBefore w:val="0"/>
        <w:numPr>
          <w:ilvl w:val="0"/>
          <w:numId w:val="6"/>
        </w:numPr>
        <w:tabs>
          <w:tab w:val="left" w:pos="0"/>
          <w:tab w:val="clear" w:pos="420"/>
        </w:tabs>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曾因在招标、评标以及其他与招标投标有关活动中从事违法行为而受过行政处罚或刑事处罚的。</w:t>
      </w:r>
    </w:p>
    <w:p w14:paraId="362D5046">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6.2 评标原则</w:t>
      </w:r>
    </w:p>
    <w:p w14:paraId="2478A2BD">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评标活动遵循公平、公正、科学和择优的原则。</w:t>
      </w:r>
    </w:p>
    <w:p w14:paraId="40F2F412">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6.3 评标过程的保密</w:t>
      </w:r>
    </w:p>
    <w:p w14:paraId="7B3AB0DA">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公开开标后，直到授予中标人合同为止，凡属于对投标文件的审查、澄清、评价和比较的有关资料以及中标候选人的推荐情况、与评标有关的其他任何情况均应严格保密。</w:t>
      </w:r>
    </w:p>
    <w:p w14:paraId="4341BAB5">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6.4  评标</w:t>
      </w:r>
    </w:p>
    <w:p w14:paraId="7BD01FBC">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评标委员会按照第三章“评标办法”规定的方法和程序对投标文件进行评审。第三章“评标办法”没有规定的方法和标准，不作为评标依据。</w:t>
      </w:r>
    </w:p>
    <w:bookmarkEnd w:id="45"/>
    <w:bookmarkEnd w:id="46"/>
    <w:bookmarkEnd w:id="47"/>
    <w:bookmarkEnd w:id="48"/>
    <w:p w14:paraId="0BEC3310">
      <w:pPr>
        <w:pageBreakBefore w:val="0"/>
        <w:kinsoku/>
        <w:wordWrap/>
        <w:overflowPunct/>
        <w:topLinePunct w:val="0"/>
        <w:bidi w:val="0"/>
        <w:snapToGrid/>
        <w:spacing w:after="0" w:afterLines="0" w:line="400" w:lineRule="exact"/>
        <w:ind w:left="0" w:leftChars="0" w:firstLine="422" w:firstLineChars="200"/>
        <w:textAlignment w:val="auto"/>
        <w:outlineLvl w:val="9"/>
        <w:rPr>
          <w:rFonts w:hint="eastAsia" w:ascii="仿宋" w:hAnsi="仿宋" w:eastAsia="仿宋" w:cs="仿宋"/>
          <w:b/>
          <w:bCs/>
          <w:color w:val="auto"/>
          <w:sz w:val="21"/>
          <w:szCs w:val="21"/>
          <w:highlight w:val="none"/>
        </w:rPr>
      </w:pPr>
      <w:bookmarkStart w:id="49" w:name="_Toc22044"/>
      <w:bookmarkStart w:id="50" w:name="_Toc184635077"/>
      <w:r>
        <w:rPr>
          <w:rFonts w:hint="eastAsia" w:ascii="仿宋" w:hAnsi="仿宋" w:eastAsia="仿宋" w:cs="仿宋"/>
          <w:b/>
          <w:bCs/>
          <w:color w:val="auto"/>
          <w:sz w:val="21"/>
          <w:szCs w:val="21"/>
          <w:highlight w:val="none"/>
        </w:rPr>
        <w:t>7．合同授予</w:t>
      </w:r>
      <w:bookmarkEnd w:id="49"/>
      <w:bookmarkEnd w:id="50"/>
    </w:p>
    <w:p w14:paraId="65999726">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7.1 定标方式</w:t>
      </w:r>
    </w:p>
    <w:p w14:paraId="56156B07">
      <w:pPr>
        <w:pStyle w:val="41"/>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bCs/>
          <w:color w:val="auto"/>
          <w:sz w:val="21"/>
          <w:szCs w:val="21"/>
          <w:highlight w:val="none"/>
        </w:rPr>
        <w:t xml:space="preserve"> </w:t>
      </w:r>
      <w:r>
        <w:rPr>
          <w:rFonts w:hint="eastAsia" w:ascii="仿宋" w:hAnsi="仿宋" w:eastAsia="仿宋" w:cs="仿宋"/>
          <w:bCs/>
          <w:color w:val="auto"/>
          <w:sz w:val="21"/>
          <w:szCs w:val="21"/>
          <w:highlight w:val="none"/>
          <w:lang w:eastAsia="zh-CN"/>
        </w:rPr>
        <w:t>采购人</w:t>
      </w:r>
      <w:r>
        <w:rPr>
          <w:rFonts w:hint="eastAsia" w:ascii="仿宋" w:hAnsi="仿宋" w:eastAsia="仿宋" w:cs="仿宋"/>
          <w:bCs/>
          <w:color w:val="auto"/>
          <w:sz w:val="21"/>
          <w:szCs w:val="21"/>
          <w:highlight w:val="none"/>
        </w:rPr>
        <w:t>依据评标委员会推荐的中标候选人确定中标人，评标委员会推荐中标候选人的人数见投标人须知前附表。</w:t>
      </w:r>
      <w:r>
        <w:rPr>
          <w:rFonts w:hint="eastAsia" w:ascii="仿宋" w:hAnsi="仿宋" w:eastAsia="仿宋" w:cs="仿宋"/>
          <w:color w:val="auto"/>
          <w:sz w:val="21"/>
          <w:szCs w:val="21"/>
          <w:highlight w:val="none"/>
        </w:rPr>
        <w:t>采购人自收到评标报告之日起5个工作日内，采购人将对中标候选人所投产品的功能、技术参数、兼容性等进行实地测试，如发现中标候选人弄虚作假响应招标文件的，则按照国家相关法律法规进行处罚，列入政府采购黑名单，并做经济处罚。</w:t>
      </w:r>
    </w:p>
    <w:p w14:paraId="397BCBB5">
      <w:pPr>
        <w:pStyle w:val="41"/>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中标候选人验证通过后，采购人依据评标报告确定的中标候选人名单中按顺序确定中标人</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若第一</w:t>
      </w:r>
      <w:r>
        <w:rPr>
          <w:rFonts w:hint="eastAsia" w:ascii="仿宋" w:hAnsi="仿宋" w:eastAsia="仿宋" w:cs="仿宋"/>
          <w:color w:val="auto"/>
          <w:sz w:val="21"/>
          <w:szCs w:val="21"/>
          <w:highlight w:val="none"/>
          <w:lang w:eastAsia="zh-CN"/>
        </w:rPr>
        <w:t>中标</w:t>
      </w:r>
      <w:r>
        <w:rPr>
          <w:rFonts w:hint="eastAsia" w:ascii="仿宋" w:hAnsi="仿宋" w:eastAsia="仿宋" w:cs="仿宋"/>
          <w:color w:val="auto"/>
          <w:sz w:val="21"/>
          <w:szCs w:val="21"/>
          <w:highlight w:val="none"/>
        </w:rPr>
        <w:t>候选人放弃成交、因不可抗力不能履行合同、不按照</w:t>
      </w:r>
      <w:r>
        <w:rPr>
          <w:rFonts w:hint="eastAsia" w:ascii="仿宋" w:hAnsi="仿宋" w:eastAsia="仿宋" w:cs="仿宋"/>
          <w:color w:val="auto"/>
          <w:sz w:val="21"/>
          <w:szCs w:val="21"/>
          <w:highlight w:val="none"/>
          <w:lang w:eastAsia="zh-CN"/>
        </w:rPr>
        <w:t>招标</w:t>
      </w:r>
      <w:r>
        <w:rPr>
          <w:rFonts w:hint="eastAsia" w:ascii="仿宋" w:hAnsi="仿宋" w:eastAsia="仿宋" w:cs="仿宋"/>
          <w:color w:val="auto"/>
          <w:sz w:val="21"/>
          <w:szCs w:val="21"/>
          <w:highlight w:val="none"/>
        </w:rPr>
        <w:t>文件要求提交履约保证金，或者被查实存在影响</w:t>
      </w:r>
      <w:r>
        <w:rPr>
          <w:rFonts w:hint="eastAsia" w:ascii="仿宋" w:hAnsi="仿宋" w:eastAsia="仿宋" w:cs="仿宋"/>
          <w:color w:val="auto"/>
          <w:sz w:val="21"/>
          <w:szCs w:val="21"/>
          <w:highlight w:val="none"/>
          <w:lang w:eastAsia="zh-CN"/>
        </w:rPr>
        <w:t>中标</w:t>
      </w:r>
      <w:r>
        <w:rPr>
          <w:rFonts w:hint="eastAsia" w:ascii="仿宋" w:hAnsi="仿宋" w:eastAsia="仿宋" w:cs="仿宋"/>
          <w:color w:val="auto"/>
          <w:sz w:val="21"/>
          <w:szCs w:val="21"/>
          <w:highlight w:val="none"/>
        </w:rPr>
        <w:t>结果的违法行为等情形，不符合</w:t>
      </w:r>
      <w:r>
        <w:rPr>
          <w:rFonts w:hint="eastAsia" w:ascii="仿宋" w:hAnsi="仿宋" w:eastAsia="仿宋" w:cs="仿宋"/>
          <w:color w:val="auto"/>
          <w:sz w:val="21"/>
          <w:szCs w:val="21"/>
          <w:highlight w:val="none"/>
          <w:lang w:eastAsia="zh-CN"/>
        </w:rPr>
        <w:t>中标</w:t>
      </w:r>
      <w:r>
        <w:rPr>
          <w:rFonts w:hint="eastAsia" w:ascii="仿宋" w:hAnsi="仿宋" w:eastAsia="仿宋" w:cs="仿宋"/>
          <w:color w:val="auto"/>
          <w:sz w:val="21"/>
          <w:szCs w:val="21"/>
          <w:highlight w:val="none"/>
        </w:rPr>
        <w:t>条件的，</w:t>
      </w:r>
      <w:r>
        <w:rPr>
          <w:rFonts w:hint="eastAsia" w:ascii="仿宋" w:hAnsi="仿宋" w:eastAsia="仿宋" w:cs="仿宋"/>
          <w:color w:val="auto"/>
          <w:sz w:val="21"/>
          <w:szCs w:val="21"/>
          <w:highlight w:val="none"/>
          <w:lang w:eastAsia="zh-CN"/>
        </w:rPr>
        <w:t>采购人</w:t>
      </w:r>
      <w:r>
        <w:rPr>
          <w:rFonts w:hint="eastAsia" w:ascii="仿宋" w:hAnsi="仿宋" w:eastAsia="仿宋" w:cs="仿宋"/>
          <w:color w:val="auto"/>
          <w:sz w:val="21"/>
          <w:szCs w:val="21"/>
          <w:highlight w:val="none"/>
        </w:rPr>
        <w:t>可以按照</w:t>
      </w:r>
      <w:r>
        <w:rPr>
          <w:rFonts w:hint="eastAsia" w:ascii="仿宋" w:hAnsi="仿宋" w:eastAsia="仿宋" w:cs="仿宋"/>
          <w:color w:val="auto"/>
          <w:sz w:val="21"/>
          <w:szCs w:val="21"/>
          <w:highlight w:val="none"/>
          <w:lang w:eastAsia="zh-CN"/>
        </w:rPr>
        <w:t>评标委员会</w:t>
      </w:r>
      <w:r>
        <w:rPr>
          <w:rFonts w:hint="eastAsia" w:ascii="仿宋" w:hAnsi="仿宋" w:eastAsia="仿宋" w:cs="仿宋"/>
          <w:color w:val="auto"/>
          <w:sz w:val="21"/>
          <w:szCs w:val="21"/>
          <w:highlight w:val="none"/>
        </w:rPr>
        <w:t>提出的</w:t>
      </w:r>
      <w:r>
        <w:rPr>
          <w:rFonts w:hint="eastAsia" w:ascii="仿宋" w:hAnsi="仿宋" w:eastAsia="仿宋" w:cs="仿宋"/>
          <w:color w:val="auto"/>
          <w:sz w:val="21"/>
          <w:szCs w:val="21"/>
          <w:highlight w:val="none"/>
          <w:lang w:eastAsia="zh-CN"/>
        </w:rPr>
        <w:t>中标</w:t>
      </w:r>
      <w:r>
        <w:rPr>
          <w:rFonts w:hint="eastAsia" w:ascii="仿宋" w:hAnsi="仿宋" w:eastAsia="仿宋" w:cs="仿宋"/>
          <w:color w:val="auto"/>
          <w:sz w:val="21"/>
          <w:szCs w:val="21"/>
          <w:highlight w:val="none"/>
        </w:rPr>
        <w:t>候选人名单排序依次确定其他</w:t>
      </w:r>
      <w:r>
        <w:rPr>
          <w:rFonts w:hint="eastAsia" w:ascii="仿宋" w:hAnsi="仿宋" w:eastAsia="仿宋" w:cs="仿宋"/>
          <w:color w:val="auto"/>
          <w:sz w:val="21"/>
          <w:szCs w:val="21"/>
          <w:highlight w:val="none"/>
          <w:lang w:eastAsia="zh-CN"/>
        </w:rPr>
        <w:t>中标</w:t>
      </w:r>
      <w:r>
        <w:rPr>
          <w:rFonts w:hint="eastAsia" w:ascii="仿宋" w:hAnsi="仿宋" w:eastAsia="仿宋" w:cs="仿宋"/>
          <w:color w:val="auto"/>
          <w:sz w:val="21"/>
          <w:szCs w:val="21"/>
          <w:highlight w:val="none"/>
        </w:rPr>
        <w:t>候选人为</w:t>
      </w:r>
      <w:r>
        <w:rPr>
          <w:rFonts w:hint="eastAsia" w:ascii="仿宋" w:hAnsi="仿宋" w:eastAsia="仿宋" w:cs="仿宋"/>
          <w:color w:val="auto"/>
          <w:sz w:val="21"/>
          <w:szCs w:val="21"/>
          <w:highlight w:val="none"/>
          <w:lang w:eastAsia="zh-CN"/>
        </w:rPr>
        <w:t>中标</w:t>
      </w:r>
      <w:r>
        <w:rPr>
          <w:rFonts w:hint="eastAsia" w:ascii="仿宋" w:hAnsi="仿宋" w:eastAsia="仿宋" w:cs="仿宋"/>
          <w:color w:val="auto"/>
          <w:sz w:val="21"/>
          <w:szCs w:val="21"/>
          <w:highlight w:val="none"/>
        </w:rPr>
        <w:t>人，也可以重新</w:t>
      </w:r>
      <w:r>
        <w:rPr>
          <w:rFonts w:hint="eastAsia" w:ascii="仿宋" w:hAnsi="仿宋" w:eastAsia="仿宋" w:cs="仿宋"/>
          <w:color w:val="auto"/>
          <w:sz w:val="21"/>
          <w:szCs w:val="21"/>
          <w:highlight w:val="none"/>
          <w:lang w:eastAsia="zh-CN"/>
        </w:rPr>
        <w:t>招标</w:t>
      </w:r>
      <w:r>
        <w:rPr>
          <w:rFonts w:hint="eastAsia" w:ascii="仿宋" w:hAnsi="仿宋" w:eastAsia="仿宋" w:cs="仿宋"/>
          <w:color w:val="auto"/>
          <w:sz w:val="21"/>
          <w:szCs w:val="21"/>
          <w:highlight w:val="none"/>
        </w:rPr>
        <w:t>。</w:t>
      </w:r>
    </w:p>
    <w:p w14:paraId="153B0A62">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b/>
          <w:color w:val="auto"/>
          <w:sz w:val="21"/>
          <w:szCs w:val="21"/>
          <w:highlight w:val="none"/>
        </w:rPr>
      </w:pPr>
      <w:r>
        <w:rPr>
          <w:rFonts w:hint="eastAsia" w:ascii="仿宋" w:hAnsi="仿宋" w:eastAsia="仿宋" w:cs="仿宋"/>
          <w:bCs/>
          <w:color w:val="auto"/>
          <w:sz w:val="21"/>
          <w:szCs w:val="21"/>
          <w:highlight w:val="none"/>
        </w:rPr>
        <w:t>评标委员会经评审，认为所有投标均不符合招标文件要求的，可以否决所有投标，所有投标被否决后，采购人可以重新招标。</w:t>
      </w:r>
    </w:p>
    <w:p w14:paraId="62DA9728">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7.2 中标通知</w:t>
      </w:r>
    </w:p>
    <w:p w14:paraId="66D5BFD3">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在本章第3.</w:t>
      </w:r>
      <w:r>
        <w:rPr>
          <w:rFonts w:hint="eastAsia" w:ascii="仿宋" w:hAnsi="仿宋" w:eastAsia="仿宋" w:cs="仿宋"/>
          <w:bCs/>
          <w:color w:val="auto"/>
          <w:sz w:val="21"/>
          <w:szCs w:val="21"/>
          <w:highlight w:val="none"/>
          <w:lang w:val="en-US" w:eastAsia="zh-CN"/>
        </w:rPr>
        <w:t>4</w:t>
      </w:r>
      <w:r>
        <w:rPr>
          <w:rFonts w:hint="eastAsia" w:ascii="仿宋" w:hAnsi="仿宋" w:eastAsia="仿宋" w:cs="仿宋"/>
          <w:bCs/>
          <w:color w:val="auto"/>
          <w:sz w:val="21"/>
          <w:szCs w:val="21"/>
          <w:highlight w:val="none"/>
        </w:rPr>
        <w:t xml:space="preserve"> 款规定的投标有效期内，</w:t>
      </w:r>
      <w:r>
        <w:rPr>
          <w:rFonts w:hint="eastAsia" w:ascii="仿宋" w:hAnsi="仿宋" w:eastAsia="仿宋" w:cs="仿宋"/>
          <w:bCs/>
          <w:color w:val="auto"/>
          <w:sz w:val="21"/>
          <w:szCs w:val="21"/>
          <w:highlight w:val="none"/>
          <w:lang w:eastAsia="zh-CN"/>
        </w:rPr>
        <w:t>采购人</w:t>
      </w:r>
      <w:r>
        <w:rPr>
          <w:rFonts w:hint="eastAsia" w:ascii="仿宋" w:hAnsi="仿宋" w:eastAsia="仿宋" w:cs="仿宋"/>
          <w:bCs/>
          <w:color w:val="auto"/>
          <w:sz w:val="21"/>
          <w:szCs w:val="21"/>
          <w:highlight w:val="none"/>
        </w:rPr>
        <w:t>以书面形式</w:t>
      </w:r>
      <w:r>
        <w:rPr>
          <w:rFonts w:hint="eastAsia" w:ascii="仿宋" w:hAnsi="仿宋" w:eastAsia="仿宋" w:cs="仿宋"/>
          <w:bCs/>
          <w:color w:val="auto"/>
          <w:sz w:val="21"/>
          <w:szCs w:val="21"/>
          <w:highlight w:val="none"/>
          <w:lang w:eastAsia="zh-CN"/>
        </w:rPr>
        <w:t>在线</w:t>
      </w:r>
      <w:r>
        <w:rPr>
          <w:rFonts w:hint="eastAsia" w:ascii="仿宋" w:hAnsi="仿宋" w:eastAsia="仿宋" w:cs="仿宋"/>
          <w:bCs/>
          <w:color w:val="auto"/>
          <w:sz w:val="21"/>
          <w:szCs w:val="21"/>
          <w:highlight w:val="none"/>
        </w:rPr>
        <w:t>向中标人发出中标通知书，同时将中标结果通知未中标的投标人。</w:t>
      </w:r>
    </w:p>
    <w:p w14:paraId="4C4B764F">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bCs/>
          <w:color w:val="auto"/>
          <w:sz w:val="21"/>
          <w:szCs w:val="21"/>
          <w:highlight w:val="none"/>
          <w:lang w:val="en-US" w:eastAsia="zh-CN"/>
        </w:rPr>
      </w:pPr>
      <w:bookmarkStart w:id="51" w:name="_Toc278027739"/>
      <w:bookmarkStart w:id="52" w:name="_Toc184635079"/>
      <w:r>
        <w:rPr>
          <w:rFonts w:hint="eastAsia" w:ascii="仿宋" w:hAnsi="仿宋" w:eastAsia="仿宋" w:cs="仿宋"/>
          <w:b/>
          <w:bCs/>
          <w:color w:val="auto"/>
          <w:sz w:val="21"/>
          <w:szCs w:val="21"/>
          <w:highlight w:val="none"/>
          <w:lang w:val="en-US" w:eastAsia="zh-CN"/>
        </w:rPr>
        <w:t>7.3 履约保证金</w:t>
      </w:r>
    </w:p>
    <w:p w14:paraId="6A2832E6">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免收履约保证金</w:t>
      </w:r>
    </w:p>
    <w:p w14:paraId="3EFEB4B0">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7.4签订合同</w:t>
      </w:r>
    </w:p>
    <w:p w14:paraId="47B4AAA6">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xml:space="preserve">   7.4.1 </w:t>
      </w:r>
      <w:r>
        <w:rPr>
          <w:rFonts w:hint="eastAsia" w:ascii="仿宋" w:hAnsi="仿宋" w:eastAsia="仿宋" w:cs="仿宋"/>
          <w:bCs/>
          <w:color w:val="auto"/>
          <w:sz w:val="21"/>
          <w:szCs w:val="21"/>
          <w:highlight w:val="none"/>
          <w:lang w:eastAsia="zh-CN"/>
        </w:rPr>
        <w:t>采购人</w:t>
      </w:r>
      <w:r>
        <w:rPr>
          <w:rFonts w:hint="eastAsia" w:ascii="仿宋" w:hAnsi="仿宋" w:eastAsia="仿宋" w:cs="仿宋"/>
          <w:bCs/>
          <w:color w:val="auto"/>
          <w:sz w:val="21"/>
          <w:szCs w:val="21"/>
          <w:highlight w:val="none"/>
        </w:rPr>
        <w:t>和中标人应当自中标通知书发出之日起</w:t>
      </w:r>
      <w:r>
        <w:rPr>
          <w:rFonts w:hint="eastAsia" w:ascii="仿宋" w:hAnsi="仿宋" w:eastAsia="仿宋" w:cs="仿宋"/>
          <w:bCs/>
          <w:color w:val="auto"/>
          <w:sz w:val="21"/>
          <w:szCs w:val="21"/>
          <w:highlight w:val="none"/>
          <w:lang w:val="en-US" w:eastAsia="zh-CN"/>
        </w:rPr>
        <w:t>1</w:t>
      </w:r>
      <w:r>
        <w:rPr>
          <w:rFonts w:hint="eastAsia" w:ascii="仿宋" w:hAnsi="仿宋" w:eastAsia="仿宋" w:cs="仿宋"/>
          <w:bCs/>
          <w:color w:val="auto"/>
          <w:sz w:val="21"/>
          <w:szCs w:val="21"/>
          <w:highlight w:val="none"/>
        </w:rPr>
        <w:t>天内，根据招标文件和中标人的投标文件订立书面合同。中标人无正当理由拒签合同的，</w:t>
      </w:r>
      <w:r>
        <w:rPr>
          <w:rFonts w:hint="eastAsia" w:ascii="仿宋" w:hAnsi="仿宋" w:eastAsia="仿宋" w:cs="仿宋"/>
          <w:bCs/>
          <w:color w:val="auto"/>
          <w:sz w:val="21"/>
          <w:szCs w:val="21"/>
          <w:highlight w:val="none"/>
          <w:lang w:eastAsia="zh-CN"/>
        </w:rPr>
        <w:t>采购人</w:t>
      </w:r>
      <w:r>
        <w:rPr>
          <w:rFonts w:hint="eastAsia" w:ascii="仿宋" w:hAnsi="仿宋" w:eastAsia="仿宋" w:cs="仿宋"/>
          <w:bCs/>
          <w:color w:val="auto"/>
          <w:sz w:val="21"/>
          <w:szCs w:val="21"/>
          <w:highlight w:val="none"/>
        </w:rPr>
        <w:t>取消其中标资格。</w:t>
      </w:r>
    </w:p>
    <w:p w14:paraId="474823FF">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xml:space="preserve">   7.4.2 发出中标通知书后，采购人无正当理由拒签合同的，给中标人造成损失的，应当赔偿损失。</w:t>
      </w:r>
    </w:p>
    <w:p w14:paraId="43DB07C1">
      <w:pPr>
        <w:pageBreakBefore w:val="0"/>
        <w:kinsoku/>
        <w:wordWrap/>
        <w:overflowPunct/>
        <w:topLinePunct w:val="0"/>
        <w:bidi w:val="0"/>
        <w:snapToGrid/>
        <w:spacing w:after="0" w:afterLines="0" w:line="400" w:lineRule="exact"/>
        <w:ind w:left="0" w:leftChars="0" w:firstLine="422" w:firstLineChars="200"/>
        <w:textAlignment w:val="auto"/>
        <w:outlineLvl w:val="9"/>
        <w:rPr>
          <w:rFonts w:hint="eastAsia" w:ascii="仿宋" w:hAnsi="仿宋" w:eastAsia="仿宋" w:cs="仿宋"/>
          <w:b/>
          <w:bCs/>
          <w:color w:val="auto"/>
          <w:sz w:val="21"/>
          <w:szCs w:val="21"/>
          <w:highlight w:val="none"/>
        </w:rPr>
      </w:pPr>
      <w:bookmarkStart w:id="53" w:name="_Toc15038"/>
      <w:r>
        <w:rPr>
          <w:rFonts w:hint="eastAsia" w:ascii="仿宋" w:hAnsi="仿宋" w:eastAsia="仿宋" w:cs="仿宋"/>
          <w:b/>
          <w:bCs/>
          <w:color w:val="auto"/>
          <w:sz w:val="21"/>
          <w:szCs w:val="21"/>
          <w:highlight w:val="none"/>
        </w:rPr>
        <w:t>8.重新招标和不再招标</w:t>
      </w:r>
      <w:bookmarkEnd w:id="51"/>
      <w:bookmarkEnd w:id="53"/>
    </w:p>
    <w:p w14:paraId="6AD694DE">
      <w:pPr>
        <w:pageBreakBefore w:val="0"/>
        <w:kinsoku/>
        <w:wordWrap/>
        <w:overflowPunct/>
        <w:topLinePunct w:val="0"/>
        <w:bidi w:val="0"/>
        <w:snapToGrid/>
        <w:spacing w:line="400" w:lineRule="exact"/>
        <w:ind w:left="0" w:leftChars="0" w:firstLine="422" w:firstLineChars="200"/>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 xml:space="preserve"> 8.1重新招标 </w:t>
      </w:r>
    </w:p>
    <w:p w14:paraId="6AFC36CB">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xml:space="preserve"> 有下列情形之一的，</w:t>
      </w:r>
      <w:r>
        <w:rPr>
          <w:rFonts w:hint="eastAsia" w:ascii="仿宋" w:hAnsi="仿宋" w:eastAsia="仿宋" w:cs="仿宋"/>
          <w:bCs/>
          <w:color w:val="auto"/>
          <w:sz w:val="21"/>
          <w:szCs w:val="21"/>
          <w:highlight w:val="none"/>
          <w:lang w:eastAsia="zh-CN"/>
        </w:rPr>
        <w:t>采购人</w:t>
      </w:r>
      <w:r>
        <w:rPr>
          <w:rFonts w:hint="eastAsia" w:ascii="仿宋" w:hAnsi="仿宋" w:eastAsia="仿宋" w:cs="仿宋"/>
          <w:bCs/>
          <w:color w:val="auto"/>
          <w:sz w:val="21"/>
          <w:szCs w:val="21"/>
          <w:highlight w:val="none"/>
        </w:rPr>
        <w:t>将重新招标：</w:t>
      </w:r>
    </w:p>
    <w:p w14:paraId="06D0DBA4">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（1）投标截止时间止，投标人少于3个的；</w:t>
      </w:r>
    </w:p>
    <w:p w14:paraId="0A46A9CE">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（2）通过资格审查的投标人不足三家的；</w:t>
      </w:r>
    </w:p>
    <w:p w14:paraId="0A3DC883">
      <w:pPr>
        <w:pageBreakBefore w:val="0"/>
        <w:kinsoku/>
        <w:wordWrap/>
        <w:overflowPunct/>
        <w:topLinePunct w:val="0"/>
        <w:bidi w:val="0"/>
        <w:snapToGrid/>
        <w:spacing w:line="400" w:lineRule="exact"/>
        <w:ind w:left="0" w:leftChars="0" w:firstLine="420" w:firstLineChars="200"/>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（3）经评标委员会评审后否决所有投标的。</w:t>
      </w:r>
    </w:p>
    <w:p w14:paraId="25EA1313">
      <w:pPr>
        <w:pageBreakBefore w:val="0"/>
        <w:widowControl/>
        <w:kinsoku/>
        <w:wordWrap/>
        <w:overflowPunct/>
        <w:topLinePunct w:val="0"/>
        <w:bidi w:val="0"/>
        <w:snapToGrid/>
        <w:spacing w:line="400" w:lineRule="exact"/>
        <w:ind w:left="0" w:leftChars="0" w:firstLine="422" w:firstLineChars="200"/>
        <w:jc w:val="left"/>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8.2不再招标</w:t>
      </w:r>
    </w:p>
    <w:p w14:paraId="5866EAC4">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xml:space="preserve">  废标后，除采购任务取消情形外，应当重新组织招标；需要采取</w:t>
      </w:r>
      <w:r>
        <w:rPr>
          <w:rFonts w:hint="eastAsia" w:ascii="仿宋" w:hAnsi="仿宋" w:eastAsia="仿宋" w:cs="仿宋"/>
          <w:bCs/>
          <w:color w:val="auto"/>
          <w:sz w:val="21"/>
          <w:szCs w:val="21"/>
          <w:highlight w:val="none"/>
          <w:lang w:eastAsia="zh-CN"/>
        </w:rPr>
        <w:t>其他</w:t>
      </w:r>
      <w:r>
        <w:rPr>
          <w:rFonts w:hint="eastAsia" w:ascii="仿宋" w:hAnsi="仿宋" w:eastAsia="仿宋" w:cs="仿宋"/>
          <w:bCs/>
          <w:color w:val="auto"/>
          <w:sz w:val="21"/>
          <w:szCs w:val="21"/>
          <w:highlight w:val="none"/>
        </w:rPr>
        <w:t>方式采购的，应当在采购活动开始前获得设区的市、自治州以上人民政府采购监督管理部门或者政府有关部门批准。</w:t>
      </w:r>
    </w:p>
    <w:bookmarkEnd w:id="52"/>
    <w:p w14:paraId="5927C118">
      <w:pPr>
        <w:pageBreakBefore w:val="0"/>
        <w:kinsoku/>
        <w:wordWrap/>
        <w:overflowPunct/>
        <w:topLinePunct w:val="0"/>
        <w:bidi w:val="0"/>
        <w:snapToGrid/>
        <w:spacing w:after="0" w:afterLines="0" w:line="400" w:lineRule="exact"/>
        <w:ind w:left="0" w:leftChars="0" w:firstLine="422" w:firstLineChars="200"/>
        <w:textAlignment w:val="auto"/>
        <w:outlineLvl w:val="9"/>
        <w:rPr>
          <w:rFonts w:hint="eastAsia" w:ascii="仿宋" w:hAnsi="仿宋" w:eastAsia="仿宋" w:cs="仿宋"/>
          <w:b/>
          <w:bCs/>
          <w:color w:val="auto"/>
          <w:sz w:val="21"/>
          <w:szCs w:val="21"/>
          <w:highlight w:val="none"/>
        </w:rPr>
      </w:pPr>
      <w:bookmarkStart w:id="54" w:name="_Toc278027740"/>
      <w:bookmarkStart w:id="55" w:name="_Toc31870"/>
      <w:bookmarkStart w:id="56" w:name="_Toc184635080"/>
      <w:r>
        <w:rPr>
          <w:rFonts w:hint="eastAsia" w:ascii="仿宋" w:hAnsi="仿宋" w:eastAsia="仿宋" w:cs="仿宋"/>
          <w:b/>
          <w:bCs/>
          <w:color w:val="auto"/>
          <w:sz w:val="21"/>
          <w:szCs w:val="21"/>
          <w:highlight w:val="none"/>
        </w:rPr>
        <w:t>9.纪律和监督</w:t>
      </w:r>
      <w:bookmarkEnd w:id="54"/>
      <w:bookmarkEnd w:id="55"/>
    </w:p>
    <w:p w14:paraId="23284B5C">
      <w:pPr>
        <w:pageBreakBefore w:val="0"/>
        <w:widowControl/>
        <w:kinsoku/>
        <w:wordWrap/>
        <w:overflowPunct/>
        <w:topLinePunct w:val="0"/>
        <w:bidi w:val="0"/>
        <w:snapToGrid/>
        <w:spacing w:line="400" w:lineRule="exact"/>
        <w:ind w:left="0" w:leftChars="0" w:firstLine="422" w:firstLineChars="200"/>
        <w:jc w:val="left"/>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9.1对</w:t>
      </w:r>
      <w:r>
        <w:rPr>
          <w:rFonts w:hint="eastAsia" w:ascii="仿宋" w:hAnsi="仿宋" w:eastAsia="仿宋" w:cs="仿宋"/>
          <w:b/>
          <w:color w:val="auto"/>
          <w:sz w:val="21"/>
          <w:szCs w:val="21"/>
          <w:highlight w:val="none"/>
          <w:lang w:eastAsia="zh-CN"/>
        </w:rPr>
        <w:t>采购人</w:t>
      </w:r>
      <w:r>
        <w:rPr>
          <w:rFonts w:hint="eastAsia" w:ascii="仿宋" w:hAnsi="仿宋" w:eastAsia="仿宋" w:cs="仿宋"/>
          <w:b/>
          <w:color w:val="auto"/>
          <w:sz w:val="21"/>
          <w:szCs w:val="21"/>
          <w:highlight w:val="none"/>
        </w:rPr>
        <w:t>的纪律要求</w:t>
      </w:r>
    </w:p>
    <w:p w14:paraId="5544A141">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b/>
          <w:color w:val="auto"/>
          <w:sz w:val="21"/>
          <w:szCs w:val="21"/>
          <w:highlight w:val="none"/>
        </w:rPr>
      </w:pPr>
      <w:r>
        <w:rPr>
          <w:rFonts w:hint="eastAsia" w:ascii="仿宋" w:hAnsi="仿宋" w:eastAsia="仿宋" w:cs="仿宋"/>
          <w:bCs/>
          <w:color w:val="auto"/>
          <w:sz w:val="21"/>
          <w:szCs w:val="21"/>
          <w:highlight w:val="none"/>
        </w:rPr>
        <w:t xml:space="preserve"> </w:t>
      </w:r>
      <w:r>
        <w:rPr>
          <w:rFonts w:hint="eastAsia" w:ascii="仿宋" w:hAnsi="仿宋" w:eastAsia="仿宋" w:cs="仿宋"/>
          <w:bCs/>
          <w:color w:val="auto"/>
          <w:sz w:val="21"/>
          <w:szCs w:val="21"/>
          <w:highlight w:val="none"/>
          <w:lang w:eastAsia="zh-CN"/>
        </w:rPr>
        <w:t>采购人</w:t>
      </w:r>
      <w:r>
        <w:rPr>
          <w:rFonts w:hint="eastAsia" w:ascii="仿宋" w:hAnsi="仿宋" w:eastAsia="仿宋" w:cs="仿宋"/>
          <w:bCs/>
          <w:color w:val="auto"/>
          <w:sz w:val="21"/>
          <w:szCs w:val="21"/>
          <w:highlight w:val="none"/>
        </w:rPr>
        <w:t>不得泄漏招标投标活动中应当保密的情况和资料，不得与投标人串通损害国家利益、社会公共利益或者他人合法权益。</w:t>
      </w:r>
    </w:p>
    <w:p w14:paraId="7A804101">
      <w:pPr>
        <w:pageBreakBefore w:val="0"/>
        <w:widowControl/>
        <w:kinsoku/>
        <w:wordWrap/>
        <w:overflowPunct/>
        <w:topLinePunct w:val="0"/>
        <w:bidi w:val="0"/>
        <w:snapToGrid/>
        <w:spacing w:line="400" w:lineRule="exact"/>
        <w:ind w:left="0" w:leftChars="0" w:firstLine="422" w:firstLineChars="200"/>
        <w:jc w:val="left"/>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9.2对投标人的纪律要求</w:t>
      </w:r>
    </w:p>
    <w:p w14:paraId="77094701">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bCs/>
          <w:color w:val="auto"/>
          <w:spacing w:val="-3"/>
          <w:sz w:val="21"/>
          <w:szCs w:val="21"/>
          <w:highlight w:val="none"/>
        </w:rPr>
      </w:pPr>
      <w:r>
        <w:rPr>
          <w:rFonts w:hint="eastAsia" w:ascii="仿宋" w:hAnsi="仿宋" w:eastAsia="仿宋" w:cs="仿宋"/>
          <w:bCs/>
          <w:color w:val="auto"/>
          <w:sz w:val="21"/>
          <w:szCs w:val="21"/>
          <w:highlight w:val="none"/>
        </w:rPr>
        <w:t xml:space="preserve"> </w:t>
      </w:r>
      <w:r>
        <w:rPr>
          <w:rFonts w:hint="eastAsia" w:ascii="仿宋" w:hAnsi="仿宋" w:eastAsia="仿宋" w:cs="仿宋"/>
          <w:bCs/>
          <w:color w:val="auto"/>
          <w:spacing w:val="-3"/>
          <w:sz w:val="21"/>
          <w:szCs w:val="21"/>
          <w:highlight w:val="none"/>
        </w:rPr>
        <w:t>投标人不得相互串通投标或者与</w:t>
      </w:r>
      <w:r>
        <w:rPr>
          <w:rFonts w:hint="eastAsia" w:ascii="仿宋" w:hAnsi="仿宋" w:eastAsia="仿宋" w:cs="仿宋"/>
          <w:bCs/>
          <w:color w:val="auto"/>
          <w:spacing w:val="-3"/>
          <w:sz w:val="21"/>
          <w:szCs w:val="21"/>
          <w:highlight w:val="none"/>
          <w:lang w:eastAsia="zh-CN"/>
        </w:rPr>
        <w:t>采购人</w:t>
      </w:r>
      <w:r>
        <w:rPr>
          <w:rFonts w:hint="eastAsia" w:ascii="仿宋" w:hAnsi="仿宋" w:eastAsia="仿宋" w:cs="仿宋"/>
          <w:bCs/>
          <w:color w:val="auto"/>
          <w:spacing w:val="-3"/>
          <w:sz w:val="21"/>
          <w:szCs w:val="21"/>
          <w:highlight w:val="none"/>
        </w:rPr>
        <w:t>串通投标，不得向</w:t>
      </w:r>
      <w:r>
        <w:rPr>
          <w:rFonts w:hint="eastAsia" w:ascii="仿宋" w:hAnsi="仿宋" w:eastAsia="仿宋" w:cs="仿宋"/>
          <w:bCs/>
          <w:color w:val="auto"/>
          <w:spacing w:val="-3"/>
          <w:sz w:val="21"/>
          <w:szCs w:val="21"/>
          <w:highlight w:val="none"/>
          <w:lang w:eastAsia="zh-CN"/>
        </w:rPr>
        <w:t>采购人</w:t>
      </w:r>
      <w:r>
        <w:rPr>
          <w:rFonts w:hint="eastAsia" w:ascii="仿宋" w:hAnsi="仿宋" w:eastAsia="仿宋" w:cs="仿宋"/>
          <w:bCs/>
          <w:color w:val="auto"/>
          <w:spacing w:val="-3"/>
          <w:sz w:val="21"/>
          <w:szCs w:val="21"/>
          <w:highlight w:val="none"/>
        </w:rPr>
        <w:t>或者评标委员会成员行贿谋取中标，不得以他人名义投标或者以其他方式弄虚作假骗取中标；投标人不得以任何方式干扰、影响评标工作。</w:t>
      </w:r>
    </w:p>
    <w:p w14:paraId="7AEBC69B">
      <w:pPr>
        <w:pageBreakBefore w:val="0"/>
        <w:widowControl/>
        <w:kinsoku/>
        <w:wordWrap/>
        <w:overflowPunct/>
        <w:topLinePunct w:val="0"/>
        <w:bidi w:val="0"/>
        <w:snapToGrid/>
        <w:spacing w:line="400" w:lineRule="exact"/>
        <w:ind w:left="0" w:leftChars="0" w:firstLine="422" w:firstLineChars="200"/>
        <w:jc w:val="left"/>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9.3对评标委员会成员的纪律要求</w:t>
      </w:r>
    </w:p>
    <w:p w14:paraId="48E04408">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b/>
          <w:color w:val="auto"/>
          <w:sz w:val="21"/>
          <w:szCs w:val="21"/>
          <w:highlight w:val="none"/>
        </w:rPr>
      </w:pPr>
      <w:r>
        <w:rPr>
          <w:rFonts w:hint="eastAsia" w:ascii="仿宋" w:hAnsi="仿宋" w:eastAsia="仿宋" w:cs="仿宋"/>
          <w:bCs/>
          <w:color w:val="auto"/>
          <w:sz w:val="21"/>
          <w:szCs w:val="21"/>
          <w:highlight w:val="none"/>
        </w:rPr>
        <w:t xml:space="preserve"> 评标委员会成员不得收受他人的财物或者其他好处，不得向他人</w:t>
      </w:r>
      <w:r>
        <w:rPr>
          <w:rFonts w:hint="eastAsia" w:ascii="仿宋" w:hAnsi="仿宋" w:eastAsia="仿宋" w:cs="仿宋"/>
          <w:bCs/>
          <w:color w:val="auto"/>
          <w:sz w:val="21"/>
          <w:szCs w:val="21"/>
          <w:highlight w:val="none"/>
          <w:lang w:eastAsia="zh-CN"/>
        </w:rPr>
        <w:t>透露</w:t>
      </w:r>
      <w:r>
        <w:rPr>
          <w:rFonts w:hint="eastAsia" w:ascii="仿宋" w:hAnsi="仿宋" w:eastAsia="仿宋" w:cs="仿宋"/>
          <w:bCs/>
          <w:color w:val="auto"/>
          <w:sz w:val="21"/>
          <w:szCs w:val="21"/>
          <w:highlight w:val="none"/>
        </w:rPr>
        <w:t>对投标文件的评审和比较、中标候选人的推荐情况以及评标有关的其他情况。在评标活动中，评标委员会成员不得擅离职守，影响评标程序正常进行，不得使用第三章“评标办法”没有规定的评审因素和标准进行评标。</w:t>
      </w:r>
    </w:p>
    <w:p w14:paraId="167ED6E0">
      <w:pPr>
        <w:pageBreakBefore w:val="0"/>
        <w:widowControl/>
        <w:kinsoku/>
        <w:wordWrap/>
        <w:overflowPunct/>
        <w:topLinePunct w:val="0"/>
        <w:bidi w:val="0"/>
        <w:snapToGrid/>
        <w:spacing w:line="400" w:lineRule="exact"/>
        <w:ind w:left="0" w:leftChars="0" w:firstLine="422" w:firstLineChars="200"/>
        <w:jc w:val="left"/>
        <w:textAlignment w:val="auto"/>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9.4对与评标活动有关的工作人员的纪律要求</w:t>
      </w:r>
    </w:p>
    <w:p w14:paraId="6EDBCCAA">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xml:space="preserve"> 与评标活动有关的工作人员不得收受他人的财物或者其他好处，不得向他人</w:t>
      </w:r>
      <w:r>
        <w:rPr>
          <w:rFonts w:hint="eastAsia" w:ascii="仿宋" w:hAnsi="仿宋" w:eastAsia="仿宋" w:cs="仿宋"/>
          <w:bCs/>
          <w:color w:val="auto"/>
          <w:sz w:val="21"/>
          <w:szCs w:val="21"/>
          <w:highlight w:val="none"/>
          <w:lang w:eastAsia="zh-CN"/>
        </w:rPr>
        <w:t>透露</w:t>
      </w:r>
      <w:r>
        <w:rPr>
          <w:rFonts w:hint="eastAsia" w:ascii="仿宋" w:hAnsi="仿宋" w:eastAsia="仿宋" w:cs="仿宋"/>
          <w:bCs/>
          <w:color w:val="auto"/>
          <w:sz w:val="21"/>
          <w:szCs w:val="21"/>
          <w:highlight w:val="none"/>
        </w:rPr>
        <w:t>对投标文件的评审和比较、中标候选人的推荐情况以及评标有关的其他情况。在评标活动中，与评标活动有关的工作人员不得擅离职守，影响评标程序正常进行。</w:t>
      </w:r>
    </w:p>
    <w:p w14:paraId="21B40290">
      <w:pPr>
        <w:pageBreakBefore w:val="0"/>
        <w:widowControl/>
        <w:kinsoku/>
        <w:wordWrap/>
        <w:overflowPunct/>
        <w:topLinePunct w:val="0"/>
        <w:bidi w:val="0"/>
        <w:snapToGrid/>
        <w:spacing w:line="400" w:lineRule="exact"/>
        <w:ind w:left="0" w:leftChars="0" w:firstLine="422" w:firstLineChars="200"/>
        <w:jc w:val="left"/>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
          <w:color w:val="auto"/>
          <w:sz w:val="21"/>
          <w:szCs w:val="21"/>
          <w:highlight w:val="none"/>
        </w:rPr>
        <w:t>9.5投诉、质疑</w:t>
      </w:r>
      <w:r>
        <w:rPr>
          <w:rFonts w:hint="eastAsia" w:ascii="仿宋" w:hAnsi="仿宋" w:eastAsia="仿宋" w:cs="仿宋"/>
          <w:bCs/>
          <w:color w:val="auto"/>
          <w:sz w:val="21"/>
          <w:szCs w:val="21"/>
          <w:highlight w:val="none"/>
        </w:rPr>
        <w:t xml:space="preserve">  </w:t>
      </w:r>
    </w:p>
    <w:p w14:paraId="7C7B78AE">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 xml:space="preserve"> 投标人和其他利害关系人认为本次招标活动违反法律、法规和规章规定的，有权向有关行政监督部门投诉。</w:t>
      </w:r>
    </w:p>
    <w:p w14:paraId="147E6701">
      <w:pPr>
        <w:pStyle w:val="5"/>
        <w:pageBreakBefore w:val="0"/>
        <w:kinsoku/>
        <w:wordWrap/>
        <w:overflowPunct/>
        <w:topLinePunct w:val="0"/>
        <w:bidi w:val="0"/>
        <w:snapToGrid/>
        <w:spacing w:after="0" w:afterLines="0" w:line="400" w:lineRule="exact"/>
        <w:ind w:left="0" w:leftChars="0" w:firstLine="420" w:firstLineChars="200"/>
        <w:textAlignment w:val="auto"/>
        <w:outlineLvl w:val="9"/>
        <w:rPr>
          <w:rFonts w:hint="eastAsia" w:ascii="仿宋" w:hAnsi="仿宋" w:eastAsia="仿宋" w:cs="仿宋"/>
          <w:color w:val="auto"/>
          <w:highlight w:val="none"/>
        </w:rPr>
      </w:pPr>
      <w:r>
        <w:rPr>
          <w:rFonts w:hint="eastAsia" w:ascii="仿宋" w:hAnsi="仿宋" w:eastAsia="仿宋" w:cs="仿宋"/>
          <w:color w:val="auto"/>
          <w:szCs w:val="21"/>
          <w:highlight w:val="none"/>
          <w:lang w:eastAsia="zh-CN"/>
        </w:rPr>
        <w:t>投标人</w:t>
      </w:r>
      <w:r>
        <w:rPr>
          <w:rFonts w:hint="eastAsia" w:ascii="仿宋" w:hAnsi="仿宋" w:eastAsia="仿宋" w:cs="仿宋"/>
          <w:color w:val="auto"/>
          <w:szCs w:val="21"/>
          <w:highlight w:val="none"/>
        </w:rPr>
        <w:t>对采购文件、采购过程、中标或者成交结果的质疑，可以在知道或者应知其权益受到损害之日起7个工作日内，以书面形式一次性向采购人或采购</w:t>
      </w:r>
      <w:r>
        <w:rPr>
          <w:rFonts w:hint="eastAsia" w:ascii="仿宋" w:hAnsi="仿宋" w:eastAsia="仿宋" w:cs="仿宋"/>
          <w:color w:val="auto"/>
          <w:szCs w:val="21"/>
          <w:highlight w:val="none"/>
          <w:lang w:eastAsia="zh-CN"/>
        </w:rPr>
        <w:t>代理</w:t>
      </w:r>
      <w:r>
        <w:rPr>
          <w:rFonts w:hint="eastAsia" w:ascii="仿宋" w:hAnsi="仿宋" w:eastAsia="仿宋" w:cs="仿宋"/>
          <w:color w:val="auto"/>
          <w:szCs w:val="21"/>
          <w:highlight w:val="none"/>
        </w:rPr>
        <w:t>机构提出质疑。采购人或采购</w:t>
      </w:r>
      <w:r>
        <w:rPr>
          <w:rFonts w:hint="eastAsia" w:ascii="仿宋" w:hAnsi="仿宋" w:eastAsia="仿宋" w:cs="仿宋"/>
          <w:color w:val="auto"/>
          <w:szCs w:val="21"/>
          <w:highlight w:val="none"/>
          <w:lang w:eastAsia="zh-CN"/>
        </w:rPr>
        <w:t>代理</w:t>
      </w:r>
      <w:r>
        <w:rPr>
          <w:rFonts w:hint="eastAsia" w:ascii="仿宋" w:hAnsi="仿宋" w:eastAsia="仿宋" w:cs="仿宋"/>
          <w:color w:val="auto"/>
          <w:szCs w:val="21"/>
          <w:highlight w:val="none"/>
        </w:rPr>
        <w:t>机构不接受</w:t>
      </w:r>
      <w:r>
        <w:rPr>
          <w:rFonts w:hint="eastAsia" w:ascii="仿宋" w:hAnsi="仿宋" w:eastAsia="仿宋" w:cs="仿宋"/>
          <w:color w:val="auto"/>
          <w:szCs w:val="21"/>
          <w:highlight w:val="none"/>
          <w:lang w:eastAsia="zh-CN"/>
        </w:rPr>
        <w:t>投标人</w:t>
      </w:r>
      <w:r>
        <w:rPr>
          <w:rFonts w:hint="eastAsia" w:ascii="仿宋" w:hAnsi="仿宋" w:eastAsia="仿宋" w:cs="仿宋"/>
          <w:color w:val="auto"/>
          <w:szCs w:val="21"/>
          <w:highlight w:val="none"/>
        </w:rPr>
        <w:t>对同一采购环节的多次质疑。</w:t>
      </w:r>
    </w:p>
    <w:p w14:paraId="1FA9EBB6">
      <w:pPr>
        <w:pageBreakBefore w:val="0"/>
        <w:kinsoku/>
        <w:wordWrap/>
        <w:overflowPunct/>
        <w:topLinePunct w:val="0"/>
        <w:bidi w:val="0"/>
        <w:snapToGrid/>
        <w:spacing w:after="0" w:afterLines="0" w:line="400" w:lineRule="exact"/>
        <w:ind w:left="0" w:leftChars="0" w:firstLine="422" w:firstLineChars="200"/>
        <w:textAlignment w:val="auto"/>
        <w:outlineLvl w:val="9"/>
        <w:rPr>
          <w:rFonts w:hint="eastAsia" w:ascii="仿宋" w:hAnsi="仿宋" w:eastAsia="仿宋" w:cs="仿宋"/>
          <w:b/>
          <w:bCs/>
          <w:color w:val="auto"/>
          <w:sz w:val="21"/>
          <w:szCs w:val="21"/>
          <w:highlight w:val="none"/>
          <w:lang w:eastAsia="zh-CN"/>
        </w:rPr>
      </w:pPr>
      <w:bookmarkStart w:id="57" w:name="_Toc16124"/>
      <w:r>
        <w:rPr>
          <w:rFonts w:hint="eastAsia" w:ascii="仿宋" w:hAnsi="仿宋" w:eastAsia="仿宋" w:cs="仿宋"/>
          <w:b/>
          <w:bCs/>
          <w:color w:val="auto"/>
          <w:sz w:val="21"/>
          <w:szCs w:val="21"/>
          <w:highlight w:val="none"/>
        </w:rPr>
        <w:t>10.</w:t>
      </w:r>
      <w:bookmarkEnd w:id="57"/>
      <w:r>
        <w:rPr>
          <w:rFonts w:hint="eastAsia" w:ascii="仿宋" w:hAnsi="仿宋" w:eastAsia="仿宋" w:cs="仿宋"/>
          <w:b/>
          <w:bCs/>
          <w:color w:val="auto"/>
          <w:sz w:val="21"/>
          <w:szCs w:val="21"/>
          <w:highlight w:val="none"/>
          <w:lang w:eastAsia="zh-CN"/>
        </w:rPr>
        <w:t>其他内容</w:t>
      </w:r>
    </w:p>
    <w:bookmarkEnd w:id="56"/>
    <w:p w14:paraId="23A73C76">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bCs/>
          <w:color w:val="auto"/>
          <w:sz w:val="21"/>
          <w:szCs w:val="21"/>
          <w:highlight w:val="none"/>
        </w:rPr>
      </w:pPr>
      <w:bookmarkStart w:id="58" w:name="_Toc244935173"/>
      <w:bookmarkStart w:id="59" w:name="_Toc234213538"/>
      <w:r>
        <w:rPr>
          <w:rFonts w:hint="eastAsia" w:ascii="仿宋" w:hAnsi="仿宋" w:eastAsia="仿宋" w:cs="仿宋"/>
          <w:bCs/>
          <w:color w:val="auto"/>
          <w:sz w:val="21"/>
          <w:szCs w:val="21"/>
          <w:highlight w:val="none"/>
        </w:rPr>
        <w:t>10.1投标人应根据招标技术文件的要求，结合</w:t>
      </w:r>
      <w:r>
        <w:rPr>
          <w:rFonts w:hint="eastAsia" w:ascii="仿宋" w:hAnsi="仿宋" w:eastAsia="仿宋" w:cs="仿宋"/>
          <w:bCs/>
          <w:color w:val="auto"/>
          <w:sz w:val="21"/>
          <w:szCs w:val="21"/>
          <w:highlight w:val="none"/>
          <w:lang w:eastAsia="zh-CN"/>
        </w:rPr>
        <w:t>采购人</w:t>
      </w:r>
      <w:r>
        <w:rPr>
          <w:rFonts w:hint="eastAsia" w:ascii="仿宋" w:hAnsi="仿宋" w:eastAsia="仿宋" w:cs="仿宋"/>
          <w:bCs/>
          <w:color w:val="auto"/>
          <w:sz w:val="21"/>
          <w:szCs w:val="21"/>
          <w:highlight w:val="none"/>
        </w:rPr>
        <w:t>提供的相关资料，作出详细的产品及服务报价。</w:t>
      </w:r>
    </w:p>
    <w:p w14:paraId="012D04C8">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10.2投标人应对照本招标技术文件各项技术要求</w:t>
      </w:r>
      <w:r>
        <w:rPr>
          <w:rFonts w:hint="eastAsia" w:ascii="仿宋" w:hAnsi="仿宋" w:eastAsia="仿宋" w:cs="仿宋"/>
          <w:bCs/>
          <w:color w:val="auto"/>
          <w:sz w:val="21"/>
          <w:szCs w:val="21"/>
          <w:highlight w:val="none"/>
          <w:lang w:eastAsia="zh-CN"/>
        </w:rPr>
        <w:t>作出</w:t>
      </w:r>
      <w:r>
        <w:rPr>
          <w:rFonts w:hint="eastAsia" w:ascii="仿宋" w:hAnsi="仿宋" w:eastAsia="仿宋" w:cs="仿宋"/>
          <w:bCs/>
          <w:color w:val="auto"/>
          <w:sz w:val="21"/>
          <w:szCs w:val="21"/>
          <w:highlight w:val="none"/>
        </w:rPr>
        <w:t>实质性的响应，否则投标人的投标有可能被拒绝。</w:t>
      </w:r>
    </w:p>
    <w:p w14:paraId="1C28A6C2">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10.3本招标文件的要求只是最低限度要求，并未对一切技术细节做出规定。在本招标文件中未提到的或投标人认为更能体现和满足</w:t>
      </w:r>
      <w:r>
        <w:rPr>
          <w:rFonts w:hint="eastAsia" w:ascii="仿宋" w:hAnsi="仿宋" w:eastAsia="仿宋" w:cs="仿宋"/>
          <w:bCs/>
          <w:color w:val="auto"/>
          <w:sz w:val="21"/>
          <w:szCs w:val="21"/>
          <w:highlight w:val="none"/>
          <w:lang w:eastAsia="zh-CN"/>
        </w:rPr>
        <w:t>采购人</w:t>
      </w:r>
      <w:r>
        <w:rPr>
          <w:rFonts w:hint="eastAsia" w:ascii="仿宋" w:hAnsi="仿宋" w:eastAsia="仿宋" w:cs="仿宋"/>
          <w:bCs/>
          <w:color w:val="auto"/>
          <w:sz w:val="21"/>
          <w:szCs w:val="21"/>
          <w:highlight w:val="none"/>
        </w:rPr>
        <w:t>的实际需要的功能和要求，投标人可依据自己的实际经验，在投标人方案中体现。</w:t>
      </w:r>
    </w:p>
    <w:p w14:paraId="50797ADB">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10.4本招标技术文件未尽事宜，由甲乙双方在合同技术谈判时协商确定。</w:t>
      </w:r>
    </w:p>
    <w:p w14:paraId="31DFC3A2">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10.5投标人所投</w:t>
      </w:r>
      <w:r>
        <w:rPr>
          <w:rFonts w:hint="eastAsia" w:ascii="仿宋" w:hAnsi="仿宋" w:eastAsia="仿宋" w:cs="仿宋"/>
          <w:bCs/>
          <w:color w:val="auto"/>
          <w:sz w:val="21"/>
          <w:szCs w:val="21"/>
          <w:highlight w:val="none"/>
          <w:lang w:eastAsia="zh-CN"/>
        </w:rPr>
        <w:t>货物</w:t>
      </w:r>
      <w:r>
        <w:rPr>
          <w:rFonts w:hint="eastAsia" w:ascii="仿宋" w:hAnsi="仿宋" w:eastAsia="仿宋" w:cs="仿宋"/>
          <w:bCs/>
          <w:color w:val="auto"/>
          <w:sz w:val="21"/>
          <w:szCs w:val="21"/>
          <w:highlight w:val="none"/>
        </w:rPr>
        <w:t>应符合招标文件要求，且所有部件均应为全新的、未使用过的合格产品；</w:t>
      </w:r>
    </w:p>
    <w:p w14:paraId="2522B4BC">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10.6投标人提供的</w:t>
      </w:r>
      <w:r>
        <w:rPr>
          <w:rFonts w:hint="eastAsia" w:ascii="仿宋" w:hAnsi="仿宋" w:eastAsia="仿宋" w:cs="仿宋"/>
          <w:bCs/>
          <w:color w:val="auto"/>
          <w:sz w:val="21"/>
          <w:szCs w:val="21"/>
          <w:highlight w:val="none"/>
          <w:lang w:eastAsia="zh-CN"/>
        </w:rPr>
        <w:t>货物</w:t>
      </w:r>
      <w:r>
        <w:rPr>
          <w:rFonts w:hint="eastAsia" w:ascii="仿宋" w:hAnsi="仿宋" w:eastAsia="仿宋" w:cs="仿宋"/>
          <w:bCs/>
          <w:color w:val="auto"/>
          <w:sz w:val="21"/>
          <w:szCs w:val="21"/>
          <w:highlight w:val="none"/>
        </w:rPr>
        <w:t>所涉及的技术、设计、设备、技术培训和技术服务等，均应来自于合格的原产地；</w:t>
      </w:r>
    </w:p>
    <w:p w14:paraId="3CFA5E08">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10.7中标人对合同义务全面负责；对货物的质量、使用性能、技术培训及售后服务全面负责；对与</w:t>
      </w:r>
      <w:r>
        <w:rPr>
          <w:rFonts w:hint="eastAsia" w:ascii="仿宋" w:hAnsi="仿宋" w:eastAsia="仿宋" w:cs="仿宋"/>
          <w:bCs/>
          <w:color w:val="auto"/>
          <w:sz w:val="21"/>
          <w:szCs w:val="21"/>
          <w:highlight w:val="none"/>
          <w:lang w:eastAsia="zh-CN"/>
        </w:rPr>
        <w:t>采购人</w:t>
      </w:r>
      <w:r>
        <w:rPr>
          <w:rFonts w:hint="eastAsia" w:ascii="仿宋" w:hAnsi="仿宋" w:eastAsia="仿宋" w:cs="仿宋"/>
          <w:bCs/>
          <w:color w:val="auto"/>
          <w:sz w:val="21"/>
          <w:szCs w:val="21"/>
          <w:highlight w:val="none"/>
        </w:rPr>
        <w:t>供货</w:t>
      </w:r>
      <w:r>
        <w:rPr>
          <w:rFonts w:hint="eastAsia" w:ascii="仿宋" w:hAnsi="仿宋" w:eastAsia="仿宋" w:cs="仿宋"/>
          <w:bCs/>
          <w:color w:val="auto"/>
          <w:sz w:val="21"/>
          <w:szCs w:val="21"/>
          <w:highlight w:val="none"/>
          <w:lang w:eastAsia="zh-CN"/>
        </w:rPr>
        <w:t>货物</w:t>
      </w:r>
      <w:r>
        <w:rPr>
          <w:rFonts w:hint="eastAsia" w:ascii="仿宋" w:hAnsi="仿宋" w:eastAsia="仿宋" w:cs="仿宋"/>
          <w:bCs/>
          <w:color w:val="auto"/>
          <w:sz w:val="21"/>
          <w:szCs w:val="21"/>
          <w:highlight w:val="none"/>
        </w:rPr>
        <w:t>的交接及验收全面负责；</w:t>
      </w:r>
    </w:p>
    <w:p w14:paraId="27127177">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10.8投标人所提供的</w:t>
      </w:r>
      <w:r>
        <w:rPr>
          <w:rFonts w:hint="eastAsia" w:ascii="仿宋" w:hAnsi="仿宋" w:eastAsia="仿宋" w:cs="仿宋"/>
          <w:bCs/>
          <w:color w:val="auto"/>
          <w:sz w:val="21"/>
          <w:szCs w:val="21"/>
          <w:highlight w:val="none"/>
          <w:lang w:eastAsia="zh-CN"/>
        </w:rPr>
        <w:t>货物</w:t>
      </w:r>
      <w:r>
        <w:rPr>
          <w:rFonts w:hint="eastAsia" w:ascii="仿宋" w:hAnsi="仿宋" w:eastAsia="仿宋" w:cs="仿宋"/>
          <w:bCs/>
          <w:color w:val="auto"/>
          <w:sz w:val="21"/>
          <w:szCs w:val="21"/>
          <w:highlight w:val="none"/>
        </w:rPr>
        <w:t>、软件，如若发生侵犯知识产权的行为时，其侵犯责任与</w:t>
      </w:r>
      <w:r>
        <w:rPr>
          <w:rFonts w:hint="eastAsia" w:ascii="仿宋" w:hAnsi="仿宋" w:eastAsia="仿宋" w:cs="仿宋"/>
          <w:bCs/>
          <w:color w:val="auto"/>
          <w:sz w:val="21"/>
          <w:szCs w:val="21"/>
          <w:highlight w:val="none"/>
          <w:lang w:eastAsia="zh-CN"/>
        </w:rPr>
        <w:t>采购人</w:t>
      </w:r>
      <w:r>
        <w:rPr>
          <w:rFonts w:hint="eastAsia" w:ascii="仿宋" w:hAnsi="仿宋" w:eastAsia="仿宋" w:cs="仿宋"/>
          <w:bCs/>
          <w:color w:val="auto"/>
          <w:sz w:val="21"/>
          <w:szCs w:val="21"/>
          <w:highlight w:val="none"/>
        </w:rPr>
        <w:t>无关，应由投标人承担相应的责任，并不得损害</w:t>
      </w:r>
      <w:r>
        <w:rPr>
          <w:rFonts w:hint="eastAsia" w:ascii="仿宋" w:hAnsi="仿宋" w:eastAsia="仿宋" w:cs="仿宋"/>
          <w:bCs/>
          <w:color w:val="auto"/>
          <w:sz w:val="21"/>
          <w:szCs w:val="21"/>
          <w:highlight w:val="none"/>
          <w:lang w:eastAsia="zh-CN"/>
        </w:rPr>
        <w:t>采购人</w:t>
      </w:r>
      <w:r>
        <w:rPr>
          <w:rFonts w:hint="eastAsia" w:ascii="仿宋" w:hAnsi="仿宋" w:eastAsia="仿宋" w:cs="仿宋"/>
          <w:bCs/>
          <w:color w:val="auto"/>
          <w:sz w:val="21"/>
          <w:szCs w:val="21"/>
          <w:highlight w:val="none"/>
        </w:rPr>
        <w:t>利益；</w:t>
      </w:r>
    </w:p>
    <w:p w14:paraId="6DC29D36">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10.9对需要投标人代表的</w:t>
      </w:r>
      <w:r>
        <w:rPr>
          <w:rFonts w:hint="eastAsia" w:ascii="仿宋" w:hAnsi="仿宋" w:eastAsia="仿宋" w:cs="仿宋"/>
          <w:bCs/>
          <w:color w:val="auto"/>
          <w:sz w:val="21"/>
          <w:szCs w:val="21"/>
          <w:highlight w:val="none"/>
          <w:lang w:eastAsia="zh-CN"/>
        </w:rPr>
        <w:t>货物</w:t>
      </w:r>
      <w:r>
        <w:rPr>
          <w:rFonts w:hint="eastAsia" w:ascii="仿宋" w:hAnsi="仿宋" w:eastAsia="仿宋" w:cs="仿宋"/>
          <w:bCs/>
          <w:color w:val="auto"/>
          <w:sz w:val="21"/>
          <w:szCs w:val="21"/>
          <w:highlight w:val="none"/>
        </w:rPr>
        <w:t>制造厂商做出书面承诺的，由投标人负责请</w:t>
      </w:r>
      <w:r>
        <w:rPr>
          <w:rFonts w:hint="eastAsia" w:ascii="仿宋" w:hAnsi="仿宋" w:eastAsia="仿宋" w:cs="仿宋"/>
          <w:bCs/>
          <w:color w:val="auto"/>
          <w:sz w:val="21"/>
          <w:szCs w:val="21"/>
          <w:highlight w:val="none"/>
          <w:lang w:eastAsia="zh-CN"/>
        </w:rPr>
        <w:t>货物</w:t>
      </w:r>
      <w:r>
        <w:rPr>
          <w:rFonts w:hint="eastAsia" w:ascii="仿宋" w:hAnsi="仿宋" w:eastAsia="仿宋" w:cs="仿宋"/>
          <w:bCs/>
          <w:color w:val="auto"/>
          <w:sz w:val="21"/>
          <w:szCs w:val="21"/>
          <w:highlight w:val="none"/>
        </w:rPr>
        <w:t>制造商</w:t>
      </w:r>
      <w:r>
        <w:rPr>
          <w:rFonts w:hint="eastAsia" w:ascii="仿宋" w:hAnsi="仿宋" w:eastAsia="仿宋" w:cs="仿宋"/>
          <w:bCs/>
          <w:color w:val="auto"/>
          <w:sz w:val="21"/>
          <w:szCs w:val="21"/>
          <w:highlight w:val="none"/>
          <w:lang w:eastAsia="zh-CN"/>
        </w:rPr>
        <w:t>作出</w:t>
      </w:r>
      <w:r>
        <w:rPr>
          <w:rFonts w:hint="eastAsia" w:ascii="仿宋" w:hAnsi="仿宋" w:eastAsia="仿宋" w:cs="仿宋"/>
          <w:bCs/>
          <w:color w:val="auto"/>
          <w:sz w:val="21"/>
          <w:szCs w:val="21"/>
          <w:highlight w:val="none"/>
        </w:rPr>
        <w:t>书面承诺。</w:t>
      </w:r>
    </w:p>
    <w:p w14:paraId="57E1C0E2">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10.10保密和保证</w:t>
      </w:r>
    </w:p>
    <w:p w14:paraId="01A15177">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(1)参与招标投标活动的各方应对招标文件和投标文件中的商业和技术等秘密保密，违者应对由此造成的后果承担法律责任。</w:t>
      </w:r>
    </w:p>
    <w:p w14:paraId="4A300AA4">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(2)投标人应保证在投标文件中所提交的资料和数据是真实的。</w:t>
      </w:r>
    </w:p>
    <w:p w14:paraId="379B7DBC">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(3)本项目不接受联合体投标，中标人应当按照合同约定履行义务，完成中标项目。中标人不得向他人转让中标项目，也不得将中标项目肢解后分别向他人转让。否则，取消其中标资格并追究其违约责任。</w:t>
      </w:r>
    </w:p>
    <w:p w14:paraId="141ADE4E">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1</w:t>
      </w:r>
      <w:r>
        <w:rPr>
          <w:rFonts w:hint="eastAsia" w:ascii="仿宋" w:hAnsi="仿宋" w:eastAsia="仿宋" w:cs="仿宋"/>
          <w:bCs/>
          <w:color w:val="auto"/>
          <w:sz w:val="21"/>
          <w:szCs w:val="21"/>
          <w:highlight w:val="none"/>
          <w:lang w:val="en-US" w:eastAsia="zh-CN"/>
        </w:rPr>
        <w:t>0</w:t>
      </w:r>
      <w:r>
        <w:rPr>
          <w:rFonts w:hint="eastAsia" w:ascii="仿宋" w:hAnsi="仿宋" w:eastAsia="仿宋" w:cs="仿宋"/>
          <w:bCs/>
          <w:color w:val="auto"/>
          <w:sz w:val="21"/>
          <w:szCs w:val="21"/>
          <w:highlight w:val="none"/>
        </w:rPr>
        <w:t>.1</w:t>
      </w:r>
      <w:r>
        <w:rPr>
          <w:rFonts w:hint="eastAsia" w:ascii="仿宋" w:hAnsi="仿宋" w:eastAsia="仿宋" w:cs="仿宋"/>
          <w:bCs/>
          <w:color w:val="auto"/>
          <w:sz w:val="21"/>
          <w:szCs w:val="21"/>
          <w:highlight w:val="none"/>
          <w:lang w:val="en-US" w:eastAsia="zh-CN"/>
        </w:rPr>
        <w:t>1</w:t>
      </w:r>
      <w:r>
        <w:rPr>
          <w:rFonts w:hint="eastAsia" w:ascii="仿宋" w:hAnsi="仿宋" w:eastAsia="仿宋" w:cs="仿宋"/>
          <w:bCs/>
          <w:color w:val="auto"/>
          <w:sz w:val="21"/>
          <w:szCs w:val="21"/>
          <w:highlight w:val="none"/>
          <w:lang w:eastAsia="zh-CN"/>
        </w:rPr>
        <w:t>采购人</w:t>
      </w:r>
      <w:r>
        <w:rPr>
          <w:rFonts w:hint="eastAsia" w:ascii="仿宋" w:hAnsi="仿宋" w:eastAsia="仿宋" w:cs="仿宋"/>
          <w:bCs/>
          <w:color w:val="auto"/>
          <w:sz w:val="21"/>
          <w:szCs w:val="21"/>
          <w:highlight w:val="none"/>
        </w:rPr>
        <w:t>不承诺最低价中标，而且</w:t>
      </w:r>
      <w:r>
        <w:rPr>
          <w:rFonts w:hint="eastAsia" w:ascii="仿宋" w:hAnsi="仿宋" w:eastAsia="仿宋" w:cs="仿宋"/>
          <w:bCs/>
          <w:color w:val="auto"/>
          <w:sz w:val="21"/>
          <w:szCs w:val="21"/>
          <w:highlight w:val="none"/>
          <w:lang w:eastAsia="zh-CN"/>
        </w:rPr>
        <w:t>采购人</w:t>
      </w:r>
      <w:r>
        <w:rPr>
          <w:rFonts w:hint="eastAsia" w:ascii="仿宋" w:hAnsi="仿宋" w:eastAsia="仿宋" w:cs="仿宋"/>
          <w:bCs/>
          <w:color w:val="auto"/>
          <w:sz w:val="21"/>
          <w:szCs w:val="21"/>
          <w:highlight w:val="none"/>
        </w:rPr>
        <w:t>没有义务解释说明未中标原因。</w:t>
      </w:r>
    </w:p>
    <w:p w14:paraId="5241ECF1">
      <w:pPr>
        <w:pageBreakBefore w:val="0"/>
        <w:widowControl/>
        <w:kinsoku/>
        <w:wordWrap/>
        <w:overflowPunct/>
        <w:topLinePunct w:val="0"/>
        <w:bidi w:val="0"/>
        <w:snapToGrid/>
        <w:spacing w:line="400" w:lineRule="exact"/>
        <w:ind w:left="0" w:leftChars="0" w:firstLine="420" w:firstLineChars="200"/>
        <w:jc w:val="left"/>
        <w:textAlignment w:val="auto"/>
        <w:outlineLvl w:val="9"/>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1</w:t>
      </w:r>
      <w:r>
        <w:rPr>
          <w:rFonts w:hint="eastAsia" w:ascii="仿宋" w:hAnsi="仿宋" w:eastAsia="仿宋" w:cs="仿宋"/>
          <w:bCs/>
          <w:color w:val="auto"/>
          <w:sz w:val="21"/>
          <w:szCs w:val="21"/>
          <w:highlight w:val="none"/>
          <w:lang w:val="en-US" w:eastAsia="zh-CN"/>
        </w:rPr>
        <w:t>0</w:t>
      </w:r>
      <w:r>
        <w:rPr>
          <w:rFonts w:hint="eastAsia" w:ascii="仿宋" w:hAnsi="仿宋" w:eastAsia="仿宋" w:cs="仿宋"/>
          <w:bCs/>
          <w:color w:val="auto"/>
          <w:sz w:val="21"/>
          <w:szCs w:val="21"/>
          <w:highlight w:val="none"/>
        </w:rPr>
        <w:t>.</w:t>
      </w:r>
      <w:r>
        <w:rPr>
          <w:rFonts w:hint="eastAsia" w:ascii="仿宋" w:hAnsi="仿宋" w:eastAsia="仿宋" w:cs="仿宋"/>
          <w:bCs/>
          <w:color w:val="auto"/>
          <w:sz w:val="21"/>
          <w:szCs w:val="21"/>
          <w:highlight w:val="none"/>
          <w:lang w:val="en-US" w:eastAsia="zh-CN"/>
        </w:rPr>
        <w:t>1</w:t>
      </w:r>
      <w:r>
        <w:rPr>
          <w:rFonts w:hint="eastAsia" w:ascii="仿宋" w:hAnsi="仿宋" w:eastAsia="仿宋" w:cs="仿宋"/>
          <w:bCs/>
          <w:color w:val="auto"/>
          <w:sz w:val="21"/>
          <w:szCs w:val="21"/>
          <w:highlight w:val="none"/>
        </w:rPr>
        <w:t>2其它未尽事宜，按国家有关法律、法规执行。</w:t>
      </w:r>
    </w:p>
    <w:p w14:paraId="44F2AE7E">
      <w:pPr>
        <w:pStyle w:val="37"/>
        <w:pageBreakBefore w:val="0"/>
        <w:kinsoku/>
        <w:wordWrap/>
        <w:overflowPunct/>
        <w:topLinePunct w:val="0"/>
        <w:bidi w:val="0"/>
        <w:spacing w:line="400" w:lineRule="exact"/>
        <w:ind w:firstLine="220" w:firstLineChars="100"/>
        <w:outlineLvl w:val="9"/>
        <w:rPr>
          <w:rFonts w:hint="eastAsia" w:ascii="仿宋" w:hAnsi="仿宋" w:eastAsia="仿宋" w:cs="仿宋"/>
          <w:color w:val="auto"/>
          <w:sz w:val="22"/>
          <w:szCs w:val="22"/>
          <w:highlight w:val="none"/>
          <w:lang w:eastAsia="zh-CN"/>
        </w:rPr>
        <w:sectPr>
          <w:pgSz w:w="11905" w:h="16838"/>
          <w:pgMar w:top="1417" w:right="1417" w:bottom="1417" w:left="1417" w:header="850" w:footer="850" w:gutter="0"/>
          <w:pgBorders>
            <w:top w:val="none" w:sz="0" w:space="0"/>
            <w:left w:val="none" w:sz="0" w:space="0"/>
            <w:bottom w:val="none" w:sz="0" w:space="0"/>
            <w:right w:val="none" w:sz="0" w:space="0"/>
          </w:pgBorders>
          <w:pgNumType w:fmt="numberInDash"/>
          <w:cols w:space="0" w:num="1"/>
          <w:rtlGutter w:val="0"/>
          <w:docGrid w:type="lines" w:linePitch="412" w:charSpace="0"/>
        </w:sectPr>
      </w:pPr>
      <w:bookmarkStart w:id="60" w:name="_Toc374358905"/>
      <w:bookmarkStart w:id="61" w:name="_Toc381018326"/>
      <w:bookmarkStart w:id="62" w:name="_Toc381964727"/>
      <w:bookmarkStart w:id="63" w:name="_Toc8855"/>
      <w:bookmarkStart w:id="64" w:name="_Toc365035216"/>
    </w:p>
    <w:p w14:paraId="66471AB9">
      <w:pPr>
        <w:jc w:val="center"/>
        <w:outlineLvl w:val="9"/>
        <w:rPr>
          <w:rFonts w:hint="eastAsia" w:ascii="仿宋" w:hAnsi="仿宋" w:eastAsia="仿宋" w:cs="仿宋"/>
          <w:b/>
          <w:bCs/>
          <w:color w:val="auto"/>
          <w:sz w:val="21"/>
          <w:szCs w:val="21"/>
          <w:highlight w:val="none"/>
        </w:rPr>
      </w:pPr>
      <w:r>
        <w:rPr>
          <w:rFonts w:hint="eastAsia" w:ascii="仿宋" w:hAnsi="仿宋" w:eastAsia="仿宋" w:cs="仿宋"/>
          <w:b/>
          <w:color w:val="auto"/>
          <w:sz w:val="21"/>
          <w:szCs w:val="21"/>
          <w:highlight w:val="none"/>
        </w:rPr>
        <w:t>河南省政府采购合同融资政策告知函</w:t>
      </w:r>
    </w:p>
    <w:p w14:paraId="1F6FEA81">
      <w:pPr>
        <w:outlineLvl w:val="9"/>
        <w:rPr>
          <w:rFonts w:hint="eastAsia" w:ascii="仿宋" w:hAnsi="仿宋" w:eastAsia="仿宋" w:cs="仿宋"/>
          <w:color w:val="auto"/>
          <w:sz w:val="21"/>
          <w:szCs w:val="21"/>
          <w:highlight w:val="none"/>
        </w:rPr>
      </w:pPr>
    </w:p>
    <w:p w14:paraId="2BFAADF1">
      <w:pPr>
        <w:keepNext w:val="0"/>
        <w:keepLines w:val="0"/>
        <w:pageBreakBefore w:val="0"/>
        <w:kinsoku/>
        <w:wordWrap/>
        <w:overflowPunct/>
        <w:topLinePunct w:val="0"/>
        <w:autoSpaceDE/>
        <w:autoSpaceDN/>
        <w:bidi w:val="0"/>
        <w:adjustRightInd/>
        <w:spacing w:line="340" w:lineRule="exact"/>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各</w:t>
      </w:r>
      <w:r>
        <w:rPr>
          <w:rFonts w:hint="eastAsia" w:ascii="仿宋" w:hAnsi="仿宋" w:eastAsia="仿宋" w:cs="仿宋"/>
          <w:color w:val="auto"/>
          <w:sz w:val="21"/>
          <w:szCs w:val="21"/>
          <w:highlight w:val="none"/>
          <w:lang w:eastAsia="zh-CN"/>
        </w:rPr>
        <w:t>投标人</w:t>
      </w:r>
      <w:r>
        <w:rPr>
          <w:rFonts w:hint="eastAsia" w:ascii="仿宋" w:hAnsi="仿宋" w:eastAsia="仿宋" w:cs="仿宋"/>
          <w:color w:val="auto"/>
          <w:sz w:val="21"/>
          <w:szCs w:val="21"/>
          <w:highlight w:val="none"/>
        </w:rPr>
        <w:t>：</w:t>
      </w:r>
    </w:p>
    <w:p w14:paraId="4564A1F6">
      <w:pPr>
        <w:keepNext w:val="0"/>
        <w:keepLines w:val="0"/>
        <w:pageBreakBefore w:val="0"/>
        <w:kinsoku/>
        <w:wordWrap/>
        <w:overflowPunct/>
        <w:topLinePunct w:val="0"/>
        <w:autoSpaceDE/>
        <w:autoSpaceDN/>
        <w:bidi w:val="0"/>
        <w:adjustRightInd/>
        <w:spacing w:line="340" w:lineRule="exact"/>
        <w:ind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欢迎贵公司参与河南省政府采购活动！</w:t>
      </w:r>
    </w:p>
    <w:p w14:paraId="171C7EF6">
      <w:pPr>
        <w:keepNext w:val="0"/>
        <w:keepLines w:val="0"/>
        <w:pageBreakBefore w:val="0"/>
        <w:kinsoku/>
        <w:wordWrap/>
        <w:overflowPunct/>
        <w:topLinePunct w:val="0"/>
        <w:autoSpaceDE/>
        <w:autoSpaceDN/>
        <w:bidi w:val="0"/>
        <w:adjustRightInd/>
        <w:spacing w:line="340" w:lineRule="exact"/>
        <w:ind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号），按照双方自愿的原则提供便捷、优惠的贷款服务。</w:t>
      </w:r>
    </w:p>
    <w:p w14:paraId="67C5A3D1">
      <w:pPr>
        <w:keepNext w:val="0"/>
        <w:keepLines w:val="0"/>
        <w:pageBreakBefore w:val="0"/>
        <w:kinsoku/>
        <w:wordWrap/>
        <w:overflowPunct/>
        <w:topLinePunct w:val="0"/>
        <w:autoSpaceDE/>
        <w:autoSpaceDN/>
        <w:bidi w:val="0"/>
        <w:adjustRightInd/>
        <w:spacing w:line="340" w:lineRule="exact"/>
        <w:ind w:firstLine="420" w:firstLineChars="200"/>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贷款渠道和提供贷款的金融机构，可在河南省政府采购网“河南省政府采购合同融资平台”查询联系。政策解读网址：http://www.hngp.gov.cn/henan/content?infoId=1601449567470800&amp;channelCode=H6016</w:t>
      </w:r>
    </w:p>
    <w:p w14:paraId="1113FB85">
      <w:pPr>
        <w:pStyle w:val="15"/>
        <w:keepNext w:val="0"/>
        <w:keepLines w:val="0"/>
        <w:pageBreakBefore w:val="0"/>
        <w:shd w:val="clear" w:color="070000" w:fill="FFFFFF"/>
        <w:kinsoku/>
        <w:wordWrap/>
        <w:overflowPunct/>
        <w:topLinePunct w:val="0"/>
        <w:autoSpaceDE/>
        <w:autoSpaceDN/>
        <w:bidi w:val="0"/>
        <w:adjustRightInd/>
        <w:spacing w:before="0" w:beforeAutospacing="0" w:after="0" w:afterAutospacing="0" w:line="340" w:lineRule="exact"/>
        <w:jc w:val="both"/>
        <w:textAlignment w:val="auto"/>
        <w:outlineLvl w:val="9"/>
        <w:rPr>
          <w:rFonts w:hint="eastAsia" w:ascii="仿宋" w:hAnsi="仿宋" w:eastAsia="仿宋" w:cs="仿宋"/>
          <w:color w:val="auto"/>
          <w:spacing w:val="8"/>
          <w:sz w:val="21"/>
          <w:szCs w:val="21"/>
          <w:highlight w:val="none"/>
          <w:shd w:val="clear" w:color="080000" w:fill="FFFFFF"/>
        </w:rPr>
      </w:pPr>
    </w:p>
    <w:p w14:paraId="616EAE32">
      <w:pPr>
        <w:pStyle w:val="15"/>
        <w:keepNext w:val="0"/>
        <w:keepLines w:val="0"/>
        <w:pageBreakBefore w:val="0"/>
        <w:shd w:val="clear" w:color="070000" w:fill="FFFFFF"/>
        <w:kinsoku/>
        <w:wordWrap/>
        <w:overflowPunct/>
        <w:topLinePunct w:val="0"/>
        <w:autoSpaceDE/>
        <w:autoSpaceDN/>
        <w:bidi w:val="0"/>
        <w:adjustRightInd/>
        <w:spacing w:before="0" w:beforeAutospacing="0" w:after="0" w:afterAutospacing="0" w:line="340" w:lineRule="exact"/>
        <w:jc w:val="both"/>
        <w:textAlignment w:val="auto"/>
        <w:outlineLvl w:val="9"/>
        <w:rPr>
          <w:rFonts w:hint="eastAsia" w:ascii="仿宋" w:hAnsi="仿宋" w:eastAsia="仿宋" w:cs="仿宋"/>
          <w:color w:val="auto"/>
          <w:spacing w:val="8"/>
          <w:sz w:val="21"/>
          <w:szCs w:val="21"/>
          <w:highlight w:val="none"/>
          <w:shd w:val="clear" w:color="080000" w:fill="FFFFFF"/>
        </w:rPr>
      </w:pPr>
    </w:p>
    <w:p w14:paraId="7129DC98">
      <w:pPr>
        <w:pStyle w:val="15"/>
        <w:keepNext w:val="0"/>
        <w:keepLines w:val="0"/>
        <w:pageBreakBefore w:val="0"/>
        <w:shd w:val="clear" w:color="070000" w:fill="FFFFFF"/>
        <w:kinsoku/>
        <w:wordWrap/>
        <w:overflowPunct/>
        <w:topLinePunct w:val="0"/>
        <w:autoSpaceDE/>
        <w:autoSpaceDN/>
        <w:bidi w:val="0"/>
        <w:adjustRightInd/>
        <w:spacing w:before="0" w:beforeAutospacing="0" w:after="0" w:afterAutospacing="0" w:line="340" w:lineRule="exact"/>
        <w:jc w:val="left"/>
        <w:textAlignment w:val="auto"/>
        <w:outlineLvl w:val="9"/>
        <w:rPr>
          <w:rFonts w:hint="eastAsia" w:ascii="仿宋" w:hAnsi="仿宋" w:eastAsia="仿宋" w:cs="仿宋"/>
          <w:color w:val="auto"/>
          <w:spacing w:val="8"/>
          <w:sz w:val="21"/>
          <w:szCs w:val="21"/>
          <w:highlight w:val="none"/>
          <w:shd w:val="clear" w:color="080000" w:fill="FFFFFF"/>
          <w:lang w:eastAsia="zh-CN"/>
        </w:rPr>
      </w:pPr>
      <w:r>
        <w:rPr>
          <w:rFonts w:hint="eastAsia" w:ascii="仿宋" w:hAnsi="仿宋" w:eastAsia="仿宋" w:cs="仿宋"/>
          <w:color w:val="auto"/>
          <w:spacing w:val="8"/>
          <w:sz w:val="21"/>
          <w:szCs w:val="21"/>
          <w:highlight w:val="none"/>
          <w:shd w:val="clear" w:color="080000" w:fill="FFFFFF"/>
          <w:lang w:eastAsia="zh-CN"/>
        </w:rPr>
        <w:t>注：</w:t>
      </w:r>
      <w:r>
        <w:rPr>
          <w:rFonts w:hint="eastAsia" w:ascii="仿宋" w:hAnsi="仿宋" w:eastAsia="仿宋" w:cs="仿宋"/>
          <w:color w:val="auto"/>
          <w:spacing w:val="8"/>
          <w:sz w:val="21"/>
          <w:szCs w:val="21"/>
          <w:highlight w:val="none"/>
          <w:shd w:val="clear" w:color="080000" w:fill="FFFFFF"/>
          <w:lang w:val="en-US" w:eastAsia="zh-CN"/>
        </w:rPr>
        <w:t>1.</w:t>
      </w:r>
      <w:r>
        <w:rPr>
          <w:rFonts w:hint="eastAsia" w:ascii="仿宋" w:hAnsi="仿宋" w:eastAsia="仿宋" w:cs="仿宋"/>
          <w:color w:val="auto"/>
          <w:spacing w:val="8"/>
          <w:sz w:val="21"/>
          <w:szCs w:val="21"/>
          <w:highlight w:val="none"/>
          <w:shd w:val="clear" w:color="080000" w:fill="FFFFFF"/>
          <w:lang w:eastAsia="zh-CN"/>
        </w:rPr>
        <w:t>此项仅为告知，无须附到投标文件中。</w:t>
      </w:r>
    </w:p>
    <w:p w14:paraId="1249AE59">
      <w:pPr>
        <w:pStyle w:val="18"/>
        <w:keepNext w:val="0"/>
        <w:keepLines w:val="0"/>
        <w:pageBreakBefore w:val="0"/>
        <w:numPr>
          <w:ilvl w:val="0"/>
          <w:numId w:val="7"/>
        </w:numPr>
        <w:kinsoku/>
        <w:wordWrap/>
        <w:overflowPunct/>
        <w:topLinePunct w:val="0"/>
        <w:autoSpaceDE/>
        <w:autoSpaceDN/>
        <w:bidi w:val="0"/>
        <w:adjustRightInd/>
        <w:spacing w:line="340" w:lineRule="exact"/>
        <w:ind w:left="0" w:leftChars="0" w:firstLine="422" w:firstLineChars="200"/>
        <w:jc w:val="left"/>
        <w:textAlignment w:val="auto"/>
        <w:outlineLvl w:val="9"/>
        <w:rPr>
          <w:rFonts w:hint="eastAsia" w:ascii="仿宋" w:hAnsi="仿宋" w:eastAsia="仿宋" w:cs="仿宋"/>
          <w:b/>
          <w:bCs/>
          <w:color w:val="auto"/>
          <w:sz w:val="21"/>
          <w:szCs w:val="21"/>
          <w:highlight w:val="none"/>
          <w:lang w:val="en-US" w:eastAsia="zh-CN"/>
        </w:rPr>
      </w:pPr>
      <w:r>
        <w:rPr>
          <w:rFonts w:hint="eastAsia" w:ascii="仿宋" w:hAnsi="仿宋" w:eastAsia="仿宋" w:cs="仿宋"/>
          <w:b/>
          <w:bCs/>
          <w:color w:val="auto"/>
          <w:sz w:val="21"/>
          <w:szCs w:val="21"/>
          <w:highlight w:val="none"/>
          <w:lang w:val="en-US" w:eastAsia="zh-CN"/>
        </w:rPr>
        <w:t>预进行合同融资的，在签订合同时，供应商的合同账号需为合同融资行指定的账户和账号。</w:t>
      </w:r>
    </w:p>
    <w:p w14:paraId="6F128074">
      <w:pPr>
        <w:pStyle w:val="12"/>
        <w:keepNext w:val="0"/>
        <w:keepLines w:val="0"/>
        <w:pageBreakBefore w:val="0"/>
        <w:kinsoku/>
        <w:wordWrap/>
        <w:overflowPunct/>
        <w:topLinePunct w:val="0"/>
        <w:autoSpaceDE/>
        <w:autoSpaceDN/>
        <w:bidi w:val="0"/>
        <w:adjustRightInd/>
        <w:spacing w:line="340" w:lineRule="exact"/>
        <w:textAlignment w:val="auto"/>
        <w:outlineLvl w:val="9"/>
        <w:rPr>
          <w:rFonts w:hint="eastAsia" w:ascii="仿宋" w:hAnsi="仿宋" w:eastAsia="仿宋" w:cs="仿宋"/>
          <w:color w:val="auto"/>
          <w:highlight w:val="none"/>
          <w:lang w:eastAsia="zh-CN"/>
        </w:rPr>
      </w:pPr>
      <w:r>
        <w:rPr>
          <w:rFonts w:hint="eastAsia" w:ascii="仿宋" w:hAnsi="仿宋" w:eastAsia="仿宋" w:cs="仿宋"/>
          <w:b/>
          <w:bCs/>
          <w:color w:val="auto"/>
          <w:sz w:val="21"/>
          <w:szCs w:val="21"/>
          <w:highlight w:val="none"/>
          <w:lang w:val="en-US" w:eastAsia="zh-CN"/>
        </w:rPr>
        <w:t>3.预进行合同融资的，请提醒采购人在合同备案时，将备案系统中供应商默认账号修改后合同融资行指定的账户和账号，然后再提交合同备案。</w:t>
      </w:r>
    </w:p>
    <w:bookmarkEnd w:id="58"/>
    <w:bookmarkEnd w:id="59"/>
    <w:bookmarkEnd w:id="60"/>
    <w:bookmarkEnd w:id="61"/>
    <w:bookmarkEnd w:id="62"/>
    <w:bookmarkEnd w:id="63"/>
    <w:bookmarkEnd w:id="64"/>
    <w:p w14:paraId="457C87A9">
      <w:pPr>
        <w:pageBreakBefore w:val="0"/>
        <w:kinsoku/>
        <w:wordWrap/>
        <w:overflowPunct/>
        <w:topLinePunct w:val="0"/>
        <w:bidi w:val="0"/>
        <w:spacing w:line="400" w:lineRule="exact"/>
        <w:outlineLvl w:val="9"/>
        <w:rPr>
          <w:rFonts w:hint="eastAsia" w:ascii="仿宋" w:hAnsi="仿宋" w:eastAsia="仿宋" w:cs="仿宋"/>
          <w:color w:val="auto"/>
          <w:sz w:val="36"/>
          <w:szCs w:val="36"/>
          <w:highlight w:val="none"/>
        </w:rPr>
      </w:pPr>
    </w:p>
    <w:p w14:paraId="692CD76B">
      <w:pPr>
        <w:outlineLvl w:val="9"/>
        <w:rPr>
          <w:rFonts w:hint="eastAsia" w:ascii="仿宋" w:hAnsi="仿宋" w:eastAsia="仿宋" w:cs="仿宋"/>
          <w:color w:val="auto"/>
          <w:sz w:val="36"/>
          <w:szCs w:val="36"/>
          <w:highlight w:val="none"/>
        </w:rPr>
      </w:pPr>
    </w:p>
    <w:p w14:paraId="1CA98C17">
      <w:pPr>
        <w:pStyle w:val="5"/>
        <w:outlineLvl w:val="9"/>
        <w:rPr>
          <w:rFonts w:hint="eastAsia" w:ascii="仿宋" w:hAnsi="仿宋" w:eastAsia="仿宋" w:cs="仿宋"/>
          <w:color w:val="auto"/>
          <w:sz w:val="36"/>
          <w:szCs w:val="36"/>
          <w:highlight w:val="none"/>
        </w:rPr>
      </w:pPr>
    </w:p>
    <w:p w14:paraId="34A49559">
      <w:pPr>
        <w:pStyle w:val="14"/>
        <w:outlineLvl w:val="9"/>
        <w:rPr>
          <w:rFonts w:hint="eastAsia" w:ascii="仿宋" w:hAnsi="仿宋" w:eastAsia="仿宋" w:cs="仿宋"/>
          <w:color w:val="auto"/>
          <w:sz w:val="36"/>
          <w:szCs w:val="36"/>
          <w:highlight w:val="none"/>
        </w:rPr>
      </w:pPr>
    </w:p>
    <w:p w14:paraId="68688897">
      <w:pPr>
        <w:pStyle w:val="13"/>
        <w:outlineLvl w:val="9"/>
        <w:rPr>
          <w:rFonts w:hint="eastAsia" w:ascii="仿宋" w:hAnsi="仿宋" w:eastAsia="仿宋" w:cs="仿宋"/>
          <w:color w:val="auto"/>
          <w:sz w:val="36"/>
          <w:szCs w:val="36"/>
          <w:highlight w:val="none"/>
        </w:rPr>
      </w:pPr>
    </w:p>
    <w:p w14:paraId="3F650723">
      <w:pPr>
        <w:bidi w:val="0"/>
        <w:spacing w:line="360" w:lineRule="auto"/>
        <w:ind w:left="0" w:leftChars="0" w:firstLine="0" w:firstLineChars="0"/>
        <w:jc w:val="center"/>
        <w:outlineLvl w:val="9"/>
        <w:rPr>
          <w:rFonts w:hint="eastAsia" w:ascii="仿宋" w:hAnsi="仿宋" w:eastAsia="仿宋" w:cs="仿宋"/>
          <w:b/>
          <w:color w:val="auto"/>
          <w:kern w:val="2"/>
          <w:sz w:val="36"/>
          <w:szCs w:val="36"/>
          <w:highlight w:val="none"/>
          <w:lang w:val="en-US" w:eastAsia="zh-CN" w:bidi="ar-SA"/>
        </w:rPr>
        <w:sectPr>
          <w:pgSz w:w="11905" w:h="16838"/>
          <w:pgMar w:top="1417" w:right="1417" w:bottom="1417" w:left="1417" w:header="850" w:footer="850" w:gutter="0"/>
          <w:pgBorders>
            <w:top w:val="none" w:sz="0" w:space="0"/>
            <w:left w:val="none" w:sz="0" w:space="0"/>
            <w:bottom w:val="none" w:sz="0" w:space="0"/>
            <w:right w:val="none" w:sz="0" w:space="0"/>
          </w:pgBorders>
          <w:pgNumType w:fmt="numberInDash"/>
          <w:cols w:space="0" w:num="1"/>
          <w:rtlGutter w:val="0"/>
          <w:docGrid w:type="lines" w:linePitch="412" w:charSpace="0"/>
        </w:sectPr>
      </w:pPr>
      <w:bookmarkStart w:id="65" w:name="_Toc23816"/>
    </w:p>
    <w:bookmarkEnd w:id="65"/>
    <w:p w14:paraId="78CC484E">
      <w:pPr>
        <w:pageBreakBefore w:val="0"/>
        <w:kinsoku/>
        <w:wordWrap/>
        <w:overflowPunct/>
        <w:topLinePunct w:val="0"/>
        <w:bidi w:val="0"/>
        <w:spacing w:line="400" w:lineRule="exact"/>
        <w:ind w:left="0" w:leftChars="0" w:firstLine="0" w:firstLineChars="0"/>
        <w:jc w:val="center"/>
        <w:outlineLvl w:val="0"/>
        <w:rPr>
          <w:rFonts w:hint="eastAsia" w:ascii="仿宋" w:hAnsi="仿宋" w:eastAsia="仿宋" w:cs="仿宋"/>
          <w:b/>
          <w:color w:val="auto"/>
          <w:kern w:val="2"/>
          <w:sz w:val="36"/>
          <w:szCs w:val="36"/>
          <w:highlight w:val="none"/>
          <w:lang w:val="en-US" w:eastAsia="zh-CN" w:bidi="ar-SA"/>
        </w:rPr>
      </w:pPr>
      <w:bookmarkStart w:id="66" w:name="_Toc32144"/>
      <w:r>
        <w:rPr>
          <w:rFonts w:hint="eastAsia" w:ascii="仿宋" w:hAnsi="仿宋" w:eastAsia="仿宋" w:cs="仿宋"/>
          <w:b/>
          <w:color w:val="auto"/>
          <w:kern w:val="2"/>
          <w:sz w:val="36"/>
          <w:szCs w:val="36"/>
          <w:highlight w:val="none"/>
          <w:lang w:val="en-US" w:eastAsia="zh-CN" w:bidi="ar-SA"/>
        </w:rPr>
        <w:t>第三章  评标办法</w:t>
      </w:r>
      <w:bookmarkEnd w:id="66"/>
      <w:bookmarkStart w:id="67" w:name="_Toc381964639"/>
      <w:bookmarkStart w:id="68" w:name="_Toc381018330"/>
      <w:bookmarkStart w:id="69" w:name="_Toc11095"/>
      <w:bookmarkStart w:id="70" w:name="_Toc374358909"/>
      <w:bookmarkStart w:id="71" w:name="_Toc381964731"/>
      <w:bookmarkStart w:id="72" w:name="_Toc363053524"/>
    </w:p>
    <w:p w14:paraId="453E6899">
      <w:pPr>
        <w:spacing w:line="240" w:lineRule="auto"/>
        <w:ind w:left="0" w:leftChars="0" w:firstLine="0" w:firstLineChars="0"/>
        <w:jc w:val="center"/>
        <w:outlineLvl w:val="9"/>
        <w:rPr>
          <w:rFonts w:hint="eastAsia" w:ascii="仿宋" w:hAnsi="仿宋" w:eastAsia="仿宋" w:cs="仿宋"/>
          <w:b/>
          <w:color w:val="auto"/>
          <w:kern w:val="2"/>
          <w:sz w:val="36"/>
          <w:szCs w:val="36"/>
          <w:highlight w:val="none"/>
          <w:lang w:val="en-US" w:eastAsia="zh-CN" w:bidi="ar-SA"/>
        </w:rPr>
      </w:pPr>
      <w:bookmarkStart w:id="73" w:name="_Toc14909"/>
      <w:r>
        <w:rPr>
          <w:rFonts w:hint="eastAsia" w:ascii="仿宋" w:hAnsi="仿宋" w:eastAsia="仿宋" w:cs="仿宋"/>
          <w:color w:val="auto"/>
          <w:sz w:val="30"/>
          <w:szCs w:val="30"/>
          <w:highlight w:val="none"/>
        </w:rPr>
        <w:t>评分办法前附表</w:t>
      </w:r>
      <w:bookmarkEnd w:id="73"/>
    </w:p>
    <w:tbl>
      <w:tblPr>
        <w:tblStyle w:val="19"/>
        <w:tblpPr w:leftFromText="180" w:rightFromText="180" w:vertAnchor="text" w:horzAnchor="page" w:tblpXSpec="center" w:tblpY="1011"/>
        <w:tblOverlap w:val="never"/>
        <w:tblW w:w="10086" w:type="dxa"/>
        <w:jc w:val="center"/>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Layout w:type="fixed"/>
        <w:tblCellMar>
          <w:top w:w="0" w:type="dxa"/>
          <w:left w:w="108" w:type="dxa"/>
          <w:bottom w:w="0" w:type="dxa"/>
          <w:right w:w="108" w:type="dxa"/>
        </w:tblCellMar>
      </w:tblPr>
      <w:tblGrid>
        <w:gridCol w:w="769"/>
        <w:gridCol w:w="600"/>
        <w:gridCol w:w="858"/>
        <w:gridCol w:w="1309"/>
        <w:gridCol w:w="6550"/>
      </w:tblGrid>
      <w:tr w14:paraId="7B053716">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1369" w:type="dxa"/>
            <w:gridSpan w:val="2"/>
            <w:noWrap w:val="0"/>
            <w:vAlign w:val="center"/>
          </w:tcPr>
          <w:p w14:paraId="33CD1FD4">
            <w:pPr>
              <w:keepNext/>
              <w:keepLines/>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 w:hAnsi="仿宋" w:eastAsia="仿宋" w:cs="仿宋"/>
                <w:b/>
                <w:bCs/>
                <w:color w:val="auto"/>
                <w:highlight w:val="none"/>
              </w:rPr>
            </w:pPr>
            <w:r>
              <w:rPr>
                <w:rFonts w:hint="eastAsia" w:ascii="仿宋" w:hAnsi="仿宋" w:eastAsia="仿宋" w:cs="仿宋"/>
                <w:b/>
                <w:bCs/>
                <w:color w:val="auto"/>
                <w:highlight w:val="none"/>
              </w:rPr>
              <w:t>条款号</w:t>
            </w:r>
          </w:p>
        </w:tc>
        <w:tc>
          <w:tcPr>
            <w:tcW w:w="2167" w:type="dxa"/>
            <w:gridSpan w:val="2"/>
            <w:noWrap w:val="0"/>
            <w:vAlign w:val="center"/>
          </w:tcPr>
          <w:p w14:paraId="71918851">
            <w:pPr>
              <w:keepNext/>
              <w:keepLines/>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 w:hAnsi="仿宋" w:eastAsia="仿宋" w:cs="仿宋"/>
                <w:b/>
                <w:bCs/>
                <w:color w:val="auto"/>
                <w:highlight w:val="none"/>
              </w:rPr>
            </w:pPr>
            <w:r>
              <w:rPr>
                <w:rFonts w:hint="eastAsia" w:ascii="仿宋" w:hAnsi="仿宋" w:eastAsia="仿宋" w:cs="仿宋"/>
                <w:b/>
                <w:bCs/>
                <w:color w:val="auto"/>
                <w:highlight w:val="none"/>
              </w:rPr>
              <w:t>评审因素</w:t>
            </w:r>
          </w:p>
        </w:tc>
        <w:tc>
          <w:tcPr>
            <w:tcW w:w="6550" w:type="dxa"/>
            <w:noWrap w:val="0"/>
            <w:vAlign w:val="center"/>
          </w:tcPr>
          <w:p w14:paraId="717FB404">
            <w:pPr>
              <w:keepNext/>
              <w:keepLines/>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 w:hAnsi="仿宋" w:eastAsia="仿宋" w:cs="仿宋"/>
                <w:b/>
                <w:bCs/>
                <w:color w:val="auto"/>
                <w:highlight w:val="none"/>
              </w:rPr>
            </w:pPr>
            <w:r>
              <w:rPr>
                <w:rFonts w:hint="eastAsia" w:ascii="仿宋" w:hAnsi="仿宋" w:eastAsia="仿宋" w:cs="仿宋"/>
                <w:b/>
                <w:bCs/>
                <w:color w:val="auto"/>
                <w:highlight w:val="none"/>
              </w:rPr>
              <w:t>评审标准</w:t>
            </w:r>
          </w:p>
        </w:tc>
      </w:tr>
      <w:tr w14:paraId="4C388E9E">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128" w:hRule="atLeast"/>
          <w:jc w:val="center"/>
        </w:trPr>
        <w:tc>
          <w:tcPr>
            <w:tcW w:w="769" w:type="dxa"/>
            <w:vMerge w:val="restart"/>
            <w:noWrap w:val="0"/>
            <w:vAlign w:val="center"/>
          </w:tcPr>
          <w:p w14:paraId="27CDE928">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2.1.1</w:t>
            </w:r>
          </w:p>
        </w:tc>
        <w:tc>
          <w:tcPr>
            <w:tcW w:w="600" w:type="dxa"/>
            <w:vMerge w:val="restart"/>
            <w:noWrap w:val="0"/>
            <w:vAlign w:val="center"/>
          </w:tcPr>
          <w:p w14:paraId="1F92F476">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资格评审标准</w:t>
            </w:r>
          </w:p>
        </w:tc>
        <w:tc>
          <w:tcPr>
            <w:tcW w:w="2167" w:type="dxa"/>
            <w:gridSpan w:val="2"/>
            <w:noWrap w:val="0"/>
            <w:vAlign w:val="center"/>
          </w:tcPr>
          <w:p w14:paraId="54486451">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符合《中华人民共和国政府采购法》第22条规定</w:t>
            </w:r>
          </w:p>
        </w:tc>
        <w:tc>
          <w:tcPr>
            <w:tcW w:w="6550" w:type="dxa"/>
            <w:noWrap w:val="0"/>
            <w:vAlign w:val="center"/>
          </w:tcPr>
          <w:p w14:paraId="4122E9D6">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符合第二章“供应商须知”第1.4.1项规定</w:t>
            </w:r>
          </w:p>
        </w:tc>
      </w:tr>
      <w:tr w14:paraId="22E38F92">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69" w:type="dxa"/>
            <w:vMerge w:val="continue"/>
            <w:noWrap w:val="0"/>
            <w:vAlign w:val="center"/>
          </w:tcPr>
          <w:p w14:paraId="1ABC4B67">
            <w:pPr>
              <w:keepNext/>
              <w:keepLines/>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 w:hAnsi="仿宋" w:eastAsia="仿宋" w:cs="仿宋"/>
                <w:color w:val="auto"/>
                <w:highlight w:val="none"/>
              </w:rPr>
            </w:pPr>
          </w:p>
        </w:tc>
        <w:tc>
          <w:tcPr>
            <w:tcW w:w="600" w:type="dxa"/>
            <w:vMerge w:val="continue"/>
            <w:noWrap w:val="0"/>
            <w:vAlign w:val="center"/>
          </w:tcPr>
          <w:p w14:paraId="226CC458">
            <w:pPr>
              <w:keepNext/>
              <w:keepLines/>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 w:hAnsi="仿宋" w:eastAsia="仿宋" w:cs="仿宋"/>
                <w:color w:val="auto"/>
                <w:highlight w:val="none"/>
              </w:rPr>
            </w:pPr>
          </w:p>
        </w:tc>
        <w:tc>
          <w:tcPr>
            <w:tcW w:w="2167" w:type="dxa"/>
            <w:gridSpan w:val="2"/>
            <w:noWrap w:val="0"/>
            <w:vAlign w:val="center"/>
          </w:tcPr>
          <w:p w14:paraId="446E50B8">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落实政府采购政策</w:t>
            </w:r>
          </w:p>
        </w:tc>
        <w:tc>
          <w:tcPr>
            <w:tcW w:w="6550" w:type="dxa"/>
            <w:noWrap w:val="0"/>
            <w:vAlign w:val="center"/>
          </w:tcPr>
          <w:p w14:paraId="10055F55">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符合第二章“供应商须知”第1.4.1项规定</w:t>
            </w:r>
          </w:p>
        </w:tc>
      </w:tr>
      <w:tr w14:paraId="1F5CDE3C">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69" w:type="dxa"/>
            <w:vMerge w:val="continue"/>
            <w:noWrap w:val="0"/>
            <w:vAlign w:val="center"/>
          </w:tcPr>
          <w:p w14:paraId="5EE5C742">
            <w:pPr>
              <w:keepNext/>
              <w:keepLines/>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 w:hAnsi="仿宋" w:eastAsia="仿宋" w:cs="仿宋"/>
                <w:color w:val="auto"/>
                <w:highlight w:val="none"/>
              </w:rPr>
            </w:pPr>
          </w:p>
        </w:tc>
        <w:tc>
          <w:tcPr>
            <w:tcW w:w="600" w:type="dxa"/>
            <w:vMerge w:val="continue"/>
            <w:noWrap w:val="0"/>
            <w:vAlign w:val="center"/>
          </w:tcPr>
          <w:p w14:paraId="6DB7581B">
            <w:pPr>
              <w:keepNext/>
              <w:keepLines/>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 w:hAnsi="仿宋" w:eastAsia="仿宋" w:cs="仿宋"/>
                <w:color w:val="auto"/>
                <w:highlight w:val="none"/>
              </w:rPr>
            </w:pPr>
          </w:p>
        </w:tc>
        <w:tc>
          <w:tcPr>
            <w:tcW w:w="2167" w:type="dxa"/>
            <w:gridSpan w:val="2"/>
            <w:noWrap w:val="0"/>
            <w:vAlign w:val="center"/>
          </w:tcPr>
          <w:p w14:paraId="07896599">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特定资格要求</w:t>
            </w:r>
          </w:p>
        </w:tc>
        <w:tc>
          <w:tcPr>
            <w:tcW w:w="6550" w:type="dxa"/>
            <w:noWrap w:val="0"/>
            <w:vAlign w:val="center"/>
          </w:tcPr>
          <w:p w14:paraId="23077630">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符合第二章“供应商须知”第1.4.1项规定</w:t>
            </w:r>
          </w:p>
        </w:tc>
      </w:tr>
      <w:tr w14:paraId="3C6FC16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69" w:type="dxa"/>
            <w:vMerge w:val="continue"/>
            <w:noWrap w:val="0"/>
            <w:vAlign w:val="center"/>
          </w:tcPr>
          <w:p w14:paraId="327CA7FF">
            <w:pPr>
              <w:keepNext/>
              <w:keepLines/>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 w:hAnsi="仿宋" w:eastAsia="仿宋" w:cs="仿宋"/>
                <w:color w:val="auto"/>
                <w:highlight w:val="none"/>
              </w:rPr>
            </w:pPr>
          </w:p>
        </w:tc>
        <w:tc>
          <w:tcPr>
            <w:tcW w:w="600" w:type="dxa"/>
            <w:vMerge w:val="continue"/>
            <w:noWrap w:val="0"/>
            <w:vAlign w:val="center"/>
          </w:tcPr>
          <w:p w14:paraId="67C59212">
            <w:pPr>
              <w:keepNext/>
              <w:keepLines/>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 w:hAnsi="仿宋" w:eastAsia="仿宋" w:cs="仿宋"/>
                <w:color w:val="auto"/>
                <w:highlight w:val="none"/>
              </w:rPr>
            </w:pPr>
          </w:p>
        </w:tc>
        <w:tc>
          <w:tcPr>
            <w:tcW w:w="2167" w:type="dxa"/>
            <w:gridSpan w:val="2"/>
            <w:noWrap w:val="0"/>
            <w:vAlign w:val="center"/>
          </w:tcPr>
          <w:p w14:paraId="732F6A62">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其他要求</w:t>
            </w:r>
          </w:p>
        </w:tc>
        <w:tc>
          <w:tcPr>
            <w:tcW w:w="6550" w:type="dxa"/>
            <w:noWrap w:val="0"/>
            <w:vAlign w:val="center"/>
          </w:tcPr>
          <w:p w14:paraId="5401A3EC">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符合第二章“供应商须知”规定</w:t>
            </w:r>
          </w:p>
        </w:tc>
      </w:tr>
      <w:tr w14:paraId="138531AB">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69" w:type="dxa"/>
            <w:vMerge w:val="continue"/>
            <w:noWrap w:val="0"/>
            <w:vAlign w:val="center"/>
          </w:tcPr>
          <w:p w14:paraId="5FF5E6C3">
            <w:pPr>
              <w:keepNext/>
              <w:keepLines/>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 w:hAnsi="仿宋" w:eastAsia="仿宋" w:cs="仿宋"/>
                <w:color w:val="auto"/>
                <w:highlight w:val="none"/>
              </w:rPr>
            </w:pPr>
          </w:p>
        </w:tc>
        <w:tc>
          <w:tcPr>
            <w:tcW w:w="600" w:type="dxa"/>
            <w:vMerge w:val="continue"/>
            <w:noWrap w:val="0"/>
            <w:vAlign w:val="center"/>
          </w:tcPr>
          <w:p w14:paraId="4FBC958D">
            <w:pPr>
              <w:keepNext/>
              <w:keepLines/>
              <w:pageBreakBefore w:val="0"/>
              <w:widowControl w:val="0"/>
              <w:kinsoku/>
              <w:wordWrap/>
              <w:overflowPunct/>
              <w:topLinePunct w:val="0"/>
              <w:autoSpaceDE/>
              <w:autoSpaceDN/>
              <w:bidi w:val="0"/>
              <w:adjustRightInd/>
              <w:snapToGrid/>
              <w:spacing w:line="240" w:lineRule="auto"/>
              <w:jc w:val="center"/>
              <w:textAlignment w:val="auto"/>
              <w:outlineLvl w:val="9"/>
              <w:rPr>
                <w:rFonts w:hint="eastAsia" w:ascii="仿宋" w:hAnsi="仿宋" w:eastAsia="仿宋" w:cs="仿宋"/>
                <w:color w:val="auto"/>
                <w:highlight w:val="none"/>
              </w:rPr>
            </w:pPr>
          </w:p>
        </w:tc>
        <w:tc>
          <w:tcPr>
            <w:tcW w:w="8717" w:type="dxa"/>
            <w:gridSpan w:val="3"/>
            <w:noWrap w:val="0"/>
            <w:vAlign w:val="center"/>
          </w:tcPr>
          <w:p w14:paraId="07506339">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注：投标文件中附相关证件扫描件，资料不全或不合格者视为未通过资格审查</w:t>
            </w:r>
          </w:p>
        </w:tc>
      </w:tr>
      <w:tr w14:paraId="393578D8">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69" w:type="dxa"/>
            <w:vMerge w:val="restart"/>
            <w:noWrap w:val="0"/>
            <w:vAlign w:val="center"/>
          </w:tcPr>
          <w:p w14:paraId="1987E976">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2.1.2</w:t>
            </w:r>
          </w:p>
          <w:p w14:paraId="25B9CB37">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p>
        </w:tc>
        <w:tc>
          <w:tcPr>
            <w:tcW w:w="600" w:type="dxa"/>
            <w:vMerge w:val="restart"/>
            <w:noWrap w:val="0"/>
            <w:vAlign w:val="center"/>
          </w:tcPr>
          <w:p w14:paraId="34F427CF">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符合</w:t>
            </w:r>
          </w:p>
          <w:p w14:paraId="739135F5">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评审</w:t>
            </w:r>
          </w:p>
          <w:p w14:paraId="24A13513">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标准</w:t>
            </w:r>
          </w:p>
        </w:tc>
        <w:tc>
          <w:tcPr>
            <w:tcW w:w="2167" w:type="dxa"/>
            <w:gridSpan w:val="2"/>
            <w:noWrap w:val="0"/>
            <w:vAlign w:val="center"/>
          </w:tcPr>
          <w:p w14:paraId="20CCA1FD">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供应商名称</w:t>
            </w:r>
          </w:p>
        </w:tc>
        <w:tc>
          <w:tcPr>
            <w:tcW w:w="6550" w:type="dxa"/>
            <w:noWrap w:val="0"/>
            <w:vAlign w:val="center"/>
          </w:tcPr>
          <w:p w14:paraId="1E5A3282">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与营业执照一致</w:t>
            </w:r>
          </w:p>
        </w:tc>
      </w:tr>
      <w:tr w14:paraId="4ED971B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69" w:type="dxa"/>
            <w:vMerge w:val="continue"/>
            <w:noWrap w:val="0"/>
            <w:vAlign w:val="center"/>
          </w:tcPr>
          <w:p w14:paraId="2AB2464E">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p>
        </w:tc>
        <w:tc>
          <w:tcPr>
            <w:tcW w:w="600" w:type="dxa"/>
            <w:vMerge w:val="continue"/>
            <w:noWrap w:val="0"/>
            <w:vAlign w:val="center"/>
          </w:tcPr>
          <w:p w14:paraId="6FD58DA5">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p>
        </w:tc>
        <w:tc>
          <w:tcPr>
            <w:tcW w:w="2167" w:type="dxa"/>
            <w:gridSpan w:val="2"/>
            <w:noWrap w:val="0"/>
            <w:vAlign w:val="center"/>
          </w:tcPr>
          <w:p w14:paraId="2B238E6E">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采购内容</w:t>
            </w:r>
          </w:p>
        </w:tc>
        <w:tc>
          <w:tcPr>
            <w:tcW w:w="6550" w:type="dxa"/>
            <w:noWrap w:val="0"/>
            <w:vAlign w:val="center"/>
          </w:tcPr>
          <w:p w14:paraId="482DB04F">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符合第二章“供应商须知”第1.3.1项规定</w:t>
            </w:r>
          </w:p>
        </w:tc>
      </w:tr>
      <w:tr w14:paraId="0C739F5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69" w:type="dxa"/>
            <w:vMerge w:val="continue"/>
            <w:noWrap w:val="0"/>
            <w:vAlign w:val="center"/>
          </w:tcPr>
          <w:p w14:paraId="099C58EF">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p>
        </w:tc>
        <w:tc>
          <w:tcPr>
            <w:tcW w:w="600" w:type="dxa"/>
            <w:vMerge w:val="continue"/>
            <w:noWrap w:val="0"/>
            <w:vAlign w:val="center"/>
          </w:tcPr>
          <w:p w14:paraId="617ECE99">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p>
        </w:tc>
        <w:tc>
          <w:tcPr>
            <w:tcW w:w="2167" w:type="dxa"/>
            <w:gridSpan w:val="2"/>
            <w:noWrap w:val="0"/>
            <w:vAlign w:val="center"/>
          </w:tcPr>
          <w:p w14:paraId="462F7C69">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投标文件签字盖章</w:t>
            </w:r>
          </w:p>
        </w:tc>
        <w:tc>
          <w:tcPr>
            <w:tcW w:w="6550" w:type="dxa"/>
            <w:noWrap w:val="0"/>
            <w:vAlign w:val="center"/>
          </w:tcPr>
          <w:p w14:paraId="7D231F06">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符合第二章“供应商须知”</w:t>
            </w:r>
            <w:r>
              <w:rPr>
                <w:rFonts w:hint="eastAsia" w:ascii="仿宋" w:hAnsi="仿宋" w:eastAsia="仿宋" w:cs="仿宋"/>
                <w:color w:val="auto"/>
                <w:highlight w:val="none"/>
                <w:lang w:val="en-US" w:eastAsia="zh-CN"/>
              </w:rPr>
              <w:t>的</w:t>
            </w:r>
            <w:r>
              <w:rPr>
                <w:rFonts w:hint="eastAsia" w:ascii="仿宋" w:hAnsi="仿宋" w:eastAsia="仿宋" w:cs="仿宋"/>
                <w:color w:val="auto"/>
                <w:highlight w:val="none"/>
              </w:rPr>
              <w:t>规定</w:t>
            </w:r>
          </w:p>
        </w:tc>
      </w:tr>
      <w:tr w14:paraId="474AC38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69" w:type="dxa"/>
            <w:vMerge w:val="continue"/>
            <w:noWrap w:val="0"/>
            <w:vAlign w:val="center"/>
          </w:tcPr>
          <w:p w14:paraId="220D3B03">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p>
        </w:tc>
        <w:tc>
          <w:tcPr>
            <w:tcW w:w="600" w:type="dxa"/>
            <w:vMerge w:val="continue"/>
            <w:noWrap w:val="0"/>
            <w:vAlign w:val="center"/>
          </w:tcPr>
          <w:p w14:paraId="7F5E617C">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p>
        </w:tc>
        <w:tc>
          <w:tcPr>
            <w:tcW w:w="2167" w:type="dxa"/>
            <w:gridSpan w:val="2"/>
            <w:noWrap w:val="0"/>
            <w:vAlign w:val="center"/>
          </w:tcPr>
          <w:p w14:paraId="55C05834">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投标文件格式</w:t>
            </w:r>
          </w:p>
        </w:tc>
        <w:tc>
          <w:tcPr>
            <w:tcW w:w="6550" w:type="dxa"/>
            <w:noWrap w:val="0"/>
            <w:vAlign w:val="center"/>
          </w:tcPr>
          <w:p w14:paraId="2B3B5A97">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符合第六章“投标文件格式”的要求</w:t>
            </w:r>
          </w:p>
        </w:tc>
      </w:tr>
      <w:tr w14:paraId="3550EFA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69" w:type="dxa"/>
            <w:vMerge w:val="continue"/>
            <w:noWrap w:val="0"/>
            <w:vAlign w:val="center"/>
          </w:tcPr>
          <w:p w14:paraId="19F7622F">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p>
        </w:tc>
        <w:tc>
          <w:tcPr>
            <w:tcW w:w="600" w:type="dxa"/>
            <w:vMerge w:val="continue"/>
            <w:noWrap w:val="0"/>
            <w:vAlign w:val="center"/>
          </w:tcPr>
          <w:p w14:paraId="3EE2B1C6">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p>
        </w:tc>
        <w:tc>
          <w:tcPr>
            <w:tcW w:w="2167" w:type="dxa"/>
            <w:gridSpan w:val="2"/>
            <w:noWrap w:val="0"/>
            <w:vAlign w:val="center"/>
          </w:tcPr>
          <w:p w14:paraId="59A1E93A">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报价唯一</w:t>
            </w:r>
          </w:p>
        </w:tc>
        <w:tc>
          <w:tcPr>
            <w:tcW w:w="6550" w:type="dxa"/>
            <w:noWrap w:val="0"/>
            <w:vAlign w:val="center"/>
          </w:tcPr>
          <w:p w14:paraId="35EA5725">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只有一个有效报价</w:t>
            </w:r>
          </w:p>
        </w:tc>
      </w:tr>
      <w:tr w14:paraId="32544C59">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69" w:type="dxa"/>
            <w:vMerge w:val="continue"/>
            <w:noWrap w:val="0"/>
            <w:vAlign w:val="center"/>
          </w:tcPr>
          <w:p w14:paraId="5DDCD79E">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p>
        </w:tc>
        <w:tc>
          <w:tcPr>
            <w:tcW w:w="600" w:type="dxa"/>
            <w:vMerge w:val="continue"/>
            <w:noWrap w:val="0"/>
            <w:vAlign w:val="center"/>
          </w:tcPr>
          <w:p w14:paraId="58ED4DA6">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p>
        </w:tc>
        <w:tc>
          <w:tcPr>
            <w:tcW w:w="2167" w:type="dxa"/>
            <w:gridSpan w:val="2"/>
            <w:noWrap w:val="0"/>
            <w:vAlign w:val="center"/>
          </w:tcPr>
          <w:p w14:paraId="327D6EA6">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投标报价</w:t>
            </w:r>
          </w:p>
        </w:tc>
        <w:tc>
          <w:tcPr>
            <w:tcW w:w="6550" w:type="dxa"/>
            <w:noWrap w:val="0"/>
            <w:vAlign w:val="center"/>
          </w:tcPr>
          <w:p w14:paraId="1CC3958E">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报价均不超过预算价（最高限价）</w:t>
            </w:r>
          </w:p>
        </w:tc>
      </w:tr>
      <w:tr w14:paraId="24D361F4">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69" w:type="dxa"/>
            <w:vMerge w:val="continue"/>
            <w:noWrap w:val="0"/>
            <w:vAlign w:val="center"/>
          </w:tcPr>
          <w:p w14:paraId="21B14390">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p>
        </w:tc>
        <w:tc>
          <w:tcPr>
            <w:tcW w:w="600" w:type="dxa"/>
            <w:vMerge w:val="continue"/>
            <w:noWrap w:val="0"/>
            <w:vAlign w:val="center"/>
          </w:tcPr>
          <w:p w14:paraId="55D5B081">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p>
        </w:tc>
        <w:tc>
          <w:tcPr>
            <w:tcW w:w="2167" w:type="dxa"/>
            <w:gridSpan w:val="2"/>
            <w:noWrap w:val="0"/>
            <w:vAlign w:val="center"/>
          </w:tcPr>
          <w:p w14:paraId="08C9BAE1">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质量要求</w:t>
            </w:r>
          </w:p>
        </w:tc>
        <w:tc>
          <w:tcPr>
            <w:tcW w:w="6550" w:type="dxa"/>
            <w:noWrap w:val="0"/>
            <w:vAlign w:val="center"/>
          </w:tcPr>
          <w:p w14:paraId="45D39074">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符合第二章“供应商须知”第1.3.2项规定</w:t>
            </w:r>
          </w:p>
        </w:tc>
      </w:tr>
      <w:tr w14:paraId="37191B33">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69" w:type="dxa"/>
            <w:vMerge w:val="continue"/>
            <w:noWrap w:val="0"/>
            <w:vAlign w:val="center"/>
          </w:tcPr>
          <w:p w14:paraId="479E95E6">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p>
        </w:tc>
        <w:tc>
          <w:tcPr>
            <w:tcW w:w="600" w:type="dxa"/>
            <w:vMerge w:val="continue"/>
            <w:noWrap w:val="0"/>
            <w:vAlign w:val="center"/>
          </w:tcPr>
          <w:p w14:paraId="103F0AE7">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p>
        </w:tc>
        <w:tc>
          <w:tcPr>
            <w:tcW w:w="2167" w:type="dxa"/>
            <w:gridSpan w:val="2"/>
            <w:noWrap w:val="0"/>
            <w:vAlign w:val="center"/>
          </w:tcPr>
          <w:p w14:paraId="585E1A4A">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交货期</w:t>
            </w:r>
          </w:p>
        </w:tc>
        <w:tc>
          <w:tcPr>
            <w:tcW w:w="6550" w:type="dxa"/>
            <w:noWrap w:val="0"/>
            <w:vAlign w:val="center"/>
          </w:tcPr>
          <w:p w14:paraId="05D4B004">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符合第二章“供应商须知”第1.3.3项规定</w:t>
            </w:r>
          </w:p>
        </w:tc>
      </w:tr>
      <w:tr w14:paraId="16F0A5A5">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69" w:type="dxa"/>
            <w:vMerge w:val="continue"/>
            <w:noWrap w:val="0"/>
            <w:vAlign w:val="center"/>
          </w:tcPr>
          <w:p w14:paraId="343D5EFE">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p>
        </w:tc>
        <w:tc>
          <w:tcPr>
            <w:tcW w:w="600" w:type="dxa"/>
            <w:vMerge w:val="continue"/>
            <w:noWrap w:val="0"/>
            <w:vAlign w:val="center"/>
          </w:tcPr>
          <w:p w14:paraId="5D5AECB5">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p>
        </w:tc>
        <w:tc>
          <w:tcPr>
            <w:tcW w:w="2167" w:type="dxa"/>
            <w:gridSpan w:val="2"/>
            <w:noWrap w:val="0"/>
            <w:vAlign w:val="center"/>
          </w:tcPr>
          <w:p w14:paraId="76397277">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lang w:eastAsia="zh-CN"/>
              </w:rPr>
            </w:pPr>
            <w:r>
              <w:rPr>
                <w:rFonts w:hint="eastAsia" w:ascii="仿宋" w:hAnsi="仿宋" w:eastAsia="仿宋" w:cs="仿宋"/>
                <w:color w:val="auto"/>
                <w:highlight w:val="none"/>
              </w:rPr>
              <w:t>交货地点</w:t>
            </w:r>
          </w:p>
        </w:tc>
        <w:tc>
          <w:tcPr>
            <w:tcW w:w="6550" w:type="dxa"/>
            <w:noWrap w:val="0"/>
            <w:vAlign w:val="center"/>
          </w:tcPr>
          <w:p w14:paraId="171F8F6A">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符合第二章“</w:t>
            </w:r>
            <w:r>
              <w:rPr>
                <w:rFonts w:hint="eastAsia" w:ascii="仿宋" w:hAnsi="仿宋" w:eastAsia="仿宋" w:cs="仿宋"/>
                <w:color w:val="auto"/>
                <w:highlight w:val="none"/>
                <w:lang w:eastAsia="zh-CN"/>
              </w:rPr>
              <w:t>投标人</w:t>
            </w:r>
            <w:r>
              <w:rPr>
                <w:rFonts w:hint="eastAsia" w:ascii="仿宋" w:hAnsi="仿宋" w:eastAsia="仿宋" w:cs="仿宋"/>
                <w:color w:val="auto"/>
                <w:highlight w:val="none"/>
              </w:rPr>
              <w:t>须知”第</w:t>
            </w:r>
            <w:r>
              <w:rPr>
                <w:rFonts w:hint="eastAsia" w:ascii="仿宋" w:hAnsi="仿宋" w:eastAsia="仿宋" w:cs="仿宋"/>
                <w:color w:val="auto"/>
                <w:highlight w:val="none"/>
                <w:lang w:val="en-US" w:eastAsia="zh-CN"/>
              </w:rPr>
              <w:t>1.3.3</w:t>
            </w:r>
            <w:r>
              <w:rPr>
                <w:rFonts w:hint="eastAsia" w:ascii="仿宋" w:hAnsi="仿宋" w:eastAsia="仿宋" w:cs="仿宋"/>
                <w:color w:val="auto"/>
                <w:highlight w:val="none"/>
              </w:rPr>
              <w:t>项规定</w:t>
            </w:r>
          </w:p>
        </w:tc>
      </w:tr>
      <w:tr w14:paraId="7EB52BAF">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69" w:type="dxa"/>
            <w:vMerge w:val="continue"/>
            <w:noWrap w:val="0"/>
            <w:vAlign w:val="center"/>
          </w:tcPr>
          <w:p w14:paraId="7235D654">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p>
        </w:tc>
        <w:tc>
          <w:tcPr>
            <w:tcW w:w="600" w:type="dxa"/>
            <w:vMerge w:val="continue"/>
            <w:noWrap w:val="0"/>
            <w:vAlign w:val="center"/>
          </w:tcPr>
          <w:p w14:paraId="2EB63292">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p>
        </w:tc>
        <w:tc>
          <w:tcPr>
            <w:tcW w:w="2167" w:type="dxa"/>
            <w:gridSpan w:val="2"/>
            <w:noWrap w:val="0"/>
            <w:vAlign w:val="center"/>
          </w:tcPr>
          <w:p w14:paraId="3EC9EB45">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lang w:eastAsia="zh-CN"/>
              </w:rPr>
            </w:pPr>
            <w:r>
              <w:rPr>
                <w:rFonts w:hint="eastAsia" w:ascii="仿宋" w:hAnsi="仿宋" w:eastAsia="仿宋" w:cs="仿宋"/>
                <w:color w:val="auto"/>
                <w:highlight w:val="none"/>
              </w:rPr>
              <w:t>质保期</w:t>
            </w:r>
          </w:p>
        </w:tc>
        <w:tc>
          <w:tcPr>
            <w:tcW w:w="6550" w:type="dxa"/>
            <w:noWrap w:val="0"/>
            <w:vAlign w:val="center"/>
          </w:tcPr>
          <w:p w14:paraId="70B1076B">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符合第二章“</w:t>
            </w:r>
            <w:r>
              <w:rPr>
                <w:rFonts w:hint="eastAsia" w:ascii="仿宋" w:hAnsi="仿宋" w:eastAsia="仿宋" w:cs="仿宋"/>
                <w:color w:val="auto"/>
                <w:highlight w:val="none"/>
                <w:lang w:eastAsia="zh-CN"/>
              </w:rPr>
              <w:t>投标人</w:t>
            </w:r>
            <w:r>
              <w:rPr>
                <w:rFonts w:hint="eastAsia" w:ascii="仿宋" w:hAnsi="仿宋" w:eastAsia="仿宋" w:cs="仿宋"/>
                <w:color w:val="auto"/>
                <w:highlight w:val="none"/>
              </w:rPr>
              <w:t>须知”第</w:t>
            </w:r>
            <w:r>
              <w:rPr>
                <w:rFonts w:hint="eastAsia" w:ascii="仿宋" w:hAnsi="仿宋" w:eastAsia="仿宋" w:cs="仿宋"/>
                <w:color w:val="auto"/>
                <w:highlight w:val="none"/>
                <w:lang w:val="en-US" w:eastAsia="zh-CN"/>
              </w:rPr>
              <w:t>1.3.4</w:t>
            </w:r>
            <w:r>
              <w:rPr>
                <w:rFonts w:hint="eastAsia" w:ascii="仿宋" w:hAnsi="仿宋" w:eastAsia="仿宋" w:cs="仿宋"/>
                <w:color w:val="auto"/>
                <w:highlight w:val="none"/>
              </w:rPr>
              <w:t>项规定</w:t>
            </w:r>
          </w:p>
        </w:tc>
      </w:tr>
      <w:tr w14:paraId="7E17D720">
        <w:tblPrEx>
          <w:tblBorders>
            <w:top w:val="single" w:color="auto" w:sz="12" w:space="0"/>
            <w:left w:val="single" w:color="auto" w:sz="12" w:space="0"/>
            <w:bottom w:val="single" w:color="auto" w:sz="12" w:space="0"/>
            <w:right w:val="single" w:color="auto" w:sz="12" w:space="0"/>
            <w:insideH w:val="single" w:color="auto" w:sz="8" w:space="0"/>
            <w:insideV w:val="single" w:color="auto" w:sz="8" w:space="0"/>
          </w:tblBorders>
          <w:tblCellMar>
            <w:top w:w="0" w:type="dxa"/>
            <w:left w:w="108" w:type="dxa"/>
            <w:bottom w:w="0" w:type="dxa"/>
            <w:right w:w="108" w:type="dxa"/>
          </w:tblCellMar>
        </w:tblPrEx>
        <w:trPr>
          <w:trHeight w:val="90" w:hRule="atLeast"/>
          <w:jc w:val="center"/>
        </w:trPr>
        <w:tc>
          <w:tcPr>
            <w:tcW w:w="769" w:type="dxa"/>
            <w:vMerge w:val="continue"/>
            <w:noWrap w:val="0"/>
            <w:vAlign w:val="center"/>
          </w:tcPr>
          <w:p w14:paraId="7A22073A">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p>
        </w:tc>
        <w:tc>
          <w:tcPr>
            <w:tcW w:w="600" w:type="dxa"/>
            <w:vMerge w:val="continue"/>
            <w:noWrap w:val="0"/>
            <w:vAlign w:val="center"/>
          </w:tcPr>
          <w:p w14:paraId="5636AEE1">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p>
        </w:tc>
        <w:tc>
          <w:tcPr>
            <w:tcW w:w="2167" w:type="dxa"/>
            <w:gridSpan w:val="2"/>
            <w:noWrap w:val="0"/>
            <w:vAlign w:val="center"/>
          </w:tcPr>
          <w:p w14:paraId="39AD9FC5">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投标有效期</w:t>
            </w:r>
          </w:p>
        </w:tc>
        <w:tc>
          <w:tcPr>
            <w:tcW w:w="6550" w:type="dxa"/>
            <w:noWrap w:val="0"/>
            <w:vAlign w:val="center"/>
          </w:tcPr>
          <w:p w14:paraId="0D41391F">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符合第二章“供应商须知”第3.4.1项规定</w:t>
            </w:r>
          </w:p>
        </w:tc>
      </w:tr>
      <w:tr w14:paraId="7AC3EA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70" w:hRule="atLeast"/>
          <w:jc w:val="center"/>
        </w:trPr>
        <w:tc>
          <w:tcPr>
            <w:tcW w:w="1369" w:type="dxa"/>
            <w:gridSpan w:val="2"/>
            <w:tcBorders>
              <w:top w:val="single" w:color="auto" w:sz="6" w:space="0"/>
              <w:left w:val="single" w:color="auto" w:sz="12" w:space="0"/>
              <w:bottom w:val="single" w:color="auto" w:sz="6" w:space="0"/>
              <w:right w:val="single" w:color="auto" w:sz="6" w:space="0"/>
            </w:tcBorders>
            <w:noWrap w:val="0"/>
            <w:vAlign w:val="center"/>
          </w:tcPr>
          <w:p w14:paraId="5892FD43">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2.2.1</w:t>
            </w:r>
          </w:p>
        </w:tc>
        <w:tc>
          <w:tcPr>
            <w:tcW w:w="2167" w:type="dxa"/>
            <w:gridSpan w:val="2"/>
            <w:tcBorders>
              <w:top w:val="single" w:color="auto" w:sz="6" w:space="0"/>
              <w:left w:val="single" w:color="auto" w:sz="6" w:space="0"/>
              <w:bottom w:val="single" w:color="auto" w:sz="6" w:space="0"/>
              <w:right w:val="single" w:color="auto" w:sz="6" w:space="0"/>
            </w:tcBorders>
            <w:noWrap w:val="0"/>
            <w:vAlign w:val="center"/>
          </w:tcPr>
          <w:p w14:paraId="616A854B">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分值构成</w:t>
            </w:r>
          </w:p>
          <w:p w14:paraId="29E66C72">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r>
              <w:rPr>
                <w:rFonts w:hint="eastAsia" w:ascii="仿宋" w:hAnsi="仿宋" w:eastAsia="仿宋" w:cs="仿宋"/>
                <w:color w:val="auto"/>
                <w:highlight w:val="none"/>
              </w:rPr>
              <w:t>（总分100分）</w:t>
            </w:r>
          </w:p>
        </w:tc>
        <w:tc>
          <w:tcPr>
            <w:tcW w:w="6550" w:type="dxa"/>
            <w:tcBorders>
              <w:top w:val="single" w:color="auto" w:sz="6" w:space="0"/>
              <w:left w:val="single" w:color="auto" w:sz="6" w:space="0"/>
              <w:bottom w:val="single" w:color="auto" w:sz="6" w:space="0"/>
              <w:right w:val="single" w:color="auto" w:sz="12" w:space="0"/>
            </w:tcBorders>
            <w:noWrap w:val="0"/>
            <w:vAlign w:val="center"/>
          </w:tcPr>
          <w:p w14:paraId="3DD376F5">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lang w:val="en-US"/>
              </w:rPr>
            </w:pPr>
            <w:r>
              <w:rPr>
                <w:rFonts w:hint="eastAsia" w:ascii="仿宋" w:hAnsi="仿宋" w:eastAsia="仿宋" w:cs="仿宋"/>
                <w:color w:val="auto"/>
                <w:highlight w:val="none"/>
                <w:lang w:val="en-US"/>
              </w:rPr>
              <w:t>投标报价：30分</w:t>
            </w:r>
          </w:p>
          <w:p w14:paraId="2301BE07">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lang w:val="en-US"/>
              </w:rPr>
            </w:pPr>
            <w:r>
              <w:rPr>
                <w:rFonts w:hint="eastAsia" w:ascii="仿宋" w:hAnsi="仿宋" w:eastAsia="仿宋" w:cs="仿宋"/>
                <w:color w:val="auto"/>
                <w:highlight w:val="none"/>
                <w:lang w:val="en-US"/>
              </w:rPr>
              <w:t>技术部分：</w:t>
            </w:r>
            <w:r>
              <w:rPr>
                <w:rFonts w:hint="eastAsia" w:ascii="仿宋" w:hAnsi="仿宋" w:eastAsia="仿宋" w:cs="仿宋"/>
                <w:color w:val="auto"/>
                <w:highlight w:val="none"/>
                <w:lang w:val="en-US" w:eastAsia="zh-CN"/>
              </w:rPr>
              <w:t>52</w:t>
            </w:r>
            <w:r>
              <w:rPr>
                <w:rFonts w:hint="eastAsia" w:ascii="仿宋" w:hAnsi="仿宋" w:eastAsia="仿宋" w:cs="仿宋"/>
                <w:color w:val="auto"/>
                <w:highlight w:val="none"/>
                <w:lang w:val="en-US"/>
              </w:rPr>
              <w:t>分</w:t>
            </w:r>
          </w:p>
          <w:p w14:paraId="1E4779AD">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lang w:val="en-US"/>
              </w:rPr>
            </w:pPr>
            <w:r>
              <w:rPr>
                <w:rFonts w:hint="eastAsia" w:ascii="仿宋" w:hAnsi="仿宋" w:eastAsia="仿宋" w:cs="仿宋"/>
                <w:color w:val="auto"/>
                <w:highlight w:val="none"/>
                <w:lang w:val="en-US"/>
              </w:rPr>
              <w:t>综合部分：</w:t>
            </w:r>
            <w:r>
              <w:rPr>
                <w:rFonts w:hint="eastAsia" w:ascii="仿宋" w:hAnsi="仿宋" w:eastAsia="仿宋" w:cs="仿宋"/>
                <w:color w:val="auto"/>
                <w:highlight w:val="none"/>
                <w:lang w:val="en-US" w:eastAsia="zh-CN"/>
              </w:rPr>
              <w:t>18</w:t>
            </w:r>
            <w:r>
              <w:rPr>
                <w:rFonts w:hint="eastAsia" w:ascii="仿宋" w:hAnsi="仿宋" w:eastAsia="仿宋" w:cs="仿宋"/>
                <w:color w:val="auto"/>
                <w:highlight w:val="none"/>
                <w:lang w:val="en-US"/>
              </w:rPr>
              <w:t>分</w:t>
            </w:r>
          </w:p>
          <w:p w14:paraId="37BF0444">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lang w:val="en-US"/>
              </w:rPr>
            </w:pPr>
            <w:r>
              <w:rPr>
                <w:rFonts w:hint="eastAsia" w:ascii="仿宋" w:hAnsi="仿宋" w:eastAsia="仿宋" w:cs="仿宋"/>
                <w:color w:val="auto"/>
                <w:highlight w:val="none"/>
                <w:lang w:val="en-US"/>
              </w:rPr>
              <w:t>供应商综合得分=商务标+技术标+综合标</w:t>
            </w:r>
          </w:p>
        </w:tc>
      </w:tr>
      <w:tr w14:paraId="1C30BF7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369" w:type="dxa"/>
            <w:gridSpan w:val="2"/>
            <w:tcBorders>
              <w:top w:val="single" w:color="auto" w:sz="6" w:space="0"/>
              <w:left w:val="single" w:color="auto" w:sz="12" w:space="0"/>
              <w:bottom w:val="single" w:color="auto" w:sz="6" w:space="0"/>
              <w:right w:val="single" w:color="auto" w:sz="6" w:space="0"/>
            </w:tcBorders>
            <w:noWrap w:val="0"/>
            <w:vAlign w:val="center"/>
          </w:tcPr>
          <w:p w14:paraId="2020914D">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bCs/>
                <w:color w:val="auto"/>
                <w:highlight w:val="none"/>
              </w:rPr>
            </w:pPr>
            <w:r>
              <w:rPr>
                <w:rFonts w:hint="eastAsia" w:ascii="仿宋" w:hAnsi="仿宋" w:eastAsia="仿宋" w:cs="仿宋"/>
                <w:b/>
                <w:bCs/>
                <w:color w:val="auto"/>
                <w:highlight w:val="none"/>
              </w:rPr>
              <w:t>条款号</w:t>
            </w:r>
          </w:p>
        </w:tc>
        <w:tc>
          <w:tcPr>
            <w:tcW w:w="2167" w:type="dxa"/>
            <w:gridSpan w:val="2"/>
            <w:tcBorders>
              <w:top w:val="single" w:color="auto" w:sz="6" w:space="0"/>
              <w:left w:val="single" w:color="auto" w:sz="6" w:space="0"/>
              <w:bottom w:val="single" w:color="auto" w:sz="6" w:space="0"/>
              <w:right w:val="single" w:color="auto" w:sz="6" w:space="0"/>
            </w:tcBorders>
            <w:noWrap w:val="0"/>
            <w:vAlign w:val="center"/>
          </w:tcPr>
          <w:p w14:paraId="69DCBFC6">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bCs/>
                <w:color w:val="auto"/>
                <w:highlight w:val="none"/>
              </w:rPr>
            </w:pPr>
            <w:r>
              <w:rPr>
                <w:rFonts w:hint="eastAsia" w:ascii="仿宋" w:hAnsi="仿宋" w:eastAsia="仿宋" w:cs="仿宋"/>
                <w:b/>
                <w:bCs/>
                <w:color w:val="auto"/>
                <w:highlight w:val="none"/>
              </w:rPr>
              <w:t>评分因素</w:t>
            </w:r>
          </w:p>
        </w:tc>
        <w:tc>
          <w:tcPr>
            <w:tcW w:w="6550" w:type="dxa"/>
            <w:tcBorders>
              <w:top w:val="single" w:color="auto" w:sz="6" w:space="0"/>
              <w:left w:val="single" w:color="auto" w:sz="6" w:space="0"/>
              <w:bottom w:val="single" w:color="auto" w:sz="6" w:space="0"/>
              <w:right w:val="single" w:color="auto" w:sz="12" w:space="0"/>
            </w:tcBorders>
            <w:noWrap w:val="0"/>
            <w:vAlign w:val="center"/>
          </w:tcPr>
          <w:p w14:paraId="14A5B6A2">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bCs/>
                <w:color w:val="auto"/>
                <w:highlight w:val="none"/>
              </w:rPr>
            </w:pPr>
            <w:r>
              <w:rPr>
                <w:rFonts w:hint="eastAsia" w:ascii="仿宋" w:hAnsi="仿宋" w:eastAsia="仿宋" w:cs="仿宋"/>
                <w:b/>
                <w:bCs/>
                <w:color w:val="auto"/>
                <w:highlight w:val="none"/>
              </w:rPr>
              <w:t>评分标准</w:t>
            </w:r>
          </w:p>
        </w:tc>
      </w:tr>
      <w:tr w14:paraId="3607D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93" w:hRule="atLeast"/>
          <w:jc w:val="center"/>
        </w:trPr>
        <w:tc>
          <w:tcPr>
            <w:tcW w:w="1369" w:type="dxa"/>
            <w:gridSpan w:val="2"/>
            <w:tcBorders>
              <w:top w:val="single" w:color="auto" w:sz="4" w:space="0"/>
              <w:left w:val="single" w:color="auto" w:sz="4" w:space="0"/>
              <w:bottom w:val="single" w:color="auto" w:sz="4" w:space="0"/>
              <w:right w:val="single" w:color="auto" w:sz="4" w:space="0"/>
            </w:tcBorders>
            <w:noWrap w:val="0"/>
            <w:vAlign w:val="center"/>
          </w:tcPr>
          <w:p w14:paraId="7664ACC4">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rPr>
            </w:pPr>
            <w:r>
              <w:rPr>
                <w:rFonts w:hint="eastAsia" w:ascii="仿宋" w:hAnsi="仿宋" w:eastAsia="仿宋" w:cs="仿宋"/>
                <w:b w:val="0"/>
                <w:bCs w:val="0"/>
                <w:color w:val="auto"/>
                <w:highlight w:val="none"/>
              </w:rPr>
              <w:t>2.2.2（1）</w:t>
            </w:r>
          </w:p>
          <w:p w14:paraId="1268FFF8">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rPr>
            </w:pPr>
          </w:p>
        </w:tc>
        <w:tc>
          <w:tcPr>
            <w:tcW w:w="858" w:type="dxa"/>
            <w:tcBorders>
              <w:top w:val="single" w:color="auto" w:sz="4" w:space="0"/>
              <w:left w:val="nil"/>
              <w:bottom w:val="single" w:color="auto" w:sz="4" w:space="0"/>
              <w:right w:val="single" w:color="auto" w:sz="4" w:space="0"/>
            </w:tcBorders>
            <w:noWrap w:val="0"/>
            <w:vAlign w:val="center"/>
          </w:tcPr>
          <w:p w14:paraId="575E4235">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rPr>
            </w:pPr>
            <w:r>
              <w:rPr>
                <w:rFonts w:hint="eastAsia" w:ascii="仿宋" w:hAnsi="仿宋" w:eastAsia="仿宋" w:cs="仿宋"/>
                <w:b w:val="0"/>
                <w:bCs w:val="0"/>
                <w:color w:val="auto"/>
                <w:highlight w:val="none"/>
              </w:rPr>
              <w:t>商务</w:t>
            </w:r>
          </w:p>
          <w:p w14:paraId="1B0142A8">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rPr>
            </w:pPr>
            <w:r>
              <w:rPr>
                <w:rFonts w:hint="eastAsia" w:ascii="仿宋" w:hAnsi="仿宋" w:eastAsia="仿宋" w:cs="仿宋"/>
                <w:b w:val="0"/>
                <w:bCs w:val="0"/>
                <w:color w:val="auto"/>
                <w:highlight w:val="none"/>
              </w:rPr>
              <w:t>部分</w:t>
            </w:r>
          </w:p>
          <w:p w14:paraId="5B48420A">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rPr>
            </w:pPr>
            <w:r>
              <w:rPr>
                <w:rFonts w:hint="eastAsia" w:ascii="仿宋" w:hAnsi="仿宋" w:eastAsia="仿宋" w:cs="仿宋"/>
                <w:b w:val="0"/>
                <w:bCs w:val="0"/>
                <w:color w:val="auto"/>
                <w:highlight w:val="none"/>
              </w:rPr>
              <w:t>（30分）</w:t>
            </w:r>
          </w:p>
        </w:tc>
        <w:tc>
          <w:tcPr>
            <w:tcW w:w="1309" w:type="dxa"/>
            <w:tcBorders>
              <w:top w:val="single" w:color="auto" w:sz="4" w:space="0"/>
              <w:left w:val="nil"/>
              <w:bottom w:val="single" w:color="auto" w:sz="4" w:space="0"/>
              <w:right w:val="single" w:color="auto" w:sz="4" w:space="0"/>
            </w:tcBorders>
            <w:noWrap w:val="0"/>
            <w:vAlign w:val="center"/>
          </w:tcPr>
          <w:p w14:paraId="7242FDE7">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rPr>
            </w:pPr>
            <w:r>
              <w:rPr>
                <w:rFonts w:hint="eastAsia" w:ascii="仿宋" w:hAnsi="仿宋" w:eastAsia="仿宋" w:cs="仿宋"/>
                <w:b w:val="0"/>
                <w:bCs w:val="0"/>
                <w:color w:val="auto"/>
                <w:highlight w:val="none"/>
              </w:rPr>
              <w:t>投标报价</w:t>
            </w:r>
          </w:p>
          <w:p w14:paraId="7089605D">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rPr>
            </w:pPr>
            <w:r>
              <w:rPr>
                <w:rFonts w:hint="eastAsia" w:ascii="仿宋" w:hAnsi="仿宋" w:eastAsia="仿宋" w:cs="仿宋"/>
                <w:b w:val="0"/>
                <w:bCs w:val="0"/>
                <w:color w:val="auto"/>
                <w:highlight w:val="none"/>
              </w:rPr>
              <w:t>（30分）</w:t>
            </w:r>
          </w:p>
        </w:tc>
        <w:tc>
          <w:tcPr>
            <w:tcW w:w="6550" w:type="dxa"/>
            <w:tcBorders>
              <w:top w:val="single" w:color="auto" w:sz="4" w:space="0"/>
              <w:left w:val="nil"/>
              <w:bottom w:val="single" w:color="auto" w:sz="4" w:space="0"/>
              <w:right w:val="single" w:color="auto" w:sz="4" w:space="0"/>
            </w:tcBorders>
            <w:shd w:val="clear" w:color="auto" w:fill="auto"/>
            <w:noWrap w:val="0"/>
            <w:vAlign w:val="center"/>
          </w:tcPr>
          <w:p w14:paraId="5ADEB3B6">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outlineLvl w:val="9"/>
              <w:rPr>
                <w:rFonts w:hint="eastAsia" w:ascii="仿宋" w:hAnsi="仿宋" w:eastAsia="仿宋" w:cs="仿宋"/>
                <w:b w:val="0"/>
                <w:bCs w:val="0"/>
                <w:color w:val="auto"/>
                <w:highlight w:val="none"/>
                <w:lang w:val="zh-CN" w:eastAsia="zh-CN"/>
              </w:rPr>
            </w:pPr>
            <w:r>
              <w:rPr>
                <w:rFonts w:hint="eastAsia" w:ascii="仿宋" w:hAnsi="仿宋" w:eastAsia="仿宋" w:cs="仿宋"/>
                <w:b w:val="0"/>
                <w:bCs w:val="0"/>
                <w:color w:val="auto"/>
                <w:highlight w:val="none"/>
                <w:lang w:val="en-US" w:eastAsia="zh-CN"/>
              </w:rPr>
              <w:t>①</w:t>
            </w:r>
            <w:r>
              <w:rPr>
                <w:rFonts w:hint="eastAsia" w:ascii="仿宋" w:hAnsi="仿宋" w:eastAsia="仿宋" w:cs="仿宋"/>
                <w:b w:val="0"/>
                <w:bCs w:val="0"/>
                <w:color w:val="auto"/>
                <w:highlight w:val="none"/>
                <w:lang w:val="zh-CN" w:eastAsia="zh-CN"/>
              </w:rPr>
              <w:t xml:space="preserve">价格分采用低价优先法计算，即通过资格性和符合性审查且投标价格最低的投标报价为评标基准价，其价格得分为满分 30 分。  </w:t>
            </w:r>
          </w:p>
          <w:p w14:paraId="5550BBC4">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outlineLvl w:val="9"/>
              <w:rPr>
                <w:rFonts w:hint="eastAsia" w:ascii="仿宋" w:hAnsi="仿宋" w:eastAsia="仿宋" w:cs="仿宋"/>
                <w:b w:val="0"/>
                <w:bCs w:val="0"/>
                <w:color w:val="auto"/>
                <w:highlight w:val="none"/>
                <w:lang w:val="zh-CN" w:eastAsia="zh-CN"/>
              </w:rPr>
            </w:pPr>
            <w:r>
              <w:rPr>
                <w:rFonts w:hint="eastAsia" w:ascii="仿宋" w:hAnsi="仿宋" w:eastAsia="仿宋" w:cs="仿宋"/>
                <w:b w:val="0"/>
                <w:bCs w:val="0"/>
                <w:color w:val="auto"/>
                <w:highlight w:val="none"/>
                <w:lang w:val="zh-CN" w:eastAsia="zh-CN"/>
              </w:rPr>
              <w:t xml:space="preserve">②其他供应商的价格分统一按照下列公式计算：投标报价得分=(评标基准价／投标报价)×30 。 </w:t>
            </w:r>
          </w:p>
          <w:p w14:paraId="3857F417">
            <w:pPr>
              <w:keepNext/>
              <w:keepLines/>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outlineLvl w:val="9"/>
              <w:rPr>
                <w:rFonts w:hint="eastAsia" w:ascii="仿宋" w:hAnsi="仿宋" w:eastAsia="仿宋" w:cs="仿宋"/>
                <w:b w:val="0"/>
                <w:bCs w:val="0"/>
                <w:color w:val="auto"/>
                <w:kern w:val="2"/>
                <w:sz w:val="21"/>
                <w:szCs w:val="22"/>
                <w:lang w:val="en-US" w:eastAsia="zh-CN" w:bidi="ar-SA"/>
              </w:rPr>
            </w:pPr>
            <w:r>
              <w:rPr>
                <w:rFonts w:hint="eastAsia" w:ascii="仿宋" w:hAnsi="仿宋" w:eastAsia="仿宋" w:cs="仿宋"/>
                <w:b w:val="0"/>
                <w:bCs w:val="0"/>
                <w:color w:val="auto"/>
                <w:kern w:val="2"/>
                <w:sz w:val="21"/>
                <w:szCs w:val="22"/>
                <w:lang w:val="en-US" w:eastAsia="zh-CN" w:bidi="ar-SA"/>
              </w:rPr>
              <w:t>（1）价格分计算保留小数点后两位。</w:t>
            </w:r>
          </w:p>
          <w:p w14:paraId="348183CE">
            <w:pPr>
              <w:keepNext/>
              <w:keepLines/>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outlineLvl w:val="9"/>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（2）本项目为专门面向中小企业采购项目，不参与价格扣除。</w:t>
            </w:r>
          </w:p>
          <w:p w14:paraId="7671401E">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outlineLvl w:val="9"/>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③异常报价处理：根据《关于推动解决政府采购异常低价问题的通知》，采购评审中出现下列情形之一的，评审委员会应当启动异常低价投标（响应）审查程序：</w:t>
            </w:r>
          </w:p>
          <w:p w14:paraId="55F5B405">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outlineLvl w:val="9"/>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（1）投标（响应）报价低于全部通过符合性审查供应商投标（响应）报价平均值65%的，即投标（响应）报价&lt;全部通过符合性审查供应商投标（响应）报价平均值×65%；</w:t>
            </w:r>
          </w:p>
          <w:p w14:paraId="0E9501B9">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outlineLvl w:val="9"/>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（2）投标（响应）报价低于通过符合性审查的次低报价供应商投标（响应）报价65%的，即投标（响应）报价&lt;通过符合性审查的次低报价供应商投标（响应）报价×65%；</w:t>
            </w:r>
          </w:p>
          <w:p w14:paraId="69BED245">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outlineLvl w:val="9"/>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（3）投标（响应）报价低于采购项目最高限价65%的，即投标（响应）报价&lt;采购项目最高限价×65%；</w:t>
            </w:r>
          </w:p>
          <w:p w14:paraId="67B81E39">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outlineLvl w:val="9"/>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（4）评审委员会基于专业判断，认为供应商报价过低，有可能影响产品质量或者不能诚信履约的其他情形。</w:t>
            </w:r>
          </w:p>
          <w:p w14:paraId="6F885D8E">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outlineLvl w:val="9"/>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67A759A">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outlineLvl w:val="9"/>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tc>
      </w:tr>
      <w:tr w14:paraId="3480B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69" w:type="dxa"/>
            <w:gridSpan w:val="2"/>
            <w:vMerge w:val="restart"/>
            <w:tcBorders>
              <w:left w:val="single" w:color="auto" w:sz="4" w:space="0"/>
              <w:right w:val="single" w:color="auto" w:sz="4" w:space="0"/>
            </w:tcBorders>
            <w:noWrap w:val="0"/>
            <w:vAlign w:val="center"/>
          </w:tcPr>
          <w:p w14:paraId="3D391E0F">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rPr>
            </w:pPr>
            <w:r>
              <w:rPr>
                <w:rFonts w:hint="eastAsia" w:ascii="仿宋" w:hAnsi="仿宋" w:eastAsia="仿宋" w:cs="仿宋"/>
                <w:b w:val="0"/>
                <w:bCs w:val="0"/>
                <w:color w:val="auto"/>
                <w:highlight w:val="none"/>
              </w:rPr>
              <w:t>2.2.2（2）</w:t>
            </w:r>
          </w:p>
        </w:tc>
        <w:tc>
          <w:tcPr>
            <w:tcW w:w="858" w:type="dxa"/>
            <w:vMerge w:val="restart"/>
            <w:tcBorders>
              <w:left w:val="single" w:color="auto" w:sz="4" w:space="0"/>
              <w:right w:val="single" w:color="auto" w:sz="4" w:space="0"/>
            </w:tcBorders>
            <w:noWrap w:val="0"/>
            <w:vAlign w:val="center"/>
          </w:tcPr>
          <w:p w14:paraId="783E72BF">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rPr>
            </w:pPr>
            <w:r>
              <w:rPr>
                <w:rFonts w:hint="eastAsia" w:ascii="仿宋" w:hAnsi="仿宋" w:eastAsia="仿宋" w:cs="仿宋"/>
                <w:b w:val="0"/>
                <w:bCs w:val="0"/>
                <w:color w:val="auto"/>
                <w:highlight w:val="none"/>
              </w:rPr>
              <w:t>技术</w:t>
            </w:r>
          </w:p>
          <w:p w14:paraId="69ADEEBC">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rPr>
            </w:pPr>
            <w:r>
              <w:rPr>
                <w:rFonts w:hint="eastAsia" w:ascii="仿宋" w:hAnsi="仿宋" w:eastAsia="仿宋" w:cs="仿宋"/>
                <w:b w:val="0"/>
                <w:bCs w:val="0"/>
                <w:color w:val="auto"/>
                <w:highlight w:val="none"/>
              </w:rPr>
              <w:t>部分</w:t>
            </w:r>
          </w:p>
          <w:p w14:paraId="17207C70">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rPr>
            </w:pPr>
            <w:r>
              <w:rPr>
                <w:rFonts w:hint="eastAsia" w:ascii="仿宋" w:hAnsi="仿宋" w:eastAsia="仿宋" w:cs="仿宋"/>
                <w:b w:val="0"/>
                <w:bCs w:val="0"/>
                <w:color w:val="auto"/>
                <w:highlight w:val="none"/>
              </w:rPr>
              <w:t>（</w:t>
            </w:r>
            <w:r>
              <w:rPr>
                <w:rFonts w:hint="eastAsia" w:ascii="仿宋" w:hAnsi="仿宋" w:eastAsia="仿宋" w:cs="仿宋"/>
                <w:b w:val="0"/>
                <w:bCs w:val="0"/>
                <w:color w:val="auto"/>
                <w:highlight w:val="none"/>
                <w:lang w:val="en-US" w:eastAsia="zh-CN"/>
              </w:rPr>
              <w:t>52</w:t>
            </w:r>
            <w:r>
              <w:rPr>
                <w:rFonts w:hint="eastAsia" w:ascii="仿宋" w:hAnsi="仿宋" w:eastAsia="仿宋" w:cs="仿宋"/>
                <w:b w:val="0"/>
                <w:bCs w:val="0"/>
                <w:color w:val="auto"/>
                <w:highlight w:val="none"/>
              </w:rPr>
              <w:t>分）</w:t>
            </w:r>
          </w:p>
        </w:tc>
        <w:tc>
          <w:tcPr>
            <w:tcW w:w="1309" w:type="dxa"/>
            <w:tcBorders>
              <w:left w:val="single" w:color="auto" w:sz="4" w:space="0"/>
              <w:right w:val="single" w:color="auto" w:sz="4" w:space="0"/>
            </w:tcBorders>
            <w:noWrap w:val="0"/>
            <w:vAlign w:val="center"/>
          </w:tcPr>
          <w:p w14:paraId="6EB48190">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outlineLvl w:val="9"/>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技术参数（40分）</w:t>
            </w:r>
          </w:p>
        </w:tc>
        <w:tc>
          <w:tcPr>
            <w:tcW w:w="6550" w:type="dxa"/>
            <w:tcBorders>
              <w:top w:val="single" w:color="auto" w:sz="4" w:space="0"/>
              <w:left w:val="single" w:color="auto" w:sz="4" w:space="0"/>
              <w:bottom w:val="single" w:color="auto" w:sz="4" w:space="0"/>
              <w:right w:val="single" w:color="auto" w:sz="4" w:space="0"/>
            </w:tcBorders>
            <w:noWrap w:val="0"/>
            <w:vAlign w:val="center"/>
          </w:tcPr>
          <w:p w14:paraId="5C90DDE5">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outlineLvl w:val="9"/>
              <w:rPr>
                <w:rFonts w:hint="eastAsia" w:ascii="仿宋" w:hAnsi="仿宋" w:eastAsia="仿宋" w:cs="仿宋"/>
                <w:b w:val="0"/>
                <w:bCs w:val="0"/>
                <w:color w:val="auto"/>
                <w:highlight w:val="none"/>
                <w:lang w:val="zh-CN" w:eastAsia="zh-CN"/>
              </w:rPr>
            </w:pPr>
            <w:r>
              <w:rPr>
                <w:rFonts w:hint="eastAsia" w:ascii="仿宋" w:hAnsi="仿宋" w:eastAsia="仿宋" w:cs="仿宋"/>
                <w:b w:val="0"/>
                <w:bCs w:val="0"/>
                <w:color w:val="auto"/>
                <w:highlight w:val="none"/>
                <w:lang w:val="zh-CN" w:eastAsia="zh-CN"/>
              </w:rPr>
              <w:t>供应商所投产品的技术规格及要求完全符合招标文件要求的，得满分分</w:t>
            </w:r>
            <w:r>
              <w:rPr>
                <w:rFonts w:hint="eastAsia" w:ascii="仿宋" w:hAnsi="仿宋" w:eastAsia="仿宋" w:cs="仿宋"/>
                <w:b w:val="0"/>
                <w:bCs w:val="0"/>
                <w:color w:val="auto"/>
                <w:highlight w:val="none"/>
                <w:lang w:val="en-US" w:eastAsia="zh-CN"/>
              </w:rPr>
              <w:t>40</w:t>
            </w:r>
            <w:r>
              <w:rPr>
                <w:rFonts w:hint="eastAsia" w:ascii="仿宋" w:hAnsi="仿宋" w:eastAsia="仿宋" w:cs="仿宋"/>
                <w:b w:val="0"/>
                <w:bCs w:val="0"/>
                <w:color w:val="auto"/>
                <w:highlight w:val="none"/>
                <w:lang w:val="zh-CN" w:eastAsia="zh-CN"/>
              </w:rPr>
              <w:t>分，</w:t>
            </w:r>
          </w:p>
          <w:p w14:paraId="75657957">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outlineLvl w:val="9"/>
              <w:rPr>
                <w:rFonts w:hint="eastAsia" w:ascii="仿宋" w:hAnsi="仿宋" w:eastAsia="仿宋" w:cs="仿宋"/>
                <w:b w:val="0"/>
                <w:bCs w:val="0"/>
                <w:color w:val="auto"/>
                <w:highlight w:val="none"/>
                <w:lang w:val="zh-CN" w:eastAsia="zh-CN"/>
              </w:rPr>
            </w:pPr>
            <w:r>
              <w:rPr>
                <w:rFonts w:hint="eastAsia" w:ascii="仿宋" w:hAnsi="仿宋" w:eastAsia="仿宋" w:cs="仿宋"/>
                <w:b w:val="0"/>
                <w:bCs w:val="0"/>
                <w:color w:val="auto"/>
                <w:highlight w:val="none"/>
                <w:lang w:val="en-US" w:eastAsia="zh-CN"/>
              </w:rPr>
              <w:t>1</w:t>
            </w:r>
            <w:r>
              <w:rPr>
                <w:rFonts w:hint="eastAsia" w:ascii="仿宋" w:hAnsi="仿宋" w:eastAsia="仿宋" w:cs="仿宋"/>
                <w:b w:val="0"/>
                <w:bCs w:val="0"/>
                <w:color w:val="auto"/>
                <w:highlight w:val="none"/>
                <w:lang w:val="zh-CN" w:eastAsia="zh-CN"/>
              </w:rPr>
              <w:t>、不带</w:t>
            </w:r>
            <w:r>
              <w:rPr>
                <w:rFonts w:hint="eastAsia" w:ascii="仿宋" w:hAnsi="仿宋" w:eastAsia="仿宋" w:cs="仿宋"/>
                <w:b w:val="0"/>
                <w:bCs w:val="0"/>
                <w:color w:val="auto"/>
                <w:highlight w:val="none"/>
                <w:lang w:val="en-US" w:eastAsia="zh-CN"/>
              </w:rPr>
              <w:t>★</w:t>
            </w:r>
            <w:r>
              <w:rPr>
                <w:rFonts w:hint="eastAsia" w:ascii="仿宋" w:hAnsi="仿宋" w:eastAsia="仿宋" w:cs="仿宋"/>
                <w:b w:val="0"/>
                <w:bCs w:val="0"/>
                <w:color w:val="auto"/>
                <w:highlight w:val="none"/>
                <w:lang w:val="zh-CN" w:eastAsia="zh-CN"/>
              </w:rPr>
              <w:t>的技术指标，低于技术要求的（负偏离）每项在基本分基础上扣</w:t>
            </w:r>
            <w:r>
              <w:rPr>
                <w:rFonts w:hint="eastAsia" w:ascii="仿宋" w:hAnsi="仿宋" w:eastAsia="仿宋" w:cs="仿宋"/>
                <w:b w:val="0"/>
                <w:bCs w:val="0"/>
                <w:color w:val="auto"/>
                <w:highlight w:val="none"/>
                <w:lang w:val="en-US" w:eastAsia="zh-CN"/>
              </w:rPr>
              <w:t>1</w:t>
            </w:r>
            <w:r>
              <w:rPr>
                <w:rFonts w:hint="eastAsia" w:ascii="仿宋" w:hAnsi="仿宋" w:eastAsia="仿宋" w:cs="仿宋"/>
                <w:b w:val="0"/>
                <w:bCs w:val="0"/>
                <w:color w:val="auto"/>
                <w:highlight w:val="none"/>
                <w:lang w:val="zh-CN" w:eastAsia="zh-CN"/>
              </w:rPr>
              <w:t>分，扣完为止。</w:t>
            </w:r>
          </w:p>
          <w:p w14:paraId="0E54625E">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outlineLvl w:val="9"/>
              <w:rPr>
                <w:rFonts w:hint="eastAsia" w:ascii="仿宋" w:hAnsi="仿宋" w:eastAsia="仿宋" w:cs="仿宋"/>
                <w:b w:val="0"/>
                <w:bCs w:val="0"/>
                <w:color w:val="auto"/>
                <w:highlight w:val="none"/>
                <w:lang w:val="zh-CN" w:eastAsia="zh-CN"/>
              </w:rPr>
            </w:pPr>
            <w:r>
              <w:rPr>
                <w:rFonts w:hint="eastAsia" w:ascii="仿宋" w:hAnsi="仿宋" w:eastAsia="仿宋" w:cs="仿宋"/>
                <w:b w:val="0"/>
                <w:bCs w:val="0"/>
                <w:color w:val="auto"/>
                <w:highlight w:val="none"/>
                <w:lang w:val="en-US" w:eastAsia="zh-CN"/>
              </w:rPr>
              <w:t>2</w:t>
            </w:r>
            <w:r>
              <w:rPr>
                <w:rFonts w:hint="eastAsia" w:ascii="仿宋" w:hAnsi="仿宋" w:eastAsia="仿宋" w:cs="仿宋"/>
                <w:b w:val="0"/>
                <w:bCs w:val="0"/>
                <w:color w:val="auto"/>
                <w:highlight w:val="none"/>
                <w:lang w:val="zh-CN" w:eastAsia="zh-CN"/>
              </w:rPr>
              <w:t>、带</w:t>
            </w:r>
            <w:r>
              <w:rPr>
                <w:rFonts w:hint="eastAsia" w:ascii="仿宋" w:hAnsi="仿宋" w:eastAsia="仿宋" w:cs="仿宋"/>
                <w:b w:val="0"/>
                <w:bCs w:val="0"/>
                <w:color w:val="auto"/>
                <w:highlight w:val="none"/>
                <w:lang w:val="en-US" w:eastAsia="zh-CN"/>
              </w:rPr>
              <w:t>★</w:t>
            </w:r>
            <w:r>
              <w:rPr>
                <w:rFonts w:hint="eastAsia" w:ascii="仿宋" w:hAnsi="仿宋" w:eastAsia="仿宋" w:cs="仿宋"/>
                <w:b w:val="0"/>
                <w:bCs w:val="0"/>
                <w:color w:val="auto"/>
                <w:highlight w:val="none"/>
                <w:lang w:val="zh-CN" w:eastAsia="zh-CN"/>
              </w:rPr>
              <w:t>的技术指标低于技术要求的（负偏离）每项在基本分上扣</w:t>
            </w:r>
            <w:r>
              <w:rPr>
                <w:rFonts w:hint="eastAsia" w:ascii="仿宋" w:hAnsi="仿宋" w:eastAsia="仿宋" w:cs="仿宋"/>
                <w:b w:val="0"/>
                <w:bCs w:val="0"/>
                <w:color w:val="auto"/>
                <w:highlight w:val="none"/>
                <w:lang w:val="en-US" w:eastAsia="zh-CN"/>
              </w:rPr>
              <w:t>2</w:t>
            </w:r>
            <w:r>
              <w:rPr>
                <w:rFonts w:hint="eastAsia" w:ascii="仿宋" w:hAnsi="仿宋" w:eastAsia="仿宋" w:cs="仿宋"/>
                <w:b w:val="0"/>
                <w:bCs w:val="0"/>
                <w:color w:val="auto"/>
                <w:highlight w:val="none"/>
                <w:lang w:val="zh-CN" w:eastAsia="zh-CN"/>
              </w:rPr>
              <w:t>分，扣完为止。</w:t>
            </w:r>
          </w:p>
          <w:p w14:paraId="2E45EA98">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outlineLvl w:val="9"/>
              <w:rPr>
                <w:rFonts w:hint="eastAsia" w:ascii="仿宋" w:hAnsi="仿宋" w:eastAsia="仿宋" w:cs="仿宋"/>
                <w:b w:val="0"/>
                <w:bCs w:val="0"/>
                <w:color w:val="auto"/>
                <w:highlight w:val="none"/>
                <w:lang w:val="zh-CN" w:eastAsia="zh-CN"/>
              </w:rPr>
            </w:pPr>
            <w:r>
              <w:rPr>
                <w:rFonts w:hint="eastAsia" w:ascii="仿宋" w:hAnsi="仿宋" w:eastAsia="仿宋" w:cs="仿宋"/>
                <w:b w:val="0"/>
                <w:bCs w:val="0"/>
                <w:color w:val="auto"/>
                <w:highlight w:val="none"/>
                <w:lang w:val="zh-CN" w:eastAsia="zh-CN"/>
              </w:rPr>
              <w:t>注明：为防止虚假应标，技术参数中要求提供相应佐证材料的，需按要求提供，未按要求提供的，该项技术参数视为不满足，按对应分值扣分。</w:t>
            </w:r>
          </w:p>
          <w:p w14:paraId="0F560666">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left"/>
              <w:textAlignment w:val="auto"/>
              <w:outlineLvl w:val="9"/>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zh-CN" w:eastAsia="zh-CN"/>
              </w:rPr>
              <w:t>带</w:t>
            </w:r>
            <w:r>
              <w:rPr>
                <w:rFonts w:hint="eastAsia" w:ascii="仿宋" w:hAnsi="仿宋" w:eastAsia="仿宋" w:cs="仿宋"/>
                <w:b w:val="0"/>
                <w:bCs w:val="0"/>
                <w:color w:val="auto"/>
                <w:highlight w:val="none"/>
                <w:lang w:val="en-US" w:eastAsia="zh-CN"/>
              </w:rPr>
              <w:t>★</w:t>
            </w:r>
            <w:r>
              <w:rPr>
                <w:rFonts w:hint="eastAsia" w:ascii="仿宋" w:hAnsi="仿宋" w:eastAsia="仿宋" w:cs="仿宋"/>
                <w:b w:val="0"/>
                <w:bCs w:val="0"/>
                <w:color w:val="auto"/>
                <w:highlight w:val="none"/>
                <w:lang w:val="zh-CN" w:eastAsia="zh-CN"/>
              </w:rPr>
              <w:t>的低于技术要求的（负偏离）</w:t>
            </w:r>
            <w:r>
              <w:rPr>
                <w:rFonts w:hint="eastAsia" w:ascii="仿宋" w:hAnsi="仿宋" w:eastAsia="仿宋" w:cs="仿宋"/>
                <w:b w:val="0"/>
                <w:bCs w:val="0"/>
                <w:color w:val="auto"/>
                <w:highlight w:val="none"/>
                <w:lang w:val="en-US" w:eastAsia="zh-CN"/>
              </w:rPr>
              <w:t>达3个（含）以上或者不</w:t>
            </w:r>
            <w:r>
              <w:rPr>
                <w:rFonts w:hint="eastAsia" w:ascii="仿宋" w:hAnsi="仿宋" w:eastAsia="仿宋" w:cs="仿宋"/>
                <w:b w:val="0"/>
                <w:bCs w:val="0"/>
                <w:color w:val="auto"/>
                <w:highlight w:val="none"/>
                <w:lang w:val="zh-CN" w:eastAsia="zh-CN"/>
              </w:rPr>
              <w:t>带</w:t>
            </w:r>
            <w:r>
              <w:rPr>
                <w:rFonts w:hint="eastAsia" w:ascii="仿宋" w:hAnsi="仿宋" w:eastAsia="仿宋" w:cs="仿宋"/>
                <w:b w:val="0"/>
                <w:bCs w:val="0"/>
                <w:color w:val="auto"/>
                <w:highlight w:val="none"/>
                <w:lang w:val="en-US" w:eastAsia="zh-CN"/>
              </w:rPr>
              <w:t>★</w:t>
            </w:r>
            <w:r>
              <w:rPr>
                <w:rFonts w:hint="eastAsia" w:ascii="仿宋" w:hAnsi="仿宋" w:eastAsia="仿宋" w:cs="仿宋"/>
                <w:b w:val="0"/>
                <w:bCs w:val="0"/>
                <w:color w:val="auto"/>
                <w:highlight w:val="none"/>
                <w:lang w:val="zh-CN" w:eastAsia="zh-CN"/>
              </w:rPr>
              <w:t>的低于技术要求的（负偏离）</w:t>
            </w:r>
            <w:r>
              <w:rPr>
                <w:rFonts w:hint="eastAsia" w:ascii="仿宋" w:hAnsi="仿宋" w:eastAsia="仿宋" w:cs="仿宋"/>
                <w:b w:val="0"/>
                <w:bCs w:val="0"/>
                <w:color w:val="auto"/>
                <w:highlight w:val="none"/>
                <w:lang w:val="en-US" w:eastAsia="zh-CN"/>
              </w:rPr>
              <w:t>达5个（含）以上或者技术参数扣分达15分（含）以上，视为明显不符合技术规格、技术标准的要求。</w:t>
            </w:r>
          </w:p>
        </w:tc>
      </w:tr>
      <w:tr w14:paraId="7AACE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5" w:hRule="atLeast"/>
          <w:jc w:val="center"/>
        </w:trPr>
        <w:tc>
          <w:tcPr>
            <w:tcW w:w="1369" w:type="dxa"/>
            <w:gridSpan w:val="2"/>
            <w:vMerge w:val="continue"/>
            <w:tcBorders>
              <w:left w:val="single" w:color="auto" w:sz="4" w:space="0"/>
              <w:right w:val="single" w:color="auto" w:sz="4" w:space="0"/>
            </w:tcBorders>
            <w:noWrap w:val="0"/>
            <w:vAlign w:val="center"/>
          </w:tcPr>
          <w:p w14:paraId="5D1B24EF">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rPr>
            </w:pPr>
          </w:p>
        </w:tc>
        <w:tc>
          <w:tcPr>
            <w:tcW w:w="858" w:type="dxa"/>
            <w:vMerge w:val="continue"/>
            <w:tcBorders>
              <w:left w:val="single" w:color="auto" w:sz="4" w:space="0"/>
              <w:right w:val="single" w:color="auto" w:sz="4" w:space="0"/>
            </w:tcBorders>
            <w:noWrap w:val="0"/>
            <w:vAlign w:val="center"/>
          </w:tcPr>
          <w:p w14:paraId="5D5CA394">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rPr>
            </w:pPr>
          </w:p>
        </w:tc>
        <w:tc>
          <w:tcPr>
            <w:tcW w:w="1309" w:type="dxa"/>
            <w:tcBorders>
              <w:left w:val="single" w:color="auto" w:sz="4" w:space="0"/>
              <w:right w:val="single" w:color="auto" w:sz="4" w:space="0"/>
            </w:tcBorders>
            <w:shd w:val="clear" w:color="auto" w:fill="auto"/>
            <w:noWrap w:val="0"/>
            <w:vAlign w:val="center"/>
          </w:tcPr>
          <w:p w14:paraId="070EDEA9">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供货、安装、调试方案</w:t>
            </w:r>
          </w:p>
          <w:p w14:paraId="46530476">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outlineLvl w:val="9"/>
              <w:rPr>
                <w:rFonts w:hint="eastAsia" w:ascii="仿宋" w:hAnsi="仿宋" w:eastAsia="仿宋" w:cs="仿宋"/>
                <w:b w:val="0"/>
                <w:bCs w:val="0"/>
                <w:color w:val="auto"/>
                <w:kern w:val="2"/>
                <w:sz w:val="21"/>
                <w:szCs w:val="22"/>
                <w:highlight w:val="none"/>
                <w:lang w:val="en-US" w:eastAsia="zh-CN" w:bidi="ar-SA"/>
              </w:rPr>
            </w:pPr>
            <w:r>
              <w:rPr>
                <w:rFonts w:hint="eastAsia" w:ascii="仿宋" w:hAnsi="仿宋" w:eastAsia="仿宋" w:cs="仿宋"/>
                <w:color w:val="auto"/>
                <w:sz w:val="21"/>
                <w:szCs w:val="21"/>
                <w:highlight w:val="none"/>
                <w:lang w:val="en-US" w:eastAsia="zh-CN"/>
              </w:rPr>
              <w:t>（5分）</w:t>
            </w:r>
          </w:p>
        </w:tc>
        <w:tc>
          <w:tcPr>
            <w:tcW w:w="65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B52C42">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outlineLvl w:val="9"/>
              <w:rPr>
                <w:rFonts w:hint="eastAsia" w:ascii="仿宋" w:hAnsi="仿宋" w:eastAsia="仿宋" w:cs="仿宋"/>
                <w:bCs/>
                <w:color w:val="auto"/>
                <w:kern w:val="0"/>
                <w:sz w:val="21"/>
                <w:szCs w:val="21"/>
                <w:highlight w:val="none"/>
                <w:lang w:val="en-US" w:eastAsia="zh-CN" w:bidi="ar-SA"/>
              </w:rPr>
            </w:pPr>
            <w:r>
              <w:rPr>
                <w:rFonts w:hint="eastAsia" w:ascii="仿宋" w:hAnsi="仿宋" w:eastAsia="仿宋" w:cs="仿宋"/>
                <w:color w:val="auto"/>
                <w:sz w:val="21"/>
                <w:szCs w:val="21"/>
                <w:highlight w:val="none"/>
                <w:lang w:val="en-US" w:eastAsia="zh-CN"/>
              </w:rPr>
              <w:t>根据供应商提供的方案进行评分：</w:t>
            </w:r>
            <w:r>
              <w:rPr>
                <w:rFonts w:hint="eastAsia" w:ascii="仿宋" w:hAnsi="仿宋" w:eastAsia="仿宋" w:cs="仿宋"/>
                <w:color w:val="auto"/>
                <w:kern w:val="0"/>
                <w:sz w:val="21"/>
                <w:szCs w:val="21"/>
                <w:highlight w:val="none"/>
                <w:lang w:val="en-US" w:eastAsia="zh-CN" w:bidi="ar"/>
              </w:rPr>
              <w:t>提供描述清晰、详细、合理的项目方案（包括但不限于安装地点考察与结合方案、货物进场时间、随行工作人员、安装方案、调试方案等）</w:t>
            </w:r>
            <w:r>
              <w:rPr>
                <w:rFonts w:hint="eastAsia" w:ascii="仿宋" w:hAnsi="仿宋" w:eastAsia="仿宋" w:cs="仿宋"/>
                <w:color w:val="auto"/>
                <w:sz w:val="21"/>
                <w:szCs w:val="21"/>
                <w:highlight w:val="none"/>
              </w:rPr>
              <w:t>进行评价：（1）方案有效、考虑情况全面，得</w:t>
            </w: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rPr>
              <w:t>分；（2）方案较有效、考虑情况较全面，得</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分；（3）方案较差、考虑情况一般，得</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分；（4）未提供不得分。</w:t>
            </w:r>
          </w:p>
        </w:tc>
      </w:tr>
      <w:tr w14:paraId="53847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369" w:type="dxa"/>
            <w:gridSpan w:val="2"/>
            <w:vMerge w:val="continue"/>
            <w:tcBorders>
              <w:left w:val="single" w:color="auto" w:sz="4" w:space="0"/>
              <w:right w:val="single" w:color="auto" w:sz="4" w:space="0"/>
            </w:tcBorders>
            <w:noWrap w:val="0"/>
            <w:vAlign w:val="center"/>
          </w:tcPr>
          <w:p w14:paraId="6DBA3236">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rPr>
            </w:pPr>
          </w:p>
        </w:tc>
        <w:tc>
          <w:tcPr>
            <w:tcW w:w="858" w:type="dxa"/>
            <w:vMerge w:val="continue"/>
            <w:tcBorders>
              <w:left w:val="single" w:color="auto" w:sz="4" w:space="0"/>
              <w:right w:val="single" w:color="auto" w:sz="4" w:space="0"/>
            </w:tcBorders>
            <w:noWrap w:val="0"/>
            <w:vAlign w:val="center"/>
          </w:tcPr>
          <w:p w14:paraId="25F61F14">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rPr>
            </w:pPr>
          </w:p>
        </w:tc>
        <w:tc>
          <w:tcPr>
            <w:tcW w:w="1309" w:type="dxa"/>
            <w:tcBorders>
              <w:left w:val="single" w:color="auto" w:sz="4" w:space="0"/>
              <w:right w:val="single" w:color="auto" w:sz="4" w:space="0"/>
            </w:tcBorders>
            <w:shd w:val="clear" w:color="auto" w:fill="auto"/>
            <w:noWrap w:val="0"/>
            <w:vAlign w:val="center"/>
          </w:tcPr>
          <w:p w14:paraId="235E3BFD">
            <w:pPr>
              <w:keepNext w:val="0"/>
              <w:keepLines w:val="0"/>
              <w:pageBreakBefore w:val="0"/>
              <w:widowControl w:val="0"/>
              <w:kinsoku/>
              <w:wordWrap/>
              <w:overflowPunct/>
              <w:topLinePunct w:val="0"/>
              <w:bidi w:val="0"/>
              <w:adjustRightInd/>
              <w:snapToGrid/>
              <w:spacing w:line="400" w:lineRule="exact"/>
              <w:ind w:left="0" w:leftChars="0" w:firstLine="0" w:firstLineChars="0"/>
              <w:jc w:val="center"/>
              <w:textAlignment w:val="auto"/>
              <w:outlineLvl w:val="9"/>
              <w:rPr>
                <w:rFonts w:hint="eastAsia" w:ascii="仿宋" w:hAnsi="仿宋" w:eastAsia="仿宋" w:cs="仿宋"/>
                <w:b w:val="0"/>
                <w:bCs w:val="0"/>
                <w:color w:val="auto"/>
                <w:kern w:val="2"/>
                <w:sz w:val="21"/>
                <w:szCs w:val="22"/>
                <w:highlight w:val="none"/>
                <w:lang w:val="en-US" w:eastAsia="zh-CN" w:bidi="ar-SA"/>
              </w:rPr>
            </w:pPr>
            <w:r>
              <w:rPr>
                <w:rFonts w:hint="eastAsia" w:ascii="仿宋" w:hAnsi="仿宋" w:eastAsia="仿宋" w:cs="仿宋"/>
                <w:color w:val="auto"/>
                <w:sz w:val="21"/>
                <w:szCs w:val="21"/>
                <w:highlight w:val="none"/>
              </w:rPr>
              <w:t>培训方案</w:t>
            </w:r>
            <w:r>
              <w:rPr>
                <w:rFonts w:hint="eastAsia" w:ascii="仿宋" w:hAnsi="仿宋" w:eastAsia="仿宋" w:cs="仿宋"/>
                <w:color w:val="auto"/>
                <w:sz w:val="21"/>
                <w:szCs w:val="21"/>
                <w:highlight w:val="none"/>
                <w:lang w:val="en-US" w:eastAsia="zh-CN"/>
              </w:rPr>
              <w:t>及</w:t>
            </w:r>
            <w:r>
              <w:rPr>
                <w:rFonts w:hint="eastAsia" w:ascii="仿宋" w:hAnsi="仿宋" w:eastAsia="仿宋" w:cs="仿宋"/>
                <w:color w:val="auto"/>
                <w:sz w:val="21"/>
                <w:szCs w:val="21"/>
                <w:highlight w:val="none"/>
              </w:rPr>
              <w:t>现场服务方案（</w:t>
            </w: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rPr>
              <w:t>分）</w:t>
            </w:r>
          </w:p>
        </w:tc>
        <w:tc>
          <w:tcPr>
            <w:tcW w:w="65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161741E">
            <w:pPr>
              <w:keepNext w:val="0"/>
              <w:keepLines w:val="0"/>
              <w:pageBreakBefore w:val="0"/>
              <w:widowControl w:val="0"/>
              <w:kinsoku/>
              <w:wordWrap/>
              <w:overflowPunct/>
              <w:topLinePunct w:val="0"/>
              <w:bidi w:val="0"/>
              <w:adjustRightInd/>
              <w:snapToGrid/>
              <w:spacing w:line="400" w:lineRule="exact"/>
              <w:ind w:left="0" w:leftChars="0" w:firstLine="0" w:firstLineChars="0"/>
              <w:jc w:val="both"/>
              <w:textAlignment w:val="auto"/>
              <w:outlineLvl w:val="9"/>
              <w:rPr>
                <w:rFonts w:hint="eastAsia" w:ascii="仿宋" w:hAnsi="仿宋" w:eastAsia="仿宋" w:cs="仿宋"/>
                <w:bCs/>
                <w:color w:val="auto"/>
                <w:kern w:val="0"/>
                <w:sz w:val="21"/>
                <w:szCs w:val="21"/>
                <w:highlight w:val="none"/>
                <w:lang w:val="en-US" w:eastAsia="zh-CN" w:bidi="ar-SA"/>
              </w:rPr>
            </w:pPr>
            <w:r>
              <w:rPr>
                <w:rFonts w:hint="eastAsia" w:ascii="仿宋" w:hAnsi="仿宋" w:eastAsia="仿宋" w:cs="仿宋"/>
                <w:color w:val="auto"/>
                <w:sz w:val="21"/>
                <w:szCs w:val="21"/>
                <w:highlight w:val="none"/>
                <w:lang w:val="en-US" w:eastAsia="zh-CN"/>
              </w:rPr>
              <w:t>根据供应商提供的方案进行评分：</w:t>
            </w:r>
            <w:r>
              <w:rPr>
                <w:rFonts w:hint="eastAsia" w:ascii="仿宋" w:hAnsi="仿宋" w:eastAsia="仿宋" w:cs="仿宋"/>
                <w:color w:val="auto"/>
                <w:kern w:val="0"/>
                <w:sz w:val="21"/>
                <w:szCs w:val="21"/>
                <w:highlight w:val="none"/>
                <w:lang w:val="en-US" w:eastAsia="zh-CN" w:bidi="ar"/>
              </w:rPr>
              <w:t>提供描述清晰、详细、合理的项目方案（包括但不限于培训方式及内容、培训工程师资质及名单、服务方案、应急处理方案、售后人员计划、售后服务承诺、质量保证措施等）</w:t>
            </w:r>
            <w:r>
              <w:rPr>
                <w:rFonts w:hint="eastAsia" w:ascii="仿宋" w:hAnsi="仿宋" w:eastAsia="仿宋" w:cs="仿宋"/>
                <w:color w:val="auto"/>
                <w:sz w:val="21"/>
                <w:szCs w:val="21"/>
                <w:highlight w:val="none"/>
              </w:rPr>
              <w:t>进行评价：（1）方案有效、考虑情况全面，得</w:t>
            </w: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rPr>
              <w:t>分；（2）方案较有效、考虑情况较全面，得</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分；（3）方案较差、考虑情况一般，得</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分；（4）未提供不得分。</w:t>
            </w:r>
          </w:p>
        </w:tc>
      </w:tr>
      <w:tr w14:paraId="768BC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1369" w:type="dxa"/>
            <w:gridSpan w:val="2"/>
            <w:vMerge w:val="continue"/>
            <w:tcBorders>
              <w:left w:val="single" w:color="auto" w:sz="4" w:space="0"/>
              <w:right w:val="single" w:color="auto" w:sz="4" w:space="0"/>
            </w:tcBorders>
            <w:noWrap w:val="0"/>
            <w:vAlign w:val="center"/>
          </w:tcPr>
          <w:p w14:paraId="3311200A">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rPr>
            </w:pPr>
          </w:p>
        </w:tc>
        <w:tc>
          <w:tcPr>
            <w:tcW w:w="858" w:type="dxa"/>
            <w:vMerge w:val="continue"/>
            <w:tcBorders>
              <w:left w:val="single" w:color="auto" w:sz="4" w:space="0"/>
              <w:right w:val="single" w:color="auto" w:sz="4" w:space="0"/>
            </w:tcBorders>
            <w:noWrap w:val="0"/>
            <w:vAlign w:val="center"/>
          </w:tcPr>
          <w:p w14:paraId="68AD00CB">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rPr>
            </w:pPr>
          </w:p>
        </w:tc>
        <w:tc>
          <w:tcPr>
            <w:tcW w:w="1309" w:type="dxa"/>
            <w:tcBorders>
              <w:left w:val="single" w:color="auto" w:sz="4" w:space="0"/>
              <w:right w:val="single" w:color="auto" w:sz="4" w:space="0"/>
            </w:tcBorders>
            <w:shd w:val="clear" w:color="auto" w:fill="auto"/>
            <w:noWrap w:val="0"/>
            <w:vAlign w:val="center"/>
          </w:tcPr>
          <w:p w14:paraId="06533AC2">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outlineLvl w:val="9"/>
              <w:rPr>
                <w:rFonts w:hint="eastAsia" w:ascii="仿宋" w:hAnsi="仿宋" w:eastAsia="仿宋" w:cs="仿宋"/>
                <w:b w:val="0"/>
                <w:bCs w:val="0"/>
                <w:color w:val="auto"/>
                <w:highlight w:val="none"/>
                <w:lang w:val="en-US" w:eastAsia="zh-CN"/>
              </w:rPr>
            </w:pPr>
            <w:r>
              <w:rPr>
                <w:rFonts w:hint="eastAsia" w:ascii="仿宋" w:hAnsi="仿宋" w:eastAsia="仿宋" w:cs="仿宋"/>
                <w:color w:val="auto"/>
                <w:sz w:val="21"/>
                <w:szCs w:val="21"/>
                <w:highlight w:val="none"/>
              </w:rPr>
              <w:t>年检、维修保养及售后服务</w:t>
            </w:r>
            <w:r>
              <w:rPr>
                <w:rFonts w:hint="eastAsia" w:ascii="仿宋" w:hAnsi="仿宋" w:eastAsia="仿宋" w:cs="仿宋"/>
                <w:color w:val="auto"/>
                <w:sz w:val="21"/>
                <w:szCs w:val="21"/>
                <w:highlight w:val="none"/>
                <w:lang w:eastAsia="zh-CN"/>
              </w:rPr>
              <w:t>响应时间</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rPr>
              <w:t>分）</w:t>
            </w:r>
          </w:p>
        </w:tc>
        <w:tc>
          <w:tcPr>
            <w:tcW w:w="65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AE7141">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outlineLvl w:val="9"/>
              <w:rPr>
                <w:rFonts w:hint="eastAsia" w:ascii="仿宋" w:hAnsi="仿宋" w:eastAsia="仿宋" w:cs="仿宋"/>
                <w:bCs/>
                <w:color w:val="auto"/>
                <w:kern w:val="0"/>
                <w:szCs w:val="21"/>
                <w:highlight w:val="none"/>
                <w:lang w:val="en-US" w:eastAsia="zh-CN"/>
              </w:rPr>
            </w:pPr>
            <w:r>
              <w:rPr>
                <w:rFonts w:hint="eastAsia" w:ascii="仿宋" w:hAnsi="仿宋" w:eastAsia="仿宋" w:cs="仿宋"/>
                <w:color w:val="auto"/>
                <w:sz w:val="21"/>
                <w:szCs w:val="21"/>
                <w:highlight w:val="none"/>
                <w:lang w:val="en-US" w:eastAsia="zh-CN"/>
              </w:rPr>
              <w:t>根据供应商提供的方案进行评分：</w:t>
            </w:r>
            <w:r>
              <w:rPr>
                <w:rFonts w:hint="eastAsia" w:ascii="仿宋" w:hAnsi="仿宋" w:eastAsia="仿宋" w:cs="仿宋"/>
                <w:color w:val="auto"/>
                <w:kern w:val="0"/>
                <w:sz w:val="21"/>
                <w:szCs w:val="21"/>
                <w:highlight w:val="none"/>
                <w:lang w:val="en-US" w:eastAsia="zh-CN" w:bidi="ar"/>
              </w:rPr>
              <w:t>提供描述清晰、详细、合理的项目方案（年检方案、维修保养计划及科学的维修保养周期、紧急维修服务方案、质量保证措施、售后服务承诺、售后人员配备及售后人员计划、能否满足2小时内响应、24小时内维修完成、24小时无法完成维修的是否提供免费备用机、回访、故障处理及问题解决、零配件价格及服务收费、维修、保养等）</w:t>
            </w:r>
            <w:r>
              <w:rPr>
                <w:rFonts w:hint="eastAsia" w:ascii="仿宋" w:hAnsi="仿宋" w:eastAsia="仿宋" w:cs="仿宋"/>
                <w:color w:val="auto"/>
                <w:sz w:val="21"/>
                <w:szCs w:val="21"/>
                <w:highlight w:val="none"/>
              </w:rPr>
              <w:t>进行评价：（1）方案有效、考虑情况全面，得</w:t>
            </w: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rPr>
              <w:t>分；（</w:t>
            </w: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rPr>
              <w:t>）未提供</w:t>
            </w:r>
            <w:r>
              <w:rPr>
                <w:rFonts w:hint="eastAsia" w:ascii="仿宋" w:hAnsi="仿宋" w:eastAsia="仿宋" w:cs="仿宋"/>
                <w:color w:val="auto"/>
                <w:sz w:val="21"/>
                <w:szCs w:val="21"/>
                <w:highlight w:val="none"/>
                <w:lang w:eastAsia="zh-CN"/>
              </w:rPr>
              <w:t>或提供不全面</w:t>
            </w:r>
            <w:r>
              <w:rPr>
                <w:rFonts w:hint="eastAsia" w:ascii="仿宋" w:hAnsi="仿宋" w:eastAsia="仿宋" w:cs="仿宋"/>
                <w:color w:val="auto"/>
                <w:sz w:val="21"/>
                <w:szCs w:val="21"/>
                <w:highlight w:val="none"/>
              </w:rPr>
              <w:t>不得分。</w:t>
            </w:r>
          </w:p>
        </w:tc>
      </w:tr>
      <w:tr w14:paraId="42CDE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jc w:val="center"/>
        </w:trPr>
        <w:tc>
          <w:tcPr>
            <w:tcW w:w="1369" w:type="dxa"/>
            <w:gridSpan w:val="2"/>
            <w:vMerge w:val="restart"/>
            <w:tcBorders>
              <w:left w:val="single" w:color="auto" w:sz="4" w:space="0"/>
              <w:right w:val="single" w:color="auto" w:sz="4" w:space="0"/>
            </w:tcBorders>
            <w:noWrap w:val="0"/>
            <w:vAlign w:val="center"/>
          </w:tcPr>
          <w:p w14:paraId="1785245E">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b w:val="0"/>
                <w:bCs w:val="0"/>
                <w:color w:val="auto"/>
                <w:highlight w:val="none"/>
              </w:rPr>
            </w:pPr>
            <w:r>
              <w:rPr>
                <w:rFonts w:hint="eastAsia" w:ascii="仿宋" w:hAnsi="仿宋" w:eastAsia="仿宋" w:cs="仿宋"/>
                <w:b w:val="0"/>
                <w:bCs w:val="0"/>
                <w:color w:val="auto"/>
                <w:highlight w:val="none"/>
              </w:rPr>
              <w:t>2.2.2（3）</w:t>
            </w:r>
          </w:p>
          <w:p w14:paraId="12936CE5">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lang w:val="en-US"/>
              </w:rPr>
            </w:pPr>
          </w:p>
          <w:p w14:paraId="3D5F4E42">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lang w:val="en-US" w:eastAsia="zh-CN"/>
              </w:rPr>
            </w:pPr>
          </w:p>
        </w:tc>
        <w:tc>
          <w:tcPr>
            <w:tcW w:w="858" w:type="dxa"/>
            <w:vMerge w:val="restart"/>
            <w:tcBorders>
              <w:left w:val="single" w:color="auto" w:sz="4" w:space="0"/>
              <w:right w:val="single" w:color="auto" w:sz="4" w:space="0"/>
            </w:tcBorders>
            <w:noWrap w:val="0"/>
            <w:vAlign w:val="center"/>
          </w:tcPr>
          <w:p w14:paraId="55B1FA07">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lang w:val="en-US" w:eastAsia="zh-CN"/>
              </w:rPr>
            </w:pPr>
            <w:r>
              <w:rPr>
                <w:rFonts w:hint="eastAsia" w:ascii="仿宋" w:hAnsi="仿宋" w:eastAsia="仿宋" w:cs="仿宋"/>
                <w:b w:val="0"/>
                <w:bCs w:val="0"/>
                <w:color w:val="auto"/>
                <w:highlight w:val="none"/>
                <w:lang w:val="en-US" w:eastAsia="zh-CN"/>
              </w:rPr>
              <w:t>综合部分（18分）</w:t>
            </w:r>
          </w:p>
        </w:tc>
        <w:tc>
          <w:tcPr>
            <w:tcW w:w="1309" w:type="dxa"/>
            <w:tcBorders>
              <w:left w:val="single" w:color="auto" w:sz="4" w:space="0"/>
              <w:right w:val="single" w:color="auto" w:sz="4" w:space="0"/>
            </w:tcBorders>
            <w:noWrap w:val="0"/>
            <w:vAlign w:val="center"/>
          </w:tcPr>
          <w:p w14:paraId="6ED3D79D">
            <w:pPr>
              <w:spacing w:line="400" w:lineRule="exact"/>
              <w:ind w:firstLine="0" w:firstLineChars="0"/>
              <w:jc w:val="center"/>
              <w:outlineLvl w:val="9"/>
              <w:rPr>
                <w:rFonts w:hint="eastAsia" w:ascii="仿宋" w:hAnsi="仿宋" w:eastAsia="仿宋" w:cs="仿宋"/>
                <w:color w:val="auto"/>
                <w:szCs w:val="21"/>
                <w:highlight w:val="none"/>
              </w:rPr>
            </w:pPr>
            <w:r>
              <w:rPr>
                <w:rFonts w:hint="eastAsia" w:ascii="仿宋" w:hAnsi="仿宋" w:eastAsia="仿宋" w:cs="仿宋"/>
                <w:color w:val="auto"/>
                <w:szCs w:val="21"/>
                <w:highlight w:val="none"/>
              </w:rPr>
              <w:t>企业业绩</w:t>
            </w:r>
          </w:p>
          <w:p w14:paraId="6C8003F0">
            <w:pPr>
              <w:spacing w:line="400" w:lineRule="exact"/>
              <w:ind w:firstLine="0" w:firstLineChars="0"/>
              <w:jc w:val="center"/>
              <w:outlineLvl w:val="9"/>
              <w:rPr>
                <w:rFonts w:hint="eastAsia" w:ascii="仿宋" w:hAnsi="仿宋" w:eastAsia="仿宋" w:cs="仿宋"/>
                <w:b w:val="0"/>
                <w:bCs w:val="0"/>
                <w:color w:val="auto"/>
                <w:highlight w:val="none"/>
                <w:lang w:val="en-US" w:eastAsia="zh-CN"/>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6</w:t>
            </w:r>
            <w:r>
              <w:rPr>
                <w:rFonts w:hint="eastAsia" w:ascii="仿宋" w:hAnsi="仿宋" w:eastAsia="仿宋" w:cs="仿宋"/>
                <w:color w:val="auto"/>
                <w:szCs w:val="21"/>
                <w:highlight w:val="none"/>
              </w:rPr>
              <w:t>分）</w:t>
            </w:r>
          </w:p>
        </w:tc>
        <w:tc>
          <w:tcPr>
            <w:tcW w:w="6550" w:type="dxa"/>
            <w:tcBorders>
              <w:top w:val="single" w:color="auto" w:sz="4" w:space="0"/>
              <w:left w:val="single" w:color="auto" w:sz="4" w:space="0"/>
              <w:bottom w:val="single" w:color="auto" w:sz="4" w:space="0"/>
              <w:right w:val="single" w:color="auto" w:sz="4" w:space="0"/>
            </w:tcBorders>
            <w:noWrap w:val="0"/>
            <w:vAlign w:val="center"/>
          </w:tcPr>
          <w:p w14:paraId="105E0484">
            <w:pPr>
              <w:spacing w:line="400" w:lineRule="exact"/>
              <w:ind w:firstLine="0" w:firstLineChars="0"/>
              <w:jc w:val="left"/>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Cs w:val="21"/>
                <w:highlight w:val="none"/>
                <w:lang w:val="en-US" w:eastAsia="zh-CN"/>
              </w:rPr>
              <w:t>供应商或制造商提供2023年8月1日（以合同签订日期为准）以来承接的类似管理平台项目业绩，每提供1份有效业绩得3分，本项最高得6分。注：需同时提供合同原件扫描件、中标通知书原件扫描件，未按要求提供材料的，本项不得分。</w:t>
            </w:r>
          </w:p>
        </w:tc>
      </w:tr>
      <w:tr w14:paraId="6E1CE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0" w:hRule="atLeast"/>
          <w:jc w:val="center"/>
        </w:trPr>
        <w:tc>
          <w:tcPr>
            <w:tcW w:w="1369" w:type="dxa"/>
            <w:gridSpan w:val="2"/>
            <w:vMerge w:val="continue"/>
            <w:tcBorders>
              <w:left w:val="single" w:color="auto" w:sz="4" w:space="0"/>
              <w:right w:val="single" w:color="auto" w:sz="4" w:space="0"/>
            </w:tcBorders>
            <w:noWrap w:val="0"/>
            <w:vAlign w:val="center"/>
          </w:tcPr>
          <w:p w14:paraId="3CC81995">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rPr>
            </w:pPr>
          </w:p>
        </w:tc>
        <w:tc>
          <w:tcPr>
            <w:tcW w:w="858" w:type="dxa"/>
            <w:vMerge w:val="continue"/>
            <w:tcBorders>
              <w:left w:val="single" w:color="auto" w:sz="4" w:space="0"/>
              <w:right w:val="single" w:color="auto" w:sz="4" w:space="0"/>
            </w:tcBorders>
            <w:noWrap w:val="0"/>
            <w:vAlign w:val="center"/>
          </w:tcPr>
          <w:p w14:paraId="2AB66287">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rPr>
            </w:pPr>
          </w:p>
        </w:tc>
        <w:tc>
          <w:tcPr>
            <w:tcW w:w="1309" w:type="dxa"/>
            <w:tcBorders>
              <w:left w:val="single" w:color="auto" w:sz="4" w:space="0"/>
              <w:right w:val="single" w:color="auto" w:sz="4" w:space="0"/>
            </w:tcBorders>
            <w:noWrap w:val="0"/>
            <w:vAlign w:val="center"/>
          </w:tcPr>
          <w:p w14:paraId="69F0D00E">
            <w:pPr>
              <w:spacing w:line="400" w:lineRule="exact"/>
              <w:ind w:firstLine="0" w:firstLineChars="0"/>
              <w:jc w:val="center"/>
              <w:outlineLvl w:val="9"/>
              <w:rPr>
                <w:rFonts w:hint="eastAsia" w:ascii="仿宋" w:hAnsi="仿宋" w:eastAsia="仿宋" w:cs="仿宋"/>
                <w:color w:val="auto"/>
                <w:szCs w:val="21"/>
                <w:highlight w:val="none"/>
              </w:rPr>
            </w:pPr>
            <w:r>
              <w:rPr>
                <w:rFonts w:hint="eastAsia" w:ascii="仿宋" w:hAnsi="仿宋" w:eastAsia="仿宋" w:cs="仿宋"/>
                <w:color w:val="auto"/>
                <w:szCs w:val="21"/>
                <w:highlight w:val="none"/>
              </w:rPr>
              <w:t>认证证书</w:t>
            </w:r>
          </w:p>
          <w:p w14:paraId="27FC1C6F">
            <w:pPr>
              <w:spacing w:line="400" w:lineRule="exact"/>
              <w:ind w:firstLine="0" w:firstLineChars="0"/>
              <w:jc w:val="center"/>
              <w:outlineLvl w:val="9"/>
              <w:rPr>
                <w:rFonts w:hint="eastAsia" w:ascii="仿宋" w:hAnsi="仿宋" w:eastAsia="仿宋" w:cs="仿宋"/>
                <w:b w:val="0"/>
                <w:bCs w:val="0"/>
                <w:color w:val="auto"/>
                <w:highlight w:val="none"/>
                <w:lang w:val="en-US" w:eastAsia="zh-CN"/>
              </w:rPr>
            </w:pPr>
            <w:r>
              <w:rPr>
                <w:rFonts w:hint="eastAsia" w:ascii="仿宋" w:hAnsi="仿宋" w:eastAsia="仿宋" w:cs="仿宋"/>
                <w:color w:val="auto"/>
                <w:szCs w:val="21"/>
                <w:highlight w:val="none"/>
              </w:rPr>
              <w:t>（</w:t>
            </w: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分）</w:t>
            </w:r>
          </w:p>
        </w:tc>
        <w:tc>
          <w:tcPr>
            <w:tcW w:w="6550" w:type="dxa"/>
            <w:tcBorders>
              <w:left w:val="single" w:color="auto" w:sz="4" w:space="0"/>
              <w:right w:val="single" w:color="auto" w:sz="4" w:space="0"/>
            </w:tcBorders>
            <w:noWrap w:val="0"/>
            <w:vAlign w:val="center"/>
          </w:tcPr>
          <w:p w14:paraId="6FC3E522">
            <w:pPr>
              <w:spacing w:line="400" w:lineRule="exact"/>
              <w:ind w:firstLine="0" w:firstLineChars="0"/>
              <w:jc w:val="left"/>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zCs w:val="21"/>
                <w:highlight w:val="none"/>
              </w:rPr>
              <w:t>供应商或制造商同时具备有效的环境管理体系认证证书、质量管理体系认证证书及职业健康安全管理体系认证证书的，得3分；缺项或未提供相关证书的，不得分。注：须提供加盖供应商公章的有效期内认证证书扫描件，并附官方网页查询证明材料（即在中国国家认证认可监督管理委员会网站http://www.cnca.gov.cn/查询的网页截图）；未按要求提供的，不得分。</w:t>
            </w:r>
          </w:p>
        </w:tc>
      </w:tr>
      <w:tr w14:paraId="4E0D4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2" w:hRule="atLeast"/>
          <w:jc w:val="center"/>
        </w:trPr>
        <w:tc>
          <w:tcPr>
            <w:tcW w:w="1369" w:type="dxa"/>
            <w:gridSpan w:val="2"/>
            <w:vMerge w:val="continue"/>
            <w:tcBorders>
              <w:left w:val="single" w:color="auto" w:sz="4" w:space="0"/>
              <w:right w:val="single" w:color="auto" w:sz="4" w:space="0"/>
            </w:tcBorders>
            <w:noWrap w:val="0"/>
            <w:vAlign w:val="center"/>
          </w:tcPr>
          <w:p w14:paraId="23ED3888">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rPr>
            </w:pPr>
          </w:p>
        </w:tc>
        <w:tc>
          <w:tcPr>
            <w:tcW w:w="858" w:type="dxa"/>
            <w:vMerge w:val="continue"/>
            <w:tcBorders>
              <w:left w:val="single" w:color="auto" w:sz="4" w:space="0"/>
              <w:right w:val="single" w:color="auto" w:sz="4" w:space="0"/>
            </w:tcBorders>
            <w:noWrap w:val="0"/>
            <w:vAlign w:val="center"/>
          </w:tcPr>
          <w:p w14:paraId="78CCB978">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rPr>
            </w:pPr>
          </w:p>
        </w:tc>
        <w:tc>
          <w:tcPr>
            <w:tcW w:w="1309" w:type="dxa"/>
            <w:tcBorders>
              <w:left w:val="single" w:color="auto" w:sz="4" w:space="0"/>
              <w:right w:val="single" w:color="auto" w:sz="4" w:space="0"/>
            </w:tcBorders>
            <w:noWrap w:val="0"/>
            <w:vAlign w:val="center"/>
          </w:tcPr>
          <w:p w14:paraId="7FE13211">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质保期（延保）承诺</w:t>
            </w:r>
          </w:p>
          <w:p w14:paraId="57D3A7FB">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outlineLvl w:val="9"/>
              <w:rPr>
                <w:rFonts w:hint="eastAsia" w:ascii="仿宋" w:hAnsi="仿宋" w:eastAsia="仿宋" w:cs="仿宋"/>
                <w:color w:val="auto"/>
                <w:szCs w:val="21"/>
                <w:highlight w:val="none"/>
              </w:rPr>
            </w:pPr>
            <w:r>
              <w:rPr>
                <w:rFonts w:hint="eastAsia" w:ascii="仿宋" w:hAnsi="仿宋" w:eastAsia="仿宋" w:cs="仿宋"/>
                <w:color w:val="auto"/>
                <w:sz w:val="21"/>
                <w:szCs w:val="21"/>
                <w:highlight w:val="none"/>
                <w:lang w:val="en-US" w:eastAsia="zh-CN"/>
              </w:rPr>
              <w:t>（4分）</w:t>
            </w:r>
          </w:p>
        </w:tc>
        <w:tc>
          <w:tcPr>
            <w:tcW w:w="6550" w:type="dxa"/>
            <w:tcBorders>
              <w:left w:val="single" w:color="auto" w:sz="4" w:space="0"/>
              <w:right w:val="single" w:color="auto" w:sz="4" w:space="0"/>
            </w:tcBorders>
            <w:noWrap w:val="0"/>
            <w:vAlign w:val="center"/>
          </w:tcPr>
          <w:p w14:paraId="64B7B156">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outlineLvl w:val="9"/>
              <w:rPr>
                <w:rFonts w:hint="eastAsia" w:ascii="仿宋" w:hAnsi="仿宋" w:eastAsia="仿宋" w:cs="仿宋"/>
                <w:color w:val="auto"/>
                <w:szCs w:val="21"/>
                <w:highlight w:val="none"/>
              </w:rPr>
            </w:pPr>
            <w:r>
              <w:rPr>
                <w:rFonts w:hint="eastAsia" w:ascii="仿宋" w:hAnsi="仿宋" w:eastAsia="仿宋" w:cs="仿宋"/>
                <w:color w:val="auto"/>
                <w:szCs w:val="21"/>
                <w:highlight w:val="none"/>
                <w:lang w:eastAsia="zh-CN"/>
              </w:rPr>
              <w:t>供应商满足</w:t>
            </w:r>
            <w:r>
              <w:rPr>
                <w:rFonts w:hint="eastAsia" w:ascii="仿宋" w:hAnsi="仿宋" w:eastAsia="仿宋" w:cs="仿宋"/>
                <w:color w:val="auto"/>
                <w:sz w:val="21"/>
                <w:szCs w:val="21"/>
                <w:highlight w:val="none"/>
                <w:lang w:val="en-US" w:eastAsia="zh-CN"/>
              </w:rPr>
              <w:t>质保期（延保）</w:t>
            </w:r>
            <w:r>
              <w:rPr>
                <w:rFonts w:hint="eastAsia" w:ascii="仿宋" w:hAnsi="仿宋" w:eastAsia="仿宋" w:cs="仿宋"/>
                <w:color w:val="auto"/>
                <w:szCs w:val="21"/>
                <w:highlight w:val="none"/>
                <w:lang w:eastAsia="zh-CN"/>
              </w:rPr>
              <w:t>基本要求，且在符合货款支付方式的前提下，每延长1年质保期得</w:t>
            </w:r>
            <w:r>
              <w:rPr>
                <w:rFonts w:hint="eastAsia" w:ascii="仿宋" w:hAnsi="仿宋" w:eastAsia="仿宋" w:cs="仿宋"/>
                <w:color w:val="auto"/>
                <w:szCs w:val="21"/>
                <w:highlight w:val="none"/>
                <w:lang w:val="en-US" w:eastAsia="zh-CN"/>
              </w:rPr>
              <w:t>2分，最高加4分；未作出相关承诺的不得分（需提供书面承诺书，格式自拟）。</w:t>
            </w:r>
          </w:p>
        </w:tc>
      </w:tr>
      <w:tr w14:paraId="77784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1369" w:type="dxa"/>
            <w:gridSpan w:val="2"/>
            <w:vMerge w:val="continue"/>
            <w:tcBorders>
              <w:left w:val="single" w:color="auto" w:sz="4" w:space="0"/>
              <w:right w:val="single" w:color="auto" w:sz="4" w:space="0"/>
            </w:tcBorders>
            <w:noWrap w:val="0"/>
            <w:vAlign w:val="center"/>
          </w:tcPr>
          <w:p w14:paraId="71EB8CD7">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rPr>
            </w:pPr>
          </w:p>
        </w:tc>
        <w:tc>
          <w:tcPr>
            <w:tcW w:w="858" w:type="dxa"/>
            <w:vMerge w:val="continue"/>
            <w:tcBorders>
              <w:left w:val="single" w:color="auto" w:sz="4" w:space="0"/>
              <w:right w:val="single" w:color="auto" w:sz="4" w:space="0"/>
            </w:tcBorders>
            <w:noWrap w:val="0"/>
            <w:vAlign w:val="center"/>
          </w:tcPr>
          <w:p w14:paraId="5598F257">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b w:val="0"/>
                <w:bCs w:val="0"/>
                <w:color w:val="auto"/>
                <w:highlight w:val="none"/>
              </w:rPr>
            </w:pPr>
          </w:p>
        </w:tc>
        <w:tc>
          <w:tcPr>
            <w:tcW w:w="1309" w:type="dxa"/>
            <w:tcBorders>
              <w:left w:val="single" w:color="auto" w:sz="4" w:space="0"/>
              <w:right w:val="single" w:color="auto" w:sz="4" w:space="0"/>
            </w:tcBorders>
            <w:noWrap w:val="0"/>
            <w:vAlign w:val="center"/>
          </w:tcPr>
          <w:p w14:paraId="0C8EC0A0">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outlineLvl w:val="9"/>
              <w:rPr>
                <w:rFonts w:hint="eastAsia" w:ascii="仿宋" w:hAnsi="仿宋" w:eastAsia="仿宋" w:cs="仿宋"/>
                <w:b w:val="0"/>
                <w:bCs w:val="0"/>
                <w:color w:val="auto"/>
                <w:highlight w:val="none"/>
                <w:lang w:val="en-US" w:eastAsia="zh-CN"/>
              </w:rPr>
            </w:pPr>
            <w:r>
              <w:rPr>
                <w:rFonts w:hint="eastAsia" w:ascii="仿宋" w:hAnsi="仿宋" w:eastAsia="仿宋" w:cs="仿宋"/>
                <w:color w:val="auto"/>
                <w:sz w:val="21"/>
                <w:szCs w:val="21"/>
                <w:highlight w:val="none"/>
                <w:lang w:val="en-US" w:eastAsia="zh-CN"/>
              </w:rPr>
              <w:t>优惠承诺</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5</w:t>
            </w:r>
            <w:r>
              <w:rPr>
                <w:rFonts w:hint="eastAsia" w:ascii="仿宋" w:hAnsi="仿宋" w:eastAsia="仿宋" w:cs="仿宋"/>
                <w:color w:val="auto"/>
                <w:sz w:val="21"/>
                <w:szCs w:val="21"/>
                <w:highlight w:val="none"/>
              </w:rPr>
              <w:t>分）</w:t>
            </w:r>
          </w:p>
        </w:tc>
        <w:tc>
          <w:tcPr>
            <w:tcW w:w="6550" w:type="dxa"/>
            <w:tcBorders>
              <w:left w:val="single" w:color="auto" w:sz="4" w:space="0"/>
              <w:right w:val="single" w:color="auto" w:sz="4" w:space="0"/>
            </w:tcBorders>
            <w:noWrap w:val="0"/>
            <w:vAlign w:val="center"/>
          </w:tcPr>
          <w:p w14:paraId="1AE486E1">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both"/>
              <w:textAlignment w:val="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0"/>
                <w:sz w:val="21"/>
                <w:szCs w:val="21"/>
                <w:highlight w:val="none"/>
                <w:lang w:val="en-US" w:eastAsia="zh-CN" w:bidi="ar"/>
              </w:rPr>
              <w:t>根据供应商提供的质保期限额外免费的维保或系统升级进行评分：提供描述清晰、详细、合理的清单及方案（包括额外免费软硬件维保或额外免费软件升级方案清单等）进行评价：（1）额外免费软硬件维保或额外免费软件升级等项目合理、全面、响应及时，得 5分；（2）额外免费软硬件维保或额外免费软件升级等项目较全面、响应及时或一般，得3分；（3）额外免费软硬件维保或额外免费软件升级等项目较少、响应情况一般，得1分；（4）无额外免费软硬件维保或额外免费软件升级等项目，未提供的不得分。</w:t>
            </w:r>
          </w:p>
        </w:tc>
      </w:tr>
    </w:tbl>
    <w:p w14:paraId="643D0DC0">
      <w:pPr>
        <w:spacing w:line="240" w:lineRule="auto"/>
        <w:ind w:left="0" w:leftChars="0" w:firstLine="0" w:firstLineChars="0"/>
        <w:jc w:val="center"/>
        <w:outlineLvl w:val="9"/>
        <w:rPr>
          <w:rFonts w:hint="eastAsia" w:ascii="仿宋" w:hAnsi="仿宋" w:eastAsia="仿宋" w:cs="仿宋"/>
          <w:b/>
          <w:color w:val="auto"/>
          <w:kern w:val="2"/>
          <w:sz w:val="36"/>
          <w:szCs w:val="36"/>
          <w:highlight w:val="none"/>
          <w:lang w:val="en-US" w:eastAsia="zh-CN" w:bidi="ar-SA"/>
        </w:rPr>
      </w:pPr>
    </w:p>
    <w:bookmarkEnd w:id="67"/>
    <w:bookmarkEnd w:id="68"/>
    <w:bookmarkEnd w:id="69"/>
    <w:bookmarkEnd w:id="70"/>
    <w:bookmarkEnd w:id="71"/>
    <w:bookmarkEnd w:id="72"/>
    <w:p w14:paraId="3B8713C9">
      <w:pPr>
        <w:spacing w:line="240" w:lineRule="auto"/>
        <w:ind w:left="0" w:leftChars="0" w:firstLine="0" w:firstLineChars="0"/>
        <w:jc w:val="both"/>
        <w:outlineLvl w:val="9"/>
        <w:rPr>
          <w:rFonts w:hint="eastAsia" w:ascii="仿宋" w:hAnsi="仿宋" w:eastAsia="仿宋" w:cs="仿宋"/>
          <w:color w:val="auto"/>
          <w:sz w:val="30"/>
          <w:szCs w:val="30"/>
          <w:highlight w:val="none"/>
        </w:rPr>
      </w:pPr>
    </w:p>
    <w:p w14:paraId="24B25FB3">
      <w:pPr>
        <w:pageBreakBefore w:val="0"/>
        <w:kinsoku/>
        <w:wordWrap/>
        <w:overflowPunct/>
        <w:topLinePunct w:val="0"/>
        <w:bidi w:val="0"/>
        <w:spacing w:line="400" w:lineRule="exact"/>
        <w:ind w:left="0" w:leftChars="0" w:firstLine="0" w:firstLineChars="0"/>
        <w:outlineLvl w:val="9"/>
        <w:rPr>
          <w:rFonts w:hint="eastAsia" w:ascii="仿宋" w:hAnsi="仿宋" w:eastAsia="仿宋" w:cs="仿宋"/>
          <w:b/>
          <w:color w:val="auto"/>
          <w:sz w:val="21"/>
          <w:szCs w:val="21"/>
          <w:highlight w:val="none"/>
        </w:rPr>
      </w:pPr>
    </w:p>
    <w:p w14:paraId="70430A61">
      <w:pPr>
        <w:pageBreakBefore w:val="0"/>
        <w:kinsoku/>
        <w:wordWrap/>
        <w:overflowPunct/>
        <w:topLinePunct w:val="0"/>
        <w:bidi w:val="0"/>
        <w:spacing w:line="400" w:lineRule="exact"/>
        <w:outlineLvl w:val="9"/>
        <w:rPr>
          <w:rFonts w:hint="eastAsia" w:ascii="仿宋" w:hAnsi="仿宋" w:eastAsia="仿宋" w:cs="仿宋"/>
          <w:b/>
          <w:color w:val="auto"/>
          <w:sz w:val="21"/>
          <w:szCs w:val="21"/>
          <w:highlight w:val="none"/>
        </w:rPr>
        <w:sectPr>
          <w:pgSz w:w="11905" w:h="16838"/>
          <w:pgMar w:top="1417" w:right="1417" w:bottom="1417" w:left="1417" w:header="850" w:footer="850" w:gutter="0"/>
          <w:pgNumType w:fmt="numberInDash"/>
          <w:cols w:space="0" w:num="1"/>
          <w:rtlGutter w:val="0"/>
          <w:docGrid w:type="lines" w:linePitch="412" w:charSpace="0"/>
        </w:sectPr>
      </w:pPr>
    </w:p>
    <w:p w14:paraId="231DF5B9">
      <w:pPr>
        <w:pageBreakBefore w:val="0"/>
        <w:kinsoku/>
        <w:wordWrap/>
        <w:overflowPunct/>
        <w:topLinePunct w:val="0"/>
        <w:bidi w:val="0"/>
        <w:spacing w:line="400" w:lineRule="exact"/>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1、评标方法</w:t>
      </w:r>
    </w:p>
    <w:p w14:paraId="108519F4">
      <w:pPr>
        <w:pageBreakBefore w:val="0"/>
        <w:kinsoku/>
        <w:wordWrap/>
        <w:overflowPunct/>
        <w:topLinePunct w:val="0"/>
        <w:bidi w:val="0"/>
        <w:spacing w:line="400" w:lineRule="exac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1.1本次评标采用综合评分法。</w:t>
      </w:r>
    </w:p>
    <w:p w14:paraId="248260C2">
      <w:pPr>
        <w:pageBreakBefore w:val="0"/>
        <w:kinsoku/>
        <w:wordWrap/>
        <w:overflowPunct/>
        <w:topLinePunct w:val="0"/>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提供相同品牌产品且通过资格审查、符合性审查的不同投标人参加同一合同项下投标的，按一家投标人计算，评审后得分最高的同品牌投标人获得中标人推荐资格；评审得分相同的采取随机抽取方式确定，其他同品牌投标人不作为中标候选人。</w:t>
      </w:r>
    </w:p>
    <w:p w14:paraId="1773EEEE">
      <w:pPr>
        <w:pageBreakBefore w:val="0"/>
        <w:kinsoku/>
        <w:wordWrap/>
        <w:overflowPunct/>
        <w:topLinePunct w:val="0"/>
        <w:bidi w:val="0"/>
        <w:spacing w:line="400" w:lineRule="exact"/>
        <w:ind w:firstLine="420" w:firstLineChars="200"/>
        <w:outlineLvl w:val="9"/>
        <w:rPr>
          <w:rFonts w:hint="eastAsia" w:ascii="仿宋" w:hAnsi="仿宋" w:eastAsia="仿宋" w:cs="仿宋"/>
          <w:b/>
          <w:bCs/>
          <w:color w:val="auto"/>
          <w:sz w:val="21"/>
          <w:szCs w:val="21"/>
          <w:highlight w:val="none"/>
        </w:rPr>
      </w:pPr>
      <w:r>
        <w:rPr>
          <w:rFonts w:hint="eastAsia" w:ascii="仿宋" w:hAnsi="仿宋" w:eastAsia="仿宋" w:cs="仿宋"/>
          <w:color w:val="auto"/>
          <w:sz w:val="21"/>
          <w:szCs w:val="21"/>
          <w:highlight w:val="none"/>
          <w:lang w:val="en-US" w:eastAsia="zh-CN"/>
        </w:rPr>
        <w:t xml:space="preserve"> </w:t>
      </w:r>
      <w:r>
        <w:rPr>
          <w:rFonts w:hint="eastAsia" w:ascii="仿宋" w:hAnsi="仿宋" w:eastAsia="仿宋" w:cs="仿宋"/>
          <w:b/>
          <w:bCs/>
          <w:color w:val="auto"/>
          <w:sz w:val="21"/>
          <w:szCs w:val="21"/>
          <w:highlight w:val="none"/>
          <w:lang w:val="en-US" w:eastAsia="zh-CN"/>
        </w:rPr>
        <w:t>本次招标技术参数需求中如涉及具体品牌、型号的仅作为参照，供应商可以采用不低于同档次的其它产品进行投标，其实际性能和参数必须相当于或高于招标参数要求，否则，将视为技术参数存在偏差，由此导致的后果，供应商自己承担。</w:t>
      </w:r>
    </w:p>
    <w:p w14:paraId="2007313A">
      <w:pPr>
        <w:pageBreakBefore w:val="0"/>
        <w:kinsoku/>
        <w:wordWrap/>
        <w:overflowPunct/>
        <w:topLinePunct w:val="0"/>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评标委员会对满足招标文件实质性要求的投标文件，按照本章详细评审标准进行打分，本项目按综合得分由高到低顺序推荐3名中标候选人。综合评分相等时，以投标报价低的优先；投标报价也相等的，以技术标得分高的优先。</w:t>
      </w:r>
    </w:p>
    <w:p w14:paraId="6872031F">
      <w:pPr>
        <w:pageBreakBefore w:val="0"/>
        <w:kinsoku/>
        <w:wordWrap/>
        <w:overflowPunct/>
        <w:topLinePunct w:val="0"/>
        <w:bidi w:val="0"/>
        <w:spacing w:line="400" w:lineRule="exac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1.2经评标委员会初步评审后有效投标不足3个的，评标委员会应予废标。</w:t>
      </w:r>
    </w:p>
    <w:p w14:paraId="4FC1B211">
      <w:pPr>
        <w:pageBreakBefore w:val="0"/>
        <w:kinsoku/>
        <w:wordWrap/>
        <w:overflowPunct/>
        <w:topLinePunct w:val="0"/>
        <w:bidi w:val="0"/>
        <w:spacing w:line="400" w:lineRule="exact"/>
        <w:outlineLvl w:val="9"/>
        <w:rPr>
          <w:rFonts w:hint="eastAsia" w:ascii="仿宋" w:hAnsi="仿宋" w:eastAsia="仿宋" w:cs="仿宋"/>
          <w:b/>
          <w:bCs/>
          <w:color w:val="auto"/>
          <w:sz w:val="21"/>
          <w:szCs w:val="21"/>
          <w:highlight w:val="none"/>
        </w:rPr>
      </w:pPr>
      <w:bookmarkStart w:id="74" w:name="_Toc374358912"/>
      <w:bookmarkStart w:id="75" w:name="_Toc381964734"/>
      <w:bookmarkStart w:id="76" w:name="_Toc363053528"/>
      <w:bookmarkStart w:id="77" w:name="_Toc381018333"/>
      <w:bookmarkStart w:id="78" w:name="_Toc21497"/>
      <w:bookmarkStart w:id="79" w:name="_Toc381964642"/>
      <w:bookmarkStart w:id="80" w:name="_Toc184635094"/>
      <w:r>
        <w:rPr>
          <w:rFonts w:hint="eastAsia" w:ascii="仿宋" w:hAnsi="仿宋" w:eastAsia="仿宋" w:cs="仿宋"/>
          <w:b/>
          <w:bCs/>
          <w:color w:val="auto"/>
          <w:sz w:val="21"/>
          <w:szCs w:val="21"/>
          <w:highlight w:val="none"/>
        </w:rPr>
        <w:t>2、评审标准</w:t>
      </w:r>
      <w:bookmarkEnd w:id="74"/>
      <w:bookmarkEnd w:id="75"/>
      <w:bookmarkEnd w:id="76"/>
      <w:bookmarkEnd w:id="77"/>
      <w:bookmarkEnd w:id="78"/>
      <w:bookmarkEnd w:id="79"/>
      <w:bookmarkEnd w:id="80"/>
    </w:p>
    <w:p w14:paraId="0168915A">
      <w:pPr>
        <w:pageBreakBefore w:val="0"/>
        <w:kinsoku/>
        <w:wordWrap/>
        <w:overflowPunct/>
        <w:topLinePunct w:val="0"/>
        <w:bidi w:val="0"/>
        <w:spacing w:line="400" w:lineRule="exact"/>
        <w:outlineLvl w:val="9"/>
        <w:rPr>
          <w:rFonts w:hint="eastAsia" w:ascii="仿宋" w:hAnsi="仿宋" w:eastAsia="仿宋" w:cs="仿宋"/>
          <w:color w:val="auto"/>
          <w:sz w:val="21"/>
          <w:szCs w:val="21"/>
          <w:highlight w:val="none"/>
        </w:rPr>
      </w:pPr>
      <w:bookmarkStart w:id="81" w:name="_Toc472337681"/>
      <w:bookmarkStart w:id="82" w:name="_Toc472429326"/>
      <w:bookmarkStart w:id="83" w:name="_Toc381964735"/>
      <w:bookmarkStart w:id="84" w:name="_Toc381964643"/>
      <w:bookmarkStart w:id="85" w:name="_Toc184635095"/>
      <w:bookmarkStart w:id="86" w:name="_Toc374358913"/>
      <w:bookmarkStart w:id="87" w:name="_Toc363053529"/>
      <w:bookmarkStart w:id="88" w:name="_Toc381018334"/>
      <w:bookmarkStart w:id="89" w:name="_Toc26780"/>
      <w:r>
        <w:rPr>
          <w:rFonts w:hint="eastAsia" w:ascii="仿宋" w:hAnsi="仿宋" w:eastAsia="仿宋" w:cs="仿宋"/>
          <w:color w:val="auto"/>
          <w:sz w:val="21"/>
          <w:szCs w:val="21"/>
          <w:highlight w:val="none"/>
        </w:rPr>
        <w:t>2.1初步评审标准</w:t>
      </w:r>
      <w:bookmarkEnd w:id="81"/>
      <w:bookmarkEnd w:id="82"/>
    </w:p>
    <w:p w14:paraId="6ED35D8C">
      <w:pPr>
        <w:pageBreakBefore w:val="0"/>
        <w:kinsoku/>
        <w:wordWrap/>
        <w:overflowPunct/>
        <w:topLinePunct w:val="0"/>
        <w:bidi w:val="0"/>
        <w:spacing w:line="400" w:lineRule="exact"/>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2.l.1资格评审标准：见评标办法前附表</w:t>
      </w:r>
      <w:r>
        <w:rPr>
          <w:rFonts w:hint="eastAsia" w:ascii="仿宋" w:hAnsi="仿宋" w:eastAsia="仿宋" w:cs="仿宋"/>
          <w:color w:val="auto"/>
          <w:sz w:val="21"/>
          <w:szCs w:val="21"/>
          <w:highlight w:val="none"/>
          <w:lang w:eastAsia="zh-CN"/>
        </w:rPr>
        <w:t>；</w:t>
      </w:r>
    </w:p>
    <w:p w14:paraId="0CEC21D9">
      <w:pPr>
        <w:pageBreakBefore w:val="0"/>
        <w:kinsoku/>
        <w:wordWrap/>
        <w:overflowPunct/>
        <w:topLinePunct w:val="0"/>
        <w:bidi w:val="0"/>
        <w:spacing w:line="400" w:lineRule="exac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2.1.2</w:t>
      </w:r>
      <w:r>
        <w:rPr>
          <w:rFonts w:hint="eastAsia" w:ascii="仿宋" w:hAnsi="仿宋" w:eastAsia="仿宋" w:cs="仿宋"/>
          <w:color w:val="auto"/>
          <w:sz w:val="21"/>
          <w:szCs w:val="21"/>
          <w:highlight w:val="none"/>
          <w:lang w:eastAsia="zh-CN"/>
        </w:rPr>
        <w:t>符合性</w:t>
      </w:r>
      <w:r>
        <w:rPr>
          <w:rFonts w:hint="eastAsia" w:ascii="仿宋" w:hAnsi="仿宋" w:eastAsia="仿宋" w:cs="仿宋"/>
          <w:color w:val="auto"/>
          <w:sz w:val="21"/>
          <w:szCs w:val="21"/>
          <w:highlight w:val="none"/>
        </w:rPr>
        <w:t>评审标准：见评标办法前附表</w:t>
      </w:r>
      <w:r>
        <w:rPr>
          <w:rFonts w:hint="eastAsia" w:ascii="仿宋" w:hAnsi="仿宋" w:eastAsia="仿宋" w:cs="仿宋"/>
          <w:color w:val="auto"/>
          <w:sz w:val="21"/>
          <w:szCs w:val="21"/>
          <w:highlight w:val="none"/>
          <w:lang w:eastAsia="zh-CN"/>
        </w:rPr>
        <w:t>。</w:t>
      </w:r>
    </w:p>
    <w:p w14:paraId="01B53566">
      <w:pPr>
        <w:pageBreakBefore w:val="0"/>
        <w:kinsoku/>
        <w:wordWrap/>
        <w:overflowPunct/>
        <w:topLinePunct w:val="0"/>
        <w:bidi w:val="0"/>
        <w:spacing w:line="400" w:lineRule="exact"/>
        <w:outlineLvl w:val="9"/>
        <w:rPr>
          <w:rFonts w:hint="eastAsia" w:ascii="仿宋" w:hAnsi="仿宋" w:eastAsia="仿宋" w:cs="仿宋"/>
          <w:color w:val="auto"/>
          <w:sz w:val="21"/>
          <w:szCs w:val="21"/>
          <w:highlight w:val="none"/>
        </w:rPr>
      </w:pPr>
      <w:bookmarkStart w:id="90" w:name="_Toc472337682"/>
      <w:bookmarkStart w:id="91" w:name="_Toc472429327"/>
      <w:r>
        <w:rPr>
          <w:rFonts w:hint="eastAsia" w:ascii="仿宋" w:hAnsi="仿宋" w:eastAsia="仿宋" w:cs="仿宋"/>
          <w:color w:val="auto"/>
          <w:sz w:val="21"/>
          <w:szCs w:val="21"/>
          <w:highlight w:val="none"/>
        </w:rPr>
        <w:t>2.2 分值构成与评分标准</w:t>
      </w:r>
      <w:bookmarkEnd w:id="90"/>
      <w:bookmarkEnd w:id="91"/>
    </w:p>
    <w:p w14:paraId="38A5220C">
      <w:pPr>
        <w:pageBreakBefore w:val="0"/>
        <w:kinsoku/>
        <w:wordWrap/>
        <w:overflowPunct/>
        <w:topLinePunct w:val="0"/>
        <w:bidi w:val="0"/>
        <w:spacing w:line="400" w:lineRule="exac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2.2.1分值构成</w:t>
      </w:r>
    </w:p>
    <w:p w14:paraId="2F20396C">
      <w:pPr>
        <w:pageBreakBefore w:val="0"/>
        <w:kinsoku/>
        <w:wordWrap/>
        <w:overflowPunct/>
        <w:topLinePunct w:val="0"/>
        <w:bidi w:val="0"/>
        <w:spacing w:line="400" w:lineRule="exac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lang w:eastAsia="zh-CN"/>
        </w:rPr>
        <w:t>）商务部分</w:t>
      </w:r>
      <w:r>
        <w:rPr>
          <w:rFonts w:hint="eastAsia" w:ascii="仿宋" w:hAnsi="仿宋" w:eastAsia="仿宋" w:cs="仿宋"/>
          <w:color w:val="auto"/>
          <w:sz w:val="21"/>
          <w:szCs w:val="21"/>
          <w:highlight w:val="none"/>
        </w:rPr>
        <w:t>：见评标办法前附表；</w:t>
      </w:r>
    </w:p>
    <w:p w14:paraId="12681ACC">
      <w:pPr>
        <w:pageBreakBefore w:val="0"/>
        <w:kinsoku/>
        <w:wordWrap/>
        <w:overflowPunct/>
        <w:topLinePunct w:val="0"/>
        <w:bidi w:val="0"/>
        <w:spacing w:line="400" w:lineRule="exac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lang w:eastAsia="zh-CN"/>
        </w:rPr>
        <w:t>）技术</w:t>
      </w:r>
      <w:r>
        <w:rPr>
          <w:rFonts w:hint="eastAsia" w:ascii="仿宋" w:hAnsi="仿宋" w:eastAsia="仿宋" w:cs="仿宋"/>
          <w:color w:val="auto"/>
          <w:sz w:val="21"/>
          <w:szCs w:val="21"/>
          <w:highlight w:val="none"/>
        </w:rPr>
        <w:t>部分：见评标办法前附表；</w:t>
      </w:r>
    </w:p>
    <w:p w14:paraId="7D18ADBA">
      <w:pPr>
        <w:pageBreakBefore w:val="0"/>
        <w:kinsoku/>
        <w:wordWrap/>
        <w:overflowPunct/>
        <w:topLinePunct w:val="0"/>
        <w:bidi w:val="0"/>
        <w:spacing w:line="400" w:lineRule="exac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）综合部分：见评标办法前附表。</w:t>
      </w:r>
    </w:p>
    <w:p w14:paraId="0BB2529E">
      <w:pPr>
        <w:pageBreakBefore w:val="0"/>
        <w:kinsoku/>
        <w:wordWrap/>
        <w:overflowPunct/>
        <w:topLinePunct w:val="0"/>
        <w:bidi w:val="0"/>
        <w:spacing w:line="400" w:lineRule="exac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2.2.2评分标准</w:t>
      </w:r>
    </w:p>
    <w:p w14:paraId="72E6AC90">
      <w:pPr>
        <w:pageBreakBefore w:val="0"/>
        <w:kinsoku/>
        <w:wordWrap/>
        <w:overflowPunct/>
        <w:topLinePunct w:val="0"/>
        <w:bidi w:val="0"/>
        <w:spacing w:line="400" w:lineRule="exac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lang w:eastAsia="zh-CN"/>
        </w:rPr>
        <w:t>）商务部分</w:t>
      </w:r>
      <w:r>
        <w:rPr>
          <w:rFonts w:hint="eastAsia" w:ascii="仿宋" w:hAnsi="仿宋" w:eastAsia="仿宋" w:cs="仿宋"/>
          <w:color w:val="auto"/>
          <w:sz w:val="21"/>
          <w:szCs w:val="21"/>
          <w:highlight w:val="none"/>
        </w:rPr>
        <w:t>：见评标办法前附表；</w:t>
      </w:r>
    </w:p>
    <w:p w14:paraId="5A33B4FC">
      <w:pPr>
        <w:pageBreakBefore w:val="0"/>
        <w:kinsoku/>
        <w:wordWrap/>
        <w:overflowPunct/>
        <w:topLinePunct w:val="0"/>
        <w:bidi w:val="0"/>
        <w:spacing w:line="400" w:lineRule="exac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lang w:eastAsia="zh-CN"/>
        </w:rPr>
        <w:t>）技术</w:t>
      </w:r>
      <w:r>
        <w:rPr>
          <w:rFonts w:hint="eastAsia" w:ascii="仿宋" w:hAnsi="仿宋" w:eastAsia="仿宋" w:cs="仿宋"/>
          <w:color w:val="auto"/>
          <w:sz w:val="21"/>
          <w:szCs w:val="21"/>
          <w:highlight w:val="none"/>
        </w:rPr>
        <w:t>部分：见评标办法前附表；</w:t>
      </w:r>
    </w:p>
    <w:p w14:paraId="6FB2BB52">
      <w:pPr>
        <w:pageBreakBefore w:val="0"/>
        <w:kinsoku/>
        <w:wordWrap/>
        <w:overflowPunct/>
        <w:topLinePunct w:val="0"/>
        <w:bidi w:val="0"/>
        <w:spacing w:line="400" w:lineRule="exac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lang w:val="en-US" w:eastAsia="zh-CN"/>
        </w:rPr>
        <w:t>3</w:t>
      </w:r>
      <w:r>
        <w:rPr>
          <w:rFonts w:hint="eastAsia" w:ascii="仿宋" w:hAnsi="仿宋" w:eastAsia="仿宋" w:cs="仿宋"/>
          <w:color w:val="auto"/>
          <w:sz w:val="21"/>
          <w:szCs w:val="21"/>
          <w:highlight w:val="none"/>
        </w:rPr>
        <w:t>）综合部分：见评标办法前附表。</w:t>
      </w:r>
    </w:p>
    <w:p w14:paraId="3F524884">
      <w:pPr>
        <w:pageBreakBefore w:val="0"/>
        <w:kinsoku/>
        <w:wordWrap/>
        <w:overflowPunct/>
        <w:topLinePunct w:val="0"/>
        <w:bidi w:val="0"/>
        <w:spacing w:line="400" w:lineRule="exact"/>
        <w:outlineLvl w:val="9"/>
        <w:rPr>
          <w:rFonts w:hint="eastAsia" w:ascii="仿宋" w:hAnsi="仿宋" w:eastAsia="仿宋" w:cs="仿宋"/>
          <w:b/>
          <w:bCs/>
          <w:color w:val="auto"/>
          <w:sz w:val="21"/>
          <w:szCs w:val="21"/>
          <w:highlight w:val="none"/>
        </w:rPr>
      </w:pPr>
      <w:r>
        <w:rPr>
          <w:rFonts w:hint="eastAsia" w:ascii="仿宋" w:hAnsi="仿宋" w:eastAsia="仿宋" w:cs="仿宋"/>
          <w:b/>
          <w:bCs/>
          <w:color w:val="auto"/>
          <w:sz w:val="21"/>
          <w:szCs w:val="21"/>
          <w:highlight w:val="none"/>
        </w:rPr>
        <w:t>3、评标程序</w:t>
      </w:r>
      <w:bookmarkEnd w:id="83"/>
      <w:bookmarkEnd w:id="84"/>
      <w:bookmarkEnd w:id="85"/>
      <w:bookmarkEnd w:id="86"/>
      <w:bookmarkEnd w:id="87"/>
      <w:bookmarkEnd w:id="88"/>
      <w:bookmarkEnd w:id="89"/>
    </w:p>
    <w:p w14:paraId="1A1CD9B1">
      <w:pPr>
        <w:pageBreakBefore w:val="0"/>
        <w:kinsoku/>
        <w:wordWrap/>
        <w:overflowPunct/>
        <w:topLinePunct w:val="0"/>
        <w:bidi w:val="0"/>
        <w:spacing w:line="400" w:lineRule="exac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3.1 初步评审</w:t>
      </w:r>
    </w:p>
    <w:p w14:paraId="49E5B6DA">
      <w:pPr>
        <w:pageBreakBefore w:val="0"/>
        <w:kinsoku/>
        <w:wordWrap/>
        <w:overflowPunct/>
        <w:topLinePunct w:val="0"/>
        <w:bidi w:val="0"/>
        <w:spacing w:line="400" w:lineRule="exact"/>
        <w:ind w:firstLine="420" w:firstLineChars="200"/>
        <w:outlineLvl w:val="9"/>
        <w:rPr>
          <w:rFonts w:hint="eastAsia" w:ascii="仿宋" w:hAnsi="仿宋" w:eastAsia="仿宋" w:cs="仿宋"/>
          <w:b/>
          <w:bCs/>
          <w:color w:val="auto"/>
          <w:sz w:val="21"/>
          <w:szCs w:val="21"/>
          <w:highlight w:val="none"/>
        </w:rPr>
      </w:pPr>
      <w:r>
        <w:rPr>
          <w:rFonts w:hint="eastAsia" w:ascii="仿宋" w:hAnsi="仿宋" w:eastAsia="仿宋" w:cs="仿宋"/>
          <w:color w:val="auto"/>
          <w:sz w:val="21"/>
          <w:szCs w:val="21"/>
          <w:highlight w:val="none"/>
        </w:rPr>
        <w:t>3.1.1只有通过资格审查的投标人才能进入</w:t>
      </w:r>
      <w:r>
        <w:rPr>
          <w:rFonts w:hint="eastAsia" w:ascii="仿宋" w:hAnsi="仿宋" w:eastAsia="仿宋" w:cs="仿宋"/>
          <w:color w:val="auto"/>
          <w:sz w:val="21"/>
          <w:szCs w:val="21"/>
          <w:highlight w:val="none"/>
          <w:lang w:eastAsia="zh-CN"/>
        </w:rPr>
        <w:t>符合性评审</w:t>
      </w:r>
      <w:r>
        <w:rPr>
          <w:rFonts w:hint="eastAsia" w:ascii="仿宋" w:hAnsi="仿宋" w:eastAsia="仿宋" w:cs="仿宋"/>
          <w:color w:val="auto"/>
          <w:sz w:val="21"/>
          <w:szCs w:val="21"/>
          <w:highlight w:val="none"/>
        </w:rPr>
        <w:t>。评标委员会依据初步评审表规定的内容和标准对投标文件进行</w:t>
      </w:r>
      <w:r>
        <w:rPr>
          <w:rFonts w:hint="eastAsia" w:ascii="仿宋" w:hAnsi="仿宋" w:eastAsia="仿宋" w:cs="仿宋"/>
          <w:color w:val="auto"/>
          <w:sz w:val="21"/>
          <w:szCs w:val="21"/>
          <w:highlight w:val="none"/>
          <w:lang w:eastAsia="zh-CN"/>
        </w:rPr>
        <w:t>符合性审查</w:t>
      </w:r>
      <w:r>
        <w:rPr>
          <w:rFonts w:hint="eastAsia" w:ascii="仿宋" w:hAnsi="仿宋" w:eastAsia="仿宋" w:cs="仿宋"/>
          <w:color w:val="auto"/>
          <w:sz w:val="21"/>
          <w:szCs w:val="21"/>
          <w:highlight w:val="none"/>
        </w:rPr>
        <w:t>。</w:t>
      </w:r>
      <w:r>
        <w:rPr>
          <w:rFonts w:hint="eastAsia" w:ascii="仿宋" w:hAnsi="仿宋" w:eastAsia="仿宋" w:cs="仿宋"/>
          <w:b/>
          <w:bCs/>
          <w:color w:val="auto"/>
          <w:sz w:val="21"/>
          <w:szCs w:val="21"/>
          <w:highlight w:val="none"/>
        </w:rPr>
        <w:t>有一项不符合评审标准的，其投标做无效</w:t>
      </w:r>
      <w:r>
        <w:rPr>
          <w:rFonts w:hint="eastAsia" w:ascii="仿宋" w:hAnsi="仿宋" w:eastAsia="仿宋" w:cs="仿宋"/>
          <w:b/>
          <w:bCs/>
          <w:color w:val="auto"/>
          <w:sz w:val="21"/>
          <w:szCs w:val="21"/>
          <w:highlight w:val="none"/>
          <w:lang w:eastAsia="zh-CN"/>
        </w:rPr>
        <w:t>投标</w:t>
      </w:r>
      <w:r>
        <w:rPr>
          <w:rFonts w:hint="eastAsia" w:ascii="仿宋" w:hAnsi="仿宋" w:eastAsia="仿宋" w:cs="仿宋"/>
          <w:b/>
          <w:bCs/>
          <w:color w:val="auto"/>
          <w:sz w:val="21"/>
          <w:szCs w:val="21"/>
          <w:highlight w:val="none"/>
        </w:rPr>
        <w:t>处理，不得进入详细评审。</w:t>
      </w:r>
    </w:p>
    <w:p w14:paraId="3714E036">
      <w:pPr>
        <w:pageBreakBefore w:val="0"/>
        <w:kinsoku/>
        <w:wordWrap/>
        <w:overflowPunct/>
        <w:topLinePunct w:val="0"/>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3.1.2投标报价有算术错误的，评标委员会按以下原则对投标报价进行修正，修正的价格经投标人书面确认后具有约束力。投标人不接受修正价格的，其投标作废标处理。</w:t>
      </w:r>
    </w:p>
    <w:p w14:paraId="12787F8D">
      <w:pPr>
        <w:pageBreakBefore w:val="0"/>
        <w:kinsoku/>
        <w:wordWrap/>
        <w:overflowPunct/>
        <w:topLinePunct w:val="0"/>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（1）投标文件中的大写金额与小写金额不一致的，以大写金额为准（但大写金额有明显错误的除外）；</w:t>
      </w:r>
    </w:p>
    <w:p w14:paraId="5505F951">
      <w:pPr>
        <w:pageBreakBefore w:val="0"/>
        <w:kinsoku/>
        <w:wordWrap/>
        <w:overflowPunct/>
        <w:topLinePunct w:val="0"/>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（2）总价金额与依据单价计算出的结果不一致的，以单价金额为准修正总价，但单价金额小数点有明显错误的除外。</w:t>
      </w:r>
    </w:p>
    <w:p w14:paraId="623B0EDC">
      <w:pPr>
        <w:pageBreakBefore w:val="0"/>
        <w:kinsoku/>
        <w:wordWrap/>
        <w:overflowPunct/>
        <w:topLinePunct w:val="0"/>
        <w:bidi w:val="0"/>
        <w:spacing w:line="400" w:lineRule="exac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3.2 详细评审</w:t>
      </w:r>
    </w:p>
    <w:p w14:paraId="368D9D4A">
      <w:pPr>
        <w:pageBreakBefore w:val="0"/>
        <w:kinsoku/>
        <w:wordWrap/>
        <w:overflowPunct/>
        <w:topLinePunct w:val="0"/>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3.2.1 评标委员会按本章详细评审内容规定的量化因素和分值进行打分，并计算出综合评估得分。</w:t>
      </w:r>
    </w:p>
    <w:p w14:paraId="41B0DB44">
      <w:pPr>
        <w:pageBreakBefore w:val="0"/>
        <w:kinsoku/>
        <w:wordWrap/>
        <w:overflowPunct/>
        <w:topLinePunct w:val="0"/>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3.2.2 评分分值计算保留小数点后两位，小数点后第三位“四舍五入”。</w:t>
      </w:r>
    </w:p>
    <w:p w14:paraId="42F671C4">
      <w:pPr>
        <w:pageBreakBefore w:val="0"/>
        <w:kinsoku/>
        <w:wordWrap/>
        <w:overflowPunct/>
        <w:topLinePunct w:val="0"/>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3.2.3 投标人的最终得分以评委打分的算术平均值为准。</w:t>
      </w:r>
    </w:p>
    <w:p w14:paraId="010AC5DC">
      <w:pPr>
        <w:pageBreakBefore w:val="0"/>
        <w:kinsoku/>
        <w:wordWrap/>
        <w:overflowPunct/>
        <w:topLinePunct w:val="0"/>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3.3 投标文件的澄清和补正</w:t>
      </w:r>
    </w:p>
    <w:p w14:paraId="37723975">
      <w:pPr>
        <w:pageBreakBefore w:val="0"/>
        <w:kinsoku/>
        <w:wordWrap/>
        <w:overflowPunct/>
        <w:topLinePunct w:val="0"/>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3.3.1 在评标过程中，评标委员会可以书面形式要求投标人对所提交投标文件中不明确的内容进行书面澄清或说明，或者对细微偏差进行补正。评标委员会不接受投标人主动提出的澄清、说明或补正。</w:t>
      </w:r>
    </w:p>
    <w:p w14:paraId="4B9ECEA7">
      <w:pPr>
        <w:pageBreakBefore w:val="0"/>
        <w:kinsoku/>
        <w:wordWrap/>
        <w:overflowPunct/>
        <w:topLinePunct w:val="0"/>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3.3.2 澄清、说明和补正不得改变投标文件的实质性内容（算术性错误修正的除外）。投标人的书面澄清、说明和补正属于投标文件的组成部分。</w:t>
      </w:r>
    </w:p>
    <w:p w14:paraId="692A1DB1">
      <w:pPr>
        <w:pageBreakBefore w:val="0"/>
        <w:kinsoku/>
        <w:wordWrap/>
        <w:overflowPunct/>
        <w:topLinePunct w:val="0"/>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3.3.3 评标委员会对投标人提交的澄清、说明或补正有疑问的，可以要求投标人进一步澄清、说明或补正，直至满足评标委员会的要求。</w:t>
      </w:r>
    </w:p>
    <w:p w14:paraId="66863D3F">
      <w:pPr>
        <w:pageBreakBefore w:val="0"/>
        <w:kinsoku/>
        <w:wordWrap/>
        <w:overflowPunct/>
        <w:topLinePunct w:val="0"/>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3.4 评标结果</w:t>
      </w:r>
    </w:p>
    <w:p w14:paraId="0773ED4F">
      <w:pPr>
        <w:pageBreakBefore w:val="0"/>
        <w:kinsoku/>
        <w:wordWrap/>
        <w:overflowPunct/>
        <w:topLinePunct w:val="0"/>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3.4.1评标委员会完成评标后，应当向</w:t>
      </w:r>
      <w:r>
        <w:rPr>
          <w:rFonts w:hint="eastAsia" w:ascii="仿宋" w:hAnsi="仿宋" w:eastAsia="仿宋" w:cs="仿宋"/>
          <w:color w:val="auto"/>
          <w:sz w:val="21"/>
          <w:szCs w:val="21"/>
          <w:highlight w:val="none"/>
          <w:lang w:eastAsia="zh-CN"/>
        </w:rPr>
        <w:t>采购人</w:t>
      </w:r>
      <w:r>
        <w:rPr>
          <w:rFonts w:hint="eastAsia" w:ascii="仿宋" w:hAnsi="仿宋" w:eastAsia="仿宋" w:cs="仿宋"/>
          <w:color w:val="auto"/>
          <w:sz w:val="21"/>
          <w:szCs w:val="21"/>
          <w:highlight w:val="none"/>
        </w:rPr>
        <w:t>提交书面评标报告。</w:t>
      </w:r>
    </w:p>
    <w:p w14:paraId="1A02C05C">
      <w:pPr>
        <w:pageBreakBefore w:val="0"/>
        <w:kinsoku/>
        <w:wordWrap/>
        <w:overflowPunct/>
        <w:topLinePunct w:val="0"/>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3.4.2评标结果同时在</w:t>
      </w:r>
      <w:r>
        <w:rPr>
          <w:rFonts w:hint="eastAsia" w:ascii="仿宋" w:hAnsi="仿宋" w:eastAsia="仿宋" w:cs="仿宋"/>
          <w:color w:val="auto"/>
          <w:sz w:val="21"/>
          <w:szCs w:val="21"/>
          <w:highlight w:val="none"/>
          <w:lang w:val="en-US" w:eastAsia="zh-CN"/>
        </w:rPr>
        <w:t>招标公告公示的网站</w:t>
      </w:r>
      <w:r>
        <w:rPr>
          <w:rFonts w:hint="eastAsia" w:ascii="仿宋" w:hAnsi="仿宋" w:eastAsia="仿宋" w:cs="仿宋"/>
          <w:color w:val="auto"/>
          <w:sz w:val="21"/>
          <w:szCs w:val="21"/>
          <w:highlight w:val="none"/>
        </w:rPr>
        <w:t>公示。</w:t>
      </w:r>
      <w:bookmarkStart w:id="92" w:name="_Toc381964644"/>
      <w:bookmarkStart w:id="93" w:name="_Toc376964946"/>
      <w:bookmarkStart w:id="94" w:name="_Toc381964736"/>
      <w:bookmarkStart w:id="95" w:name="_Toc30991"/>
    </w:p>
    <w:p w14:paraId="1FD8C16C">
      <w:pPr>
        <w:pStyle w:val="5"/>
        <w:pageBreakBefore w:val="0"/>
        <w:kinsoku/>
        <w:wordWrap/>
        <w:overflowPunct/>
        <w:topLinePunct w:val="0"/>
        <w:bidi w:val="0"/>
        <w:spacing w:line="400" w:lineRule="exact"/>
        <w:outlineLvl w:val="9"/>
        <w:rPr>
          <w:rFonts w:hint="eastAsia" w:ascii="仿宋" w:hAnsi="仿宋" w:eastAsia="仿宋" w:cs="仿宋"/>
          <w:color w:val="auto"/>
          <w:sz w:val="21"/>
          <w:szCs w:val="21"/>
          <w:highlight w:val="none"/>
        </w:rPr>
      </w:pPr>
    </w:p>
    <w:bookmarkEnd w:id="92"/>
    <w:bookmarkEnd w:id="93"/>
    <w:bookmarkEnd w:id="94"/>
    <w:bookmarkEnd w:id="95"/>
    <w:p w14:paraId="5BA5D49C">
      <w:pPr>
        <w:pageBreakBefore w:val="0"/>
        <w:kinsoku/>
        <w:wordWrap/>
        <w:overflowPunct/>
        <w:topLinePunct w:val="0"/>
        <w:bidi w:val="0"/>
        <w:spacing w:line="400" w:lineRule="exact"/>
        <w:outlineLvl w:val="9"/>
        <w:rPr>
          <w:rFonts w:hint="eastAsia" w:ascii="仿宋" w:hAnsi="仿宋" w:eastAsia="仿宋" w:cs="仿宋"/>
          <w:color w:val="auto"/>
          <w:sz w:val="21"/>
          <w:szCs w:val="21"/>
          <w:highlight w:val="none"/>
        </w:rPr>
        <w:sectPr>
          <w:pgSz w:w="11905" w:h="16838"/>
          <w:pgMar w:top="1417" w:right="1417" w:bottom="1417" w:left="1417" w:header="850" w:footer="850" w:gutter="0"/>
          <w:pgNumType w:fmt="numberInDash"/>
          <w:cols w:space="0" w:num="1"/>
          <w:rtlGutter w:val="0"/>
          <w:docGrid w:type="lines" w:linePitch="412" w:charSpace="0"/>
        </w:sectPr>
      </w:pPr>
      <w:bookmarkStart w:id="96" w:name="_Toc268"/>
      <w:bookmarkEnd w:id="96"/>
    </w:p>
    <w:p w14:paraId="575169B0">
      <w:pPr>
        <w:pageBreakBefore w:val="0"/>
        <w:kinsoku/>
        <w:wordWrap/>
        <w:overflowPunct/>
        <w:topLinePunct w:val="0"/>
        <w:bidi w:val="0"/>
        <w:spacing w:line="400" w:lineRule="exac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附件：废标条件</w:t>
      </w:r>
    </w:p>
    <w:p w14:paraId="54E3CA8C">
      <w:pPr>
        <w:pageBreakBefore w:val="0"/>
        <w:kinsoku/>
        <w:wordWrap/>
        <w:overflowPunct/>
        <w:topLinePunct w:val="0"/>
        <w:bidi w:val="0"/>
        <w:spacing w:line="400" w:lineRule="exact"/>
        <w:ind w:firstLine="422" w:firstLineChars="200"/>
        <w:jc w:val="center"/>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废标条件</w:t>
      </w:r>
    </w:p>
    <w:p w14:paraId="560C0FAC">
      <w:pPr>
        <w:pageBreakBefore w:val="0"/>
        <w:kinsoku/>
        <w:wordWrap/>
        <w:overflowPunct/>
        <w:topLinePunct w:val="0"/>
        <w:bidi w:val="0"/>
        <w:spacing w:line="400" w:lineRule="exact"/>
        <w:ind w:firstLine="422" w:firstLineChars="200"/>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本附件所集中列示的废标条件，是本章“评标办法”的组成部分，是对第二章“投标人须知”和本章正文部分所规定的废标条件的总结和补充，如果出现相互矛盾的情况，以第二章“投标人须知”和本章正文部分的规定为准。</w:t>
      </w:r>
    </w:p>
    <w:p w14:paraId="6EBC9470">
      <w:pPr>
        <w:pageBreakBefore w:val="0"/>
        <w:kinsoku/>
        <w:wordWrap/>
        <w:overflowPunct/>
        <w:topLinePunct w:val="0"/>
        <w:bidi w:val="0"/>
        <w:spacing w:line="400" w:lineRule="exact"/>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1.未通过第三章评标办法</w:t>
      </w:r>
      <w:r>
        <w:rPr>
          <w:rFonts w:hint="eastAsia" w:ascii="仿宋" w:hAnsi="仿宋" w:eastAsia="仿宋" w:cs="仿宋"/>
          <w:b/>
          <w:color w:val="auto"/>
          <w:sz w:val="21"/>
          <w:szCs w:val="21"/>
          <w:highlight w:val="none"/>
          <w:lang w:eastAsia="zh-CN"/>
        </w:rPr>
        <w:t>资格评审、符合性评审的</w:t>
      </w:r>
      <w:r>
        <w:rPr>
          <w:rFonts w:hint="eastAsia" w:ascii="仿宋" w:hAnsi="仿宋" w:eastAsia="仿宋" w:cs="仿宋"/>
          <w:b/>
          <w:color w:val="auto"/>
          <w:sz w:val="21"/>
          <w:szCs w:val="21"/>
          <w:highlight w:val="none"/>
        </w:rPr>
        <w:t xml:space="preserve">； </w:t>
      </w:r>
    </w:p>
    <w:p w14:paraId="7AC29BBE">
      <w:pPr>
        <w:pageBreakBefore w:val="0"/>
        <w:kinsoku/>
        <w:wordWrap/>
        <w:overflowPunct/>
        <w:topLinePunct w:val="0"/>
        <w:bidi w:val="0"/>
        <w:spacing w:line="400" w:lineRule="exact"/>
        <w:ind w:firstLine="211" w:firstLineChars="100"/>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 xml:space="preserve">  </w:t>
      </w:r>
      <w:r>
        <w:rPr>
          <w:rFonts w:hint="eastAsia" w:ascii="仿宋" w:hAnsi="仿宋" w:eastAsia="仿宋" w:cs="仿宋"/>
          <w:b/>
          <w:color w:val="auto"/>
          <w:sz w:val="21"/>
          <w:szCs w:val="21"/>
          <w:highlight w:val="none"/>
          <w:lang w:val="en-US" w:eastAsia="zh-CN"/>
        </w:rPr>
        <w:t>2</w:t>
      </w:r>
      <w:r>
        <w:rPr>
          <w:rFonts w:hint="eastAsia" w:ascii="仿宋" w:hAnsi="仿宋" w:eastAsia="仿宋" w:cs="仿宋"/>
          <w:b/>
          <w:color w:val="auto"/>
          <w:sz w:val="21"/>
          <w:szCs w:val="21"/>
          <w:highlight w:val="none"/>
        </w:rPr>
        <w:t>.不按评标委员会要求澄清、说明或补正的；</w:t>
      </w:r>
    </w:p>
    <w:p w14:paraId="349535A7">
      <w:pPr>
        <w:pageBreakBefore w:val="0"/>
        <w:kinsoku/>
        <w:wordWrap/>
        <w:overflowPunct/>
        <w:topLinePunct w:val="0"/>
        <w:bidi w:val="0"/>
        <w:spacing w:line="400" w:lineRule="exact"/>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lang w:val="en-US" w:eastAsia="zh-CN"/>
        </w:rPr>
        <w:t>3</w:t>
      </w:r>
      <w:r>
        <w:rPr>
          <w:rFonts w:hint="eastAsia" w:ascii="仿宋" w:hAnsi="仿宋" w:eastAsia="仿宋" w:cs="仿宋"/>
          <w:b/>
          <w:color w:val="auto"/>
          <w:sz w:val="21"/>
          <w:szCs w:val="21"/>
          <w:highlight w:val="none"/>
        </w:rPr>
        <w:t>.投标报价有算术性错误，投标人不接受修正价格的；</w:t>
      </w:r>
    </w:p>
    <w:p w14:paraId="6C5EF357">
      <w:pPr>
        <w:pageBreakBefore w:val="0"/>
        <w:kinsoku/>
        <w:wordWrap/>
        <w:overflowPunct/>
        <w:topLinePunct w:val="0"/>
        <w:bidi w:val="0"/>
        <w:spacing w:line="400" w:lineRule="exact"/>
        <w:ind w:firstLine="422" w:firstLineChars="200"/>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lang w:val="en-US" w:eastAsia="zh-CN"/>
        </w:rPr>
        <w:t>4</w:t>
      </w:r>
      <w:r>
        <w:rPr>
          <w:rFonts w:hint="eastAsia" w:ascii="仿宋" w:hAnsi="仿宋" w:eastAsia="仿宋" w:cs="仿宋"/>
          <w:b/>
          <w:color w:val="auto"/>
          <w:sz w:val="21"/>
          <w:szCs w:val="21"/>
          <w:highlight w:val="none"/>
        </w:rPr>
        <w:t>.以他人的名义投标、以行贿手段谋取中标或者以其他弄虚作假方式投标的；</w:t>
      </w:r>
    </w:p>
    <w:p w14:paraId="3BB3C801">
      <w:pPr>
        <w:pageBreakBefore w:val="0"/>
        <w:kinsoku/>
        <w:wordWrap/>
        <w:overflowPunct/>
        <w:topLinePunct w:val="0"/>
        <w:bidi w:val="0"/>
        <w:spacing w:line="400" w:lineRule="exact"/>
        <w:ind w:firstLine="422" w:firstLineChars="200"/>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lang w:val="en-US" w:eastAsia="zh-CN"/>
        </w:rPr>
        <w:t>5</w:t>
      </w:r>
      <w:r>
        <w:rPr>
          <w:rFonts w:hint="eastAsia" w:ascii="仿宋" w:hAnsi="仿宋" w:eastAsia="仿宋" w:cs="仿宋"/>
          <w:b/>
          <w:color w:val="auto"/>
          <w:sz w:val="21"/>
          <w:szCs w:val="21"/>
          <w:highlight w:val="none"/>
        </w:rPr>
        <w:t>.属于串（围）标行为的；</w:t>
      </w:r>
    </w:p>
    <w:p w14:paraId="26E38B48">
      <w:pPr>
        <w:pageBreakBefore w:val="0"/>
        <w:kinsoku/>
        <w:wordWrap/>
        <w:overflowPunct/>
        <w:topLinePunct w:val="0"/>
        <w:bidi w:val="0"/>
        <w:spacing w:line="400" w:lineRule="exact"/>
        <w:ind w:firstLine="422" w:firstLineChars="200"/>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lang w:val="en-US" w:eastAsia="zh-CN"/>
        </w:rPr>
        <w:t>6</w:t>
      </w:r>
      <w:r>
        <w:rPr>
          <w:rFonts w:hint="eastAsia" w:ascii="仿宋" w:hAnsi="仿宋" w:eastAsia="仿宋" w:cs="仿宋"/>
          <w:b/>
          <w:color w:val="auto"/>
          <w:sz w:val="21"/>
          <w:szCs w:val="21"/>
          <w:highlight w:val="none"/>
        </w:rPr>
        <w:t>.评标委员会认定投标人以低于成本报价竞标的；</w:t>
      </w:r>
    </w:p>
    <w:p w14:paraId="7C8FFAE3">
      <w:pPr>
        <w:pageBreakBefore w:val="0"/>
        <w:kinsoku/>
        <w:wordWrap/>
        <w:overflowPunct/>
        <w:topLinePunct w:val="0"/>
        <w:bidi w:val="0"/>
        <w:spacing w:line="400" w:lineRule="exact"/>
        <w:ind w:firstLine="422" w:firstLineChars="200"/>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lang w:val="en-US" w:eastAsia="zh-CN"/>
        </w:rPr>
        <w:t>7</w:t>
      </w:r>
      <w:r>
        <w:rPr>
          <w:rFonts w:hint="eastAsia" w:ascii="仿宋" w:hAnsi="仿宋" w:eastAsia="仿宋" w:cs="仿宋"/>
          <w:b/>
          <w:color w:val="auto"/>
          <w:sz w:val="21"/>
          <w:szCs w:val="21"/>
          <w:highlight w:val="none"/>
        </w:rPr>
        <w:t>．明显不符合技术规格、技术标准的要求；</w:t>
      </w:r>
    </w:p>
    <w:p w14:paraId="3C466252">
      <w:pPr>
        <w:pageBreakBefore w:val="0"/>
        <w:kinsoku/>
        <w:wordWrap/>
        <w:overflowPunct/>
        <w:topLinePunct w:val="0"/>
        <w:bidi w:val="0"/>
        <w:spacing w:line="400" w:lineRule="exact"/>
        <w:ind w:firstLine="422" w:firstLineChars="200"/>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lang w:val="en-US" w:eastAsia="zh-CN"/>
        </w:rPr>
        <w:t>8</w:t>
      </w:r>
      <w:r>
        <w:rPr>
          <w:rFonts w:hint="eastAsia" w:ascii="仿宋" w:hAnsi="仿宋" w:eastAsia="仿宋" w:cs="仿宋"/>
          <w:b/>
          <w:color w:val="auto"/>
          <w:sz w:val="21"/>
          <w:szCs w:val="21"/>
          <w:highlight w:val="none"/>
        </w:rPr>
        <w:t>.不具备招标文件中规定的资格要求的；</w:t>
      </w:r>
    </w:p>
    <w:p w14:paraId="0133ECD4">
      <w:pPr>
        <w:pageBreakBefore w:val="0"/>
        <w:kinsoku/>
        <w:wordWrap/>
        <w:overflowPunct/>
        <w:topLinePunct w:val="0"/>
        <w:bidi w:val="0"/>
        <w:spacing w:line="400" w:lineRule="exact"/>
        <w:ind w:firstLine="211" w:firstLineChars="100"/>
        <w:outlineLvl w:val="9"/>
        <w:rPr>
          <w:rFonts w:hint="eastAsia" w:ascii="仿宋" w:hAnsi="仿宋" w:eastAsia="仿宋" w:cs="仿宋"/>
          <w:b/>
          <w:color w:val="auto"/>
          <w:sz w:val="21"/>
          <w:szCs w:val="21"/>
          <w:highlight w:val="none"/>
          <w:lang w:val="en-US" w:eastAsia="zh-CN"/>
        </w:rPr>
      </w:pPr>
      <w:r>
        <w:rPr>
          <w:rFonts w:hint="eastAsia" w:ascii="仿宋" w:hAnsi="仿宋" w:eastAsia="仿宋" w:cs="仿宋"/>
          <w:b/>
          <w:color w:val="auto"/>
          <w:sz w:val="21"/>
          <w:szCs w:val="21"/>
          <w:highlight w:val="none"/>
          <w:lang w:val="en-US" w:eastAsia="zh-CN"/>
        </w:rPr>
        <w:t xml:space="preserve">  9.文件制作机器码、文件创建标识码有相同的；</w:t>
      </w:r>
    </w:p>
    <w:p w14:paraId="6A376972">
      <w:pPr>
        <w:pageBreakBefore w:val="0"/>
        <w:kinsoku/>
        <w:wordWrap/>
        <w:overflowPunct/>
        <w:topLinePunct w:val="0"/>
        <w:bidi w:val="0"/>
        <w:spacing w:line="400" w:lineRule="exact"/>
        <w:ind w:firstLine="422" w:firstLineChars="200"/>
        <w:jc w:val="left"/>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1"/>
          <w:szCs w:val="21"/>
          <w:highlight w:val="none"/>
        </w:rPr>
        <w:t>10．不符合招标文件规定的其他实质性要求及相关法律、法规或规章规定可以废标的其他情形。</w:t>
      </w:r>
    </w:p>
    <w:p w14:paraId="02B26ACC">
      <w:pPr>
        <w:keepNext w:val="0"/>
        <w:keepLines w:val="0"/>
        <w:pageBreakBefore w:val="0"/>
        <w:widowControl w:val="0"/>
        <w:kinsoku/>
        <w:wordWrap w:val="0"/>
        <w:overflowPunct/>
        <w:bidi w:val="0"/>
        <w:spacing w:line="312" w:lineRule="auto"/>
        <w:ind w:firstLine="422" w:firstLineChars="200"/>
        <w:outlineLvl w:val="9"/>
        <w:rPr>
          <w:rFonts w:hint="eastAsia" w:ascii="仿宋" w:hAnsi="仿宋" w:eastAsia="仿宋" w:cs="仿宋"/>
          <w:b/>
          <w:bCs/>
          <w:color w:val="auto"/>
          <w:szCs w:val="21"/>
          <w:highlight w:val="none"/>
        </w:rPr>
      </w:pPr>
      <w:r>
        <w:rPr>
          <w:rFonts w:hint="eastAsia" w:ascii="仿宋" w:hAnsi="仿宋" w:eastAsia="仿宋" w:cs="仿宋"/>
          <w:b/>
          <w:bCs/>
          <w:color w:val="auto"/>
          <w:szCs w:val="21"/>
          <w:highlight w:val="none"/>
          <w:lang w:val="en-US" w:eastAsia="zh-CN"/>
        </w:rPr>
        <w:t>11</w:t>
      </w:r>
      <w:r>
        <w:rPr>
          <w:rFonts w:hint="eastAsia" w:ascii="仿宋" w:hAnsi="仿宋" w:eastAsia="仿宋" w:cs="仿宋"/>
          <w:b/>
          <w:bCs/>
          <w:color w:val="auto"/>
          <w:szCs w:val="21"/>
          <w:highlight w:val="none"/>
        </w:rPr>
        <w:t>、投标文件中所提供的图片、截图等模糊不清，难以辨认的；</w:t>
      </w:r>
    </w:p>
    <w:p w14:paraId="72B689F9">
      <w:pPr>
        <w:pageBreakBefore w:val="0"/>
        <w:kinsoku/>
        <w:wordWrap/>
        <w:overflowPunct/>
        <w:topLinePunct w:val="0"/>
        <w:bidi w:val="0"/>
        <w:spacing w:line="400" w:lineRule="exact"/>
        <w:ind w:firstLine="422" w:firstLineChars="200"/>
        <w:jc w:val="both"/>
        <w:outlineLvl w:val="9"/>
        <w:rPr>
          <w:rFonts w:hint="eastAsia" w:ascii="仿宋" w:hAnsi="仿宋" w:eastAsia="仿宋" w:cs="仿宋"/>
          <w:b/>
          <w:color w:val="auto"/>
          <w:sz w:val="21"/>
          <w:szCs w:val="21"/>
          <w:highlight w:val="none"/>
        </w:rPr>
      </w:pPr>
    </w:p>
    <w:p w14:paraId="47B79BD0">
      <w:pPr>
        <w:pageBreakBefore w:val="0"/>
        <w:kinsoku/>
        <w:wordWrap/>
        <w:overflowPunct/>
        <w:topLinePunct w:val="0"/>
        <w:bidi w:val="0"/>
        <w:spacing w:line="400" w:lineRule="exact"/>
        <w:ind w:firstLine="422" w:firstLineChars="200"/>
        <w:jc w:val="both"/>
        <w:outlineLvl w:val="9"/>
        <w:rPr>
          <w:rFonts w:hint="eastAsia" w:ascii="仿宋" w:hAnsi="仿宋" w:eastAsia="仿宋" w:cs="仿宋"/>
          <w:b/>
          <w:color w:val="auto"/>
          <w:sz w:val="21"/>
          <w:szCs w:val="21"/>
          <w:highlight w:val="none"/>
          <w:lang w:val="en-US" w:eastAsia="zh-CN"/>
        </w:rPr>
      </w:pPr>
      <w:r>
        <w:rPr>
          <w:rFonts w:hint="eastAsia" w:ascii="仿宋" w:hAnsi="仿宋" w:eastAsia="仿宋" w:cs="仿宋"/>
          <w:b/>
          <w:bCs/>
          <w:color w:val="auto"/>
          <w:highlight w:val="none"/>
        </w:rPr>
        <w:t>备注：按照《信阳市财政局关于印发信阳市政府采购行为规范的通知》（信财购〔2018〕2号）第五十八条“对于投标文件中非实质性响应条款或不影响采购项目实质性履行的投标文件缺陷，经过采购人认定不影响项目实施的，可以澄清后继续评审的，评审专家不得随意废标。”，采购人和代理机构认为不影响实质性响应和公平公正的，可以要求评审小组对该项目继续评审，并由采购人和代理机构做好相关事实、依据记录，采购人和代理机构对继续评审的决定负责</w:t>
      </w:r>
      <w:r>
        <w:rPr>
          <w:rFonts w:hint="eastAsia" w:ascii="仿宋" w:hAnsi="仿宋" w:eastAsia="仿宋" w:cs="仿宋"/>
          <w:b/>
          <w:color w:val="auto"/>
          <w:sz w:val="21"/>
          <w:szCs w:val="21"/>
          <w:highlight w:val="none"/>
        </w:rPr>
        <w:br w:type="page"/>
      </w:r>
      <w:r>
        <w:rPr>
          <w:rFonts w:hint="eastAsia" w:ascii="仿宋" w:hAnsi="仿宋" w:eastAsia="仿宋" w:cs="仿宋"/>
          <w:b/>
          <w:color w:val="auto"/>
          <w:sz w:val="21"/>
          <w:szCs w:val="21"/>
          <w:highlight w:val="none"/>
          <w:lang w:val="en-US" w:eastAsia="zh-CN"/>
        </w:rPr>
        <w:t xml:space="preserve">          </w:t>
      </w:r>
    </w:p>
    <w:p w14:paraId="5866D0D5">
      <w:pPr>
        <w:pageBreakBefore w:val="0"/>
        <w:kinsoku/>
        <w:wordWrap/>
        <w:overflowPunct/>
        <w:topLinePunct w:val="0"/>
        <w:bidi w:val="0"/>
        <w:spacing w:line="400" w:lineRule="exact"/>
        <w:ind w:firstLine="2168" w:firstLineChars="600"/>
        <w:jc w:val="both"/>
        <w:outlineLvl w:val="0"/>
        <w:rPr>
          <w:rFonts w:hint="eastAsia" w:ascii="仿宋" w:hAnsi="仿宋" w:eastAsia="仿宋" w:cs="仿宋"/>
          <w:b/>
          <w:bCs/>
          <w:color w:val="auto"/>
          <w:kern w:val="0"/>
          <w:szCs w:val="32"/>
          <w:highlight w:val="none"/>
          <w:lang w:eastAsia="zh-CN"/>
        </w:rPr>
      </w:pPr>
      <w:bookmarkStart w:id="97" w:name="_Toc21613"/>
      <w:bookmarkStart w:id="98" w:name="_Toc21223"/>
      <w:r>
        <w:rPr>
          <w:rFonts w:hint="eastAsia" w:ascii="仿宋" w:hAnsi="仿宋" w:eastAsia="仿宋" w:cs="仿宋"/>
          <w:b/>
          <w:color w:val="auto"/>
          <w:kern w:val="2"/>
          <w:sz w:val="36"/>
          <w:szCs w:val="36"/>
          <w:highlight w:val="none"/>
          <w:lang w:val="en-US" w:eastAsia="zh-CN" w:bidi="ar-SA"/>
        </w:rPr>
        <w:t>第四章 合同主要条款及格式</w:t>
      </w:r>
      <w:bookmarkEnd w:id="97"/>
      <w:bookmarkEnd w:id="98"/>
    </w:p>
    <w:p w14:paraId="4A88C6BE">
      <w:pPr>
        <w:autoSpaceDE w:val="0"/>
        <w:autoSpaceDN w:val="0"/>
        <w:bidi w:val="0"/>
        <w:adjustRightInd w:val="0"/>
        <w:spacing w:line="360" w:lineRule="auto"/>
        <w:jc w:val="center"/>
        <w:outlineLvl w:val="9"/>
        <w:rPr>
          <w:rFonts w:hint="eastAsia" w:ascii="仿宋" w:hAnsi="仿宋" w:eastAsia="仿宋" w:cs="仿宋"/>
          <w:color w:val="auto"/>
          <w:kern w:val="0"/>
          <w:sz w:val="21"/>
          <w:szCs w:val="21"/>
          <w:highlight w:val="none"/>
        </w:rPr>
      </w:pPr>
    </w:p>
    <w:p w14:paraId="7B5FCF93">
      <w:pPr>
        <w:outlineLvl w:val="9"/>
        <w:rPr>
          <w:rFonts w:hint="eastAsia" w:ascii="仿宋" w:hAnsi="仿宋" w:eastAsia="仿宋" w:cs="仿宋"/>
          <w:b/>
          <w:bCs/>
          <w:color w:val="auto"/>
          <w:sz w:val="72"/>
          <w:szCs w:val="144"/>
          <w:highlight w:val="none"/>
          <w:lang w:val="en-US" w:eastAsia="zh-CN"/>
        </w:rPr>
      </w:pPr>
    </w:p>
    <w:p w14:paraId="3E9F73C0">
      <w:pPr>
        <w:outlineLvl w:val="9"/>
        <w:rPr>
          <w:rFonts w:hint="eastAsia" w:ascii="仿宋" w:hAnsi="仿宋" w:eastAsia="仿宋" w:cs="仿宋"/>
          <w:b/>
          <w:bCs/>
          <w:color w:val="auto"/>
          <w:sz w:val="72"/>
          <w:szCs w:val="144"/>
          <w:highlight w:val="none"/>
          <w:lang w:val="en-US" w:eastAsia="zh-CN"/>
        </w:rPr>
      </w:pPr>
    </w:p>
    <w:p w14:paraId="77511792">
      <w:pPr>
        <w:jc w:val="center"/>
        <w:outlineLvl w:val="9"/>
        <w:rPr>
          <w:rFonts w:hint="eastAsia" w:ascii="仿宋" w:hAnsi="仿宋" w:eastAsia="仿宋" w:cs="仿宋"/>
          <w:b w:val="0"/>
          <w:bCs w:val="0"/>
          <w:color w:val="auto"/>
          <w:sz w:val="72"/>
          <w:szCs w:val="144"/>
          <w:highlight w:val="none"/>
          <w:lang w:val="en-US" w:eastAsia="zh-CN"/>
        </w:rPr>
      </w:pPr>
      <w:r>
        <w:rPr>
          <w:rFonts w:hint="eastAsia" w:ascii="仿宋" w:hAnsi="仿宋" w:eastAsia="仿宋" w:cs="仿宋"/>
          <w:b w:val="0"/>
          <w:bCs w:val="0"/>
          <w:color w:val="auto"/>
          <w:sz w:val="44"/>
          <w:szCs w:val="44"/>
          <w:highlight w:val="none"/>
          <w:lang w:val="en-US" w:eastAsia="zh-CN"/>
        </w:rPr>
        <w:t>政府采购合同</w:t>
      </w:r>
    </w:p>
    <w:p w14:paraId="5C6D3B15">
      <w:pPr>
        <w:jc w:val="center"/>
        <w:outlineLvl w:val="9"/>
        <w:rPr>
          <w:rFonts w:hint="eastAsia" w:ascii="仿宋" w:hAnsi="仿宋" w:eastAsia="仿宋" w:cs="仿宋"/>
          <w:b/>
          <w:bCs/>
          <w:color w:val="auto"/>
          <w:sz w:val="72"/>
          <w:szCs w:val="144"/>
          <w:highlight w:val="none"/>
          <w:lang w:val="en-US" w:eastAsia="zh-CN"/>
        </w:rPr>
      </w:pPr>
    </w:p>
    <w:p w14:paraId="4469924B">
      <w:pPr>
        <w:jc w:val="center"/>
        <w:outlineLvl w:val="9"/>
        <w:rPr>
          <w:rFonts w:hint="eastAsia" w:ascii="仿宋" w:hAnsi="仿宋" w:eastAsia="仿宋" w:cs="仿宋"/>
          <w:b/>
          <w:bCs/>
          <w:color w:val="auto"/>
          <w:sz w:val="72"/>
          <w:szCs w:val="144"/>
          <w:highlight w:val="none"/>
          <w:lang w:val="en-US" w:eastAsia="zh-CN"/>
        </w:rPr>
      </w:pPr>
    </w:p>
    <w:p w14:paraId="2A7C6230">
      <w:pPr>
        <w:outlineLvl w:val="9"/>
        <w:rPr>
          <w:rFonts w:hint="eastAsia" w:ascii="仿宋" w:hAnsi="仿宋" w:eastAsia="仿宋" w:cs="仿宋"/>
          <w:b/>
          <w:bCs/>
          <w:color w:val="auto"/>
          <w:sz w:val="72"/>
          <w:szCs w:val="144"/>
          <w:highlight w:val="none"/>
          <w:lang w:val="en-US" w:eastAsia="zh-CN"/>
        </w:rPr>
      </w:pPr>
    </w:p>
    <w:p w14:paraId="148849F6">
      <w:pPr>
        <w:outlineLvl w:val="9"/>
        <w:rPr>
          <w:rFonts w:hint="eastAsia" w:ascii="仿宋" w:hAnsi="仿宋" w:eastAsia="仿宋" w:cs="仿宋"/>
          <w:b w:val="0"/>
          <w:bCs w:val="0"/>
          <w:color w:val="auto"/>
          <w:sz w:val="32"/>
          <w:szCs w:val="40"/>
          <w:highlight w:val="none"/>
          <w:u w:val="single"/>
          <w:lang w:val="en-US" w:eastAsia="zh-CN"/>
        </w:rPr>
      </w:pPr>
      <w:r>
        <w:rPr>
          <w:rFonts w:hint="eastAsia" w:ascii="仿宋" w:hAnsi="仿宋" w:eastAsia="仿宋" w:cs="仿宋"/>
          <w:b w:val="0"/>
          <w:bCs w:val="0"/>
          <w:color w:val="auto"/>
          <w:sz w:val="32"/>
          <w:szCs w:val="40"/>
          <w:highlight w:val="none"/>
          <w:lang w:val="en-US" w:eastAsia="zh-CN"/>
        </w:rPr>
        <w:t>项目名称：</w:t>
      </w:r>
      <w:r>
        <w:rPr>
          <w:rFonts w:hint="eastAsia" w:ascii="仿宋" w:hAnsi="仿宋" w:eastAsia="仿宋" w:cs="仿宋"/>
          <w:b w:val="0"/>
          <w:bCs w:val="0"/>
          <w:color w:val="auto"/>
          <w:sz w:val="32"/>
          <w:szCs w:val="40"/>
          <w:highlight w:val="none"/>
          <w:u w:val="single"/>
          <w:lang w:val="en-US" w:eastAsia="zh-CN"/>
        </w:rPr>
        <w:t xml:space="preserve">                                          </w:t>
      </w:r>
    </w:p>
    <w:p w14:paraId="6583A314">
      <w:pPr>
        <w:outlineLvl w:val="9"/>
        <w:rPr>
          <w:rFonts w:hint="eastAsia" w:ascii="仿宋" w:hAnsi="仿宋" w:eastAsia="仿宋" w:cs="仿宋"/>
          <w:b w:val="0"/>
          <w:bCs w:val="0"/>
          <w:color w:val="auto"/>
          <w:sz w:val="32"/>
          <w:szCs w:val="40"/>
          <w:highlight w:val="none"/>
          <w:u w:val="none"/>
          <w:lang w:val="en-US" w:eastAsia="zh-CN"/>
        </w:rPr>
      </w:pPr>
      <w:r>
        <w:rPr>
          <w:rFonts w:hint="eastAsia" w:ascii="仿宋" w:hAnsi="仿宋" w:eastAsia="仿宋" w:cs="仿宋"/>
          <w:b w:val="0"/>
          <w:bCs w:val="0"/>
          <w:color w:val="auto"/>
          <w:sz w:val="32"/>
          <w:szCs w:val="40"/>
          <w:highlight w:val="none"/>
          <w:u w:val="none"/>
          <w:lang w:val="en-US" w:eastAsia="zh-CN"/>
        </w:rPr>
        <w:t>招标采购文件编号：</w:t>
      </w:r>
      <w:r>
        <w:rPr>
          <w:rFonts w:hint="eastAsia" w:ascii="仿宋" w:hAnsi="仿宋" w:eastAsia="仿宋" w:cs="仿宋"/>
          <w:b w:val="0"/>
          <w:bCs w:val="0"/>
          <w:color w:val="auto"/>
          <w:sz w:val="32"/>
          <w:szCs w:val="40"/>
          <w:highlight w:val="none"/>
          <w:u w:val="single"/>
          <w:lang w:val="en-US" w:eastAsia="zh-CN"/>
        </w:rPr>
        <w:t xml:space="preserve">                                  </w:t>
      </w:r>
    </w:p>
    <w:p w14:paraId="3ABCC566">
      <w:pPr>
        <w:outlineLvl w:val="9"/>
        <w:rPr>
          <w:rFonts w:hint="eastAsia" w:ascii="仿宋" w:hAnsi="仿宋" w:eastAsia="仿宋" w:cs="仿宋"/>
          <w:b w:val="0"/>
          <w:bCs w:val="0"/>
          <w:color w:val="auto"/>
          <w:sz w:val="32"/>
          <w:szCs w:val="40"/>
          <w:highlight w:val="none"/>
          <w:u w:val="none"/>
          <w:lang w:val="en-US" w:eastAsia="zh-CN"/>
        </w:rPr>
      </w:pPr>
      <w:r>
        <w:rPr>
          <w:rFonts w:hint="eastAsia" w:ascii="仿宋" w:hAnsi="仿宋" w:eastAsia="仿宋" w:cs="仿宋"/>
          <w:b w:val="0"/>
          <w:bCs w:val="0"/>
          <w:color w:val="auto"/>
          <w:sz w:val="32"/>
          <w:szCs w:val="40"/>
          <w:highlight w:val="none"/>
          <w:u w:val="none"/>
          <w:lang w:val="en-US" w:eastAsia="zh-CN"/>
        </w:rPr>
        <w:t>甲方合同编号：</w:t>
      </w:r>
      <w:r>
        <w:rPr>
          <w:rFonts w:hint="eastAsia" w:ascii="仿宋" w:hAnsi="仿宋" w:eastAsia="仿宋" w:cs="仿宋"/>
          <w:b w:val="0"/>
          <w:bCs w:val="0"/>
          <w:color w:val="auto"/>
          <w:sz w:val="32"/>
          <w:szCs w:val="40"/>
          <w:highlight w:val="none"/>
          <w:u w:val="single"/>
          <w:lang w:val="en-US" w:eastAsia="zh-CN"/>
        </w:rPr>
        <w:t xml:space="preserve">                                      </w:t>
      </w:r>
    </w:p>
    <w:p w14:paraId="4A2512F0">
      <w:pPr>
        <w:outlineLvl w:val="9"/>
        <w:rPr>
          <w:rFonts w:hint="eastAsia" w:ascii="仿宋" w:hAnsi="仿宋" w:eastAsia="仿宋" w:cs="仿宋"/>
          <w:b w:val="0"/>
          <w:bCs w:val="0"/>
          <w:color w:val="auto"/>
          <w:sz w:val="32"/>
          <w:szCs w:val="40"/>
          <w:highlight w:val="none"/>
          <w:u w:val="none"/>
          <w:lang w:val="en-US" w:eastAsia="zh-CN"/>
        </w:rPr>
      </w:pPr>
      <w:r>
        <w:rPr>
          <w:rFonts w:hint="eastAsia" w:ascii="仿宋" w:hAnsi="仿宋" w:eastAsia="仿宋" w:cs="仿宋"/>
          <w:b w:val="0"/>
          <w:bCs w:val="0"/>
          <w:color w:val="auto"/>
          <w:sz w:val="32"/>
          <w:szCs w:val="40"/>
          <w:highlight w:val="none"/>
          <w:u w:val="none"/>
          <w:lang w:val="en-US" w:eastAsia="zh-CN"/>
        </w:rPr>
        <w:t>甲方：</w:t>
      </w:r>
      <w:r>
        <w:rPr>
          <w:rFonts w:hint="eastAsia" w:ascii="仿宋" w:hAnsi="仿宋" w:eastAsia="仿宋" w:cs="仿宋"/>
          <w:b w:val="0"/>
          <w:bCs w:val="0"/>
          <w:color w:val="auto"/>
          <w:sz w:val="32"/>
          <w:szCs w:val="40"/>
          <w:highlight w:val="none"/>
          <w:u w:val="single"/>
          <w:lang w:val="en-US" w:eastAsia="zh-CN"/>
        </w:rPr>
        <w:t xml:space="preserve">                                              </w:t>
      </w:r>
    </w:p>
    <w:p w14:paraId="408D6919">
      <w:pPr>
        <w:outlineLvl w:val="9"/>
        <w:rPr>
          <w:rFonts w:hint="eastAsia" w:ascii="仿宋" w:hAnsi="仿宋" w:eastAsia="仿宋" w:cs="仿宋"/>
          <w:b w:val="0"/>
          <w:bCs w:val="0"/>
          <w:color w:val="auto"/>
          <w:sz w:val="32"/>
          <w:szCs w:val="40"/>
          <w:highlight w:val="none"/>
          <w:u w:val="none"/>
          <w:lang w:val="en-US" w:eastAsia="zh-CN"/>
        </w:rPr>
      </w:pPr>
      <w:r>
        <w:rPr>
          <w:rFonts w:hint="eastAsia" w:ascii="仿宋" w:hAnsi="仿宋" w:eastAsia="仿宋" w:cs="仿宋"/>
          <w:b w:val="0"/>
          <w:bCs w:val="0"/>
          <w:color w:val="auto"/>
          <w:sz w:val="32"/>
          <w:szCs w:val="40"/>
          <w:highlight w:val="none"/>
          <w:u w:val="none"/>
          <w:lang w:val="en-US" w:eastAsia="zh-CN"/>
        </w:rPr>
        <w:t>乙方：</w:t>
      </w:r>
      <w:r>
        <w:rPr>
          <w:rFonts w:hint="eastAsia" w:ascii="仿宋" w:hAnsi="仿宋" w:eastAsia="仿宋" w:cs="仿宋"/>
          <w:b w:val="0"/>
          <w:bCs w:val="0"/>
          <w:color w:val="auto"/>
          <w:sz w:val="32"/>
          <w:szCs w:val="40"/>
          <w:highlight w:val="none"/>
          <w:u w:val="single"/>
          <w:lang w:val="en-US" w:eastAsia="zh-CN"/>
        </w:rPr>
        <w:t xml:space="preserve">                                                </w:t>
      </w:r>
    </w:p>
    <w:p w14:paraId="16724208">
      <w:pPr>
        <w:outlineLvl w:val="9"/>
        <w:rPr>
          <w:rFonts w:hint="eastAsia" w:ascii="仿宋" w:hAnsi="仿宋" w:eastAsia="仿宋" w:cs="仿宋"/>
          <w:b w:val="0"/>
          <w:bCs w:val="0"/>
          <w:color w:val="auto"/>
          <w:sz w:val="32"/>
          <w:szCs w:val="40"/>
          <w:highlight w:val="none"/>
          <w:u w:val="single"/>
          <w:lang w:val="en-US" w:eastAsia="zh-CN"/>
        </w:rPr>
      </w:pPr>
      <w:r>
        <w:rPr>
          <w:rFonts w:hint="eastAsia" w:ascii="仿宋" w:hAnsi="仿宋" w:eastAsia="仿宋" w:cs="仿宋"/>
          <w:b w:val="0"/>
          <w:bCs w:val="0"/>
          <w:color w:val="auto"/>
          <w:sz w:val="32"/>
          <w:szCs w:val="40"/>
          <w:highlight w:val="none"/>
          <w:u w:val="none"/>
          <w:lang w:val="en-US" w:eastAsia="zh-CN"/>
        </w:rPr>
        <w:t>甲方合同法律审核部门：</w:t>
      </w:r>
      <w:r>
        <w:rPr>
          <w:rFonts w:hint="eastAsia" w:ascii="仿宋" w:hAnsi="仿宋" w:eastAsia="仿宋" w:cs="仿宋"/>
          <w:b w:val="0"/>
          <w:bCs w:val="0"/>
          <w:color w:val="auto"/>
          <w:sz w:val="32"/>
          <w:szCs w:val="40"/>
          <w:highlight w:val="none"/>
          <w:u w:val="single"/>
          <w:lang w:val="en-US" w:eastAsia="zh-CN"/>
        </w:rPr>
        <w:t xml:space="preserve">                              </w:t>
      </w:r>
    </w:p>
    <w:p w14:paraId="2E1783D9">
      <w:pPr>
        <w:outlineLvl w:val="9"/>
        <w:rPr>
          <w:rFonts w:hint="eastAsia" w:ascii="仿宋" w:hAnsi="仿宋" w:eastAsia="仿宋" w:cs="仿宋"/>
          <w:b w:val="0"/>
          <w:bCs w:val="0"/>
          <w:color w:val="auto"/>
          <w:sz w:val="32"/>
          <w:szCs w:val="40"/>
          <w:highlight w:val="none"/>
          <w:u w:val="single"/>
          <w:lang w:val="en-US" w:eastAsia="zh-CN"/>
        </w:rPr>
      </w:pPr>
    </w:p>
    <w:p w14:paraId="786B9E9C">
      <w:pPr>
        <w:outlineLvl w:val="9"/>
        <w:rPr>
          <w:rFonts w:hint="eastAsia" w:ascii="仿宋" w:hAnsi="仿宋" w:eastAsia="仿宋" w:cs="仿宋"/>
          <w:b w:val="0"/>
          <w:bCs w:val="0"/>
          <w:color w:val="auto"/>
          <w:sz w:val="32"/>
          <w:szCs w:val="40"/>
          <w:highlight w:val="none"/>
          <w:u w:val="single"/>
          <w:lang w:val="en-US" w:eastAsia="zh-CN"/>
        </w:rPr>
      </w:pPr>
    </w:p>
    <w:p w14:paraId="1BB7023E">
      <w:pPr>
        <w:outlineLvl w:val="9"/>
        <w:rPr>
          <w:rFonts w:hint="eastAsia" w:ascii="仿宋" w:hAnsi="仿宋" w:eastAsia="仿宋" w:cs="仿宋"/>
          <w:b w:val="0"/>
          <w:bCs w:val="0"/>
          <w:color w:val="auto"/>
          <w:sz w:val="32"/>
          <w:szCs w:val="40"/>
          <w:highlight w:val="none"/>
          <w:u w:val="single"/>
          <w:lang w:val="en-US" w:eastAsia="zh-CN"/>
        </w:rPr>
      </w:pPr>
    </w:p>
    <w:p w14:paraId="0AC14C15">
      <w:pPr>
        <w:outlineLvl w:val="9"/>
        <w:rPr>
          <w:rFonts w:hint="eastAsia" w:ascii="仿宋" w:hAnsi="仿宋" w:eastAsia="仿宋" w:cs="仿宋"/>
          <w:b w:val="0"/>
          <w:bCs w:val="0"/>
          <w:color w:val="auto"/>
          <w:sz w:val="32"/>
          <w:szCs w:val="40"/>
          <w:highlight w:val="none"/>
          <w:u w:val="single"/>
          <w:lang w:val="en-US" w:eastAsia="zh-CN"/>
        </w:rPr>
      </w:pPr>
    </w:p>
    <w:p w14:paraId="7E2C364E">
      <w:pPr>
        <w:jc w:val="right"/>
        <w:outlineLvl w:val="9"/>
        <w:rPr>
          <w:rFonts w:hint="eastAsia" w:ascii="仿宋" w:hAnsi="仿宋" w:eastAsia="仿宋" w:cs="仿宋"/>
          <w:b w:val="0"/>
          <w:bCs w:val="0"/>
          <w:color w:val="auto"/>
          <w:sz w:val="32"/>
          <w:szCs w:val="40"/>
          <w:highlight w:val="none"/>
          <w:u w:val="none"/>
          <w:lang w:val="en-US" w:eastAsia="zh-CN"/>
        </w:rPr>
      </w:pPr>
      <w:r>
        <w:rPr>
          <w:rFonts w:hint="eastAsia" w:ascii="仿宋" w:hAnsi="仿宋" w:eastAsia="仿宋" w:cs="仿宋"/>
          <w:b w:val="0"/>
          <w:bCs w:val="0"/>
          <w:color w:val="auto"/>
          <w:sz w:val="32"/>
          <w:szCs w:val="40"/>
          <w:highlight w:val="none"/>
          <w:u w:val="none"/>
          <w:lang w:val="en-US" w:eastAsia="zh-CN"/>
        </w:rPr>
        <w:t>签订时间：      年     月      日</w:t>
      </w:r>
    </w:p>
    <w:p w14:paraId="0474CA51">
      <w:pPr>
        <w:jc w:val="right"/>
        <w:outlineLvl w:val="9"/>
        <w:rPr>
          <w:rFonts w:hint="eastAsia" w:ascii="仿宋" w:hAnsi="仿宋" w:eastAsia="仿宋" w:cs="仿宋"/>
          <w:b w:val="0"/>
          <w:bCs w:val="0"/>
          <w:color w:val="auto"/>
          <w:sz w:val="32"/>
          <w:szCs w:val="40"/>
          <w:highlight w:val="none"/>
          <w:u w:val="none"/>
          <w:lang w:val="en-US" w:eastAsia="zh-CN"/>
        </w:rPr>
      </w:pPr>
    </w:p>
    <w:p w14:paraId="1FA11949">
      <w:pPr>
        <w:jc w:val="right"/>
        <w:outlineLvl w:val="9"/>
        <w:rPr>
          <w:rFonts w:hint="eastAsia" w:ascii="仿宋" w:hAnsi="仿宋" w:eastAsia="仿宋" w:cs="仿宋"/>
          <w:b w:val="0"/>
          <w:bCs w:val="0"/>
          <w:color w:val="auto"/>
          <w:sz w:val="32"/>
          <w:szCs w:val="40"/>
          <w:highlight w:val="none"/>
          <w:u w:val="none"/>
          <w:lang w:val="en-US" w:eastAsia="zh-CN"/>
        </w:rPr>
      </w:pPr>
    </w:p>
    <w:p w14:paraId="269B7A01">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outlineLvl w:val="9"/>
        <w:rPr>
          <w:rFonts w:hint="eastAsia" w:ascii="仿宋" w:hAnsi="仿宋" w:eastAsia="仿宋" w:cs="仿宋"/>
          <w:b w:val="0"/>
          <w:bCs w:val="0"/>
          <w:color w:val="auto"/>
          <w:sz w:val="28"/>
          <w:szCs w:val="28"/>
          <w:highlight w:val="none"/>
          <w:u w:val="none"/>
          <w:lang w:val="en-US" w:eastAsia="zh-CN"/>
        </w:rPr>
        <w:sectPr>
          <w:pgSz w:w="11905" w:h="16838"/>
          <w:pgMar w:top="1417" w:right="1417" w:bottom="1417" w:left="1417" w:header="850" w:footer="850" w:gutter="0"/>
          <w:pgNumType w:fmt="numberInDash"/>
          <w:cols w:space="0" w:num="1"/>
          <w:rtlGutter w:val="0"/>
          <w:docGrid w:type="lines" w:linePitch="412" w:charSpace="0"/>
        </w:sectPr>
      </w:pPr>
    </w:p>
    <w:p w14:paraId="500DACA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（甲方）（××项目）委托（代理机构名称）进行了政府采购。按照评委会评审推荐、甲方确定乙方为中标单位。现甲乙双方协商同意签订本合同。</w:t>
      </w:r>
    </w:p>
    <w:p w14:paraId="61F00EEF">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both"/>
        <w:textAlignment w:val="auto"/>
        <w:outlineLvl w:val="9"/>
        <w:rPr>
          <w:rFonts w:hint="eastAsia" w:ascii="仿宋" w:hAnsi="仿宋" w:eastAsia="仿宋" w:cs="仿宋"/>
          <w:b/>
          <w:bCs/>
          <w:color w:val="auto"/>
          <w:sz w:val="21"/>
          <w:szCs w:val="21"/>
          <w:highlight w:val="none"/>
          <w:u w:val="none"/>
          <w:lang w:val="en-US" w:eastAsia="zh-CN"/>
        </w:rPr>
      </w:pPr>
      <w:r>
        <w:rPr>
          <w:rFonts w:hint="eastAsia" w:ascii="仿宋" w:hAnsi="仿宋" w:eastAsia="仿宋" w:cs="仿宋"/>
          <w:b/>
          <w:bCs/>
          <w:color w:val="auto"/>
          <w:sz w:val="21"/>
          <w:szCs w:val="21"/>
          <w:highlight w:val="none"/>
          <w:u w:val="none"/>
          <w:lang w:val="en-US" w:eastAsia="zh-CN"/>
        </w:rPr>
        <w:t>第一条  合同文件</w:t>
      </w:r>
    </w:p>
    <w:p w14:paraId="64F62CA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下列与本次采购活动有关的文件及附件是本合同不可分割的组成部分，与本合同具有同等法律效力，这些文件包括但不限于：</w:t>
      </w:r>
    </w:p>
    <w:p w14:paraId="7D3F1CD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1.（××号）招标采购文件</w:t>
      </w:r>
    </w:p>
    <w:p w14:paraId="0F56721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2.投标文件</w:t>
      </w:r>
    </w:p>
    <w:p w14:paraId="18D30BC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3.乙方在投标时的书面承诺</w:t>
      </w:r>
    </w:p>
    <w:p w14:paraId="3A49E18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4.（××号）中标通知书</w:t>
      </w:r>
    </w:p>
    <w:p w14:paraId="33922F8A">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5.合同补充条款或说明</w:t>
      </w:r>
    </w:p>
    <w:p w14:paraId="7523997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6.保密协议或条款</w:t>
      </w:r>
    </w:p>
    <w:p w14:paraId="2426F4E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7.相关附件、图纸</w:t>
      </w:r>
    </w:p>
    <w:p w14:paraId="195DF140">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both"/>
        <w:textAlignment w:val="auto"/>
        <w:outlineLvl w:val="9"/>
        <w:rPr>
          <w:rFonts w:hint="eastAsia" w:ascii="仿宋" w:hAnsi="仿宋" w:eastAsia="仿宋" w:cs="仿宋"/>
          <w:b/>
          <w:bCs/>
          <w:color w:val="auto"/>
          <w:sz w:val="21"/>
          <w:szCs w:val="21"/>
          <w:highlight w:val="none"/>
          <w:u w:val="none"/>
          <w:lang w:val="en-US" w:eastAsia="zh-CN"/>
        </w:rPr>
      </w:pPr>
      <w:r>
        <w:rPr>
          <w:rFonts w:hint="eastAsia" w:ascii="仿宋" w:hAnsi="仿宋" w:eastAsia="仿宋" w:cs="仿宋"/>
          <w:b/>
          <w:bCs/>
          <w:color w:val="auto"/>
          <w:sz w:val="21"/>
          <w:szCs w:val="21"/>
          <w:highlight w:val="none"/>
          <w:u w:val="none"/>
          <w:lang w:val="en-US" w:eastAsia="zh-CN"/>
        </w:rPr>
        <w:t>第二条  合同标的</w:t>
      </w:r>
    </w:p>
    <w:p w14:paraId="2001503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乙方根据甲方需求提供下列货物，货物名称、规格及数量，备件、易损件和专用工具等（详见《供货一览表》）。</w:t>
      </w:r>
    </w:p>
    <w:p w14:paraId="3B61A78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第三条  合同总金额</w:t>
      </w:r>
    </w:p>
    <w:p w14:paraId="5404FB2A">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大写：</w:t>
      </w:r>
      <w:r>
        <w:rPr>
          <w:rFonts w:hint="eastAsia" w:ascii="仿宋" w:hAnsi="仿宋" w:eastAsia="仿宋" w:cs="仿宋"/>
          <w:b w:val="0"/>
          <w:bCs w:val="0"/>
          <w:i w:val="0"/>
          <w:i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元。</w:t>
      </w:r>
    </w:p>
    <w:p w14:paraId="1A7B28CE">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本合同项下货物总金额：￥</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元。</w:t>
      </w:r>
    </w:p>
    <w:p w14:paraId="448CAF9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分项价款在《供货一览表》中有明确规定。</w:t>
      </w:r>
    </w:p>
    <w:p w14:paraId="454A8265">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本合同总价款包括货物、软件、标准附件、备品备件、专用工具、图纸资料、技术服务，包装、运输、装卸、保险、税金，货到就位以及安装、调试、培训、保修等验收合格之前和质保期内的售后服务一切税金和费用。</w:t>
      </w:r>
    </w:p>
    <w:p w14:paraId="675C2E1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本合同执行期间合同总价款不变。</w:t>
      </w:r>
    </w:p>
    <w:p w14:paraId="7FEA3C2C">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both"/>
        <w:textAlignment w:val="auto"/>
        <w:outlineLvl w:val="9"/>
        <w:rPr>
          <w:rFonts w:hint="eastAsia" w:ascii="仿宋" w:hAnsi="仿宋" w:eastAsia="仿宋" w:cs="仿宋"/>
          <w:b/>
          <w:bCs/>
          <w:color w:val="auto"/>
          <w:sz w:val="21"/>
          <w:szCs w:val="21"/>
          <w:highlight w:val="none"/>
          <w:u w:val="none"/>
          <w:lang w:val="en-US" w:eastAsia="zh-CN"/>
        </w:rPr>
      </w:pPr>
      <w:r>
        <w:rPr>
          <w:rFonts w:hint="eastAsia" w:ascii="仿宋" w:hAnsi="仿宋" w:eastAsia="仿宋" w:cs="仿宋"/>
          <w:b/>
          <w:bCs/>
          <w:color w:val="auto"/>
          <w:sz w:val="21"/>
          <w:szCs w:val="21"/>
          <w:highlight w:val="none"/>
          <w:u w:val="none"/>
          <w:lang w:val="en-US" w:eastAsia="zh-CN"/>
        </w:rPr>
        <w:t>第四条  权利和质量保证</w:t>
      </w:r>
    </w:p>
    <w:p w14:paraId="15A28845">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1.乙方应保证甲方在使用该货物或其任何一部分时不受第三方提出侵犯其专利权、版权、商标权或其他权利的起诉。一旦出现侵权，索赔或诉讼，乙方应承担全部责任。</w:t>
      </w:r>
    </w:p>
    <w:p w14:paraId="3FE3B81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2.乙方保证货物是全新的、未使用过的，完全符合国家规范及甲乙双方确认的投标文件、本合同关于货物数量、质量的要求。货物符合实行国家“三包”规定的，应执行“三包”规定。</w:t>
      </w:r>
    </w:p>
    <w:p w14:paraId="734DE80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本项目质保期</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年，保修期</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年。</w:t>
      </w:r>
    </w:p>
    <w:p w14:paraId="20756AB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3.乙方提交的货物应符合投标文件中所记载的详细配置、技术参数、参数及性能，并应附有此类货物完整、详细的技术资料和说明文件。</w:t>
      </w:r>
    </w:p>
    <w:p w14:paraId="6915313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4.乙方提交的货物必须按照招标采购文件的要求和中标人投标文件的承诺，以约定标准进行制造、安装；经政府采购管理部门批准采购的进口产品应执行原产地国家有关部门最新颁布的相应正式标准并提供国家商检、海关报关等手续。</w:t>
      </w:r>
    </w:p>
    <w:p w14:paraId="32E1988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5.乙方应保证将货物按照国家或专业标准包装、确保货物安全无损运抵合同规定的交货地点，并进行安装、试运行。</w:t>
      </w:r>
    </w:p>
    <w:p w14:paraId="0DDCC39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6、乙方保证货物不存在危及人身及财产安全的产品缺陷，否则应承担全部法律责任。</w:t>
      </w:r>
    </w:p>
    <w:p w14:paraId="3990C0FB">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both"/>
        <w:textAlignment w:val="auto"/>
        <w:outlineLvl w:val="9"/>
        <w:rPr>
          <w:rFonts w:hint="eastAsia" w:ascii="仿宋" w:hAnsi="仿宋" w:eastAsia="仿宋" w:cs="仿宋"/>
          <w:b/>
          <w:bCs/>
          <w:color w:val="auto"/>
          <w:sz w:val="21"/>
          <w:szCs w:val="21"/>
          <w:highlight w:val="none"/>
          <w:u w:val="none"/>
          <w:lang w:val="en-US" w:eastAsia="zh-CN"/>
        </w:rPr>
      </w:pPr>
      <w:r>
        <w:rPr>
          <w:rFonts w:hint="eastAsia" w:ascii="仿宋" w:hAnsi="仿宋" w:eastAsia="仿宋" w:cs="仿宋"/>
          <w:b/>
          <w:bCs/>
          <w:color w:val="auto"/>
          <w:sz w:val="21"/>
          <w:szCs w:val="21"/>
          <w:highlight w:val="none"/>
          <w:u w:val="none"/>
          <w:lang w:val="en-US" w:eastAsia="zh-CN"/>
        </w:rPr>
        <w:t>第五条  付款方式</w:t>
      </w:r>
    </w:p>
    <w:p w14:paraId="18D006A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1.本合同项下所有款项均以人民币支付。</w:t>
      </w:r>
    </w:p>
    <w:p w14:paraId="78ADA045">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2.乙方向甲方提交下列文件材料，经甲方审核无误后支付采购资金：</w:t>
      </w:r>
    </w:p>
    <w:p w14:paraId="51A608E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（1）经甲方确认的发票；</w:t>
      </w:r>
    </w:p>
    <w:p w14:paraId="633A7D7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（2）经甲乙双方确认签署的《验收报告》（或按项目进度阶段性《验收报告》）；</w:t>
      </w:r>
    </w:p>
    <w:p w14:paraId="3C2C7E5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（3）其他材料。</w:t>
      </w:r>
    </w:p>
    <w:p w14:paraId="1225AB4A">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3.款项的支付进度以招标采购文件的有关规定为准。如招标采购文件未作特别规定，则付款进度应符合如下约定：</w:t>
      </w:r>
    </w:p>
    <w:p w14:paraId="035D501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（1）预付款：签订合同后7个工作日内支付合同总价的</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%；（建议预付比例不低于30%，对中小微企业预付比例建议不低于50%）</w:t>
      </w:r>
    </w:p>
    <w:p w14:paraId="6CFD118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（2）全部货物发货至安装地点15天内支付至合同总价的</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w:t>
      </w:r>
    </w:p>
    <w:p w14:paraId="082E47A3">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（3）安装完成并验收合格支付至合同总价的；（验收合格后发布验收公告，验收公告发布时间至付款时间为7日，开票时间至付款时间为5日）</w:t>
      </w:r>
    </w:p>
    <w:p w14:paraId="2A17F1B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（4）余</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%作为质量保证金，质保到期后一次性返还。</w:t>
      </w:r>
    </w:p>
    <w:p w14:paraId="50BD5C09">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both"/>
        <w:textAlignment w:val="auto"/>
        <w:outlineLvl w:val="9"/>
        <w:rPr>
          <w:rFonts w:hint="eastAsia" w:ascii="仿宋" w:hAnsi="仿宋" w:eastAsia="仿宋" w:cs="仿宋"/>
          <w:b/>
          <w:bCs/>
          <w:color w:val="auto"/>
          <w:sz w:val="21"/>
          <w:szCs w:val="21"/>
          <w:highlight w:val="none"/>
          <w:u w:val="none"/>
          <w:lang w:val="en-US" w:eastAsia="zh-CN"/>
        </w:rPr>
      </w:pPr>
      <w:r>
        <w:rPr>
          <w:rFonts w:hint="eastAsia" w:ascii="仿宋" w:hAnsi="仿宋" w:eastAsia="仿宋" w:cs="仿宋"/>
          <w:b/>
          <w:bCs/>
          <w:color w:val="auto"/>
          <w:sz w:val="21"/>
          <w:szCs w:val="21"/>
          <w:highlight w:val="none"/>
          <w:u w:val="none"/>
          <w:lang w:val="en-US" w:eastAsia="zh-CN"/>
        </w:rPr>
        <w:t>第六条  不得收取履约保证金</w:t>
      </w:r>
    </w:p>
    <w:p w14:paraId="76E1E89A">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both"/>
        <w:textAlignment w:val="auto"/>
        <w:outlineLvl w:val="9"/>
        <w:rPr>
          <w:rFonts w:hint="eastAsia" w:ascii="仿宋" w:hAnsi="仿宋" w:eastAsia="仿宋" w:cs="仿宋"/>
          <w:b/>
          <w:bCs/>
          <w:color w:val="auto"/>
          <w:sz w:val="21"/>
          <w:szCs w:val="21"/>
          <w:highlight w:val="none"/>
          <w:u w:val="none"/>
          <w:lang w:val="en-US" w:eastAsia="zh-CN"/>
        </w:rPr>
      </w:pPr>
      <w:r>
        <w:rPr>
          <w:rFonts w:hint="eastAsia" w:ascii="仿宋" w:hAnsi="仿宋" w:eastAsia="仿宋" w:cs="仿宋"/>
          <w:b/>
          <w:bCs/>
          <w:color w:val="auto"/>
          <w:sz w:val="21"/>
          <w:szCs w:val="21"/>
          <w:highlight w:val="none"/>
          <w:u w:val="none"/>
          <w:lang w:val="en-US" w:eastAsia="zh-CN"/>
        </w:rPr>
        <w:t>第七条  交货和验收</w:t>
      </w:r>
    </w:p>
    <w:p w14:paraId="6CF60A4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1.交货时间：</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w:t>
      </w:r>
    </w:p>
    <w:p w14:paraId="1ADA2AB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交货地点：</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w:t>
      </w:r>
    </w:p>
    <w:p w14:paraId="5D448CF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安装调试时间：</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w:t>
      </w:r>
    </w:p>
    <w:p w14:paraId="219EB91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2. 乙方应对提供的货物作出全面自查和整理，并列出清单，作为甲方验收和使用的技术条件依据，清单应随提供的验收资料交给甲方。</w:t>
      </w:r>
    </w:p>
    <w:p w14:paraId="60A7230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3.乙方提供的货物应包括本合同“第一条 合同文件”规定的全部货物及其附（辅）件、资料。</w:t>
      </w:r>
    </w:p>
    <w:p w14:paraId="7CFFBCD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4.甲方应当在到货后的</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个工作日内对货物进行验收。货物验收时，甲乙双方必须同时在场，双方共同确认货物与本合同规定的生产厂家产地、品牌、规格型号、数量、质量、技术参数和性能等是否一致。乙方所交付的货物不符合合同规定的，甲方有权拒收。乙方应及时按本合同规定和甲方要求免费对拒收货物采取更换或其他必要的补救措施，直至验收合格，方视为乙方按本合同规定完成交货。验收合格的，由双方共同签署《验收报告》。</w:t>
      </w:r>
    </w:p>
    <w:p w14:paraId="78A453D3">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5.需要乙方对货物（包括软件）或系统进行安装调试的，甲乙双方应在货物安装调试完毕后的</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个工作日内进行运行效果验收。在验收之前，乙方需提前提交相应的调试计划（包括调试程序、环境、内容和检验标准、调试时间安排等）供甲方确认，乙方还应对所有检验验收调试的结果、步骤、原始数据等作妥善记录。如甲方要求，乙方应将记录提供给甲方。调试检验出现全部或部分未达到本合同所约定的技术指标，甲方有权选择下列任一处理方式：</w:t>
      </w:r>
    </w:p>
    <w:p w14:paraId="33ED192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a.重新调试直至合格为止；</w:t>
      </w:r>
    </w:p>
    <w:p w14:paraId="6F01AFE1">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b.要求乙方对货物进行免费更换，然后重新调试直至合格为止。</w:t>
      </w:r>
    </w:p>
    <w:p w14:paraId="42DD967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甲方因乙方原因所产生的所有费用均由乙方负担。</w:t>
      </w:r>
    </w:p>
    <w:p w14:paraId="5D59598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6.验收合格的，由双方共同签署《验收报告》。</w:t>
      </w:r>
    </w:p>
    <w:p w14:paraId="21BF559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7.甲方可以视项目规模或复杂情况聘请专业人员参与验收，大型或复杂项目，以及特种货物应当邀请国家认可的第三方质量检测机构参与验收。</w:t>
      </w:r>
    </w:p>
    <w:p w14:paraId="22C855C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8.货物验收包括：货物包装是否完好，产地生产厂家名称、品牌、型号、规格、数量、外观质量、配置、内在质量，以及调试运行是否达到“第一条合同文件”规定的效果。乙方应将所提供货物的装箱清单、产品合格证、甲方手册、原厂保修卡、随机资料及备品备件、易损件、专用工具等交付给甲方；乙方不能完整交付货物、附（辅）件和资料的，视为未按合同约定交货，乙方负责补齐，因此导致逾期交付的，由乙方承担相关的违约责任。</w:t>
      </w:r>
    </w:p>
    <w:p w14:paraId="18E288E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9.货物达不到本合同“第一条合同文件”规定的数量、质量要求和运行效果，甲方有权拒收，并可以解除合同；由此引起甲方损失及赔偿责任由乙方承担。</w:t>
      </w:r>
    </w:p>
    <w:p w14:paraId="756014FB">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10.如果合同双方对《验收报告》有分歧，双方须于出现分歧后天内给对方书面声明，以陈述己方的理由及要求，并附有关证据。分歧应通过协商解决。</w:t>
      </w:r>
    </w:p>
    <w:p w14:paraId="5D56E981">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both"/>
        <w:textAlignment w:val="auto"/>
        <w:outlineLvl w:val="9"/>
        <w:rPr>
          <w:rFonts w:hint="eastAsia" w:ascii="仿宋" w:hAnsi="仿宋" w:eastAsia="仿宋" w:cs="仿宋"/>
          <w:b/>
          <w:bCs/>
          <w:color w:val="auto"/>
          <w:sz w:val="21"/>
          <w:szCs w:val="21"/>
          <w:highlight w:val="none"/>
          <w:u w:val="none"/>
          <w:lang w:val="en-US" w:eastAsia="zh-CN"/>
        </w:rPr>
      </w:pPr>
      <w:r>
        <w:rPr>
          <w:rFonts w:hint="eastAsia" w:ascii="仿宋" w:hAnsi="仿宋" w:eastAsia="仿宋" w:cs="仿宋"/>
          <w:b/>
          <w:bCs/>
          <w:color w:val="auto"/>
          <w:sz w:val="21"/>
          <w:szCs w:val="21"/>
          <w:highlight w:val="none"/>
          <w:u w:val="none"/>
          <w:lang w:val="en-US" w:eastAsia="zh-CN"/>
        </w:rPr>
        <w:t>第八条  项目管理服务</w:t>
      </w:r>
    </w:p>
    <w:p w14:paraId="4F9AA55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乙方应指定不少于一人全权全程负责本项目的商务服务，以及货物安装、调试、咨询、培训和售后等技术服务工作。</w:t>
      </w:r>
    </w:p>
    <w:p w14:paraId="3848B5E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项目负责人姓名：</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 联系电话：</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w:t>
      </w:r>
    </w:p>
    <w:p w14:paraId="2F78F343">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both"/>
        <w:textAlignment w:val="auto"/>
        <w:outlineLvl w:val="9"/>
        <w:rPr>
          <w:rFonts w:hint="eastAsia" w:ascii="仿宋" w:hAnsi="仿宋" w:eastAsia="仿宋" w:cs="仿宋"/>
          <w:b/>
          <w:bCs/>
          <w:color w:val="auto"/>
          <w:sz w:val="21"/>
          <w:szCs w:val="21"/>
          <w:highlight w:val="none"/>
          <w:u w:val="none"/>
          <w:lang w:val="en-US" w:eastAsia="zh-CN"/>
        </w:rPr>
      </w:pPr>
      <w:r>
        <w:rPr>
          <w:rFonts w:hint="eastAsia" w:ascii="仿宋" w:hAnsi="仿宋" w:eastAsia="仿宋" w:cs="仿宋"/>
          <w:b/>
          <w:bCs/>
          <w:color w:val="auto"/>
          <w:sz w:val="21"/>
          <w:szCs w:val="21"/>
          <w:highlight w:val="none"/>
          <w:u w:val="none"/>
          <w:lang w:val="en-US" w:eastAsia="zh-CN"/>
        </w:rPr>
        <w:t>第九条  售后服务</w:t>
      </w:r>
    </w:p>
    <w:p w14:paraId="39CC0EF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1.质量保证期为自货物通过最终验收之日起</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个月。若国家有明确规定的质量保证期高于此质量保证期的，执行国家规定。</w:t>
      </w:r>
    </w:p>
    <w:p w14:paraId="510CB1AA">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2.在货物质保期内，乙方应对由于设计、工艺、质量（含环保节能要求）、材料和的缺陷而发生的任何不足或故障负责，并解决存在的问题。</w:t>
      </w:r>
    </w:p>
    <w:p w14:paraId="1CDA631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3.对不符合本合同第四条规定要求的货物应立即进行调换，调换本身并不影响甲方就其损失向乙方索赔的权利。</w:t>
      </w:r>
    </w:p>
    <w:p w14:paraId="7A7981E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4.货物安装调试完成后，乙方应继续向甲方提供良好的技术支持。应当由专门队伍从事此项工作，并提供全天候的热线技术支持服务，应当对甲方所反映的任何问题在</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日（小时）之内做出及时响应，在</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日（小时）之内赶到现场实地解决问题。若问题、故障在检修工作日（小时）后仍无法解决，乙方应在</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日（小时）内免费提供不低于故障货物规格型号档次的备用货物供甲方使用，直至故障货物修复。</w:t>
      </w:r>
    </w:p>
    <w:p w14:paraId="3C7D685F">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5.乙方应当建立健全售后服务体系，确保货物正常运行。乙方应当遵守甲方的有关管理制度、操作规程。对于乙方违规操作造成甲方损失的，由乙方按照本合同第十二条的约定承担赔偿责任。</w:t>
      </w:r>
    </w:p>
    <w:p w14:paraId="40F4AB81">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6.乙方应负责货物及主要部件、配件维修更换。质保期内，乙方对货物（人为故意损坏除外）提供全免费保修或免费更换；质保期后，收取维修成本费（备品备件乙方应以投标文件承诺的优惠价格提供）。</w:t>
      </w:r>
    </w:p>
    <w:p w14:paraId="69B900F5">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both"/>
        <w:textAlignment w:val="auto"/>
        <w:outlineLvl w:val="9"/>
        <w:rPr>
          <w:rFonts w:hint="eastAsia" w:ascii="仿宋" w:hAnsi="仿宋" w:eastAsia="仿宋" w:cs="仿宋"/>
          <w:b/>
          <w:bCs/>
          <w:color w:val="auto"/>
          <w:sz w:val="21"/>
          <w:szCs w:val="21"/>
          <w:highlight w:val="none"/>
          <w:u w:val="none"/>
          <w:lang w:val="en-US" w:eastAsia="zh-CN"/>
        </w:rPr>
      </w:pPr>
      <w:r>
        <w:rPr>
          <w:rFonts w:hint="eastAsia" w:ascii="仿宋" w:hAnsi="仿宋" w:eastAsia="仿宋" w:cs="仿宋"/>
          <w:b/>
          <w:bCs/>
          <w:color w:val="auto"/>
          <w:sz w:val="21"/>
          <w:szCs w:val="21"/>
          <w:highlight w:val="none"/>
          <w:u w:val="none"/>
          <w:lang w:val="en-US" w:eastAsia="zh-CN"/>
        </w:rPr>
        <w:t>第十条  分包</w:t>
      </w:r>
    </w:p>
    <w:p w14:paraId="06BF0AA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除招标采购文件事先说明、且经甲方事先书面同意外，乙方不得分包其应履行的合同义务。</w:t>
      </w:r>
    </w:p>
    <w:p w14:paraId="4BCEB968">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both"/>
        <w:textAlignment w:val="auto"/>
        <w:outlineLvl w:val="9"/>
        <w:rPr>
          <w:rFonts w:hint="eastAsia" w:ascii="仿宋" w:hAnsi="仿宋" w:eastAsia="仿宋" w:cs="仿宋"/>
          <w:b/>
          <w:bCs/>
          <w:color w:val="auto"/>
          <w:sz w:val="21"/>
          <w:szCs w:val="21"/>
          <w:highlight w:val="none"/>
          <w:u w:val="none"/>
          <w:lang w:val="en-US" w:eastAsia="zh-CN"/>
        </w:rPr>
      </w:pPr>
      <w:r>
        <w:rPr>
          <w:rFonts w:hint="eastAsia" w:ascii="仿宋" w:hAnsi="仿宋" w:eastAsia="仿宋" w:cs="仿宋"/>
          <w:b/>
          <w:bCs/>
          <w:color w:val="auto"/>
          <w:sz w:val="21"/>
          <w:szCs w:val="21"/>
          <w:highlight w:val="none"/>
          <w:u w:val="none"/>
          <w:lang w:val="en-US" w:eastAsia="zh-CN"/>
        </w:rPr>
        <w:t>第十一条  合同的生效</w:t>
      </w:r>
    </w:p>
    <w:p w14:paraId="6520227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1.本合同经甲乙双方授权代表签订并加盖公章或合同专用章后生效。</w:t>
      </w:r>
    </w:p>
    <w:p w14:paraId="20A2CAB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2.生效后，除《政府采购法》第49条、第50条第二款规定的情形外，甲乙双方不得擅自变更、中止或终止合同。</w:t>
      </w:r>
    </w:p>
    <w:p w14:paraId="66B33B15">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both"/>
        <w:textAlignment w:val="auto"/>
        <w:outlineLvl w:val="9"/>
        <w:rPr>
          <w:rFonts w:hint="eastAsia" w:ascii="仿宋" w:hAnsi="仿宋" w:eastAsia="仿宋" w:cs="仿宋"/>
          <w:b/>
          <w:bCs/>
          <w:color w:val="auto"/>
          <w:sz w:val="21"/>
          <w:szCs w:val="21"/>
          <w:highlight w:val="none"/>
          <w:u w:val="none"/>
          <w:lang w:val="en-US" w:eastAsia="zh-CN"/>
        </w:rPr>
      </w:pPr>
      <w:r>
        <w:rPr>
          <w:rFonts w:hint="eastAsia" w:ascii="仿宋" w:hAnsi="仿宋" w:eastAsia="仿宋" w:cs="仿宋"/>
          <w:b/>
          <w:bCs/>
          <w:color w:val="auto"/>
          <w:sz w:val="21"/>
          <w:szCs w:val="21"/>
          <w:highlight w:val="none"/>
          <w:u w:val="none"/>
          <w:lang w:val="en-US" w:eastAsia="zh-CN"/>
        </w:rPr>
        <w:t>第十二条  违约责任</w:t>
      </w:r>
    </w:p>
    <w:p w14:paraId="6A4FC08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1.乙方所交付的货物不符合本合同规定的，甲方有权拒收，乙方在得到甲方通知之日起</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个工作日内采取补救措施，逾期仍未采取有效措施的，甲方有权要求乙方赔偿因此造成的损失或扣留履约保证金；同时乙方应向甲方支付合同总价</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％的违约金。</w:t>
      </w:r>
    </w:p>
    <w:p w14:paraId="6978A33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2.甲方无正当理由拒收货物、拒付货款的，甲方应向乙方偿付拒付货款</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％的违约金。</w:t>
      </w:r>
    </w:p>
    <w:p w14:paraId="3E7FC24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3.乙方无正当理由逾期交付货物的，每逾期1天，乙方向甲方偿付逾期交货部分货款总额的</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‰的违约金。如乙方逾期交货达天，甲方有权解除合同，甲方解除合同的通知自到达乙方时生效。在此情况下，乙方给甲方造成的实际损失高于违约金的，对高出违约金的部分乙方应予以赔偿。</w:t>
      </w:r>
    </w:p>
    <w:p w14:paraId="5F3F2F4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4.甲方未按合同规定的期限向乙方支付货款的，每逾期1天甲方向乙方偿付欠款总额的</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‰违约金，但累计违约金总额不超过欠款总额的</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w:t>
      </w:r>
    </w:p>
    <w:p w14:paraId="38F47475">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5.在乙方承诺的或国家规定的质量保证期内（取两者中最长的期限），如经乙方两次维修，货物仍不能达到合同约定的质量标准、运行效果的，甲方有权要求乙方更换为全新合格货物并按本条第1款处理，同时，乙方还须赔偿甲方因此遭受的损失。</w:t>
      </w:r>
    </w:p>
    <w:p w14:paraId="0DD73D3A">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6.其它未尽事宜，以《中华人民共和国民法典》和《政府采购法》等有关法律法规规定为准，无相关规定的，双方协商解决。</w:t>
      </w:r>
    </w:p>
    <w:p w14:paraId="2A08D482">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both"/>
        <w:textAlignment w:val="auto"/>
        <w:outlineLvl w:val="9"/>
        <w:rPr>
          <w:rFonts w:hint="eastAsia" w:ascii="仿宋" w:hAnsi="仿宋" w:eastAsia="仿宋" w:cs="仿宋"/>
          <w:b/>
          <w:bCs/>
          <w:color w:val="auto"/>
          <w:sz w:val="21"/>
          <w:szCs w:val="21"/>
          <w:highlight w:val="none"/>
          <w:u w:val="none"/>
          <w:lang w:val="en-US" w:eastAsia="zh-CN"/>
        </w:rPr>
      </w:pPr>
      <w:r>
        <w:rPr>
          <w:rFonts w:hint="eastAsia" w:ascii="仿宋" w:hAnsi="仿宋" w:eastAsia="仿宋" w:cs="仿宋"/>
          <w:b/>
          <w:bCs/>
          <w:color w:val="auto"/>
          <w:sz w:val="21"/>
          <w:szCs w:val="21"/>
          <w:highlight w:val="none"/>
          <w:u w:val="none"/>
          <w:lang w:val="en-US" w:eastAsia="zh-CN"/>
        </w:rPr>
        <w:t>第十三条  不可抗力</w:t>
      </w:r>
    </w:p>
    <w:p w14:paraId="11761028">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甲、乙方中任何一方，因不可抗力不能按时或完全履行合同的，应及时通知对方，并在</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个工作日内提供相应证明。未履行完合同部分是否继续履行、如何履行等问题，可由双方初步协商，并向主管部门和政府采购管理部门报告。确定为不可抗力原因造成的损失，免予承担责任。</w:t>
      </w:r>
    </w:p>
    <w:p w14:paraId="1ADA4CF3">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both"/>
        <w:textAlignment w:val="auto"/>
        <w:outlineLvl w:val="9"/>
        <w:rPr>
          <w:rFonts w:hint="eastAsia" w:ascii="仿宋" w:hAnsi="仿宋" w:eastAsia="仿宋" w:cs="仿宋"/>
          <w:b/>
          <w:bCs/>
          <w:color w:val="auto"/>
          <w:sz w:val="21"/>
          <w:szCs w:val="21"/>
          <w:highlight w:val="none"/>
          <w:u w:val="none"/>
          <w:lang w:val="en-US" w:eastAsia="zh-CN"/>
        </w:rPr>
      </w:pPr>
      <w:r>
        <w:rPr>
          <w:rFonts w:hint="eastAsia" w:ascii="仿宋" w:hAnsi="仿宋" w:eastAsia="仿宋" w:cs="仿宋"/>
          <w:b/>
          <w:bCs/>
          <w:color w:val="auto"/>
          <w:sz w:val="21"/>
          <w:szCs w:val="21"/>
          <w:highlight w:val="none"/>
          <w:u w:val="none"/>
          <w:lang w:val="en-US" w:eastAsia="zh-CN"/>
        </w:rPr>
        <w:t>第十四条  争议的解决方式</w:t>
      </w:r>
    </w:p>
    <w:p w14:paraId="04C580D7">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1.因货物的质量问题发生争议的，应当邀请国家认可的质量检测机构对货物质量进行鉴定。货物符合标准的，鉴定费由甲方承担；货物不符合质量标准的，鉴定费由乙方承担。</w:t>
      </w:r>
    </w:p>
    <w:p w14:paraId="15FD249A">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2.在解释或者执行本合同的过程中发生争议时，双方应通过协商方式解决。</w:t>
      </w:r>
    </w:p>
    <w:p w14:paraId="7FCF67CE">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3.经协商不能解决的争议，双方可选择以下第</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种方式解决：</w:t>
      </w:r>
    </w:p>
    <w:p w14:paraId="3ABFF481">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①向信阳市有管辖权的法院提起诉讼；</w:t>
      </w:r>
    </w:p>
    <w:p w14:paraId="6ED52814">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②向信阳市仲裁委员会提出仲裁。</w:t>
      </w:r>
    </w:p>
    <w:p w14:paraId="3D0B9C3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4.在法院审理和仲裁期间，除有争议部分外，本合同其他部分可以履行的仍应按合同条款继续履行。</w:t>
      </w:r>
    </w:p>
    <w:p w14:paraId="1BABE9EE">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both"/>
        <w:textAlignment w:val="auto"/>
        <w:outlineLvl w:val="9"/>
        <w:rPr>
          <w:rFonts w:hint="eastAsia" w:ascii="仿宋" w:hAnsi="仿宋" w:eastAsia="仿宋" w:cs="仿宋"/>
          <w:b/>
          <w:bCs/>
          <w:color w:val="auto"/>
          <w:sz w:val="21"/>
          <w:szCs w:val="21"/>
          <w:highlight w:val="none"/>
          <w:u w:val="none"/>
          <w:lang w:val="en-US" w:eastAsia="zh-CN"/>
        </w:rPr>
      </w:pPr>
      <w:r>
        <w:rPr>
          <w:rFonts w:hint="eastAsia" w:ascii="仿宋" w:hAnsi="仿宋" w:eastAsia="仿宋" w:cs="仿宋"/>
          <w:b/>
          <w:bCs/>
          <w:color w:val="auto"/>
          <w:sz w:val="21"/>
          <w:szCs w:val="21"/>
          <w:highlight w:val="none"/>
          <w:u w:val="none"/>
          <w:lang w:val="en-US" w:eastAsia="zh-CN"/>
        </w:rPr>
        <w:t>第十五条  其他</w:t>
      </w:r>
    </w:p>
    <w:p w14:paraId="3A61A026">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符合《政府采购法》第49条规定的，经双方协商，办理政府采购手续后，可签订补充合同，所签订的补充合同与本合同具有同等法律效力。</w:t>
      </w:r>
    </w:p>
    <w:p w14:paraId="0E0BEACE">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本合同一式</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份，甲、乙双方各执</w:t>
      </w:r>
      <w:r>
        <w:rPr>
          <w:rFonts w:hint="eastAsia" w:ascii="仿宋" w:hAnsi="仿宋" w:eastAsia="仿宋" w:cs="仿宋"/>
          <w:b w:val="0"/>
          <w:bCs w:val="0"/>
          <w:color w:val="auto"/>
          <w:sz w:val="21"/>
          <w:szCs w:val="21"/>
          <w:highlight w:val="none"/>
          <w:u w:val="single"/>
          <w:lang w:val="en-US" w:eastAsia="zh-CN"/>
        </w:rPr>
        <w:t xml:space="preserve">    </w:t>
      </w:r>
      <w:r>
        <w:rPr>
          <w:rFonts w:hint="eastAsia" w:ascii="仿宋" w:hAnsi="仿宋" w:eastAsia="仿宋" w:cs="仿宋"/>
          <w:b w:val="0"/>
          <w:bCs w:val="0"/>
          <w:color w:val="auto"/>
          <w:sz w:val="21"/>
          <w:szCs w:val="21"/>
          <w:highlight w:val="none"/>
          <w:u w:val="none"/>
          <w:lang w:val="en-US" w:eastAsia="zh-CN"/>
        </w:rPr>
        <w:t>份。</w:t>
      </w:r>
    </w:p>
    <w:p w14:paraId="28D905CD">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p>
    <w:p w14:paraId="4EA5EF21">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甲   方：                        乙   方：</w:t>
      </w:r>
    </w:p>
    <w:p w14:paraId="06E5E57E">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名称：（盖章）                    名称：（盖章）</w:t>
      </w:r>
    </w:p>
    <w:p w14:paraId="7AB35730">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地址：                           地址：</w:t>
      </w:r>
    </w:p>
    <w:p w14:paraId="629BBA1C">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法定代表人（签字）：              法定代表人（签字）：</w:t>
      </w:r>
    </w:p>
    <w:p w14:paraId="4171271E">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授权代表（签字）：                授权代表（签字）：</w:t>
      </w:r>
    </w:p>
    <w:p w14:paraId="41BB208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开户银行：                       开户银行：</w:t>
      </w:r>
    </w:p>
    <w:p w14:paraId="479A8B7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银行帐号：                       银行帐号：</w:t>
      </w:r>
    </w:p>
    <w:p w14:paraId="425EA14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合同法律审核（盖章）：</w:t>
      </w:r>
    </w:p>
    <w:p w14:paraId="4F347F39">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r>
        <w:rPr>
          <w:rFonts w:hint="eastAsia" w:ascii="仿宋" w:hAnsi="仿宋" w:eastAsia="仿宋" w:cs="仿宋"/>
          <w:b w:val="0"/>
          <w:bCs w:val="0"/>
          <w:color w:val="auto"/>
          <w:sz w:val="21"/>
          <w:szCs w:val="21"/>
          <w:highlight w:val="none"/>
          <w:u w:val="none"/>
          <w:lang w:val="en-US" w:eastAsia="zh-CN"/>
        </w:rPr>
        <w:t>时  间：         年     月     日</w:t>
      </w:r>
    </w:p>
    <w:p w14:paraId="77D74E32">
      <w:pPr>
        <w:keepNext w:val="0"/>
        <w:keepLines w:val="0"/>
        <w:pageBreakBefore w:val="0"/>
        <w:widowControl w:val="0"/>
        <w:kinsoku/>
        <w:wordWrap/>
        <w:overflowPunct/>
        <w:topLinePunct w:val="0"/>
        <w:autoSpaceDE/>
        <w:autoSpaceDN/>
        <w:bidi w:val="0"/>
        <w:adjustRightInd/>
        <w:snapToGrid/>
        <w:spacing w:line="400" w:lineRule="exact"/>
        <w:ind w:firstLine="420" w:firstLineChars="200"/>
        <w:jc w:val="both"/>
        <w:textAlignment w:val="auto"/>
        <w:outlineLvl w:val="9"/>
        <w:rPr>
          <w:rFonts w:hint="eastAsia" w:ascii="仿宋" w:hAnsi="仿宋" w:eastAsia="仿宋" w:cs="仿宋"/>
          <w:b w:val="0"/>
          <w:bCs w:val="0"/>
          <w:color w:val="auto"/>
          <w:sz w:val="21"/>
          <w:szCs w:val="21"/>
          <w:highlight w:val="none"/>
          <w:u w:val="none"/>
          <w:lang w:val="en-US" w:eastAsia="zh-CN"/>
        </w:rPr>
      </w:pPr>
    </w:p>
    <w:p w14:paraId="1B00D7B1">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both"/>
        <w:textAlignment w:val="auto"/>
        <w:outlineLvl w:val="9"/>
        <w:rPr>
          <w:rFonts w:hint="eastAsia" w:ascii="仿宋" w:hAnsi="仿宋" w:eastAsia="仿宋" w:cs="仿宋"/>
          <w:b/>
          <w:bCs/>
          <w:color w:val="auto"/>
          <w:sz w:val="21"/>
          <w:szCs w:val="21"/>
          <w:highlight w:val="none"/>
          <w:u w:val="none"/>
          <w:lang w:val="en-US" w:eastAsia="zh-CN"/>
        </w:rPr>
      </w:pPr>
      <w:r>
        <w:rPr>
          <w:rFonts w:hint="eastAsia" w:ascii="仿宋" w:hAnsi="仿宋" w:eastAsia="仿宋" w:cs="仿宋"/>
          <w:b/>
          <w:bCs/>
          <w:color w:val="auto"/>
          <w:sz w:val="21"/>
          <w:szCs w:val="21"/>
          <w:highlight w:val="none"/>
          <w:u w:val="none"/>
          <w:lang w:val="en-US" w:eastAsia="zh-CN"/>
        </w:rPr>
        <w:t>特别说明：</w:t>
      </w:r>
    </w:p>
    <w:p w14:paraId="55C76FF5">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both"/>
        <w:textAlignment w:val="auto"/>
        <w:outlineLvl w:val="9"/>
        <w:rPr>
          <w:rFonts w:hint="eastAsia" w:ascii="仿宋" w:hAnsi="仿宋" w:eastAsia="仿宋" w:cs="仿宋"/>
          <w:b/>
          <w:bCs/>
          <w:color w:val="auto"/>
          <w:sz w:val="21"/>
          <w:szCs w:val="21"/>
          <w:highlight w:val="none"/>
          <w:u w:val="none"/>
          <w:lang w:val="en-US" w:eastAsia="zh-CN"/>
        </w:rPr>
      </w:pPr>
      <w:r>
        <w:rPr>
          <w:rFonts w:hint="eastAsia" w:ascii="仿宋" w:hAnsi="仿宋" w:eastAsia="仿宋" w:cs="仿宋"/>
          <w:b/>
          <w:bCs/>
          <w:color w:val="auto"/>
          <w:sz w:val="21"/>
          <w:szCs w:val="21"/>
          <w:highlight w:val="none"/>
          <w:u w:val="none"/>
          <w:lang w:val="en-US" w:eastAsia="zh-CN"/>
        </w:rPr>
        <w:t>1.本范本根据《政府采购法》、《中华人民共和国民法典》等法律法规制定。具体项目的采购合同条款，在本范本框架内由甲乙双方协商一致签订。空格处划横线。</w:t>
      </w:r>
    </w:p>
    <w:p w14:paraId="60A9BDF5">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both"/>
        <w:textAlignment w:val="auto"/>
        <w:outlineLvl w:val="9"/>
        <w:rPr>
          <w:rFonts w:hint="eastAsia" w:ascii="仿宋" w:hAnsi="仿宋" w:eastAsia="仿宋" w:cs="仿宋"/>
          <w:b/>
          <w:bCs/>
          <w:color w:val="auto"/>
          <w:sz w:val="21"/>
          <w:szCs w:val="21"/>
          <w:highlight w:val="none"/>
          <w:u w:val="none"/>
          <w:lang w:val="en-US" w:eastAsia="zh-CN"/>
        </w:rPr>
      </w:pPr>
      <w:r>
        <w:rPr>
          <w:rFonts w:hint="eastAsia" w:ascii="仿宋" w:hAnsi="仿宋" w:eastAsia="仿宋" w:cs="仿宋"/>
          <w:b/>
          <w:bCs/>
          <w:color w:val="auto"/>
          <w:sz w:val="21"/>
          <w:szCs w:val="21"/>
          <w:highlight w:val="none"/>
          <w:u w:val="none"/>
          <w:lang w:val="en-US" w:eastAsia="zh-CN"/>
        </w:rPr>
        <w:t>2.收款单位名称应与本合同乙方单位名称、项目中标单位名称、开具发票单位名称相一致。</w:t>
      </w:r>
    </w:p>
    <w:p w14:paraId="117D34D6">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both"/>
        <w:textAlignment w:val="auto"/>
        <w:outlineLvl w:val="9"/>
        <w:rPr>
          <w:rFonts w:hint="eastAsia" w:ascii="仿宋" w:hAnsi="仿宋" w:eastAsia="仿宋" w:cs="仿宋"/>
          <w:b/>
          <w:bCs/>
          <w:color w:val="auto"/>
          <w:sz w:val="21"/>
          <w:szCs w:val="21"/>
          <w:highlight w:val="none"/>
          <w:u w:val="none"/>
          <w:lang w:val="en-US" w:eastAsia="zh-CN"/>
        </w:rPr>
      </w:pPr>
      <w:r>
        <w:rPr>
          <w:rFonts w:hint="eastAsia" w:ascii="仿宋" w:hAnsi="仿宋" w:eastAsia="仿宋" w:cs="仿宋"/>
          <w:b/>
          <w:bCs/>
          <w:color w:val="auto"/>
          <w:sz w:val="21"/>
          <w:szCs w:val="21"/>
          <w:highlight w:val="none"/>
          <w:u w:val="none"/>
          <w:lang w:val="en-US" w:eastAsia="zh-CN"/>
        </w:rPr>
        <w:t>3.甲方（采购单位）应盖本单位公章（不允许盖内设科室章），乙方应盖单位公章或合同专用章，合同双方应盖骑缝章。</w:t>
      </w:r>
    </w:p>
    <w:p w14:paraId="2B9EDAE4">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both"/>
        <w:textAlignment w:val="auto"/>
        <w:outlineLvl w:val="9"/>
        <w:rPr>
          <w:rFonts w:hint="eastAsia" w:ascii="仿宋" w:hAnsi="仿宋" w:eastAsia="仿宋" w:cs="仿宋"/>
          <w:b/>
          <w:bCs/>
          <w:color w:val="auto"/>
          <w:sz w:val="21"/>
          <w:szCs w:val="21"/>
          <w:highlight w:val="none"/>
          <w:u w:val="none"/>
          <w:lang w:val="en-US" w:eastAsia="zh-CN"/>
        </w:rPr>
      </w:pPr>
      <w:r>
        <w:rPr>
          <w:rFonts w:hint="eastAsia" w:ascii="仿宋" w:hAnsi="仿宋" w:eastAsia="仿宋" w:cs="仿宋"/>
          <w:b/>
          <w:bCs/>
          <w:color w:val="auto"/>
          <w:sz w:val="21"/>
          <w:szCs w:val="21"/>
          <w:highlight w:val="none"/>
          <w:u w:val="none"/>
          <w:lang w:val="en-US" w:eastAsia="zh-CN"/>
        </w:rPr>
        <w:t>4. 除涉密项目外，根据《政府采购法实施条例》第50条规定：采购人应当自政府采购合同签订之日起2个工作日内，将政府采购合同在省级以上人民政府财政部门指定的媒体上公告。</w:t>
      </w:r>
    </w:p>
    <w:p w14:paraId="0FAF3172">
      <w:pPr>
        <w:keepNext w:val="0"/>
        <w:keepLines w:val="0"/>
        <w:pageBreakBefore w:val="0"/>
        <w:widowControl w:val="0"/>
        <w:kinsoku/>
        <w:wordWrap/>
        <w:overflowPunct/>
        <w:topLinePunct w:val="0"/>
        <w:autoSpaceDE/>
        <w:autoSpaceDN/>
        <w:bidi w:val="0"/>
        <w:adjustRightInd/>
        <w:snapToGrid/>
        <w:spacing w:line="400" w:lineRule="exact"/>
        <w:ind w:firstLine="422" w:firstLineChars="200"/>
        <w:jc w:val="both"/>
        <w:textAlignment w:val="auto"/>
        <w:outlineLvl w:val="9"/>
        <w:rPr>
          <w:rFonts w:hint="eastAsia" w:ascii="仿宋" w:hAnsi="仿宋" w:eastAsia="仿宋" w:cs="仿宋"/>
          <w:b/>
          <w:bCs/>
          <w:color w:val="auto"/>
          <w:sz w:val="21"/>
          <w:szCs w:val="21"/>
          <w:highlight w:val="none"/>
          <w:u w:val="none"/>
          <w:lang w:val="en-US" w:eastAsia="zh-CN"/>
        </w:rPr>
      </w:pPr>
      <w:r>
        <w:rPr>
          <w:rFonts w:hint="eastAsia" w:ascii="仿宋" w:hAnsi="仿宋" w:eastAsia="仿宋" w:cs="仿宋"/>
          <w:b/>
          <w:bCs/>
          <w:color w:val="auto"/>
          <w:sz w:val="21"/>
          <w:szCs w:val="21"/>
          <w:highlight w:val="none"/>
          <w:u w:val="none"/>
          <w:lang w:val="en-US" w:eastAsia="zh-CN"/>
        </w:rPr>
        <w:t>5.合同融资注意事项：1）供应商预进行合同融资的，在签订合同时，供应商的合同账号需为合同融资行指定的账户和账号。2）预进行合同融资的合同，采购人在合同备案时，需将备案系统中供应商默认账户和账号修改为合同融资行指定的账户和账号，然后再提交合同备案。</w:t>
      </w:r>
    </w:p>
    <w:p w14:paraId="7824C62A">
      <w:pPr>
        <w:pStyle w:val="18"/>
        <w:numPr>
          <w:ilvl w:val="0"/>
          <w:numId w:val="0"/>
        </w:numPr>
        <w:jc w:val="left"/>
        <w:outlineLvl w:val="9"/>
        <w:rPr>
          <w:rFonts w:hint="eastAsia" w:ascii="仿宋" w:hAnsi="仿宋" w:eastAsia="仿宋" w:cs="仿宋"/>
          <w:b/>
          <w:bCs/>
          <w:color w:val="auto"/>
          <w:sz w:val="21"/>
          <w:szCs w:val="21"/>
          <w:highlight w:val="none"/>
          <w:lang w:val="en-US" w:eastAsia="zh-CN"/>
        </w:rPr>
      </w:pPr>
    </w:p>
    <w:p w14:paraId="4A65188C">
      <w:pPr>
        <w:pStyle w:val="16"/>
        <w:numPr>
          <w:ilvl w:val="0"/>
          <w:numId w:val="0"/>
        </w:numPr>
        <w:bidi w:val="0"/>
        <w:spacing w:line="400" w:lineRule="exact"/>
        <w:jc w:val="both"/>
        <w:outlineLvl w:val="9"/>
        <w:rPr>
          <w:rFonts w:hint="eastAsia" w:ascii="仿宋" w:hAnsi="仿宋" w:eastAsia="仿宋" w:cs="仿宋"/>
          <w:b/>
          <w:bCs/>
          <w:color w:val="auto"/>
          <w:highlight w:val="none"/>
          <w:lang w:eastAsia="zh-CN"/>
        </w:rPr>
      </w:pPr>
    </w:p>
    <w:p w14:paraId="4C841FF5">
      <w:pPr>
        <w:pageBreakBefore w:val="0"/>
        <w:kinsoku/>
        <w:wordWrap/>
        <w:overflowPunct/>
        <w:topLinePunct w:val="0"/>
        <w:bidi w:val="0"/>
        <w:spacing w:line="400" w:lineRule="exact"/>
        <w:ind w:left="0" w:leftChars="0" w:firstLine="0" w:firstLineChars="0"/>
        <w:jc w:val="center"/>
        <w:outlineLvl w:val="9"/>
        <w:rPr>
          <w:rFonts w:hint="eastAsia" w:ascii="仿宋" w:hAnsi="仿宋" w:eastAsia="仿宋" w:cs="仿宋"/>
          <w:b/>
          <w:color w:val="auto"/>
          <w:kern w:val="2"/>
          <w:sz w:val="36"/>
          <w:szCs w:val="36"/>
          <w:highlight w:val="none"/>
          <w:lang w:val="en-US" w:eastAsia="zh-CN" w:bidi="ar-SA"/>
        </w:rPr>
        <w:sectPr>
          <w:pgSz w:w="11905" w:h="16838"/>
          <w:pgMar w:top="1417" w:right="1417" w:bottom="1417" w:left="1417" w:header="850" w:footer="850" w:gutter="0"/>
          <w:pgNumType w:fmt="numberInDash"/>
          <w:cols w:space="0" w:num="1"/>
          <w:rtlGutter w:val="0"/>
          <w:docGrid w:type="lines" w:linePitch="412" w:charSpace="0"/>
        </w:sectPr>
      </w:pPr>
      <w:bookmarkStart w:id="99" w:name="_Toc11233"/>
    </w:p>
    <w:bookmarkEnd w:id="99"/>
    <w:p w14:paraId="4CC1335E">
      <w:pPr>
        <w:pageBreakBefore w:val="0"/>
        <w:numPr>
          <w:ilvl w:val="0"/>
          <w:numId w:val="0"/>
        </w:numPr>
        <w:kinsoku/>
        <w:wordWrap/>
        <w:overflowPunct/>
        <w:topLinePunct w:val="0"/>
        <w:bidi w:val="0"/>
        <w:spacing w:line="400" w:lineRule="exact"/>
        <w:ind w:left="0" w:leftChars="0" w:firstLine="0" w:firstLineChars="0"/>
        <w:jc w:val="center"/>
        <w:outlineLvl w:val="0"/>
        <w:rPr>
          <w:rFonts w:hint="eastAsia" w:ascii="仿宋" w:hAnsi="仿宋" w:eastAsia="仿宋" w:cs="仿宋"/>
          <w:b/>
          <w:color w:val="auto"/>
          <w:kern w:val="2"/>
          <w:sz w:val="36"/>
          <w:szCs w:val="36"/>
          <w:highlight w:val="none"/>
          <w:lang w:val="en-US" w:eastAsia="zh-CN" w:bidi="ar-SA"/>
        </w:rPr>
      </w:pPr>
      <w:bookmarkStart w:id="100" w:name="_Toc8764"/>
      <w:r>
        <w:rPr>
          <w:rFonts w:hint="eastAsia" w:ascii="仿宋" w:hAnsi="仿宋" w:eastAsia="仿宋" w:cs="仿宋"/>
          <w:b/>
          <w:color w:val="auto"/>
          <w:kern w:val="2"/>
          <w:sz w:val="36"/>
          <w:szCs w:val="36"/>
          <w:lang w:val="en-US" w:eastAsia="zh-CN" w:bidi="ar-SA"/>
        </w:rPr>
        <w:t xml:space="preserve">第五章  </w:t>
      </w:r>
      <w:r>
        <w:rPr>
          <w:rFonts w:hint="eastAsia" w:ascii="仿宋" w:hAnsi="仿宋" w:eastAsia="仿宋" w:cs="仿宋"/>
          <w:b/>
          <w:color w:val="auto"/>
          <w:kern w:val="2"/>
          <w:sz w:val="36"/>
          <w:szCs w:val="36"/>
          <w:highlight w:val="none"/>
          <w:lang w:val="en-US" w:eastAsia="zh-CN" w:bidi="ar-SA"/>
        </w:rPr>
        <w:t>技术规格及要求</w:t>
      </w:r>
      <w:bookmarkEnd w:id="100"/>
      <w:bookmarkStart w:id="101" w:name="_Toc22550"/>
      <w:bookmarkStart w:id="102" w:name="_Toc229989627"/>
      <w:bookmarkStart w:id="103" w:name="_Toc3361"/>
    </w:p>
    <w:bookmarkEnd w:id="101"/>
    <w:bookmarkEnd w:id="102"/>
    <w:tbl>
      <w:tblPr>
        <w:tblStyle w:val="20"/>
        <w:tblW w:w="143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1252"/>
        <w:gridCol w:w="11545"/>
        <w:gridCol w:w="703"/>
      </w:tblGrid>
      <w:tr w14:paraId="11BF2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77" w:type="dxa"/>
            <w:vAlign w:val="center"/>
          </w:tcPr>
          <w:p w14:paraId="30FCC8B3">
            <w:pPr>
              <w:spacing w:line="360" w:lineRule="auto"/>
              <w:ind w:left="0" w:leftChars="0" w:firstLine="0" w:firstLineChars="0"/>
              <w:jc w:val="both"/>
              <w:rPr>
                <w:rFonts w:hint="eastAsia" w:ascii="仿宋" w:hAnsi="仿宋" w:eastAsia="仿宋" w:cs="仿宋"/>
                <w:b/>
                <w:bCs/>
                <w:color w:val="000000" w:themeColor="text1"/>
                <w:sz w:val="24"/>
                <w:szCs w:val="24"/>
                <w:highlight w:val="none"/>
                <w:vertAlign w:val="baseli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vertAlign w:val="baseline"/>
                <w:lang w:val="en-US" w:eastAsia="zh-CN"/>
                <w14:textFill>
                  <w14:solidFill>
                    <w14:schemeClr w14:val="tx1"/>
                  </w14:solidFill>
                </w14:textFill>
              </w:rPr>
              <w:t>序号</w:t>
            </w:r>
          </w:p>
        </w:tc>
        <w:tc>
          <w:tcPr>
            <w:tcW w:w="1252" w:type="dxa"/>
            <w:vAlign w:val="center"/>
          </w:tcPr>
          <w:p w14:paraId="25BE4C41">
            <w:pPr>
              <w:spacing w:line="360" w:lineRule="auto"/>
              <w:jc w:val="both"/>
              <w:rPr>
                <w:rFonts w:hint="eastAsia" w:ascii="仿宋" w:hAnsi="仿宋" w:eastAsia="仿宋" w:cs="仿宋"/>
                <w:b/>
                <w:bCs/>
                <w:color w:val="000000" w:themeColor="text1"/>
                <w:sz w:val="24"/>
                <w:szCs w:val="24"/>
                <w:highlight w:val="none"/>
                <w:vertAlign w:val="baseli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vertAlign w:val="baseline"/>
                <w:lang w:val="en-US" w:eastAsia="zh-CN"/>
                <w14:textFill>
                  <w14:solidFill>
                    <w14:schemeClr w14:val="tx1"/>
                  </w14:solidFill>
                </w14:textFill>
              </w:rPr>
              <w:t>名称</w:t>
            </w:r>
          </w:p>
        </w:tc>
        <w:tc>
          <w:tcPr>
            <w:tcW w:w="11545" w:type="dxa"/>
            <w:vAlign w:val="center"/>
          </w:tcPr>
          <w:p w14:paraId="0EF5C82C">
            <w:pPr>
              <w:spacing w:line="360" w:lineRule="auto"/>
              <w:jc w:val="center"/>
              <w:rPr>
                <w:rFonts w:hint="eastAsia" w:ascii="仿宋" w:hAnsi="仿宋" w:eastAsia="仿宋" w:cs="仿宋"/>
                <w:b/>
                <w:bCs/>
                <w:color w:val="000000" w:themeColor="text1"/>
                <w:sz w:val="24"/>
                <w:szCs w:val="24"/>
                <w:highlight w:val="none"/>
                <w:vertAlign w:val="baseli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vertAlign w:val="baseline"/>
                <w:lang w:val="en-US" w:eastAsia="zh-CN"/>
                <w14:textFill>
                  <w14:solidFill>
                    <w14:schemeClr w14:val="tx1"/>
                  </w14:solidFill>
                </w14:textFill>
              </w:rPr>
              <w:t>技术服务标准及要求</w:t>
            </w:r>
          </w:p>
        </w:tc>
        <w:tc>
          <w:tcPr>
            <w:tcW w:w="703" w:type="dxa"/>
            <w:vAlign w:val="center"/>
          </w:tcPr>
          <w:p w14:paraId="2E7C2058">
            <w:pPr>
              <w:spacing w:line="360" w:lineRule="auto"/>
              <w:ind w:left="0" w:leftChars="0" w:firstLine="0" w:firstLineChars="0"/>
              <w:jc w:val="both"/>
              <w:rPr>
                <w:rFonts w:hint="eastAsia" w:ascii="仿宋" w:hAnsi="仿宋" w:eastAsia="仿宋" w:cs="仿宋"/>
                <w:b/>
                <w:bCs/>
                <w:color w:val="auto"/>
                <w:sz w:val="24"/>
                <w:szCs w:val="24"/>
                <w:highlight w:val="none"/>
                <w:vertAlign w:val="baseline"/>
                <w:lang w:val="en-US" w:eastAsia="zh-CN"/>
              </w:rPr>
            </w:pPr>
            <w:r>
              <w:rPr>
                <w:rFonts w:hint="eastAsia" w:ascii="仿宋" w:hAnsi="仿宋" w:eastAsia="仿宋" w:cs="仿宋"/>
                <w:b/>
                <w:bCs/>
                <w:color w:val="auto"/>
                <w:sz w:val="24"/>
                <w:szCs w:val="24"/>
                <w:highlight w:val="none"/>
                <w:vertAlign w:val="baseline"/>
                <w:lang w:val="en-US" w:eastAsia="zh-CN"/>
              </w:rPr>
              <w:t>数量</w:t>
            </w:r>
          </w:p>
        </w:tc>
      </w:tr>
      <w:tr w14:paraId="4594D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7" w:type="dxa"/>
            <w:vAlign w:val="center"/>
          </w:tcPr>
          <w:p w14:paraId="3C4FEA82">
            <w:pPr>
              <w:spacing w:line="360" w:lineRule="auto"/>
              <w:ind w:left="0" w:leftChars="0" w:firstLine="0" w:firstLineChars="0"/>
              <w:jc w:val="left"/>
              <w:rPr>
                <w:rFonts w:hint="eastAsia" w:ascii="仿宋" w:hAnsi="仿宋" w:eastAsia="仿宋" w:cs="仿宋"/>
                <w:b w:val="0"/>
                <w:bCs w:val="0"/>
                <w:color w:val="000000" w:themeColor="text1"/>
                <w:sz w:val="24"/>
                <w:szCs w:val="24"/>
                <w:highlight w:val="none"/>
                <w:vertAlign w:val="baseli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vertAlign w:val="baseline"/>
                <w:lang w:val="en-US" w:eastAsia="zh-CN"/>
                <w14:textFill>
                  <w14:solidFill>
                    <w14:schemeClr w14:val="tx1"/>
                  </w14:solidFill>
                </w14:textFill>
              </w:rPr>
              <w:t>1</w:t>
            </w:r>
          </w:p>
        </w:tc>
        <w:tc>
          <w:tcPr>
            <w:tcW w:w="1252" w:type="dxa"/>
            <w:vAlign w:val="center"/>
          </w:tcPr>
          <w:p w14:paraId="218ED61B">
            <w:pPr>
              <w:keepNext w:val="0"/>
              <w:keepLines w:val="0"/>
              <w:widowControl/>
              <w:suppressLineNumbers w:val="0"/>
              <w:jc w:val="left"/>
              <w:textAlignment w:val="center"/>
              <w:rPr>
                <w:rFonts w:hint="eastAsia" w:ascii="仿宋" w:hAnsi="仿宋" w:eastAsia="仿宋" w:cs="仿宋"/>
                <w:b w:val="0"/>
                <w:bCs w:val="0"/>
                <w:color w:val="000000" w:themeColor="text1"/>
                <w:sz w:val="24"/>
                <w:szCs w:val="24"/>
                <w:highlight w:val="none"/>
                <w:vertAlign w:val="baseline"/>
                <w:lang w:val="en-US" w:eastAsia="zh-CN"/>
                <w14:textFill>
                  <w14:solidFill>
                    <w14:schemeClr w14:val="tx1"/>
                  </w14:solidFill>
                </w14:textFill>
              </w:rPr>
            </w:pPr>
            <w:r>
              <w:rPr>
                <w:rFonts w:hint="eastAsia" w:ascii="仿宋" w:hAnsi="仿宋" w:eastAsia="仿宋" w:cs="仿宋"/>
                <w:b w:val="0"/>
                <w:bCs w:val="0"/>
                <w:i w:val="0"/>
                <w:iCs w:val="0"/>
                <w:color w:val="000000" w:themeColor="text1"/>
                <w:kern w:val="0"/>
                <w:sz w:val="24"/>
                <w:szCs w:val="24"/>
                <w:highlight w:val="none"/>
                <w:u w:val="none"/>
                <w:lang w:val="en-US" w:eastAsia="zh-CN" w:bidi="ar"/>
                <w14:textFill>
                  <w14:solidFill>
                    <w14:schemeClr w14:val="tx1"/>
                  </w14:solidFill>
                </w14:textFill>
              </w:rPr>
              <w:t>新双高项目管理与绩效评价平台技术服务</w:t>
            </w:r>
          </w:p>
        </w:tc>
        <w:tc>
          <w:tcPr>
            <w:tcW w:w="11545" w:type="dxa"/>
          </w:tcPr>
          <w:p w14:paraId="32D195BD">
            <w:pPr>
              <w:ind w:left="0" w:leftChars="0" w:firstLine="0" w:firstLineChars="0"/>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bookmarkStart w:id="104" w:name="_Toc17420"/>
            <w:bookmarkStart w:id="105" w:name="_Toc3009"/>
            <w:bookmarkStart w:id="106" w:name="_Toc22465"/>
            <w:bookmarkStart w:id="107" w:name="_Toc18288"/>
            <w:bookmarkStart w:id="108" w:name="_Toc14524"/>
            <w:bookmarkStart w:id="109" w:name="_Toc944"/>
            <w:bookmarkStart w:id="110" w:name="_Toc32026"/>
            <w:bookmarkStart w:id="111" w:name="_Toc20749"/>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一、基础支撑服务</w:t>
            </w:r>
            <w:bookmarkEnd w:id="104"/>
            <w:bookmarkEnd w:id="105"/>
            <w:bookmarkEnd w:id="106"/>
            <w:bookmarkEnd w:id="107"/>
            <w:bookmarkEnd w:id="108"/>
            <w:bookmarkEnd w:id="109"/>
            <w:bookmarkEnd w:id="110"/>
            <w:bookmarkEnd w:id="111"/>
          </w:p>
          <w:p w14:paraId="3D99BED9">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基础支撑服务能支持对本项目的角色及组织架构进行统一维护。能够提供应用管理、基础信息管理、消息模板设置、权限配置、通知发布管理、模板配置以及部门分管维护。作为本平台的基础功能模块，要求针对数据的同步与开放提供技术支撑。具体建设服务内容如下：</w:t>
            </w:r>
          </w:p>
          <w:p w14:paraId="26C50CAF">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1、应用管理服务</w:t>
            </w:r>
          </w:p>
          <w:p w14:paraId="31A0C941">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要求应用管理支持进行本项目应用的基础设置，能够支撑本平台应用在PC端和移动端管理（企业微信）。支持对本平台应用进行分类管理、权限管理和维护功能。</w:t>
            </w:r>
          </w:p>
          <w:p w14:paraId="2530A51A">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bookmarkStart w:id="112" w:name="_Toc24681"/>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2、角色管理</w:t>
            </w:r>
            <w:bookmarkEnd w:id="112"/>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服务</w:t>
            </w:r>
          </w:p>
          <w:p w14:paraId="18F911F4">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要求能够实现对本平台各模块的查询使用权限进行配置，支持将不同的用户分进不同的角色内，能够通过角色控制不同用户的各类查询和操作权限。</w:t>
            </w:r>
          </w:p>
          <w:p w14:paraId="678C43D3">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bookmarkStart w:id="113" w:name="_Toc11818"/>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3、组织架构服务</w:t>
            </w:r>
            <w:bookmarkEnd w:id="113"/>
          </w:p>
          <w:p w14:paraId="6E0D0FE7">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要求能够实现对本平台的组织架构进行统一维护管理，支持本平台的组织架构能够新增、导入和从数据中心同步。</w:t>
            </w:r>
          </w:p>
          <w:p w14:paraId="0D41DFBE">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bookmarkStart w:id="114" w:name="_Toc9623"/>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4、基础信息管理</w:t>
            </w:r>
          </w:p>
          <w:p w14:paraId="1184F6E2">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要求通过基础信息管理能够进行项目标签、项目级别、任务类型、绩效指标类别、计量单位、绩效类型、任务属性、绩效属性、任务来源、任务标签、部门简称的自定义配置。</w:t>
            </w:r>
          </w:p>
          <w:p w14:paraId="552BFE19">
            <w:pPr>
              <w:rPr>
                <w:rFonts w:hint="eastAsia" w:ascii="仿宋" w:hAnsi="仿宋" w:eastAsia="仿宋" w:cs="仿宋"/>
                <w:color w:val="000000" w:themeColor="text1"/>
                <w:sz w:val="18"/>
                <w:szCs w:val="18"/>
                <w:highlight w:val="none"/>
                <w:vertAlign w:val="baseline"/>
                <w:lang w:val="en-US"/>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要求能够进行微帮助维护，能够为关键字段提供解释和说明，帮助用户快速理解平台界面中的关键信息。</w:t>
            </w:r>
          </w:p>
          <w:p w14:paraId="21BF0393">
            <w:pPr>
              <w:rPr>
                <w:rFonts w:hint="eastAsia" w:ascii="仿宋" w:hAnsi="仿宋" w:eastAsia="仿宋" w:cs="仿宋"/>
                <w:color w:val="000000" w:themeColor="text1"/>
                <w:sz w:val="18"/>
                <w:szCs w:val="18"/>
                <w:highlight w:val="none"/>
                <w:vertAlign w:val="baseline"/>
                <w14:textFill>
                  <w14:solidFill>
                    <w14:schemeClr w14:val="tx1"/>
                  </w14:solidFill>
                </w14:textFill>
              </w:rPr>
            </w:pPr>
            <w:bookmarkStart w:id="115" w:name="_Toc4231"/>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5、</w:t>
            </w:r>
            <w:r>
              <w:rPr>
                <w:rFonts w:hint="eastAsia" w:ascii="仿宋" w:hAnsi="仿宋" w:eastAsia="仿宋" w:cs="仿宋"/>
                <w:color w:val="000000" w:themeColor="text1"/>
                <w:sz w:val="18"/>
                <w:szCs w:val="18"/>
                <w:highlight w:val="none"/>
                <w:vertAlign w:val="baseline"/>
                <w14:textFill>
                  <w14:solidFill>
                    <w14:schemeClr w14:val="tx1"/>
                  </w14:solidFill>
                </w14:textFill>
              </w:rPr>
              <w:t>消息模板设置</w:t>
            </w:r>
            <w:bookmarkEnd w:id="115"/>
          </w:p>
          <w:p w14:paraId="35DA7053">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要求能够进行消息模板的新增、编辑、删除、发送，并按需求启用消息模板。</w:t>
            </w:r>
            <w:r>
              <w:rPr>
                <w:rFonts w:hint="eastAsia" w:ascii="仿宋" w:hAnsi="仿宋" w:eastAsia="仿宋" w:cs="仿宋"/>
                <w:color w:val="000000" w:themeColor="text1"/>
                <w:sz w:val="18"/>
                <w:szCs w:val="18"/>
                <w:highlight w:val="none"/>
                <w:vertAlign w:val="baseline"/>
                <w14:textFill>
                  <w14:solidFill>
                    <w14:schemeClr w14:val="tx1"/>
                  </w14:solidFill>
                </w14:textFill>
              </w:rPr>
              <w:t>支持进行消息模板的自定义化配置，可以根据预置的消息类型、发送条件</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推送策略</w:t>
            </w:r>
            <w:r>
              <w:rPr>
                <w:rFonts w:hint="eastAsia" w:ascii="仿宋" w:hAnsi="仿宋" w:eastAsia="仿宋" w:cs="仿宋"/>
                <w:color w:val="000000" w:themeColor="text1"/>
                <w:sz w:val="18"/>
                <w:szCs w:val="18"/>
                <w:highlight w:val="none"/>
                <w:vertAlign w:val="baseline"/>
                <w14:textFill>
                  <w14:solidFill>
                    <w14:schemeClr w14:val="tx1"/>
                  </w14:solidFill>
                </w14:textFill>
              </w:rPr>
              <w:t>进行消息模板类型</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发送条件</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及推送策略</w:t>
            </w:r>
            <w:r>
              <w:rPr>
                <w:rFonts w:hint="eastAsia" w:ascii="仿宋" w:hAnsi="仿宋" w:eastAsia="仿宋" w:cs="仿宋"/>
                <w:color w:val="000000" w:themeColor="text1"/>
                <w:sz w:val="18"/>
                <w:szCs w:val="18"/>
                <w:highlight w:val="none"/>
                <w:vertAlign w:val="baseline"/>
                <w14:textFill>
                  <w14:solidFill>
                    <w14:schemeClr w14:val="tx1"/>
                  </w14:solidFill>
                </w14:textFill>
              </w:rPr>
              <w:t>的选择。</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需支持</w:t>
            </w:r>
            <w:r>
              <w:rPr>
                <w:rFonts w:hint="eastAsia" w:ascii="仿宋" w:hAnsi="仿宋" w:eastAsia="仿宋" w:cs="仿宋"/>
                <w:color w:val="000000" w:themeColor="text1"/>
                <w:sz w:val="18"/>
                <w:szCs w:val="18"/>
                <w:highlight w:val="none"/>
                <w:vertAlign w:val="baseline"/>
                <w14:textFill>
                  <w14:solidFill>
                    <w14:schemeClr w14:val="tx1"/>
                  </w14:solidFill>
                </w14:textFill>
              </w:rPr>
              <w:t>设置</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消息</w:t>
            </w:r>
            <w:r>
              <w:rPr>
                <w:rFonts w:hint="eastAsia" w:ascii="仿宋" w:hAnsi="仿宋" w:eastAsia="仿宋" w:cs="仿宋"/>
                <w:color w:val="000000" w:themeColor="text1"/>
                <w:sz w:val="18"/>
                <w:szCs w:val="18"/>
                <w:highlight w:val="none"/>
                <w:vertAlign w:val="baseline"/>
                <w14:textFill>
                  <w14:solidFill>
                    <w14:schemeClr w14:val="tx1"/>
                  </w14:solidFill>
                </w14:textFill>
              </w:rPr>
              <w:t>接收</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角色</w:t>
            </w:r>
            <w:r>
              <w:rPr>
                <w:rFonts w:hint="eastAsia" w:ascii="仿宋" w:hAnsi="仿宋" w:eastAsia="仿宋" w:cs="仿宋"/>
                <w:color w:val="000000" w:themeColor="text1"/>
                <w:sz w:val="18"/>
                <w:szCs w:val="18"/>
                <w:highlight w:val="none"/>
                <w:vertAlign w:val="baseline"/>
                <w14:textFill>
                  <w14:solidFill>
                    <w14:schemeClr w14:val="tx1"/>
                  </w14:solidFill>
                </w14:textFill>
              </w:rPr>
              <w:t>，并</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且</w:t>
            </w:r>
            <w:r>
              <w:rPr>
                <w:rFonts w:hint="eastAsia" w:ascii="仿宋" w:hAnsi="仿宋" w:eastAsia="仿宋" w:cs="仿宋"/>
                <w:color w:val="000000" w:themeColor="text1"/>
                <w:sz w:val="18"/>
                <w:szCs w:val="18"/>
                <w:highlight w:val="none"/>
                <w:vertAlign w:val="baseline"/>
                <w14:textFill>
                  <w14:solidFill>
                    <w14:schemeClr w14:val="tx1"/>
                  </w14:solidFill>
                </w14:textFill>
              </w:rPr>
              <w:t>可指定消息的</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发送渠道及推送规则。要求支持</w:t>
            </w:r>
            <w:r>
              <w:rPr>
                <w:rFonts w:hint="eastAsia" w:ascii="仿宋" w:hAnsi="仿宋" w:eastAsia="仿宋" w:cs="仿宋"/>
                <w:color w:val="000000" w:themeColor="text1"/>
                <w:sz w:val="18"/>
                <w:szCs w:val="18"/>
                <w:highlight w:val="none"/>
                <w:vertAlign w:val="baseline"/>
                <w14:textFill>
                  <w14:solidFill>
                    <w14:schemeClr w14:val="tx1"/>
                  </w14:solidFill>
                </w14:textFill>
              </w:rPr>
              <w:t>立即发送、定时发送和定点发送三种推送时间设置</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并</w:t>
            </w:r>
            <w:r>
              <w:rPr>
                <w:rFonts w:hint="eastAsia" w:ascii="仿宋" w:hAnsi="仿宋" w:eastAsia="仿宋" w:cs="仿宋"/>
                <w:color w:val="000000" w:themeColor="text1"/>
                <w:sz w:val="18"/>
                <w:szCs w:val="18"/>
                <w:highlight w:val="none"/>
                <w:vertAlign w:val="baseline"/>
                <w14:textFill>
                  <w14:solidFill>
                    <w14:schemeClr w14:val="tx1"/>
                  </w14:solidFill>
                </w14:textFill>
              </w:rPr>
              <w:t>提供实时消息预览功能，相关用户可以</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快速</w:t>
            </w:r>
            <w:r>
              <w:rPr>
                <w:rFonts w:hint="eastAsia" w:ascii="仿宋" w:hAnsi="仿宋" w:eastAsia="仿宋" w:cs="仿宋"/>
                <w:color w:val="000000" w:themeColor="text1"/>
                <w:sz w:val="18"/>
                <w:szCs w:val="18"/>
                <w:highlight w:val="none"/>
                <w:vertAlign w:val="baseline"/>
                <w14:textFill>
                  <w14:solidFill>
                    <w14:schemeClr w14:val="tx1"/>
                  </w14:solidFill>
                </w14:textFill>
              </w:rPr>
              <w:t>查看消息模板配置效果。</w:t>
            </w:r>
          </w:p>
          <w:p w14:paraId="44C813D5">
            <w:pP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w:t>
            </w:r>
            <w:r>
              <w:rPr>
                <w:rFonts w:hint="eastAsia" w:ascii="仿宋" w:hAnsi="仿宋" w:eastAsia="仿宋" w:cs="仿宋"/>
                <w:color w:val="000000" w:themeColor="text1"/>
                <w:sz w:val="18"/>
                <w:szCs w:val="18"/>
                <w:highlight w:val="none"/>
                <w:vertAlign w:val="baseline"/>
                <w14:textFill>
                  <w14:solidFill>
                    <w14:schemeClr w14:val="tx1"/>
                  </w14:solidFill>
                </w14:textFill>
              </w:rPr>
              <w:t>支持查看推送日志，</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能够</w:t>
            </w:r>
            <w:r>
              <w:rPr>
                <w:rFonts w:hint="eastAsia" w:ascii="仿宋" w:hAnsi="仿宋" w:eastAsia="仿宋" w:cs="仿宋"/>
                <w:color w:val="000000" w:themeColor="text1"/>
                <w:sz w:val="18"/>
                <w:szCs w:val="18"/>
                <w:highlight w:val="none"/>
                <w:vertAlign w:val="baseline"/>
                <w14:textFill>
                  <w14:solidFill>
                    <w14:schemeClr w14:val="tx1"/>
                  </w14:solidFill>
                </w14:textFill>
              </w:rPr>
              <w:t>查看消息接收人、消息发送时间、发送内容以及消息状态。</w:t>
            </w:r>
          </w:p>
          <w:p w14:paraId="59DF6731">
            <w:pPr>
              <w:rPr>
                <w:rFonts w:hint="eastAsia" w:ascii="仿宋" w:hAnsi="仿宋" w:eastAsia="仿宋" w:cs="仿宋"/>
                <w:color w:val="000000" w:themeColor="text1"/>
                <w:sz w:val="18"/>
                <w:szCs w:val="18"/>
                <w:highlight w:val="none"/>
                <w:vertAlign w:val="baseline"/>
                <w14:textFill>
                  <w14:solidFill>
                    <w14:schemeClr w14:val="tx1"/>
                  </w14:solidFill>
                </w14:textFill>
              </w:rPr>
            </w:pPr>
            <w:bookmarkStart w:id="116" w:name="_Toc19166"/>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6、</w:t>
            </w:r>
            <w:r>
              <w:rPr>
                <w:rFonts w:hint="eastAsia" w:ascii="仿宋" w:hAnsi="仿宋" w:eastAsia="仿宋" w:cs="仿宋"/>
                <w:color w:val="000000" w:themeColor="text1"/>
                <w:sz w:val="18"/>
                <w:szCs w:val="18"/>
                <w:highlight w:val="none"/>
                <w:vertAlign w:val="baseline"/>
                <w14:textFill>
                  <w14:solidFill>
                    <w14:schemeClr w14:val="tx1"/>
                  </w14:solidFill>
                </w14:textFill>
              </w:rPr>
              <w:t>权限配置</w:t>
            </w:r>
            <w:bookmarkEnd w:id="116"/>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服务</w:t>
            </w:r>
          </w:p>
          <w:p w14:paraId="3A27C64B">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要求对本项目系统进行权限管理，实现对本平台的管理权限进行分级设置。能够</w:t>
            </w:r>
            <w:r>
              <w:rPr>
                <w:rFonts w:hint="eastAsia" w:ascii="仿宋" w:hAnsi="仿宋" w:eastAsia="仿宋" w:cs="仿宋"/>
                <w:color w:val="000000" w:themeColor="text1"/>
                <w:sz w:val="18"/>
                <w:szCs w:val="18"/>
                <w:highlight w:val="none"/>
                <w:vertAlign w:val="baseline"/>
                <w14:textFill>
                  <w14:solidFill>
                    <w14:schemeClr w14:val="tx1"/>
                  </w14:solidFill>
                </w14:textFill>
              </w:rPr>
              <w:t>对项目角色、任务角色、绩效角色进行详细的权限设定。</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w:t>
            </w:r>
            <w:r>
              <w:rPr>
                <w:rFonts w:hint="eastAsia" w:ascii="仿宋" w:hAnsi="仿宋" w:eastAsia="仿宋" w:cs="仿宋"/>
                <w:color w:val="000000" w:themeColor="text1"/>
                <w:sz w:val="18"/>
                <w:szCs w:val="18"/>
                <w:highlight w:val="none"/>
                <w:vertAlign w:val="baseline"/>
                <w14:textFill>
                  <w14:solidFill>
                    <w14:schemeClr w14:val="tx1"/>
                  </w14:solidFill>
                </w14:textFill>
              </w:rPr>
              <w:t>支持一键全选和单独勾选开启各类角色的功能权限。</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以项目角色为例：</w:t>
            </w:r>
          </w:p>
          <w:tbl>
            <w:tblPr>
              <w:tblStyle w:val="19"/>
              <w:tblW w:w="0" w:type="auto"/>
              <w:tblInd w:w="-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57"/>
              <w:gridCol w:w="1208"/>
              <w:gridCol w:w="1732"/>
              <w:gridCol w:w="7674"/>
            </w:tblGrid>
            <w:tr w14:paraId="167C8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657" w:type="dxa"/>
                  <w:tcBorders>
                    <w:top w:val="single" w:color="000000" w:sz="4" w:space="0"/>
                    <w:left w:val="single" w:color="000000" w:sz="4" w:space="0"/>
                    <w:bottom w:val="single" w:color="auto" w:sz="4" w:space="0"/>
                    <w:right w:val="single" w:color="000000" w:sz="4" w:space="0"/>
                    <w:tl2br w:val="nil"/>
                    <w:tr2bl w:val="nil"/>
                  </w:tcBorders>
                  <w:noWrap w:val="0"/>
                  <w:vAlign w:val="center"/>
                </w:tcPr>
                <w:p w14:paraId="054530D3">
                  <w:pPr>
                    <w:ind w:left="0" w:leftChars="0" w:firstLine="0" w:firstLineChars="0"/>
                    <w:jc w:val="both"/>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14:textFill>
                        <w14:solidFill>
                          <w14:schemeClr w14:val="tx1"/>
                        </w14:solidFill>
                      </w14:textFill>
                    </w:rPr>
                    <w:t>序号</w:t>
                  </w:r>
                </w:p>
              </w:tc>
              <w:tc>
                <w:tcPr>
                  <w:tcW w:w="1208" w:type="dxa"/>
                  <w:tcBorders>
                    <w:top w:val="single" w:color="000000" w:sz="4" w:space="0"/>
                    <w:left w:val="single" w:color="000000" w:sz="4" w:space="0"/>
                    <w:bottom w:val="single" w:color="auto" w:sz="4" w:space="0"/>
                    <w:right w:val="single" w:color="000000" w:sz="4" w:space="0"/>
                    <w:tl2br w:val="nil"/>
                    <w:tr2bl w:val="nil"/>
                  </w:tcBorders>
                  <w:noWrap w:val="0"/>
                  <w:vAlign w:val="center"/>
                </w:tcPr>
                <w:p w14:paraId="35C9AD56">
                  <w:pPr>
                    <w:jc w:val="cente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14:textFill>
                        <w14:solidFill>
                          <w14:schemeClr w14:val="tx1"/>
                        </w14:solidFill>
                      </w14:textFill>
                    </w:rPr>
                    <w:t>维度</w:t>
                  </w:r>
                </w:p>
              </w:tc>
              <w:tc>
                <w:tcPr>
                  <w:tcW w:w="1732" w:type="dxa"/>
                  <w:tcBorders>
                    <w:top w:val="single" w:color="000000" w:sz="4" w:space="0"/>
                    <w:left w:val="single" w:color="000000" w:sz="4" w:space="0"/>
                    <w:bottom w:val="single" w:color="auto" w:sz="4" w:space="0"/>
                    <w:right w:val="single" w:color="000000" w:sz="4" w:space="0"/>
                    <w:tl2br w:val="nil"/>
                    <w:tr2bl w:val="nil"/>
                  </w:tcBorders>
                  <w:noWrap w:val="0"/>
                  <w:vAlign w:val="center"/>
                </w:tcPr>
                <w:p w14:paraId="2D24A6E6">
                  <w:pPr>
                    <w:jc w:val="cente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14:textFill>
                        <w14:solidFill>
                          <w14:schemeClr w14:val="tx1"/>
                        </w14:solidFill>
                      </w14:textFill>
                    </w:rPr>
                    <w:t>角色</w:t>
                  </w:r>
                </w:p>
              </w:tc>
              <w:tc>
                <w:tcPr>
                  <w:tcW w:w="7674" w:type="dxa"/>
                  <w:tcBorders>
                    <w:top w:val="single" w:color="000000" w:sz="4" w:space="0"/>
                    <w:left w:val="single" w:color="000000" w:sz="4" w:space="0"/>
                    <w:bottom w:val="single" w:color="auto" w:sz="4" w:space="0"/>
                    <w:right w:val="single" w:color="000000" w:sz="4" w:space="0"/>
                    <w:tl2br w:val="nil"/>
                    <w:tr2bl w:val="nil"/>
                  </w:tcBorders>
                  <w:noWrap w:val="0"/>
                  <w:vAlign w:val="center"/>
                </w:tcPr>
                <w:p w14:paraId="14B44EDA">
                  <w:pPr>
                    <w:jc w:val="cente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14:textFill>
                        <w14:solidFill>
                          <w14:schemeClr w14:val="tx1"/>
                        </w14:solidFill>
                      </w14:textFill>
                    </w:rPr>
                    <w:t>可配置权限明细</w:t>
                  </w:r>
                </w:p>
              </w:tc>
            </w:tr>
            <w:tr w14:paraId="1C89D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657"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45A0EBC5">
                  <w:pP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w:t>
                  </w:r>
                </w:p>
              </w:tc>
              <w:tc>
                <w:tcPr>
                  <w:tcW w:w="1208" w:type="dxa"/>
                  <w:vMerge w:val="restart"/>
                  <w:tcBorders>
                    <w:top w:val="single" w:color="auto" w:sz="4" w:space="0"/>
                    <w:left w:val="single" w:color="auto" w:sz="4" w:space="0"/>
                    <w:bottom w:val="single" w:color="auto" w:sz="4" w:space="0"/>
                    <w:right w:val="single" w:color="auto" w:sz="4" w:space="0"/>
                    <w:tl2br w:val="nil"/>
                    <w:tr2bl w:val="nil"/>
                  </w:tcBorders>
                  <w:noWrap w:val="0"/>
                  <w:vAlign w:val="center"/>
                </w:tcPr>
                <w:p w14:paraId="7A609365">
                  <w:pPr>
                    <w:ind w:left="0" w:leftChars="0" w:firstLine="0" w:firstLineChars="0"/>
                    <w:jc w:val="both"/>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14:textFill>
                        <w14:solidFill>
                          <w14:schemeClr w14:val="tx1"/>
                        </w14:solidFill>
                      </w14:textFill>
                    </w:rPr>
                    <w:t>项目角色</w:t>
                  </w:r>
                </w:p>
              </w:tc>
              <w:tc>
                <w:tcPr>
                  <w:tcW w:w="173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6215FF7">
                  <w:pPr>
                    <w:jc w:val="cente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14:textFill>
                        <w14:solidFill>
                          <w14:schemeClr w14:val="tx1"/>
                        </w14:solidFill>
                      </w14:textFill>
                    </w:rPr>
                    <w:t>项目创建人</w:t>
                  </w:r>
                </w:p>
              </w:tc>
              <w:tc>
                <w:tcPr>
                  <w:tcW w:w="76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64B2DF54">
                  <w:pP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w:t>
                  </w:r>
                  <w:r>
                    <w:rPr>
                      <w:rFonts w:hint="eastAsia" w:ascii="仿宋" w:hAnsi="仿宋" w:eastAsia="仿宋" w:cs="仿宋"/>
                      <w:color w:val="000000" w:themeColor="text1"/>
                      <w:sz w:val="18"/>
                      <w:szCs w:val="18"/>
                      <w:highlight w:val="none"/>
                      <w:vertAlign w:val="baseline"/>
                      <w14:textFill>
                        <w14:solidFill>
                          <w14:schemeClr w14:val="tx1"/>
                        </w14:solidFill>
                      </w14:textFill>
                    </w:rPr>
                    <w:t>支持进行任务创建</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反馈审核</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绩效关联任务</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任务删除</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任务复制</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任务延期</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任务编辑</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任务终止</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项目删除</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项目编辑</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一键清除</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任务次序调整</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项目编辑</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项目设置</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批量删除</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任务分解</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任务次序调整</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任务延期</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任务关联</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任务终止</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任务关联绩效</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导出</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导入</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反馈审核</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是否启用控制</w:t>
                  </w:r>
                  <w:r>
                    <w:rPr>
                      <w:rFonts w:hint="eastAsia" w:ascii="仿宋" w:hAnsi="仿宋" w:eastAsia="仿宋" w:cs="仿宋"/>
                      <w:color w:val="000000" w:themeColor="text1"/>
                      <w:sz w:val="18"/>
                      <w:szCs w:val="18"/>
                      <w:highlight w:val="none"/>
                      <w:vertAlign w:val="baseline"/>
                      <w14:textFill>
                        <w14:solidFill>
                          <w14:schemeClr w14:val="tx1"/>
                        </w14:solidFill>
                      </w14:textFill>
                    </w:rPr>
                    <w:t>。</w:t>
                  </w:r>
                </w:p>
              </w:tc>
            </w:tr>
            <w:tr w14:paraId="16881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trPr>
              <w:tc>
                <w:tcPr>
                  <w:tcW w:w="657"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52347C24">
                  <w:pPr>
                    <w:rPr>
                      <w:rFonts w:hint="eastAsia" w:ascii="仿宋" w:hAnsi="仿宋" w:eastAsia="仿宋" w:cs="仿宋"/>
                      <w:color w:val="000000" w:themeColor="text1"/>
                      <w:sz w:val="18"/>
                      <w:szCs w:val="18"/>
                      <w:highlight w:val="none"/>
                      <w:vertAlign w:val="baseline"/>
                      <w14:textFill>
                        <w14:solidFill>
                          <w14:schemeClr w14:val="tx1"/>
                        </w14:solidFill>
                      </w14:textFill>
                    </w:rPr>
                  </w:pPr>
                </w:p>
              </w:tc>
              <w:tc>
                <w:tcPr>
                  <w:tcW w:w="1208"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7DA3447">
                  <w:pPr>
                    <w:jc w:val="center"/>
                    <w:rPr>
                      <w:rFonts w:hint="eastAsia" w:ascii="仿宋" w:hAnsi="仿宋" w:eastAsia="仿宋" w:cs="仿宋"/>
                      <w:color w:val="000000" w:themeColor="text1"/>
                      <w:sz w:val="18"/>
                      <w:szCs w:val="18"/>
                      <w:highlight w:val="none"/>
                      <w:vertAlign w:val="baseline"/>
                      <w14:textFill>
                        <w14:solidFill>
                          <w14:schemeClr w14:val="tx1"/>
                        </w14:solidFill>
                      </w14:textFill>
                    </w:rPr>
                  </w:pPr>
                </w:p>
              </w:tc>
              <w:tc>
                <w:tcPr>
                  <w:tcW w:w="173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4B372C8B">
                  <w:pPr>
                    <w:jc w:val="cente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14:textFill>
                        <w14:solidFill>
                          <w14:schemeClr w14:val="tx1"/>
                        </w14:solidFill>
                      </w14:textFill>
                    </w:rPr>
                    <w:t>项目负责人</w:t>
                  </w:r>
                </w:p>
              </w:tc>
              <w:tc>
                <w:tcPr>
                  <w:tcW w:w="76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D2D68C">
                  <w:pP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w:t>
                  </w:r>
                  <w:r>
                    <w:rPr>
                      <w:rFonts w:hint="eastAsia" w:ascii="仿宋" w:hAnsi="仿宋" w:eastAsia="仿宋" w:cs="仿宋"/>
                      <w:color w:val="000000" w:themeColor="text1"/>
                      <w:sz w:val="18"/>
                      <w:szCs w:val="18"/>
                      <w:highlight w:val="none"/>
                      <w:vertAlign w:val="baseline"/>
                      <w14:textFill>
                        <w14:solidFill>
                          <w14:schemeClr w14:val="tx1"/>
                        </w14:solidFill>
                      </w14:textFill>
                    </w:rPr>
                    <w:t>支持进行项目设置、任务删除、批量删除、任务终止、任务延期、导出、</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任务关联绩效、绩效关联任务、任务次序调整、</w:t>
                  </w:r>
                  <w:r>
                    <w:rPr>
                      <w:rFonts w:hint="eastAsia" w:ascii="仿宋" w:hAnsi="仿宋" w:eastAsia="仿宋" w:cs="仿宋"/>
                      <w:color w:val="000000" w:themeColor="text1"/>
                      <w:sz w:val="18"/>
                      <w:szCs w:val="18"/>
                      <w:highlight w:val="none"/>
                      <w:vertAlign w:val="baseline"/>
                      <w14:textFill>
                        <w14:solidFill>
                          <w14:schemeClr w14:val="tx1"/>
                        </w14:solidFill>
                      </w14:textFill>
                    </w:rPr>
                    <w:t>任务复制、一键清除</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任务编辑、项目删除、任务分解、反馈审核、导入、任务关联、项目编辑、任务创建功能权限是否</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启用控制</w:t>
                  </w:r>
                  <w:r>
                    <w:rPr>
                      <w:rFonts w:hint="eastAsia" w:ascii="仿宋" w:hAnsi="仿宋" w:eastAsia="仿宋" w:cs="仿宋"/>
                      <w:color w:val="000000" w:themeColor="text1"/>
                      <w:sz w:val="18"/>
                      <w:szCs w:val="18"/>
                      <w:highlight w:val="none"/>
                      <w:vertAlign w:val="baseline"/>
                      <w14:textFill>
                        <w14:solidFill>
                          <w14:schemeClr w14:val="tx1"/>
                        </w14:solidFill>
                      </w14:textFill>
                    </w:rPr>
                    <w:t>。</w:t>
                  </w:r>
                </w:p>
              </w:tc>
            </w:tr>
            <w:tr w14:paraId="0CF86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57"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425062DA">
                  <w:pPr>
                    <w:rPr>
                      <w:rFonts w:hint="eastAsia" w:ascii="仿宋" w:hAnsi="仿宋" w:eastAsia="仿宋" w:cs="仿宋"/>
                      <w:color w:val="000000" w:themeColor="text1"/>
                      <w:sz w:val="18"/>
                      <w:szCs w:val="18"/>
                      <w:highlight w:val="none"/>
                      <w:vertAlign w:val="baseline"/>
                      <w14:textFill>
                        <w14:solidFill>
                          <w14:schemeClr w14:val="tx1"/>
                        </w14:solidFill>
                      </w14:textFill>
                    </w:rPr>
                  </w:pPr>
                </w:p>
              </w:tc>
              <w:tc>
                <w:tcPr>
                  <w:tcW w:w="1208" w:type="dxa"/>
                  <w:vMerge w:val="continue"/>
                  <w:tcBorders>
                    <w:top w:val="single" w:color="auto" w:sz="4" w:space="0"/>
                    <w:left w:val="single" w:color="auto" w:sz="4" w:space="0"/>
                    <w:bottom w:val="single" w:color="auto" w:sz="4" w:space="0"/>
                    <w:right w:val="single" w:color="auto" w:sz="4" w:space="0"/>
                    <w:tl2br w:val="nil"/>
                    <w:tr2bl w:val="nil"/>
                  </w:tcBorders>
                  <w:noWrap w:val="0"/>
                  <w:vAlign w:val="center"/>
                </w:tcPr>
                <w:p w14:paraId="6E227B48">
                  <w:pPr>
                    <w:jc w:val="center"/>
                    <w:rPr>
                      <w:rFonts w:hint="eastAsia" w:ascii="仿宋" w:hAnsi="仿宋" w:eastAsia="仿宋" w:cs="仿宋"/>
                      <w:color w:val="000000" w:themeColor="text1"/>
                      <w:sz w:val="18"/>
                      <w:szCs w:val="18"/>
                      <w:highlight w:val="none"/>
                      <w:vertAlign w:val="baseline"/>
                      <w14:textFill>
                        <w14:solidFill>
                          <w14:schemeClr w14:val="tx1"/>
                        </w14:solidFill>
                      </w14:textFill>
                    </w:rPr>
                  </w:pPr>
                </w:p>
              </w:tc>
              <w:tc>
                <w:tcPr>
                  <w:tcW w:w="173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1FA55F3">
                  <w:pPr>
                    <w:jc w:val="cente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14:textFill>
                        <w14:solidFill>
                          <w14:schemeClr w14:val="tx1"/>
                        </w14:solidFill>
                      </w14:textFill>
                    </w:rPr>
                    <w:t>项目督办人</w:t>
                  </w:r>
                </w:p>
              </w:tc>
              <w:tc>
                <w:tcPr>
                  <w:tcW w:w="7674"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98C362F">
                  <w:pP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w:t>
                  </w:r>
                  <w:r>
                    <w:rPr>
                      <w:rFonts w:hint="eastAsia" w:ascii="仿宋" w:hAnsi="仿宋" w:eastAsia="仿宋" w:cs="仿宋"/>
                      <w:color w:val="000000" w:themeColor="text1"/>
                      <w:sz w:val="18"/>
                      <w:szCs w:val="18"/>
                      <w:highlight w:val="none"/>
                      <w:vertAlign w:val="baseline"/>
                      <w14:textFill>
                        <w14:solidFill>
                          <w14:schemeClr w14:val="tx1"/>
                        </w14:solidFill>
                      </w14:textFill>
                    </w:rPr>
                    <w:t>支持进行项目督办功能是否</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启用控制</w:t>
                  </w:r>
                  <w:r>
                    <w:rPr>
                      <w:rFonts w:hint="eastAsia" w:ascii="仿宋" w:hAnsi="仿宋" w:eastAsia="仿宋" w:cs="仿宋"/>
                      <w:color w:val="000000" w:themeColor="text1"/>
                      <w:sz w:val="18"/>
                      <w:szCs w:val="18"/>
                      <w:highlight w:val="none"/>
                      <w:vertAlign w:val="baseline"/>
                      <w14:textFill>
                        <w14:solidFill>
                          <w14:schemeClr w14:val="tx1"/>
                        </w14:solidFill>
                      </w14:textFill>
                    </w:rPr>
                    <w:t>。</w:t>
                  </w:r>
                </w:p>
              </w:tc>
            </w:tr>
            <w:bookmarkEnd w:id="114"/>
          </w:tbl>
          <w:p w14:paraId="0E48C805">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7、通知发布管理</w:t>
            </w:r>
          </w:p>
          <w:p w14:paraId="37632944">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要求相关授权用户能够根据学校实际情况，进行双高项目通知的新增、启用与删除。能够在线进行通知的编辑与格式调整，能够按需求指定接收对象，并支持控制通知是否公开与置顶。</w:t>
            </w:r>
          </w:p>
          <w:p w14:paraId="71088C9C">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8、通知推送对象设置</w:t>
            </w:r>
          </w:p>
          <w:p w14:paraId="1BD0BE1F">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要求能够进行通知推送对象设置，支持选择推送策略、发送渠道与接收人员。支持进行消息内容撰写，并能够进行消息预览。需支持设置接收频率，能够按天、月进行设置。</w:t>
            </w:r>
          </w:p>
          <w:p w14:paraId="49101729">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9、模板配置</w:t>
            </w:r>
          </w:p>
          <w:p w14:paraId="52084445">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要求能够从全校角度、分管角度、一级任务角度对新双高项目推进模板进行维护，支持预设默认模板，能够新增、删除各项目模板，并支持控制模板是否启用。</w:t>
            </w:r>
          </w:p>
          <w:p w14:paraId="04E041E4">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10、部门分管维护</w:t>
            </w:r>
          </w:p>
          <w:p w14:paraId="01517966">
            <w:pP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平台需支持进行部门分管维护，能够按业务分管条线进行部门和人员的配置，支持根据需求绩效分管条线的启用或删除。</w:t>
            </w:r>
          </w:p>
          <w:p w14:paraId="78FA9578">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11、数据开放</w:t>
            </w:r>
          </w:p>
          <w:p w14:paraId="1D941481">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要求将本平台内的数据通过接口或者数据库账号的方式进行数据发布，充分发挥本平台内的数据效能。（需提供出详细的功能建设内容描述和原型图或系统截图）</w:t>
            </w:r>
          </w:p>
          <w:p w14:paraId="66EAD134">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12、数据同步</w:t>
            </w:r>
          </w:p>
          <w:p w14:paraId="681FA66F">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要求在数据中心开放接口的情况下，能够支持将数据同步到本平台中，提高校方存量数据的利用效率，保证数据的唯一性。（需提供出详细的功能建设内容描述和原型图或系统截图）</w:t>
            </w:r>
          </w:p>
          <w:p w14:paraId="74825B74">
            <w:pPr>
              <w:rPr>
                <w:rFonts w:hint="eastAsia" w:ascii="仿宋" w:hAnsi="仿宋" w:eastAsia="仿宋" w:cs="仿宋"/>
                <w:b/>
                <w:bCs/>
                <w:color w:val="FF0000"/>
                <w:sz w:val="18"/>
                <w:szCs w:val="18"/>
                <w:highlight w:val="none"/>
                <w:vertAlign w:val="baseline"/>
                <w:lang w:val="en-US" w:eastAsia="zh-CN"/>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★13、数据兼容：可与不同国产数据库的产品兼容，</w:t>
            </w:r>
            <w:r>
              <w:rPr>
                <w:rFonts w:hint="eastAsia" w:ascii="仿宋" w:hAnsi="仿宋" w:eastAsia="仿宋" w:cs="仿宋"/>
                <w:color w:val="auto"/>
                <w:sz w:val="18"/>
                <w:szCs w:val="18"/>
                <w:highlight w:val="none"/>
                <w:vertAlign w:val="baseline"/>
                <w:lang w:val="en-US" w:eastAsia="zh-CN"/>
              </w:rPr>
              <w:t>提供</w:t>
            </w:r>
            <w:r>
              <w:rPr>
                <w:rFonts w:hint="eastAsia" w:ascii="仿宋" w:hAnsi="仿宋" w:eastAsia="仿宋" w:cs="仿宋"/>
                <w:b w:val="0"/>
                <w:bCs w:val="0"/>
                <w:color w:val="auto"/>
                <w:sz w:val="18"/>
                <w:szCs w:val="18"/>
                <w:highlight w:val="none"/>
                <w:vertAlign w:val="baseline"/>
                <w:lang w:val="en-US" w:eastAsia="zh-CN"/>
              </w:rPr>
              <w:t>有效的证明材料。</w:t>
            </w:r>
          </w:p>
          <w:p w14:paraId="6DEA25ED">
            <w:pPr>
              <w:numPr>
                <w:ilvl w:val="0"/>
                <w:numId w:val="0"/>
              </w:num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kern w:val="2"/>
                <w:sz w:val="18"/>
                <w:szCs w:val="18"/>
                <w:highlight w:val="none"/>
                <w:vertAlign w:val="baseline"/>
                <w:lang w:val="en-US" w:eastAsia="zh-CN" w:bidi="ar-SA"/>
                <w14:textFill>
                  <w14:solidFill>
                    <w14:schemeClr w14:val="tx1"/>
                  </w14:solidFill>
                </w14:textFill>
              </w:rPr>
              <w:t>14、</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性能要求</w:t>
            </w:r>
          </w:p>
          <w:p w14:paraId="21BCC1C5">
            <w:pPr>
              <w:numPr>
                <w:ilvl w:val="0"/>
                <w:numId w:val="0"/>
              </w:num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应具备较好的的系统架构设计及高性能调优服务能力，“项目管理与绩效评价”类平台性能检测报告包含①任务资金和绩效管理、②基础支撑服务类、③关联图谱类、④知识中心类、⑤材料汇编管理类等关键功能模块；</w:t>
            </w:r>
          </w:p>
          <w:p w14:paraId="55EB4C23">
            <w:pPr>
              <w:rPr>
                <w:rFonts w:hint="eastAsia" w:ascii="仿宋" w:hAnsi="仿宋" w:eastAsia="仿宋" w:cs="仿宋"/>
                <w:b/>
                <w:bCs/>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确保建设后的系统能承载大规模用户访问与复杂数据查询需求的性能可用性；建设的系统应能够满足：①至少支持20000用户进行注册使用；②在500用户并发时，50万数据记录条件下查询操作权限平均响应时间不大于1.2s。③在600用户并发时，80万数据记录条件下查询操作权限平均响应时间不大于2s，</w:t>
            </w:r>
            <w:r>
              <w:rPr>
                <w:rFonts w:hint="eastAsia" w:ascii="仿宋" w:hAnsi="仿宋" w:eastAsia="仿宋" w:cs="仿宋"/>
                <w:b w:val="0"/>
                <w:bCs w:val="0"/>
                <w:color w:val="000000" w:themeColor="text1"/>
                <w:sz w:val="18"/>
                <w:szCs w:val="18"/>
                <w:highlight w:val="none"/>
                <w:vertAlign w:val="baseline"/>
                <w:lang w:val="en-US" w:eastAsia="zh-CN"/>
                <w14:textFill>
                  <w14:solidFill>
                    <w14:schemeClr w14:val="tx1"/>
                  </w14:solidFill>
                </w14:textFill>
              </w:rPr>
              <w:t>（以上内容均需提供有效的检测报告）</w:t>
            </w:r>
          </w:p>
          <w:p w14:paraId="72C0867A">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15、安全要求</w:t>
            </w:r>
          </w:p>
          <w:p w14:paraId="1DFA935A">
            <w:pPr>
              <w:rPr>
                <w:rFonts w:hint="eastAsia" w:ascii="仿宋" w:hAnsi="仿宋" w:eastAsia="仿宋" w:cs="仿宋"/>
                <w:b w:val="0"/>
                <w:bCs w:val="0"/>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应具备全生命周期安全建设与数据隐私管理服务能力，确保建设的系统的安全可用性；建设的系统应能够满足</w:t>
            </w:r>
            <w:r>
              <w:rPr>
                <w:rFonts w:hint="eastAsia" w:ascii="仿宋" w:hAnsi="仿宋" w:eastAsia="仿宋" w:cs="仿宋"/>
                <w:b w:val="0"/>
                <w:bCs w:val="0"/>
                <w:color w:val="000000" w:themeColor="text1"/>
                <w:sz w:val="18"/>
                <w:szCs w:val="18"/>
                <w:highlight w:val="none"/>
                <w:vertAlign w:val="baseline"/>
                <w:lang w:val="en-US" w:eastAsia="zh-CN"/>
                <w14:textFill>
                  <w14:solidFill>
                    <w14:schemeClr w14:val="tx1"/>
                  </w14:solidFill>
                </w14:textFill>
              </w:rPr>
              <w:t>：①任务资金和绩效管理、②基础支撑服务类、③关联图谱类、④知识中心类、⑤材料汇编管理类等关键功能模块；</w:t>
            </w:r>
          </w:p>
          <w:p w14:paraId="483FEABD">
            <w:pPr>
              <w:rPr>
                <w:rFonts w:hint="eastAsia" w:ascii="仿宋" w:hAnsi="仿宋" w:eastAsia="仿宋" w:cs="仿宋"/>
                <w:b/>
                <w:bCs/>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检测结论达到①系统能够进行访问控制，保证授权用户在权限范围内进行操作，并严格禁止非授权用户执行关键操作；②系统具有安全防护机制，能抵御常见网络攻击；③系统具备日志存储和保护能力，能够记录安全事件和用户操作日志；④系统能够保证数据安全，在数据传输过程中能对敏感数据采用强加密进行保护。</w:t>
            </w:r>
            <w:r>
              <w:rPr>
                <w:rFonts w:hint="eastAsia" w:ascii="仿宋" w:hAnsi="仿宋" w:eastAsia="仿宋" w:cs="仿宋"/>
                <w:b w:val="0"/>
                <w:bCs w:val="0"/>
                <w:color w:val="000000" w:themeColor="text1"/>
                <w:sz w:val="18"/>
                <w:szCs w:val="18"/>
                <w:highlight w:val="none"/>
                <w:vertAlign w:val="baseline"/>
                <w:lang w:val="en-US" w:eastAsia="zh-CN"/>
                <w14:textFill>
                  <w14:solidFill>
                    <w14:schemeClr w14:val="tx1"/>
                  </w14:solidFill>
                </w14:textFill>
              </w:rPr>
              <w:t>（以上内容均需提供有效的检测报告）</w:t>
            </w:r>
          </w:p>
          <w:p w14:paraId="642BFCDC">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bookmarkStart w:id="117" w:name="_Toc27645"/>
            <w:bookmarkStart w:id="118" w:name="_Toc30164"/>
            <w:bookmarkStart w:id="119" w:name="_Toc6162"/>
            <w:bookmarkStart w:id="120" w:name="_Toc13975"/>
            <w:bookmarkStart w:id="121" w:name="_Toc5866"/>
            <w:bookmarkStart w:id="122" w:name="_Toc11512"/>
            <w:bookmarkStart w:id="123" w:name="_Toc28785"/>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二、专项融合门户服务</w:t>
            </w:r>
            <w:bookmarkEnd w:id="117"/>
            <w:bookmarkEnd w:id="118"/>
            <w:bookmarkEnd w:id="119"/>
            <w:bookmarkEnd w:id="120"/>
            <w:bookmarkEnd w:id="121"/>
            <w:bookmarkEnd w:id="122"/>
            <w:bookmarkEnd w:id="123"/>
          </w:p>
          <w:p w14:paraId="3570CAC3">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投标人</w:t>
            </w:r>
            <w:r>
              <w:rPr>
                <w:rFonts w:hint="eastAsia" w:ascii="仿宋" w:hAnsi="仿宋" w:eastAsia="仿宋" w:cs="仿宋"/>
                <w:color w:val="000000" w:themeColor="text1"/>
                <w:sz w:val="18"/>
                <w:szCs w:val="18"/>
                <w:highlight w:val="none"/>
                <w:vertAlign w:val="baseline"/>
                <w14:textFill>
                  <w14:solidFill>
                    <w14:schemeClr w14:val="tx1"/>
                  </w14:solidFill>
                </w14:textFill>
              </w:rPr>
              <w:t>应根据“新双高”建设的多元化业务场景，构建并部署</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新双高项目管理平台</w:t>
            </w:r>
            <w:r>
              <w:rPr>
                <w:rFonts w:hint="eastAsia" w:ascii="仿宋" w:hAnsi="仿宋" w:eastAsia="仿宋" w:cs="仿宋"/>
                <w:color w:val="000000" w:themeColor="text1"/>
                <w:sz w:val="18"/>
                <w:szCs w:val="18"/>
                <w:highlight w:val="none"/>
                <w:vertAlign w:val="baseline"/>
                <w14:textFill>
                  <w14:solidFill>
                    <w14:schemeClr w14:val="tx1"/>
                  </w14:solidFill>
                </w14:textFill>
              </w:rPr>
              <w:t>专项门户。</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具体要求如下：</w:t>
            </w:r>
          </w:p>
          <w:p w14:paraId="2640A706">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要求建立专项融合门户，能够对不同角色身份的用户进行权限过滤。如，能够为双高负责人提供双高首页和工作首页，为相关任务执行人提供专项工作首页。要求提供帮助中心和个人消息通知入口，方便用户快速获取操作指导和实时信息，帮助中心需提供常见问题汇总并支持按用户角色提供多类操作手册。</w:t>
            </w:r>
          </w:p>
          <w:p w14:paraId="3EEC64C1">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2、要求具有权限的用户能够按需切换查看双高首页和工作首页。双高首页以双高项目整体视角展示相关内容，方便相关授权用户了解项目整体进展概况。具体要求如下：①要求能够快速查阅本校发布的双高专项通知。②要求能够通过双高建设部门协作关系图谱，快速了解各部门及二级学院在双高项目中所负责任务情况。③要求提供任务重要度排名、绩效质量排名。支持查看十大一级任务实时进度排名与十大一级资金执行实时进度排名情况。④要求支持从任务、资金、绩效维度分别展示部门排名TOP和业务分管排名TOP。⑤要求能够展示工作滞后部门预警排名。（需提供出详细的功能建设内容描述和原型图或系统截图，提供不少于5张的功能截图）</w:t>
            </w:r>
          </w:p>
          <w:p w14:paraId="2BE7F6FE">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3、要求工作首页以与用户相关的工作事项为核心进行相关内容的展示以及相关事项的快速办理。具体要求如下：①个人任务：要求在门户醒目位置展示与用户相关的任务数量统计，包含“进行中的任务数”、“被督办的任务数”、“预警任务数”、被催办任务数。要求支持下钻进行各任务的快速办理与反馈详情查看。②待办事项：要求包含“个人的待办”和“个人的已办”，能够支持用户实时查看并处理个人待办和已办中的工作反馈、反馈审核、工作督办、工作转交的情况。③项目概览：要求提供项目的整体视图，展示“项目整体进度百分比”、“任务概览”、“资金概览”、“绩效概览”。（需提供出详细的功能建设内容描述和原型图或系统截图）</w:t>
            </w:r>
          </w:p>
          <w:p w14:paraId="767565E9">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bookmarkStart w:id="124" w:name="_Toc32733"/>
            <w:bookmarkStart w:id="125" w:name="_Toc32627"/>
            <w:bookmarkStart w:id="126" w:name="_Toc10034"/>
            <w:bookmarkStart w:id="127" w:name="_Toc23732"/>
            <w:bookmarkStart w:id="128" w:name="_Toc10605"/>
            <w:bookmarkStart w:id="129" w:name="_Toc24971"/>
            <w:bookmarkStart w:id="130" w:name="_Toc32242"/>
            <w:bookmarkStart w:id="131" w:name="_Toc32412"/>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三、项目新建</w:t>
            </w:r>
            <w:bookmarkEnd w:id="124"/>
            <w:bookmarkEnd w:id="125"/>
            <w:bookmarkEnd w:id="126"/>
            <w:bookmarkEnd w:id="127"/>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管理</w:t>
            </w:r>
            <w:bookmarkEnd w:id="128"/>
            <w:bookmarkEnd w:id="129"/>
            <w:bookmarkEnd w:id="130"/>
            <w:bookmarkEnd w:id="131"/>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服务</w:t>
            </w:r>
          </w:p>
          <w:p w14:paraId="418D611F">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投标人</w:t>
            </w:r>
            <w:r>
              <w:rPr>
                <w:rFonts w:hint="eastAsia" w:ascii="仿宋" w:hAnsi="仿宋" w:eastAsia="仿宋" w:cs="仿宋"/>
                <w:color w:val="000000" w:themeColor="text1"/>
                <w:sz w:val="18"/>
                <w:szCs w:val="18"/>
                <w:highlight w:val="none"/>
                <w:vertAlign w:val="baseline"/>
                <w14:textFill>
                  <w14:solidFill>
                    <w14:schemeClr w14:val="tx1"/>
                  </w14:solidFill>
                </w14:textFill>
              </w:rPr>
              <w:t>应负责建设并提供项目新建管理功能，确保平台能够承载各类重大项目的过程化管理。具体要求如下：</w:t>
            </w:r>
          </w:p>
          <w:p w14:paraId="1A842A88">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1、新双高项目管理与绩效评价项目指标预置</w:t>
            </w:r>
          </w:p>
          <w:p w14:paraId="5EC54887">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要求平台能够依据我校在第二期省级双高建设中的建设标准，快速预置本校新双高建设指标体系，降低建设指标录入的时间成本。预置指标不可删除、修改。</w:t>
            </w:r>
          </w:p>
          <w:p w14:paraId="24F91025">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2、其他重大项目新建</w:t>
            </w:r>
          </w:p>
          <w:p w14:paraId="7437C5E3">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要求支持按照阶段型项目模板和非阶段型项目模板进行学校其他重大项目的新建，以便我校统筹进行各类重大项目的过程化管理。要求新建后的项目在能够罗列展示，需</w:t>
            </w:r>
            <w:r>
              <w:rPr>
                <w:rFonts w:hint="eastAsia" w:ascii="仿宋" w:hAnsi="仿宋" w:eastAsia="仿宋" w:cs="仿宋"/>
                <w:color w:val="000000" w:themeColor="text1"/>
                <w:sz w:val="18"/>
                <w:szCs w:val="18"/>
                <w:highlight w:val="none"/>
                <w:vertAlign w:val="baseline"/>
                <w14:textFill>
                  <w14:solidFill>
                    <w14:schemeClr w14:val="tx1"/>
                  </w14:solidFill>
                </w14:textFill>
              </w:rPr>
              <w:t>支持切换按卡片或按列表方式</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展示权限范围内可管理的各</w:t>
            </w:r>
            <w:r>
              <w:rPr>
                <w:rFonts w:hint="eastAsia" w:ascii="仿宋" w:hAnsi="仿宋" w:eastAsia="仿宋" w:cs="仿宋"/>
                <w:color w:val="000000" w:themeColor="text1"/>
                <w:sz w:val="18"/>
                <w:szCs w:val="18"/>
                <w:highlight w:val="none"/>
                <w:vertAlign w:val="baseline"/>
                <w14:textFill>
                  <w14:solidFill>
                    <w14:schemeClr w14:val="tx1"/>
                  </w14:solidFill>
                </w14:textFill>
              </w:rPr>
              <w:t>项目。</w:t>
            </w:r>
          </w:p>
          <w:p w14:paraId="65C74E45">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bookmarkStart w:id="132" w:name="_Toc13626"/>
            <w:bookmarkStart w:id="133" w:name="_Toc19374"/>
            <w:bookmarkStart w:id="134" w:name="_Toc1551"/>
            <w:bookmarkStart w:id="135" w:name="_Toc7550"/>
            <w:bookmarkStart w:id="136" w:name="_Toc31501"/>
            <w:bookmarkStart w:id="137" w:name="_Toc11213"/>
            <w:bookmarkStart w:id="138" w:name="_Toc15123"/>
            <w:bookmarkStart w:id="139" w:name="_Toc30490"/>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四、项目初始化管理</w:t>
            </w:r>
            <w:bookmarkEnd w:id="132"/>
            <w:bookmarkEnd w:id="133"/>
            <w:bookmarkEnd w:id="134"/>
            <w:bookmarkEnd w:id="135"/>
            <w:bookmarkEnd w:id="136"/>
            <w:bookmarkEnd w:id="137"/>
            <w:bookmarkEnd w:id="138"/>
            <w:bookmarkEnd w:id="139"/>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服务</w:t>
            </w:r>
          </w:p>
          <w:p w14:paraId="73A928C1">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投标人应负责建设并提供项目初始化管理功能，用于具有相关权限的用户进行本校新双高项目以及学校其他重大项目的初始化管理及过程化维护。具体要求如下：</w:t>
            </w:r>
          </w:p>
          <w:p w14:paraId="072DC0CF">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1、项目信息维护</w:t>
            </w:r>
          </w:p>
          <w:p w14:paraId="09F8E7F8">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要求能够配置项目名称、项目对应图标，并明确项目标签与项目级别。支持设置项目负责人、项目起止时间以及任务层级数。支持进行相关附件上传。</w:t>
            </w:r>
          </w:p>
          <w:p w14:paraId="696E779D">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2、模块设置服务</w:t>
            </w:r>
          </w:p>
          <w:p w14:paraId="7DB20F69">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要求支持根据项目需求选择启用任务模块、资金模块、绩效模块的与否，并配置各模块的具体功能，以适配学校实际项目建设工作开展场景。具体要求如下：</w:t>
            </w:r>
          </w:p>
          <w:p w14:paraId="0B332D35">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①要求能够进行任务启用、反馈审核、反馈材料、反馈内容、任务拓展学校的配置，支持按需求启用反馈审核、</w:t>
            </w:r>
            <w:r>
              <w:rPr>
                <w:rFonts w:hint="eastAsia" w:ascii="仿宋" w:hAnsi="仿宋" w:eastAsia="仿宋" w:cs="仿宋"/>
                <w:color w:val="000000" w:themeColor="text1"/>
                <w:sz w:val="18"/>
                <w:szCs w:val="18"/>
                <w:highlight w:val="none"/>
                <w:vertAlign w:val="baseline"/>
                <w14:textFill>
                  <w14:solidFill>
                    <w14:schemeClr w14:val="tx1"/>
                  </w14:solidFill>
                </w14:textFill>
              </w:rPr>
              <w:t>审核通过禁止编辑</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虚拟节点自动计算、目标值禁止修改功能；支持配置审核模式为自定义审核流程、反馈材料上传是否必填、上传类型、最多反馈材料数量、单个材料最大大小；支持配置反馈内容字数限制；要求能够配置创建任务时是否能够选择任务属性、任务来源、任务标签。（需提供出详细的功能建设内容描述和原型图或系统截图）</w:t>
            </w:r>
          </w:p>
          <w:p w14:paraId="514343C3">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②要求支持设置资金树级别，同时可配置资金来源渠道是否包含中央财政投入资金、省级财政资金、举办方投入资金、地方财政投入资金、行业企业支持资金和学校自筹资金。</w:t>
            </w:r>
            <w:r>
              <w:rPr>
                <w:rFonts w:hint="eastAsia" w:ascii="仿宋" w:hAnsi="仿宋" w:eastAsia="仿宋" w:cs="仿宋"/>
                <w:color w:val="000000" w:themeColor="text1"/>
                <w:sz w:val="18"/>
                <w:szCs w:val="18"/>
                <w:highlight w:val="none"/>
                <w:vertAlign w:val="baseline"/>
                <w14:textFill>
                  <w14:solidFill>
                    <w14:schemeClr w14:val="tx1"/>
                  </w14:solidFill>
                </w14:textFill>
              </w:rPr>
              <w:t>支持配置支出经济是否为产品与服务支出、专用设备支出、大型修缮支出、信息网络与软件购置更新支出、无形资产支出、其他资本性支出。（需提供出详细的功能建设内容描述和原型图或系统截图）</w:t>
            </w:r>
          </w:p>
          <w:p w14:paraId="140D0D60">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③要求支持进行绩效绩效模块的绩效启用、反馈材料以及反馈内容配置。</w:t>
            </w:r>
          </w:p>
          <w:p w14:paraId="3601A6E5">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3、项目阶段设置服务</w:t>
            </w:r>
          </w:p>
          <w:p w14:paraId="6AD0C0B8">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要求对于阶段性项目，能够根据项目建设的实际需求，灵活进行项目建设阶段的划分和修改，支持配置各阶段的起止时间及阶段名称，并能够控制当前所属阶段。</w:t>
            </w:r>
          </w:p>
          <w:p w14:paraId="62150CEE">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4、项目阶段控制服务</w:t>
            </w:r>
          </w:p>
          <w:p w14:paraId="230A67E6">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要求能够对预设的项目阶段进行权限管理与维护。支持在每个阶段控制是否启用任务分解、任务反馈、绩效反馈、绩效分解功能。</w:t>
            </w:r>
          </w:p>
          <w:p w14:paraId="0A303292">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5、数据分析规则配置服务</w:t>
            </w:r>
          </w:p>
          <w:p w14:paraId="58DE62DD">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支持数据分析角色授权设置，提供数据分析统计层级配置服务，能够配置该项目的数据分析中任务、资金及绩效的统计层级；同时能够配置各阶段任务、绩效、资金分析大屏成果展示包含的功能模块。（需提供出详细的功能建设内容描述和原型图或系统截图）</w:t>
            </w:r>
          </w:p>
          <w:p w14:paraId="76F2C4A2">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6、查询权限配置服务</w:t>
            </w:r>
          </w:p>
          <w:p w14:paraId="2CF5EC18">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要求能够配置角色的项目查询权限范围。能够配置任务角色和绩效角色的权限明细。同时支持根据学校实际需求，自定义新增并管理用户角色查询权限，能够配置查询权限为指定部门、指定人或者指定任务。</w:t>
            </w:r>
          </w:p>
          <w:p w14:paraId="2CBDEE9A">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7、项目整体设置服务</w:t>
            </w:r>
          </w:p>
          <w:p w14:paraId="3703B514">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要求提供项目启动、终止、归档、删除功能，支持按需求导出整个项目、导出任务、导出资金或导出绩效。</w:t>
            </w:r>
          </w:p>
          <w:p w14:paraId="1699DCDD">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8、督办权限管理服务</w:t>
            </w:r>
          </w:p>
          <w:p w14:paraId="3998CB3E">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要求能够配置本项目任务督办人与绩效督办人。支持自定义新增并管理督办人权限明细管理，能够配置督办权限为指定部门、指定人或指定任务，并且要求支持配置督办指定层级。</w:t>
            </w:r>
          </w:p>
          <w:p w14:paraId="120BBB1A">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bookmarkStart w:id="140" w:name="_Toc4908"/>
            <w:bookmarkStart w:id="141" w:name="_Toc21228"/>
            <w:bookmarkStart w:id="142" w:name="_Toc21269"/>
            <w:bookmarkStart w:id="143" w:name="_Toc20233"/>
            <w:bookmarkStart w:id="144" w:name="_Toc2158"/>
            <w:bookmarkStart w:id="145" w:name="_Toc31828"/>
            <w:bookmarkStart w:id="146" w:name="_Toc20993"/>
            <w:bookmarkStart w:id="147" w:name="_Toc20450"/>
            <w:bookmarkStart w:id="148" w:name="_Toc29339"/>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五、项目概览</w:t>
            </w:r>
            <w:bookmarkEnd w:id="140"/>
            <w:bookmarkEnd w:id="141"/>
            <w:bookmarkEnd w:id="142"/>
            <w:bookmarkEnd w:id="143"/>
            <w:bookmarkEnd w:id="144"/>
            <w:bookmarkEnd w:id="145"/>
            <w:bookmarkEnd w:id="146"/>
            <w:bookmarkEnd w:id="147"/>
            <w:bookmarkEnd w:id="148"/>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服务</w:t>
            </w:r>
          </w:p>
          <w:p w14:paraId="4D4496C1">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投标人</w:t>
            </w:r>
            <w:r>
              <w:rPr>
                <w:rFonts w:hint="eastAsia" w:ascii="仿宋" w:hAnsi="仿宋" w:eastAsia="仿宋" w:cs="仿宋"/>
                <w:color w:val="000000" w:themeColor="text1"/>
                <w:sz w:val="18"/>
                <w:szCs w:val="18"/>
                <w:highlight w:val="none"/>
                <w:vertAlign w:val="baseline"/>
                <w14:textFill>
                  <w14:solidFill>
                    <w14:schemeClr w14:val="tx1"/>
                  </w14:solidFill>
                </w14:textFill>
              </w:rPr>
              <w:t>应负责建设并提供</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项目概览服务功能，帮助相关授权用户快速了解项目的整体状况。具体要求如下：</w:t>
            </w:r>
          </w:p>
          <w:p w14:paraId="4D26380A">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1、要求进入项目后，能通过项目概览以全局化视图，展示本项目的基本信息、任务统计信息、资金统计信息、绩效统计信息、成员信息和项目动态，帮助相关授权用户快速了解项目的整体状况。</w:t>
            </w:r>
          </w:p>
          <w:p w14:paraId="77B884A1">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bookmarkStart w:id="149" w:name="_Toc23065"/>
            <w:bookmarkStart w:id="150" w:name="_Toc30832"/>
            <w:bookmarkStart w:id="151" w:name="_Toc4982"/>
            <w:bookmarkStart w:id="152" w:name="_Toc29871"/>
            <w:bookmarkStart w:id="153" w:name="_Toc22522"/>
            <w:bookmarkStart w:id="154" w:name="_Toc26490"/>
            <w:bookmarkStart w:id="155" w:name="_Toc6353"/>
            <w:bookmarkStart w:id="156" w:name="_Toc3883"/>
            <w:bookmarkStart w:id="157" w:name="_Toc6049"/>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六、任务管理</w:t>
            </w:r>
            <w:bookmarkEnd w:id="149"/>
            <w:bookmarkEnd w:id="150"/>
            <w:bookmarkEnd w:id="151"/>
            <w:bookmarkEnd w:id="152"/>
            <w:bookmarkEnd w:id="153"/>
            <w:bookmarkEnd w:id="154"/>
            <w:bookmarkEnd w:id="155"/>
            <w:bookmarkEnd w:id="156"/>
            <w:bookmarkEnd w:id="157"/>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服务</w:t>
            </w:r>
          </w:p>
          <w:p w14:paraId="2570584F">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投标人</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建设并提供</w:t>
            </w:r>
            <w:r>
              <w:rPr>
                <w:rFonts w:hint="eastAsia" w:ascii="仿宋" w:hAnsi="仿宋" w:eastAsia="仿宋" w:cs="仿宋"/>
                <w:color w:val="000000" w:themeColor="text1"/>
                <w:sz w:val="18"/>
                <w:szCs w:val="18"/>
                <w:highlight w:val="none"/>
                <w:vertAlign w:val="baseline"/>
                <w14:textFill>
                  <w14:solidFill>
                    <w14:schemeClr w14:val="tx1"/>
                  </w14:solidFill>
                </w14:textFill>
              </w:rPr>
              <w:t>任务</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管理功能</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具体要求如下：</w:t>
            </w:r>
          </w:p>
          <w:p w14:paraId="25AAEE08">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1、具有相关权限的管理人员能够在项目启动前进行该项目任务指标配置操作。在项目启动后，支持从管理维度进行本项目的任务管理。</w:t>
            </w:r>
          </w:p>
          <w:p w14:paraId="48D24667">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2、在项目启动前要求支持自定义管理和维护各层级任务指标。支持新增一级任务，能够进行各级任务的编辑、删除、分解、复制。支持按模板导入任务指标，并支持导出任务明细、任务反馈记录或任务附件。对于预置的学校新双高建设指标体系，不可删除、修改。</w:t>
            </w:r>
          </w:p>
          <w:p w14:paraId="648D1729">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3、在项目启动后，要求支持根据不同角色在各任务中的权限范围，提供总任务查看与分阶段任务查看、编辑、分解、催办、反馈、复制、关联任务、关联绩效、任务权重配置、提前完成、延期和终止功能，保障各层级任务有序推进又充分满足不同用户在权限范围内的操作诉求。支持以树状图、甘特图切换形式展示当前各级任务。总任务能够汇总计算分阶段任务进展数据，并展示各阶段任务进度。</w:t>
            </w:r>
          </w:p>
          <w:p w14:paraId="566DC696">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4、要求在任务层级范围内，相关负责人能够查看权限范围内的任务详情，包括任务基本信息、任务历史反馈、下级任务进度、关联任务情况、督办记录以及催办记录、关联绩效情况。同时针对逾期任务与即将到期任务提供提醒功能。各层级任务指标负责人及参与人可根据实际情况进行任务反馈。</w:t>
            </w:r>
          </w:p>
          <w:p w14:paraId="32BFC09C">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5、任务分解</w:t>
            </w:r>
          </w:p>
          <w:p w14:paraId="3A31AE78">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相关负责人能够根据任务建设需求将负责的任务分解为多个下级任务并为每个下级任务确定任务类型并指定负责人、起止时间。支持对下级任务进行编辑操作。要求选择不同的任务类型，自动切换不同的任务分解模板。</w:t>
            </w:r>
          </w:p>
          <w:p w14:paraId="14F78EAF">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6、</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任务间关联以及任务与绩效管理</w:t>
            </w:r>
          </w:p>
          <w:p w14:paraId="1A82F5A0">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要求①具有权限的相关</w:t>
            </w:r>
            <w:r>
              <w:rPr>
                <w:rFonts w:hint="eastAsia" w:ascii="仿宋" w:hAnsi="仿宋" w:eastAsia="仿宋" w:cs="仿宋"/>
                <w:color w:val="000000" w:themeColor="text1"/>
                <w:sz w:val="18"/>
                <w:szCs w:val="18"/>
                <w:highlight w:val="none"/>
                <w:vertAlign w:val="baseline"/>
                <w14:textFill>
                  <w14:solidFill>
                    <w14:schemeClr w14:val="tx1"/>
                  </w14:solidFill>
                </w14:textFill>
              </w:rPr>
              <w:t>负责人能够将本项目负责的任务中存在关联的任务进行一键关联，同时支持将其他项目中负责的任务与本项目中负责的任务进行一键关联操作，实现在一处反馈，相关联任务进度数据实时同步更新。同时，支持对已关联任务进行关联解除。</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②提供任务与绩效关联，具有权限的相关</w:t>
            </w:r>
            <w:r>
              <w:rPr>
                <w:rFonts w:hint="eastAsia" w:ascii="仿宋" w:hAnsi="仿宋" w:eastAsia="仿宋" w:cs="仿宋"/>
                <w:color w:val="000000" w:themeColor="text1"/>
                <w:sz w:val="18"/>
                <w:szCs w:val="18"/>
                <w:highlight w:val="none"/>
                <w:vertAlign w:val="baseline"/>
                <w14:textFill>
                  <w14:solidFill>
                    <w14:schemeClr w14:val="tx1"/>
                  </w14:solidFill>
                </w14:textFill>
              </w:rPr>
              <w:t>负责人能够将本项目中负责的任务与绩效中存在关联的进行一键关联，关联后在该任务栏能够查看关联绩效进展同时在对应绩效模块能够查看关联任务进展</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同时，在用户进行绩效反馈时能够在选择关联任务的支撑材料，实现支撑材料自动同步。</w:t>
            </w:r>
            <w:r>
              <w:rPr>
                <w:rFonts w:hint="eastAsia" w:ascii="仿宋" w:hAnsi="仿宋" w:eastAsia="仿宋" w:cs="仿宋"/>
                <w:color w:val="000000" w:themeColor="text1"/>
                <w:sz w:val="18"/>
                <w:szCs w:val="18"/>
                <w:highlight w:val="none"/>
                <w:vertAlign w:val="baseline"/>
                <w14:textFill>
                  <w14:solidFill>
                    <w14:schemeClr w14:val="tx1"/>
                  </w14:solidFill>
                </w14:textFill>
              </w:rPr>
              <w:t>支持对已关联任务、绩效进行关联解除。</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（需提供出详细的功能建设内容描述和原型图或系统截图，提供不少于5张的功能截图）</w:t>
            </w:r>
          </w:p>
          <w:p w14:paraId="5272298D">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7、任务催办</w:t>
            </w:r>
          </w:p>
          <w:p w14:paraId="19B16445">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要求具有相关权限的用户可以根据任务的执行情况进行催办操作，被催办的用户将会收到相应的提醒通知。</w:t>
            </w:r>
          </w:p>
          <w:p w14:paraId="23D63C6C">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8、任务提前完成</w:t>
            </w:r>
          </w:p>
          <w:p w14:paraId="77DC18AC">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当某阶段的任务提前完成时，要求具有相关权限的用户能够进行提前完成操作，后续无需反馈该任务。</w:t>
            </w:r>
          </w:p>
          <w:p w14:paraId="5B9357A1">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9、任务延期及终止</w:t>
            </w:r>
          </w:p>
          <w:p w14:paraId="73EB1466">
            <w:pP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要求具有相关权限的用户能够根据任务的进展情况进行延期或终止操作。当任务遇到不可预见的障碍或进度滞后时，可以选择任务延期至某一阶段或进行任务终止操作。</w:t>
            </w:r>
          </w:p>
          <w:p w14:paraId="55A7DE82">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10、任务权重分配</w:t>
            </w:r>
          </w:p>
          <w:p w14:paraId="1BF0A7B3">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要求支持进行下级任务权重分配，实现根据下级任务权重与进展情况自动计算该任务的整体进度。</w:t>
            </w:r>
          </w:p>
          <w:p w14:paraId="5046A991">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bookmarkStart w:id="158" w:name="_Toc29333"/>
            <w:bookmarkStart w:id="159" w:name="_Toc1432"/>
            <w:bookmarkStart w:id="160" w:name="_Toc13232"/>
            <w:bookmarkStart w:id="161" w:name="_Toc32229"/>
            <w:bookmarkStart w:id="162" w:name="_Toc10548"/>
            <w:bookmarkStart w:id="163" w:name="_Toc29102"/>
            <w:bookmarkStart w:id="164" w:name="_Toc2849"/>
            <w:bookmarkStart w:id="165" w:name="_Toc22896"/>
            <w:bookmarkStart w:id="166" w:name="_Toc903"/>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七、资金管理</w:t>
            </w:r>
            <w:bookmarkEnd w:id="158"/>
            <w:bookmarkEnd w:id="159"/>
            <w:bookmarkEnd w:id="160"/>
            <w:bookmarkEnd w:id="161"/>
            <w:bookmarkEnd w:id="162"/>
            <w:bookmarkEnd w:id="163"/>
            <w:bookmarkEnd w:id="164"/>
            <w:bookmarkEnd w:id="165"/>
            <w:bookmarkEnd w:id="166"/>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服务</w:t>
            </w:r>
          </w:p>
          <w:p w14:paraId="345A4594">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投标人</w:t>
            </w:r>
            <w:r>
              <w:rPr>
                <w:rFonts w:hint="eastAsia" w:ascii="仿宋" w:hAnsi="仿宋" w:eastAsia="仿宋" w:cs="仿宋"/>
                <w:color w:val="000000" w:themeColor="text1"/>
                <w:sz w:val="18"/>
                <w:szCs w:val="18"/>
                <w:highlight w:val="none"/>
                <w:vertAlign w:val="baseline"/>
                <w14:textFill>
                  <w14:solidFill>
                    <w14:schemeClr w14:val="tx1"/>
                  </w14:solidFill>
                </w14:textFill>
              </w:rPr>
              <w:t>应负责建设并提供资金管理功能，具体要求如下：</w:t>
            </w:r>
          </w:p>
          <w:p w14:paraId="2D70AA14">
            <w:pP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1、要求</w:t>
            </w:r>
            <w:r>
              <w:rPr>
                <w:rFonts w:hint="eastAsia" w:ascii="仿宋" w:hAnsi="仿宋" w:eastAsia="仿宋" w:cs="仿宋"/>
                <w:color w:val="000000" w:themeColor="text1"/>
                <w:sz w:val="18"/>
                <w:szCs w:val="18"/>
                <w:highlight w:val="none"/>
                <w:vertAlign w:val="baseline"/>
                <w14:textFill>
                  <w14:solidFill>
                    <w14:schemeClr w14:val="tx1"/>
                  </w14:solidFill>
                </w14:textFill>
              </w:rPr>
              <w:t>具有相关权限的管理人员能够以资金树形式进行该项目资金管理，该资金树与项目建设各阶段任务层级相对应，支持根据学校财务管理需求控制资金管理层级。要求支持项目资金从预算、</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到位、</w:t>
            </w:r>
            <w:r>
              <w:rPr>
                <w:rFonts w:hint="eastAsia" w:ascii="仿宋" w:hAnsi="仿宋" w:eastAsia="仿宋" w:cs="仿宋"/>
                <w:color w:val="000000" w:themeColor="text1"/>
                <w:sz w:val="18"/>
                <w:szCs w:val="18"/>
                <w:highlight w:val="none"/>
                <w:vertAlign w:val="baseline"/>
                <w14:textFill>
                  <w14:solidFill>
                    <w14:schemeClr w14:val="tx1"/>
                  </w14:solidFill>
                </w14:textFill>
              </w:rPr>
              <w:t>执行</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三</w:t>
            </w:r>
            <w:r>
              <w:rPr>
                <w:rFonts w:hint="eastAsia" w:ascii="仿宋" w:hAnsi="仿宋" w:eastAsia="仿宋" w:cs="仿宋"/>
                <w:color w:val="000000" w:themeColor="text1"/>
                <w:sz w:val="18"/>
                <w:szCs w:val="18"/>
                <w:highlight w:val="none"/>
                <w:vertAlign w:val="baseline"/>
                <w14:textFill>
                  <w14:solidFill>
                    <w14:schemeClr w14:val="tx1"/>
                  </w14:solidFill>
                </w14:textFill>
              </w:rPr>
              <w:t>大维度进行数据管理，提供资金执行率实时统计功能。提供总资金和分阶段资金管理功能，并且提供</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三</w:t>
            </w:r>
            <w:r>
              <w:rPr>
                <w:rFonts w:hint="eastAsia" w:ascii="仿宋" w:hAnsi="仿宋" w:eastAsia="仿宋" w:cs="仿宋"/>
                <w:color w:val="000000" w:themeColor="text1"/>
                <w:sz w:val="18"/>
                <w:szCs w:val="18"/>
                <w:highlight w:val="none"/>
                <w:vertAlign w:val="baseline"/>
                <w14:textFill>
                  <w14:solidFill>
                    <w14:schemeClr w14:val="tx1"/>
                  </w14:solidFill>
                </w14:textFill>
              </w:rPr>
              <w:t>个维度的资金在中央财政、省级财政、地方财政、行业企业以及学校自筹等本项目预设资金源的分类数据管理，能够将每条任务下的资金进行数据管理和横向汇总，并以资金项为维度进行纵向汇总。（需提供出详细的功能建设内容描述和原型图或系统截图）</w:t>
            </w:r>
          </w:p>
          <w:p w14:paraId="62832C8C">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2、</w:t>
            </w:r>
            <w:r>
              <w:rPr>
                <w:rFonts w:hint="eastAsia" w:ascii="仿宋" w:hAnsi="仿宋" w:eastAsia="仿宋" w:cs="仿宋"/>
                <w:color w:val="000000" w:themeColor="text1"/>
                <w:sz w:val="18"/>
                <w:szCs w:val="18"/>
                <w:highlight w:val="none"/>
                <w:vertAlign w:val="baseline"/>
                <w14:textFill>
                  <w14:solidFill>
                    <w14:schemeClr w14:val="tx1"/>
                  </w14:solidFill>
                </w14:textFill>
              </w:rPr>
              <w:t>对于新双高项目需提供预算、执行维度的资金在产品与服务支出、专用设备支出、大型修缮支出、信息网络及软件购置更新支出、无形资产购置支出、其他资本性支出、其他支出等本项目预设资金源的分类数据管理。</w:t>
            </w:r>
          </w:p>
          <w:p w14:paraId="007DB83D">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3、资金汇总管理</w:t>
            </w:r>
          </w:p>
          <w:p w14:paraId="36BE5A9D">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总资金自动汇总出项目资金各维度的总金额。如，各年度预算能够自动汇总项目总预算。</w:t>
            </w:r>
          </w:p>
          <w:p w14:paraId="5E06CEA3">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4、资金预算管理</w:t>
            </w:r>
          </w:p>
          <w:p w14:paraId="03D39A57">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14:textFill>
                  <w14:solidFill>
                    <w14:schemeClr w14:val="tx1"/>
                  </w14:solidFill>
                </w14:textFill>
              </w:rPr>
              <w:t>要求在项目启动前进行该项目各阶段资金预算管理，支持手动填写和按模板导入两种方式录入项目资金预算，以满足不同项目的资金预算管理需求。对于预置的学校新双高资金预算指标体系，不可删除、修改。</w:t>
            </w:r>
          </w:p>
          <w:p w14:paraId="20958450">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5、资金执行管理</w:t>
            </w:r>
          </w:p>
          <w:p w14:paraId="016DF0F3">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14:textFill>
                  <w14:solidFill>
                    <w14:schemeClr w14:val="tx1"/>
                  </w14:solidFill>
                </w14:textFill>
              </w:rPr>
              <w:t>在项目启动后，</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w:t>
            </w:r>
            <w:r>
              <w:rPr>
                <w:rFonts w:hint="eastAsia" w:ascii="仿宋" w:hAnsi="仿宋" w:eastAsia="仿宋" w:cs="仿宋"/>
                <w:color w:val="000000" w:themeColor="text1"/>
                <w:sz w:val="18"/>
                <w:szCs w:val="18"/>
                <w:highlight w:val="none"/>
                <w:vertAlign w:val="baseline"/>
                <w14:textFill>
                  <w14:solidFill>
                    <w14:schemeClr w14:val="tx1"/>
                  </w14:solidFill>
                </w14:textFill>
              </w:rPr>
              <w:t>支持从管理维度进行资金执行数据按年度登记或管理。要求支持学校财务管理人员对项目资金</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执行</w:t>
            </w:r>
            <w:r>
              <w:rPr>
                <w:rFonts w:hint="eastAsia" w:ascii="仿宋" w:hAnsi="仿宋" w:eastAsia="仿宋" w:cs="仿宋"/>
                <w:color w:val="000000" w:themeColor="text1"/>
                <w:sz w:val="18"/>
                <w:szCs w:val="18"/>
                <w:highlight w:val="none"/>
                <w:vertAlign w:val="baseline"/>
                <w14:textFill>
                  <w14:solidFill>
                    <w14:schemeClr w14:val="tx1"/>
                  </w14:solidFill>
                </w14:textFill>
              </w:rPr>
              <w:t>数据进行在线填报</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或</w:t>
            </w:r>
            <w:r>
              <w:rPr>
                <w:rFonts w:hint="eastAsia" w:ascii="仿宋" w:hAnsi="仿宋" w:eastAsia="仿宋" w:cs="仿宋"/>
                <w:color w:val="000000" w:themeColor="text1"/>
                <w:sz w:val="18"/>
                <w:szCs w:val="18"/>
                <w:highlight w:val="none"/>
                <w:vertAlign w:val="baseline"/>
                <w14:textFill>
                  <w14:solidFill>
                    <w14:schemeClr w14:val="tx1"/>
                  </w14:solidFill>
                </w14:textFill>
              </w:rPr>
              <w:t>按模板导入。要求</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在线进行资金执行填报时，资金执行合计情况自动计算。同时</w:t>
            </w:r>
            <w:r>
              <w:rPr>
                <w:rFonts w:hint="eastAsia" w:ascii="仿宋" w:hAnsi="仿宋" w:eastAsia="仿宋" w:cs="仿宋"/>
                <w:color w:val="000000" w:themeColor="text1"/>
                <w:sz w:val="18"/>
                <w:szCs w:val="18"/>
                <w:highlight w:val="none"/>
                <w:vertAlign w:val="baseline"/>
                <w14:textFill>
                  <w14:solidFill>
                    <w14:schemeClr w14:val="tx1"/>
                  </w14:solidFill>
                </w14:textFill>
              </w:rPr>
              <w:t>支持资金执行情况按快照模式管理，</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能够</w:t>
            </w:r>
            <w:r>
              <w:rPr>
                <w:rFonts w:hint="eastAsia" w:ascii="仿宋" w:hAnsi="仿宋" w:eastAsia="仿宋" w:cs="仿宋"/>
                <w:color w:val="000000" w:themeColor="text1"/>
                <w:sz w:val="18"/>
                <w:szCs w:val="18"/>
                <w:highlight w:val="none"/>
                <w:vertAlign w:val="baseline"/>
                <w14:textFill>
                  <w14:solidFill>
                    <w14:schemeClr w14:val="tx1"/>
                  </w14:solidFill>
                </w14:textFill>
              </w:rPr>
              <w:t>进行当前时间段资金执行的填报快照另存，另存时需设置本次快照名称和截止时间，以便用户按需求随时保存当前录入的资金执行数据，用户可以随时</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切换</w:t>
            </w:r>
            <w:r>
              <w:rPr>
                <w:rFonts w:hint="eastAsia" w:ascii="仿宋" w:hAnsi="仿宋" w:eastAsia="仿宋" w:cs="仿宋"/>
                <w:color w:val="000000" w:themeColor="text1"/>
                <w:sz w:val="18"/>
                <w:szCs w:val="18"/>
                <w:highlight w:val="none"/>
                <w:vertAlign w:val="baseline"/>
                <w14:textFill>
                  <w14:solidFill>
                    <w14:schemeClr w14:val="tx1"/>
                  </w14:solidFill>
                </w14:textFill>
              </w:rPr>
              <w:t>查看历史快照数据，能够</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删除</w:t>
            </w:r>
            <w:r>
              <w:rPr>
                <w:rFonts w:hint="eastAsia" w:ascii="仿宋" w:hAnsi="仿宋" w:eastAsia="仿宋" w:cs="仿宋"/>
                <w:color w:val="000000" w:themeColor="text1"/>
                <w:sz w:val="18"/>
                <w:szCs w:val="18"/>
                <w:highlight w:val="none"/>
                <w:vertAlign w:val="baseline"/>
                <w14:textFill>
                  <w14:solidFill>
                    <w14:schemeClr w14:val="tx1"/>
                  </w14:solidFill>
                </w14:textFill>
              </w:rPr>
              <w:t>历史快照。</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按照模板导入资金执行情况时，能够进行数据校验，统计并展示数据校验结果，并标名每条数据校验是否符合，对不符合数据提供不符合规则说明。（需提供出详细的功能建设内容描述和原型图或系统截图，提供不少于5张的功能截图）</w:t>
            </w:r>
          </w:p>
          <w:p w14:paraId="30598E8A">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6、资金执行同步管理：</w:t>
            </w:r>
            <w:r>
              <w:rPr>
                <w:rFonts w:hint="eastAsia" w:ascii="仿宋" w:hAnsi="仿宋" w:eastAsia="仿宋" w:cs="仿宋"/>
                <w:color w:val="000000" w:themeColor="text1"/>
                <w:sz w:val="18"/>
                <w:szCs w:val="18"/>
                <w:highlight w:val="none"/>
                <w:vertAlign w:val="baseline"/>
                <w14:textFill>
                  <w14:solidFill>
                    <w14:schemeClr w14:val="tx1"/>
                  </w14:solidFill>
                </w14:textFill>
              </w:rPr>
              <w:t>根据学校需求，能够新增维护资金项目编码，实现进行财务编码匹配，在学校已有财务系统并且开放端口的情况下，本平台进行对接，快速同步项目资金数据。</w:t>
            </w:r>
          </w:p>
          <w:p w14:paraId="2F79CAF1">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7、资金到位管理</w:t>
            </w:r>
          </w:p>
          <w:p w14:paraId="3F714C2D">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在项目启动后，要求支持</w:t>
            </w:r>
            <w:r>
              <w:rPr>
                <w:rFonts w:hint="eastAsia" w:ascii="仿宋" w:hAnsi="仿宋" w:eastAsia="仿宋" w:cs="仿宋"/>
                <w:color w:val="000000" w:themeColor="text1"/>
                <w:sz w:val="18"/>
                <w:szCs w:val="18"/>
                <w:highlight w:val="none"/>
                <w:vertAlign w:val="baseline"/>
                <w14:textFill>
                  <w14:solidFill>
                    <w14:schemeClr w14:val="tx1"/>
                  </w14:solidFill>
                </w14:textFill>
              </w:rPr>
              <w:t>从管理维度进行资金</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到位</w:t>
            </w:r>
            <w:r>
              <w:rPr>
                <w:rFonts w:hint="eastAsia" w:ascii="仿宋" w:hAnsi="仿宋" w:eastAsia="仿宋" w:cs="仿宋"/>
                <w:color w:val="000000" w:themeColor="text1"/>
                <w:sz w:val="18"/>
                <w:szCs w:val="18"/>
                <w:highlight w:val="none"/>
                <w:vertAlign w:val="baseline"/>
                <w14:textFill>
                  <w14:solidFill>
                    <w14:schemeClr w14:val="tx1"/>
                  </w14:solidFill>
                </w14:textFill>
              </w:rPr>
              <w:t>数据按</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年度</w:t>
            </w:r>
            <w:r>
              <w:rPr>
                <w:rFonts w:hint="eastAsia" w:ascii="仿宋" w:hAnsi="仿宋" w:eastAsia="仿宋" w:cs="仿宋"/>
                <w:color w:val="000000" w:themeColor="text1"/>
                <w:sz w:val="18"/>
                <w:szCs w:val="18"/>
                <w:highlight w:val="none"/>
                <w:vertAlign w:val="baseline"/>
                <w14:textFill>
                  <w14:solidFill>
                    <w14:schemeClr w14:val="tx1"/>
                  </w14:solidFill>
                </w14:textFill>
              </w:rPr>
              <w:t>登记或管理。</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提供在线填报与按模板导入两种方式进行。</w:t>
            </w:r>
          </w:p>
          <w:p w14:paraId="1B9D5B89">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8、资金执行率管理</w:t>
            </w:r>
          </w:p>
          <w:p w14:paraId="2634772B">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要求能够进行资金汇总执行率与分年度资金执行率实时查阅，以便用户了解资金使用情况。</w:t>
            </w:r>
          </w:p>
          <w:p w14:paraId="1CF5A6F4">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bookmarkStart w:id="167" w:name="_Toc11893"/>
            <w:bookmarkStart w:id="168" w:name="_Toc19766"/>
            <w:bookmarkStart w:id="169" w:name="_Toc1016"/>
            <w:bookmarkStart w:id="170" w:name="_Toc9999"/>
            <w:bookmarkStart w:id="171" w:name="_Toc6368"/>
            <w:bookmarkStart w:id="172" w:name="_Toc5904"/>
            <w:bookmarkStart w:id="173" w:name="_Toc11785"/>
            <w:bookmarkStart w:id="174" w:name="_Toc29565"/>
            <w:bookmarkStart w:id="175" w:name="_Toc20346"/>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八、绩效管理</w:t>
            </w:r>
            <w:bookmarkEnd w:id="167"/>
            <w:bookmarkEnd w:id="168"/>
            <w:bookmarkEnd w:id="169"/>
            <w:bookmarkEnd w:id="170"/>
            <w:bookmarkEnd w:id="171"/>
            <w:bookmarkEnd w:id="172"/>
            <w:bookmarkEnd w:id="173"/>
            <w:bookmarkEnd w:id="174"/>
            <w:bookmarkEnd w:id="175"/>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服务</w:t>
            </w:r>
          </w:p>
          <w:p w14:paraId="7DD8A904">
            <w:pP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14:textFill>
                  <w14:solidFill>
                    <w14:schemeClr w14:val="tx1"/>
                  </w14:solidFill>
                </w14:textFill>
              </w:rPr>
              <w:t>供应商应负责</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建设并提供</w:t>
            </w:r>
            <w:r>
              <w:rPr>
                <w:rFonts w:hint="eastAsia" w:ascii="仿宋" w:hAnsi="仿宋" w:eastAsia="仿宋" w:cs="仿宋"/>
                <w:color w:val="000000" w:themeColor="text1"/>
                <w:sz w:val="18"/>
                <w:szCs w:val="18"/>
                <w:highlight w:val="none"/>
                <w:vertAlign w:val="baseline"/>
                <w14:textFill>
                  <w14:solidFill>
                    <w14:schemeClr w14:val="tx1"/>
                  </w14:solidFill>
                </w14:textFill>
              </w:rPr>
              <w:t>绩效管理</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功能</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具体要求如下：</w:t>
            </w:r>
          </w:p>
          <w:p w14:paraId="0067F64E">
            <w:pP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w:t>
            </w:r>
            <w:r>
              <w:rPr>
                <w:rFonts w:hint="eastAsia" w:ascii="仿宋" w:hAnsi="仿宋" w:eastAsia="仿宋" w:cs="仿宋"/>
                <w:color w:val="000000" w:themeColor="text1"/>
                <w:sz w:val="18"/>
                <w:szCs w:val="18"/>
                <w:highlight w:val="none"/>
                <w:vertAlign w:val="baseline"/>
                <w14:textFill>
                  <w14:solidFill>
                    <w14:schemeClr w14:val="tx1"/>
                  </w14:solidFill>
                </w14:textFill>
              </w:rPr>
              <w:t>具有相关权限的管理人员能够进行该项目绩效指标管理，涵盖产出指标、效益指标、满意度指标。</w:t>
            </w:r>
          </w:p>
          <w:p w14:paraId="0E9D3321">
            <w:pP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2、</w:t>
            </w:r>
            <w:r>
              <w:rPr>
                <w:rFonts w:hint="eastAsia" w:ascii="仿宋" w:hAnsi="仿宋" w:eastAsia="仿宋" w:cs="仿宋"/>
                <w:color w:val="000000" w:themeColor="text1"/>
                <w:sz w:val="18"/>
                <w:szCs w:val="18"/>
                <w:highlight w:val="none"/>
                <w:vertAlign w:val="baseline"/>
                <w14:textFill>
                  <w14:solidFill>
                    <w14:schemeClr w14:val="tx1"/>
                  </w14:solidFill>
                </w14:textFill>
              </w:rPr>
              <w:t>在项目启动前要求支持自定义管理和维护各指标类别下的具体指标项，提供绩效指标的新增、分解、复制、编辑、删除功能。要求支持按模板导入绩效指标。对于预置的</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新双高</w:t>
            </w:r>
            <w:r>
              <w:rPr>
                <w:rFonts w:hint="eastAsia" w:ascii="仿宋" w:hAnsi="仿宋" w:eastAsia="仿宋" w:cs="仿宋"/>
                <w:color w:val="000000" w:themeColor="text1"/>
                <w:sz w:val="18"/>
                <w:szCs w:val="18"/>
                <w:highlight w:val="none"/>
                <w:vertAlign w:val="baseline"/>
                <w14:textFill>
                  <w14:solidFill>
                    <w14:schemeClr w14:val="tx1"/>
                  </w14:solidFill>
                </w14:textFill>
              </w:rPr>
              <w:t>建设指标体系，不可删除、修改。</w:t>
            </w:r>
          </w:p>
          <w:p w14:paraId="354971EB">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3、</w:t>
            </w:r>
            <w:r>
              <w:rPr>
                <w:rFonts w:hint="eastAsia" w:ascii="仿宋" w:hAnsi="仿宋" w:eastAsia="仿宋" w:cs="仿宋"/>
                <w:color w:val="000000" w:themeColor="text1"/>
                <w:sz w:val="18"/>
                <w:szCs w:val="18"/>
                <w:highlight w:val="none"/>
                <w:vertAlign w:val="baseline"/>
                <w14:textFill>
                  <w14:solidFill>
                    <w14:schemeClr w14:val="tx1"/>
                  </w14:solidFill>
                </w14:textFill>
              </w:rPr>
              <w:t>在项目启动后，要求能够进行绩效催办、绩效分解、绩效关联任务操作，支持查看各绩效历史反馈情况、下级绩效情况、督办记录、催办记录和关联任务情况。支持按需支持导出绩效明细、绩效反馈记录和绩效附件。各层级绩效指标负责人可根据实际情况在</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个人</w:t>
            </w:r>
            <w:r>
              <w:rPr>
                <w:rFonts w:hint="eastAsia" w:ascii="仿宋" w:hAnsi="仿宋" w:eastAsia="仿宋" w:cs="仿宋"/>
                <w:color w:val="000000" w:themeColor="text1"/>
                <w:sz w:val="18"/>
                <w:szCs w:val="18"/>
                <w:highlight w:val="none"/>
                <w:vertAlign w:val="baseline"/>
                <w14:textFill>
                  <w14:solidFill>
                    <w14:schemeClr w14:val="tx1"/>
                  </w14:solidFill>
                </w14:textFill>
              </w:rPr>
              <w:t>工作中心进行绩效反馈。</w:t>
            </w:r>
          </w:p>
          <w:p w14:paraId="7BEC40C2">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4、绩效分解：要求支持相关负责人根据绩效指标需求将负责的绩效进行分解并为每个下级绩效指标指定负责人。</w:t>
            </w:r>
          </w:p>
          <w:p w14:paraId="2EFD4D65">
            <w:pP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5、绩效催办：要求相关负责人能够对权限范围内未达标的绩效指标进行催办操作，被催办的用户将会收到相应的通知提醒。</w:t>
            </w:r>
          </w:p>
          <w:p w14:paraId="5935DB28">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6、绩效关联任务：要求提供绩效关联任务功能，相关负责人能够将自己负责的绩效与存在关联的任务进行一键关联，能够实时查看关联任务的进度。同时，能够从在关联任务中查看绩效进度。支持根据实际情况，对已关联任务进行关联解除。在用户进行绩效反馈时能够在选择关联任务的支撑材料，实现支撑材料自动同步。（需提供出详细的功能建设内容描述和原型图或系统截图）</w:t>
            </w:r>
          </w:p>
          <w:p w14:paraId="72FDADBD">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7、绩效提前完成：当某阶段的绩效提前完成时，要求具有相关权限的用户能够进行提前完成操作，后续无需反馈该绩效。</w:t>
            </w:r>
          </w:p>
          <w:p w14:paraId="29C16411">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8、绩效超额完成：要求支持绩效超额完成，当某项绩效完成情况超过预期目标时，完成进度可超过100%。</w:t>
            </w:r>
          </w:p>
          <w:p w14:paraId="0746606A">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bookmarkStart w:id="176" w:name="_Toc6073"/>
            <w:bookmarkStart w:id="177" w:name="_Toc18409"/>
            <w:bookmarkStart w:id="178" w:name="_Toc24335"/>
            <w:bookmarkStart w:id="179" w:name="_Toc3341"/>
            <w:bookmarkStart w:id="180" w:name="_Toc25945"/>
            <w:bookmarkStart w:id="181" w:name="_Toc4223"/>
            <w:bookmarkStart w:id="182" w:name="_Toc10583"/>
            <w:bookmarkStart w:id="183" w:name="_Toc8100"/>
            <w:bookmarkStart w:id="184" w:name="_Toc23160"/>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九、关联图谱服务</w:t>
            </w:r>
            <w:bookmarkEnd w:id="176"/>
            <w:bookmarkEnd w:id="177"/>
            <w:bookmarkEnd w:id="178"/>
            <w:bookmarkEnd w:id="179"/>
            <w:bookmarkEnd w:id="180"/>
            <w:bookmarkEnd w:id="181"/>
            <w:bookmarkEnd w:id="182"/>
            <w:bookmarkEnd w:id="183"/>
          </w:p>
          <w:p w14:paraId="7E9E2D8D">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投标人</w:t>
            </w:r>
            <w:r>
              <w:rPr>
                <w:rFonts w:hint="eastAsia" w:ascii="仿宋" w:hAnsi="仿宋" w:eastAsia="仿宋" w:cs="仿宋"/>
                <w:color w:val="000000" w:themeColor="text1"/>
                <w:sz w:val="18"/>
                <w:szCs w:val="18"/>
                <w:highlight w:val="none"/>
                <w:vertAlign w:val="baseline"/>
                <w14:textFill>
                  <w14:solidFill>
                    <w14:schemeClr w14:val="tx1"/>
                  </w14:solidFill>
                </w14:textFill>
              </w:rPr>
              <w:t>应负责</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建设并提供</w:t>
            </w:r>
            <w:r>
              <w:rPr>
                <w:rFonts w:hint="eastAsia" w:ascii="仿宋" w:hAnsi="仿宋" w:eastAsia="仿宋" w:cs="仿宋"/>
                <w:color w:val="000000" w:themeColor="text1"/>
                <w:sz w:val="18"/>
                <w:szCs w:val="18"/>
                <w:highlight w:val="none"/>
                <w:vertAlign w:val="baseline"/>
                <w14:textFill>
                  <w14:solidFill>
                    <w14:schemeClr w14:val="tx1"/>
                  </w14:solidFill>
                </w14:textFill>
              </w:rPr>
              <w:t>关联图谱服务</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功能</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具体要求如下：</w:t>
            </w:r>
          </w:p>
          <w:p w14:paraId="0B5B48BF">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提供可视化关联图谱功能，能够以图谱化形式查看本项目任务、绩效的关联关系以及本项目任务与其他项目任务、绩效的关联关系，包括单个任务输出本项目的绩效、关联本项目的任务有哪些，单个任务关联其他项目的任务有哪些。同时需支持从输出绩效中反向查看该绩效有哪些任务进行支撑的。点击单条任务，能够查看该任务基本信息。要求支持切换任务/绩效维度查看关联图谱内容，并支持在页面内进行图谱比例放大、缩小以及全屏切换展示。（需提供出详细的功能建设内容描述和原型图或系统截图，提供不少于5张的功能截图）</w:t>
            </w:r>
          </w:p>
          <w:p w14:paraId="2C413E78">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bookmarkStart w:id="185" w:name="_Toc29805"/>
            <w:bookmarkStart w:id="186" w:name="_Toc7671"/>
            <w:bookmarkStart w:id="187" w:name="_Toc5388"/>
            <w:bookmarkStart w:id="188" w:name="_Toc27003"/>
            <w:bookmarkStart w:id="189" w:name="_Toc3618"/>
            <w:bookmarkStart w:id="190" w:name="_Toc31964"/>
            <w:bookmarkStart w:id="191" w:name="_Toc8529"/>
            <w:bookmarkStart w:id="192" w:name="_Toc28078"/>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十、标志性成果管理</w:t>
            </w:r>
            <w:bookmarkEnd w:id="185"/>
            <w:bookmarkEnd w:id="186"/>
            <w:bookmarkEnd w:id="187"/>
            <w:bookmarkEnd w:id="188"/>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服务</w:t>
            </w:r>
          </w:p>
          <w:p w14:paraId="74F46F3A">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投标人</w:t>
            </w:r>
            <w:r>
              <w:rPr>
                <w:rFonts w:hint="eastAsia" w:ascii="仿宋" w:hAnsi="仿宋" w:eastAsia="仿宋" w:cs="仿宋"/>
                <w:color w:val="000000" w:themeColor="text1"/>
                <w:sz w:val="18"/>
                <w:szCs w:val="18"/>
                <w:highlight w:val="none"/>
                <w:vertAlign w:val="baseline"/>
                <w14:textFill>
                  <w14:solidFill>
                    <w14:schemeClr w14:val="tx1"/>
                  </w14:solidFill>
                </w14:textFill>
              </w:rPr>
              <w:t>应负责</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建设并提供</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项目标志性成果管理功能。具体要求如下：</w:t>
            </w:r>
          </w:p>
          <w:p w14:paraId="5885D774">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要求支持学校自定义配置标志性成果分类体系，可按需新增、编辑标志性成果类型。新增时支持在线设置成果所属级别及成果来源类型，要求按任务、绩效和自定义三种成果来源进行标志性成果的新增，其中任务成果和绩效成果应支持在线关联选择对应的任务或绩效，实现任务、绩效进度数据同步，新增成功后进度数据同步更新，并支持下钻查看历史反馈。成果来源为自定义类型的，需支持用户手动录入反馈进度及内容。（需提供出详细的功能建设内容描述和原型图或系统截图）</w:t>
            </w:r>
          </w:p>
          <w:p w14:paraId="138516B0">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2、平台应按标志性成果所属级别及完成情况分类展示各标志性成果进展情况，能够编辑标志性成果基本信息，同时支持查看各标志性成果历史反馈信息，并支持具有权限的用户在该板块进行在线反馈，保障标志性成果过程管理的完整性与可追溯性。</w:t>
            </w:r>
          </w:p>
          <w:p w14:paraId="549AB49C">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bookmarkStart w:id="193" w:name="_Toc939"/>
            <w:bookmarkStart w:id="194" w:name="_Toc28654"/>
            <w:bookmarkStart w:id="195" w:name="_Toc13745"/>
            <w:bookmarkStart w:id="196" w:name="_Toc8493"/>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十一、知识中心管理</w:t>
            </w:r>
            <w:bookmarkEnd w:id="184"/>
            <w:bookmarkEnd w:id="189"/>
            <w:bookmarkEnd w:id="190"/>
            <w:bookmarkEnd w:id="191"/>
            <w:bookmarkEnd w:id="192"/>
            <w:bookmarkEnd w:id="193"/>
            <w:bookmarkEnd w:id="194"/>
            <w:bookmarkEnd w:id="195"/>
            <w:bookmarkEnd w:id="196"/>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服务</w:t>
            </w:r>
          </w:p>
          <w:p w14:paraId="56351AF6">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投标人</w:t>
            </w:r>
            <w:r>
              <w:rPr>
                <w:rFonts w:hint="eastAsia" w:ascii="仿宋" w:hAnsi="仿宋" w:eastAsia="仿宋" w:cs="仿宋"/>
                <w:color w:val="000000" w:themeColor="text1"/>
                <w:sz w:val="18"/>
                <w:szCs w:val="18"/>
                <w:highlight w:val="none"/>
                <w:vertAlign w:val="baseline"/>
                <w14:textFill>
                  <w14:solidFill>
                    <w14:schemeClr w14:val="tx1"/>
                  </w14:solidFill>
                </w14:textFill>
              </w:rPr>
              <w:t>应负责</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建设并提供</w:t>
            </w:r>
            <w:r>
              <w:rPr>
                <w:rFonts w:hint="eastAsia" w:ascii="仿宋" w:hAnsi="仿宋" w:eastAsia="仿宋" w:cs="仿宋"/>
                <w:color w:val="000000" w:themeColor="text1"/>
                <w:sz w:val="18"/>
                <w:szCs w:val="18"/>
                <w:highlight w:val="none"/>
                <w:vertAlign w:val="baseline"/>
                <w14:textFill>
                  <w14:solidFill>
                    <w14:schemeClr w14:val="tx1"/>
                  </w14:solidFill>
                </w14:textFill>
              </w:rPr>
              <w:t>知识中心管理</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功能相应的软件成果的证明材料。涵盖反馈材料管理与文档管理。具体要求如下：</w:t>
            </w:r>
          </w:p>
          <w:p w14:paraId="08BECC84">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1、反馈材料管理</w:t>
            </w:r>
          </w:p>
          <w:p w14:paraId="648A276C">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要求新双高建设过程中的所上传的附件材料能够分别按照总阶段和分阶段的任务层级目录和绩效层级目录进行自动同步，无需用户进行手动操作。支持按需求进行材料的部分下载和全部下载。</w:t>
            </w:r>
          </w:p>
          <w:p w14:paraId="073A24C9">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2、文档管理</w:t>
            </w:r>
          </w:p>
          <w:p w14:paraId="74927517">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要求文档管理能够提供过程性文档分类设置，能够按需灵活增减类目。支持用户将建设过程中的经验分享以及其他需要保存的材料进行上传管理。支持下载、删除相关文档，并且支持在线预览附件内容。</w:t>
            </w:r>
          </w:p>
          <w:p w14:paraId="54172441">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bookmarkStart w:id="197" w:name="_Toc32023"/>
            <w:bookmarkStart w:id="198" w:name="_Toc14522"/>
            <w:bookmarkStart w:id="199" w:name="_Toc16159"/>
            <w:bookmarkStart w:id="200" w:name="_Toc29998"/>
            <w:bookmarkStart w:id="201" w:name="_Toc25192"/>
            <w:bookmarkStart w:id="202" w:name="_Toc19575"/>
            <w:bookmarkStart w:id="203" w:name="_Toc703"/>
            <w:bookmarkStart w:id="204" w:name="_Toc25153"/>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十二、个人工作中心</w:t>
            </w:r>
            <w:bookmarkEnd w:id="197"/>
            <w:bookmarkEnd w:id="198"/>
            <w:bookmarkEnd w:id="199"/>
            <w:bookmarkEnd w:id="200"/>
            <w:bookmarkEnd w:id="201"/>
            <w:bookmarkEnd w:id="202"/>
            <w:bookmarkEnd w:id="203"/>
            <w:bookmarkEnd w:id="204"/>
          </w:p>
          <w:p w14:paraId="517F6E81">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投标人应</w:t>
            </w:r>
            <w:r>
              <w:rPr>
                <w:rFonts w:hint="eastAsia" w:ascii="仿宋" w:hAnsi="仿宋" w:eastAsia="仿宋" w:cs="仿宋"/>
                <w:color w:val="000000" w:themeColor="text1"/>
                <w:sz w:val="18"/>
                <w:szCs w:val="18"/>
                <w:highlight w:val="none"/>
                <w:vertAlign w:val="baseline"/>
                <w14:textFill>
                  <w14:solidFill>
                    <w14:schemeClr w14:val="tx1"/>
                  </w14:solidFill>
                </w14:textFill>
              </w:rPr>
              <w:t>负责</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建设并提供</w:t>
            </w:r>
            <w:r>
              <w:rPr>
                <w:rFonts w:hint="eastAsia" w:ascii="仿宋" w:hAnsi="仿宋" w:eastAsia="仿宋" w:cs="仿宋"/>
                <w:color w:val="000000" w:themeColor="text1"/>
                <w:sz w:val="18"/>
                <w:szCs w:val="18"/>
                <w:highlight w:val="none"/>
                <w:vertAlign w:val="baseline"/>
                <w14:textFill>
                  <w14:solidFill>
                    <w14:schemeClr w14:val="tx1"/>
                  </w14:solidFill>
                </w14:textFill>
              </w:rPr>
              <w:t>个人工作中心服务</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功能</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个人工作中心聚焦与用户个人相关的事项。要求按照个人待办与已办、个人任务、个人绩效进行相关待办事项的分类管理。具体要求如下：</w:t>
            </w:r>
          </w:p>
          <w:p w14:paraId="1D75BFD5">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1、个人待办与已办管理</w:t>
            </w:r>
          </w:p>
          <w:p w14:paraId="4766ECFC">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在个人待办与已办中，要求以用户的相关待办与已办事项为核心，能够支持用户实时查看并处理个人待办和个人已办中的工作反馈、反馈审核、工作督办和工作转交中的相关工作，能够展示最近一次反馈时间并支持查看历史反馈情况。（需提供出详细的功能建设内容描述和原型图或系统截图）</w:t>
            </w:r>
          </w:p>
          <w:p w14:paraId="1A36AB11">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2、个人负责的任务管理</w:t>
            </w:r>
          </w:p>
          <w:p w14:paraId="12A62016">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在个人任务中，要求提供自己负责的任务、自己参与的任务的快速查看与管理板块。并能够统计当前进行中任务数、未反馈数/被督办数、预警任务数、未读数/被催办总数，需能够下钻查看和处理相关任务。要求能够对自己负责的任务进行反馈、转交任务/撤销转交任务、分解、关联任务新增与解除，能够对自己的下级任务进行任务权重分配。并且能够查看“我”负责的任务详情，并支持查看历史反馈。（需提供出详细的功能建设内容描述和原型图或系统截图）</w:t>
            </w:r>
          </w:p>
          <w:p w14:paraId="2C42D22D">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3、个人参与的任务管理</w:t>
            </w:r>
          </w:p>
          <w:p w14:paraId="1A5B540D">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要求支持对“我”参与的任务进行反馈、查看历史反馈。能够查看我参与的任务具体详情。</w:t>
            </w:r>
          </w:p>
          <w:p w14:paraId="0C18B7F2">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4、个人任务反馈记录</w:t>
            </w:r>
          </w:p>
          <w:p w14:paraId="21BB67E4">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要求提供个人任务反馈记录汇总，包括反馈时间、审核时间、审核状态、审核人，并且能够查看任务反馈详情。</w:t>
            </w:r>
          </w:p>
          <w:p w14:paraId="6CFC1032">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5、个人负责的绩效管理</w:t>
            </w:r>
          </w:p>
          <w:p w14:paraId="786F4301">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统计并展示当前进行中绩效数、被督办绩效数、未读数/被催办总数，并支持下钻查看并处理相关绩效列表。需提供自己负责的、参与的任务绩效快速查看与管理功能。要求支持对“我”负责的绩效指标进行反馈、分解、绩效转交/撤销转交操关联任务新增与解除。能够查看“我”负责的绩效反馈详情。</w:t>
            </w:r>
          </w:p>
          <w:p w14:paraId="786DA86E">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6、个人参与的绩效管理</w:t>
            </w:r>
          </w:p>
          <w:p w14:paraId="46AD60F1">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要求能够对“我”参与的绩效指标绩效反馈、查看历史反馈信息。</w:t>
            </w:r>
          </w:p>
          <w:p w14:paraId="5BE53260">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7、个人绩效反馈记录</w:t>
            </w:r>
          </w:p>
          <w:p w14:paraId="00F31EA9">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要求提供个人绩效反馈记录汇总，能够查看各绩效反馈详情。</w:t>
            </w:r>
          </w:p>
          <w:p w14:paraId="4FC5F06C">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bookmarkStart w:id="205" w:name="_Toc17395"/>
            <w:bookmarkStart w:id="206" w:name="_Toc6854"/>
            <w:bookmarkStart w:id="207" w:name="_Toc6300"/>
            <w:bookmarkStart w:id="208" w:name="_Toc6055"/>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十三、项目进展监控与督办管理</w:t>
            </w:r>
            <w:bookmarkEnd w:id="205"/>
            <w:bookmarkEnd w:id="206"/>
            <w:bookmarkEnd w:id="207"/>
            <w:bookmarkEnd w:id="208"/>
          </w:p>
          <w:p w14:paraId="223A888F">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投标人</w:t>
            </w:r>
            <w:r>
              <w:rPr>
                <w:rFonts w:hint="eastAsia" w:ascii="仿宋" w:hAnsi="仿宋" w:eastAsia="仿宋" w:cs="仿宋"/>
                <w:color w:val="000000" w:themeColor="text1"/>
                <w:sz w:val="18"/>
                <w:szCs w:val="18"/>
                <w:highlight w:val="none"/>
                <w:vertAlign w:val="baseline"/>
                <w14:textFill>
                  <w14:solidFill>
                    <w14:schemeClr w14:val="tx1"/>
                  </w14:solidFill>
                </w14:textFill>
              </w:rPr>
              <w:t>应负责</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建设并提供</w:t>
            </w:r>
            <w:r>
              <w:rPr>
                <w:rFonts w:hint="eastAsia" w:ascii="仿宋" w:hAnsi="仿宋" w:eastAsia="仿宋" w:cs="仿宋"/>
                <w:color w:val="000000" w:themeColor="text1"/>
                <w:sz w:val="18"/>
                <w:szCs w:val="18"/>
                <w:highlight w:val="none"/>
                <w:vertAlign w:val="baseline"/>
                <w14:textFill>
                  <w14:solidFill>
                    <w14:schemeClr w14:val="tx1"/>
                  </w14:solidFill>
                </w14:textFill>
              </w:rPr>
              <w:t>项目进展监控与督办管理</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功能</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要求能够通过智能化预警提醒服务与项目督办管理，提升对项目全过程的动态监控与过程管控。具体要求如下：</w:t>
            </w:r>
          </w:p>
          <w:p w14:paraId="0F13996C">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1、智能化预警提醒服务</w:t>
            </w:r>
          </w:p>
          <w:p w14:paraId="2A51BDB1">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★要求提供智能化预警服务，学校能够根据实际需求，通过消息模板设置服务自定义配置各类预警提醒功能，具体如下：</w:t>
            </w:r>
          </w:p>
          <w:tbl>
            <w:tblPr>
              <w:tblStyle w:val="2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243"/>
              <w:gridCol w:w="2577"/>
              <w:gridCol w:w="7499"/>
            </w:tblGrid>
            <w:tr w14:paraId="79706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549" w:type="pct"/>
                  <w:shd w:val="clear" w:color="auto" w:fill="auto"/>
                  <w:vAlign w:val="center"/>
                </w:tcPr>
                <w:p w14:paraId="631EFFC4">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序号</w:t>
                  </w:r>
                </w:p>
              </w:tc>
              <w:tc>
                <w:tcPr>
                  <w:tcW w:w="1138" w:type="pct"/>
                  <w:shd w:val="clear" w:color="auto" w:fill="auto"/>
                  <w:vAlign w:val="center"/>
                </w:tcPr>
                <w:p w14:paraId="0E50F5B2">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预警提醒类型</w:t>
                  </w:r>
                </w:p>
              </w:tc>
              <w:tc>
                <w:tcPr>
                  <w:tcW w:w="3312" w:type="pct"/>
                  <w:shd w:val="clear" w:color="auto" w:fill="auto"/>
                  <w:vAlign w:val="center"/>
                </w:tcPr>
                <w:p w14:paraId="28346EEF">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w:t>
                  </w:r>
                </w:p>
              </w:tc>
            </w:tr>
            <w:tr w14:paraId="6EE58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pct"/>
                  <w:shd w:val="clear" w:color="auto" w:fill="auto"/>
                  <w:vAlign w:val="center"/>
                </w:tcPr>
                <w:p w14:paraId="0679A86B">
                  <w:pPr>
                    <w:jc w:val="cente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w:t>
                  </w:r>
                </w:p>
              </w:tc>
              <w:tc>
                <w:tcPr>
                  <w:tcW w:w="1138" w:type="pct"/>
                  <w:shd w:val="clear" w:color="auto" w:fill="auto"/>
                  <w:vAlign w:val="center"/>
                </w:tcPr>
                <w:p w14:paraId="7AB4EDD6">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创建任务提醒</w:t>
                  </w:r>
                </w:p>
              </w:tc>
              <w:tc>
                <w:tcPr>
                  <w:tcW w:w="3312" w:type="pct"/>
                  <w:shd w:val="clear" w:color="auto" w:fill="auto"/>
                  <w:vAlign w:val="center"/>
                </w:tcPr>
                <w:p w14:paraId="4D8E4CBA">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需支持在创建任务后，能够自动推送相关消息提醒至任务负责人、任务参与人。</w:t>
                  </w:r>
                </w:p>
              </w:tc>
            </w:tr>
            <w:tr w14:paraId="2D102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pct"/>
                  <w:shd w:val="clear" w:color="auto" w:fill="auto"/>
                  <w:vAlign w:val="center"/>
                </w:tcPr>
                <w:p w14:paraId="7F553251">
                  <w:pPr>
                    <w:jc w:val="cente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2</w:t>
                  </w:r>
                </w:p>
              </w:tc>
              <w:tc>
                <w:tcPr>
                  <w:tcW w:w="1138" w:type="pct"/>
                  <w:shd w:val="clear" w:color="auto" w:fill="auto"/>
                  <w:vAlign w:val="center"/>
                </w:tcPr>
                <w:p w14:paraId="41D06962">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编辑任务提醒</w:t>
                  </w:r>
                </w:p>
              </w:tc>
              <w:tc>
                <w:tcPr>
                  <w:tcW w:w="3312" w:type="pct"/>
                  <w:shd w:val="clear" w:color="auto" w:fill="auto"/>
                  <w:vAlign w:val="center"/>
                </w:tcPr>
                <w:p w14:paraId="73D93879">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需支持在编辑任务后，能够自动推送相关消息提醒至任务负责人、任务参与人。</w:t>
                  </w:r>
                </w:p>
              </w:tc>
            </w:tr>
            <w:tr w14:paraId="5227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49" w:type="pct"/>
                  <w:shd w:val="clear" w:color="auto" w:fill="auto"/>
                  <w:vAlign w:val="center"/>
                </w:tcPr>
                <w:p w14:paraId="2C19B3E4">
                  <w:pPr>
                    <w:jc w:val="cente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3</w:t>
                  </w:r>
                </w:p>
              </w:tc>
              <w:tc>
                <w:tcPr>
                  <w:tcW w:w="1138" w:type="pct"/>
                  <w:shd w:val="clear" w:color="auto" w:fill="auto"/>
                  <w:vAlign w:val="center"/>
                </w:tcPr>
                <w:p w14:paraId="09F37FAD">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删除任务提醒</w:t>
                  </w:r>
                </w:p>
              </w:tc>
              <w:tc>
                <w:tcPr>
                  <w:tcW w:w="3312" w:type="pct"/>
                  <w:shd w:val="clear" w:color="auto" w:fill="auto"/>
                  <w:vAlign w:val="center"/>
                </w:tcPr>
                <w:p w14:paraId="4FF3A72B">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需支持在删除任务后，能够自动推送相关消息提醒至任务负责人、任务参与人。</w:t>
                  </w:r>
                </w:p>
              </w:tc>
            </w:tr>
            <w:tr w14:paraId="2582A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pct"/>
                  <w:shd w:val="clear" w:color="auto" w:fill="auto"/>
                  <w:vAlign w:val="center"/>
                </w:tcPr>
                <w:p w14:paraId="78352EE3">
                  <w:pPr>
                    <w:jc w:val="cente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4</w:t>
                  </w:r>
                </w:p>
              </w:tc>
              <w:tc>
                <w:tcPr>
                  <w:tcW w:w="1138" w:type="pct"/>
                  <w:shd w:val="clear" w:color="auto" w:fill="auto"/>
                  <w:vAlign w:val="center"/>
                </w:tcPr>
                <w:p w14:paraId="3BF9702E">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任务反馈提醒</w:t>
                  </w:r>
                </w:p>
              </w:tc>
              <w:tc>
                <w:tcPr>
                  <w:tcW w:w="3312" w:type="pct"/>
                  <w:shd w:val="clear" w:color="auto" w:fill="auto"/>
                  <w:vAlign w:val="center"/>
                </w:tcPr>
                <w:p w14:paraId="38CF682E">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需支持在反馈任务后，能够自动推送相关消息提醒至任务负责人、任务参与人。</w:t>
                  </w:r>
                </w:p>
              </w:tc>
            </w:tr>
            <w:tr w14:paraId="20163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549" w:type="pct"/>
                  <w:shd w:val="clear" w:color="auto" w:fill="auto"/>
                  <w:vAlign w:val="center"/>
                </w:tcPr>
                <w:p w14:paraId="0D38B358">
                  <w:pPr>
                    <w:jc w:val="cente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5</w:t>
                  </w:r>
                </w:p>
              </w:tc>
              <w:tc>
                <w:tcPr>
                  <w:tcW w:w="1138" w:type="pct"/>
                  <w:shd w:val="clear" w:color="auto" w:fill="auto"/>
                  <w:vAlign w:val="center"/>
                </w:tcPr>
                <w:p w14:paraId="66BC5A65">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任务成员变更提醒</w:t>
                  </w:r>
                </w:p>
              </w:tc>
              <w:tc>
                <w:tcPr>
                  <w:tcW w:w="3312" w:type="pct"/>
                  <w:shd w:val="clear" w:color="auto" w:fill="auto"/>
                  <w:vAlign w:val="center"/>
                </w:tcPr>
                <w:p w14:paraId="3E6A8C2F">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需支持在任务成员变更操作后，能够自动推送相关消息提醒至任务负责人、任务参与人。</w:t>
                  </w:r>
                </w:p>
              </w:tc>
            </w:tr>
            <w:tr w14:paraId="47B58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pct"/>
                  <w:shd w:val="clear" w:color="auto" w:fill="auto"/>
                  <w:vAlign w:val="center"/>
                </w:tcPr>
                <w:p w14:paraId="17FA2C28">
                  <w:pPr>
                    <w:jc w:val="cente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6</w:t>
                  </w:r>
                </w:p>
              </w:tc>
              <w:tc>
                <w:tcPr>
                  <w:tcW w:w="1138" w:type="pct"/>
                  <w:shd w:val="clear" w:color="auto" w:fill="auto"/>
                  <w:vAlign w:val="center"/>
                </w:tcPr>
                <w:p w14:paraId="3C47CC4B">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任务结束预警</w:t>
                  </w:r>
                </w:p>
              </w:tc>
              <w:tc>
                <w:tcPr>
                  <w:tcW w:w="3312" w:type="pct"/>
                  <w:shd w:val="clear" w:color="auto" w:fill="auto"/>
                  <w:vAlign w:val="center"/>
                </w:tcPr>
                <w:p w14:paraId="3F3B5F54">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需支持根据任务截至时间，对已到期但未完成的任务推送相关消息提醒至任务负责人。</w:t>
                  </w:r>
                </w:p>
              </w:tc>
            </w:tr>
            <w:tr w14:paraId="4A880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pct"/>
                  <w:shd w:val="clear" w:color="auto" w:fill="auto"/>
                  <w:vAlign w:val="center"/>
                </w:tcPr>
                <w:p w14:paraId="4B308A12">
                  <w:pPr>
                    <w:jc w:val="cente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7</w:t>
                  </w:r>
                </w:p>
              </w:tc>
              <w:tc>
                <w:tcPr>
                  <w:tcW w:w="1138" w:type="pct"/>
                  <w:shd w:val="clear" w:color="auto" w:fill="auto"/>
                  <w:vAlign w:val="center"/>
                </w:tcPr>
                <w:p w14:paraId="5AE3EED6">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任务反馈预警</w:t>
                  </w:r>
                </w:p>
              </w:tc>
              <w:tc>
                <w:tcPr>
                  <w:tcW w:w="3312" w:type="pct"/>
                  <w:shd w:val="clear" w:color="auto" w:fill="auto"/>
                  <w:vAlign w:val="center"/>
                </w:tcPr>
                <w:p w14:paraId="3E650BE9">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要求支持学校根据实际需求定期推送反馈预警提醒相关任务负责人、任务参与人。如要求每月25号发送预警消息，提醒相关人员进行本月反馈。</w:t>
                  </w:r>
                </w:p>
              </w:tc>
            </w:tr>
            <w:tr w14:paraId="7AF10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9" w:type="pct"/>
                  <w:shd w:val="clear" w:color="auto" w:fill="auto"/>
                  <w:vAlign w:val="center"/>
                </w:tcPr>
                <w:p w14:paraId="0376BBB6">
                  <w:pPr>
                    <w:jc w:val="cente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8</w:t>
                  </w:r>
                </w:p>
              </w:tc>
              <w:tc>
                <w:tcPr>
                  <w:tcW w:w="1138" w:type="pct"/>
                  <w:shd w:val="clear" w:color="auto" w:fill="auto"/>
                  <w:vAlign w:val="center"/>
                </w:tcPr>
                <w:p w14:paraId="2BE15EEE">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任务进度预警</w:t>
                  </w:r>
                </w:p>
              </w:tc>
              <w:tc>
                <w:tcPr>
                  <w:tcW w:w="3312" w:type="pct"/>
                  <w:shd w:val="clear" w:color="auto" w:fill="auto"/>
                  <w:vAlign w:val="center"/>
                </w:tcPr>
                <w:p w14:paraId="69822513">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能够根据任务的执行情况和时间进度，当任务执行进度低于时间进度要求，对未按计划推进的任务自动触发预警提醒。如预设时间过半任务未过半预警提醒机制后，若任务已过周期50%但完成率不足50%时，平台需自动推送预警消息至相关任务负责人、任务参与人。</w:t>
                  </w:r>
                </w:p>
              </w:tc>
            </w:tr>
          </w:tbl>
          <w:p w14:paraId="22FA2574">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（需提供出详细的功能建设内容描述和原型图或系统截图）</w:t>
            </w:r>
          </w:p>
          <w:p w14:paraId="283E156A">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2、项目督办管理</w:t>
            </w:r>
          </w:p>
          <w:p w14:paraId="1E624988">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提供个人督办的项目和个人督办，帮助用户快速查看和管理项目督办。个人督办的项目能够展示由自己发起督办的项目基本信息，支持查看具体项目的概览、任务、资金、绩效和文档，能够针对关键任务与绩效，发起督办。被督办人能够在工作中心进行督办反馈。督办人可以实时查看被督办人反馈详情。个人的督办查阅需支持逐条展示“我”督办的各项目任务、绩效信息，包括已反馈督办与未反馈督办。支持查看督办反馈详情。（需提供出详细的功能建设内容描述和原型图或系统截图，提供不少于5张的功能截图）</w:t>
            </w:r>
          </w:p>
          <w:p w14:paraId="6FA13E3B">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bookmarkStart w:id="209" w:name="_Toc11442"/>
            <w:bookmarkStart w:id="210" w:name="_Toc21092"/>
            <w:bookmarkStart w:id="211" w:name="_Toc16818"/>
            <w:bookmarkStart w:id="212" w:name="_Toc24634"/>
            <w:bookmarkStart w:id="213" w:name="_Toc3822"/>
            <w:bookmarkStart w:id="214" w:name="_Toc18027"/>
            <w:bookmarkStart w:id="215" w:name="_Toc22739"/>
            <w:bookmarkStart w:id="216" w:name="_Toc31479"/>
            <w:bookmarkStart w:id="217" w:name="_Toc9968"/>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十四、项目进展报告管理</w:t>
            </w:r>
            <w:bookmarkEnd w:id="209"/>
            <w:bookmarkEnd w:id="210"/>
            <w:bookmarkEnd w:id="211"/>
            <w:bookmarkEnd w:id="212"/>
            <w:bookmarkEnd w:id="213"/>
            <w:bookmarkEnd w:id="214"/>
            <w:bookmarkEnd w:id="215"/>
            <w:bookmarkEnd w:id="216"/>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服务</w:t>
            </w:r>
          </w:p>
          <w:p w14:paraId="3CF64274">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投标人</w:t>
            </w:r>
            <w:r>
              <w:rPr>
                <w:rFonts w:hint="eastAsia" w:ascii="仿宋" w:hAnsi="仿宋" w:eastAsia="仿宋" w:cs="仿宋"/>
                <w:color w:val="000000" w:themeColor="text1"/>
                <w:sz w:val="18"/>
                <w:szCs w:val="18"/>
                <w:highlight w:val="none"/>
                <w:vertAlign w:val="baseline"/>
                <w14:textFill>
                  <w14:solidFill>
                    <w14:schemeClr w14:val="tx1"/>
                  </w14:solidFill>
                </w14:textFill>
              </w:rPr>
              <w:t>应负责</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建设并提供</w:t>
            </w:r>
            <w:r>
              <w:rPr>
                <w:rFonts w:hint="eastAsia" w:ascii="仿宋" w:hAnsi="仿宋" w:eastAsia="仿宋" w:cs="仿宋"/>
                <w:color w:val="000000" w:themeColor="text1"/>
                <w:sz w:val="18"/>
                <w:szCs w:val="18"/>
                <w:highlight w:val="none"/>
                <w:vertAlign w:val="baseline"/>
                <w14:textFill>
                  <w14:solidFill>
                    <w14:schemeClr w14:val="tx1"/>
                  </w14:solidFill>
                </w14:textFill>
              </w:rPr>
              <w:t>项目进展报告管理</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功能。具体要求如下：</w:t>
            </w:r>
          </w:p>
          <w:p w14:paraId="727DF16E">
            <w:pPr>
              <w:numPr>
                <w:ilvl w:val="0"/>
                <w:numId w:val="8"/>
              </w:num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要求能够按照月度报告和年度报告维度分别进行全校角度、分管角度、一级任务角度快速生成本项目word格式项目进展月度报告和年度报告，支持相关授权用户进行word格式报告下载。要求能够在线预览报告内容。</w:t>
            </w:r>
            <w:bookmarkEnd w:id="217"/>
            <w:bookmarkStart w:id="218" w:name="_Toc13203"/>
            <w:bookmarkStart w:id="219" w:name="_Toc16382"/>
            <w:bookmarkStart w:id="220" w:name="_Toc8859"/>
            <w:bookmarkStart w:id="221" w:name="_Toc21362"/>
            <w:bookmarkStart w:id="222" w:name="_Toc5162"/>
            <w:bookmarkStart w:id="223" w:name="_Toc4429"/>
            <w:bookmarkStart w:id="224" w:name="_Toc11051"/>
            <w:bookmarkStart w:id="225" w:name="_Toc27255"/>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（需提供出详细的功能建设内容描述和原型图或系统截图，提供不少于5张的功能截图）</w:t>
            </w:r>
          </w:p>
          <w:p w14:paraId="472E9B4E">
            <w:pPr>
              <w:numPr>
                <w:ilvl w:val="0"/>
                <w:numId w:val="0"/>
              </w:num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十五、查询中心</w:t>
            </w:r>
            <w:bookmarkEnd w:id="218"/>
            <w:bookmarkEnd w:id="219"/>
            <w:bookmarkEnd w:id="220"/>
            <w:bookmarkEnd w:id="221"/>
            <w:bookmarkEnd w:id="222"/>
            <w:bookmarkEnd w:id="223"/>
            <w:bookmarkEnd w:id="224"/>
            <w:bookmarkEnd w:id="225"/>
          </w:p>
          <w:p w14:paraId="4AB2F418">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投标人</w:t>
            </w:r>
            <w:r>
              <w:rPr>
                <w:rFonts w:hint="eastAsia" w:ascii="仿宋" w:hAnsi="仿宋" w:eastAsia="仿宋" w:cs="仿宋"/>
                <w:color w:val="000000" w:themeColor="text1"/>
                <w:sz w:val="18"/>
                <w:szCs w:val="18"/>
                <w:highlight w:val="none"/>
                <w:vertAlign w:val="baseline"/>
                <w14:textFill>
                  <w14:solidFill>
                    <w14:schemeClr w14:val="tx1"/>
                  </w14:solidFill>
                </w14:textFill>
              </w:rPr>
              <w:t>应负责</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建设并提供</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查询中心服务功能。要求能够提供项目维度和任务维度的查询功能</w:t>
            </w:r>
            <w:r>
              <w:rPr>
                <w:rFonts w:hint="eastAsia" w:ascii="仿宋" w:hAnsi="仿宋" w:eastAsia="仿宋" w:cs="仿宋"/>
                <w:color w:val="000000" w:themeColor="text1"/>
                <w:sz w:val="18"/>
                <w:szCs w:val="18"/>
                <w:highlight w:val="none"/>
                <w:vertAlign w:val="baseline"/>
                <w14:textFill>
                  <w14:solidFill>
                    <w14:schemeClr w14:val="tx1"/>
                  </w14:solidFill>
                </w14:textFill>
              </w:rPr>
              <w:t>，满足用户在项目管理和任务执行过程中的多样化查询需求。</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具体要求如下：</w:t>
            </w:r>
          </w:p>
          <w:p w14:paraId="636B2A45">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1、项目查询</w:t>
            </w:r>
          </w:p>
          <w:p w14:paraId="7435640C">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包含全部项目和已归档项目。能够支持用户查看权限范围内项目的完成总体进度及明细进度。</w:t>
            </w:r>
          </w:p>
          <w:p w14:paraId="5D7CA176">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要求支持按照业务场景需求自定义导出整体项目或者单独导出任务、资金、绩效数据，其中，在导出任务时要求能够选择仅导出任务或仅导出附件，满足用户不同的需求。</w:t>
            </w:r>
          </w:p>
          <w:p w14:paraId="2F852D1F">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2、任务查询</w:t>
            </w:r>
          </w:p>
          <w:p w14:paraId="33E9E347">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能够从任务属性视图、任务来源视图以及任务标签视图三个维度进行任务查询管理。支持用户根据查询需求，按照学校各项目属性、任务来源或者任务标签进行分类查询，以快速定位符合特定条件的任务。（需提供出详细的功能建设内容描述和原型图或系统截图）</w:t>
            </w:r>
          </w:p>
          <w:p w14:paraId="27DC8E63">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bookmarkStart w:id="226" w:name="_Toc18165"/>
            <w:bookmarkStart w:id="227" w:name="_Toc9238"/>
            <w:bookmarkStart w:id="228" w:name="_Toc7501"/>
            <w:bookmarkStart w:id="229" w:name="_Toc3092"/>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十六、材料汇编管理</w:t>
            </w:r>
            <w:bookmarkEnd w:id="226"/>
            <w:bookmarkEnd w:id="227"/>
            <w:bookmarkEnd w:id="228"/>
            <w:bookmarkEnd w:id="229"/>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服务</w:t>
            </w:r>
          </w:p>
          <w:p w14:paraId="0784CDB9">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投标人</w:t>
            </w:r>
            <w:r>
              <w:rPr>
                <w:rFonts w:hint="eastAsia" w:ascii="仿宋" w:hAnsi="仿宋" w:eastAsia="仿宋" w:cs="仿宋"/>
                <w:color w:val="000000" w:themeColor="text1"/>
                <w:sz w:val="18"/>
                <w:szCs w:val="18"/>
                <w:highlight w:val="none"/>
                <w:vertAlign w:val="baseline"/>
                <w14:textFill>
                  <w14:solidFill>
                    <w14:schemeClr w14:val="tx1"/>
                  </w14:solidFill>
                </w14:textFill>
              </w:rPr>
              <w:t>应负责</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建设并提供</w:t>
            </w:r>
            <w:r>
              <w:rPr>
                <w:rFonts w:hint="eastAsia" w:ascii="仿宋" w:hAnsi="仿宋" w:eastAsia="仿宋" w:cs="仿宋"/>
                <w:color w:val="000000" w:themeColor="text1"/>
                <w:sz w:val="18"/>
                <w:szCs w:val="18"/>
                <w:highlight w:val="none"/>
                <w:vertAlign w:val="baseline"/>
                <w14:textFill>
                  <w14:solidFill>
                    <w14:schemeClr w14:val="tx1"/>
                  </w14:solidFill>
                </w14:textFill>
              </w:rPr>
              <w:t>材料汇编管理</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功能</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具体要求如下：</w:t>
            </w:r>
          </w:p>
          <w:p w14:paraId="648C0169">
            <w:pPr>
              <w:numPr>
                <w:ilvl w:val="0"/>
                <w:numId w:val="9"/>
              </w:numPr>
              <w:jc w:val="left"/>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材料汇编管理提供支撑材料合并功能，支持合并.docx、.doc、.xlsx、.xls、.png、.jpg、.pdf格式文件，覆盖项目常见资料类型，形成材料汇编PDF文件，辅助学校实现不同形式文件有效整合成pdf的材料汇编。要求提供两种文件上传方式：可从平台文档库按文件名、类型条件检索并选择已存储文件，实现项目内历史文件便捷复用；同时需支持 “添加本地文件”，可从用户本地设备选择文件上传，文件上传后需支持拖拽调整文件合并顺序，允许用户根据项目逻辑自定义排序，保证合并结果符合管理需求。合并后能够查看合并记录，支持在线预览、下载、删除合并后的文件。（需提供出详细的功能建设内容描述和原型图或系统截图，提供不少于5张的功能截图）</w:t>
            </w:r>
          </w:p>
          <w:p w14:paraId="4EE8AFBD">
            <w:pPr>
              <w:numPr>
                <w:ilvl w:val="0"/>
                <w:numId w:val="0"/>
              </w:numPr>
              <w:jc w:val="left"/>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2、材料汇编需具备AI助手插件功能，该功能包括①文本翻译，支持选中文本一键翻译（目标语言为汉语）、汉语文本汉译英；② AI对话，可基于选中文本生成输入提示词，使用AI大模型技术生成AI内容；③大模型访问，支持一键打开DeepSeek、Kimi、豆包、智谱清言、腾讯元宝等常用AI大模型官方主页，默认浏览器跳转；④行政公文排版，可将符合公文特征的无格式文稿一键转换为标准公文格式，符合党政机关公文规范。（需提供出详细的功能建设内容描述和原型图或系统截图）</w:t>
            </w:r>
          </w:p>
          <w:p w14:paraId="3484D4CB">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bookmarkStart w:id="230" w:name="_Toc29464"/>
            <w:bookmarkStart w:id="231" w:name="_Toc28216"/>
            <w:bookmarkStart w:id="232" w:name="_Toc16609"/>
            <w:bookmarkStart w:id="233" w:name="_Toc29682"/>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十七、</w:t>
            </w:r>
            <w:r>
              <w:rPr>
                <w:rFonts w:hint="eastAsia" w:ascii="仿宋" w:hAnsi="仿宋" w:eastAsia="仿宋" w:cs="仿宋"/>
                <w:color w:val="000000" w:themeColor="text1"/>
                <w:sz w:val="18"/>
                <w:szCs w:val="18"/>
                <w:highlight w:val="none"/>
                <w:vertAlign w:val="baseline"/>
                <w14:textFill>
                  <w14:solidFill>
                    <w14:schemeClr w14:val="tx1"/>
                  </w14:solidFill>
                </w14:textFill>
              </w:rPr>
              <w:t>过程数据（监测）分析服务</w:t>
            </w:r>
            <w:bookmarkEnd w:id="230"/>
            <w:bookmarkEnd w:id="231"/>
            <w:bookmarkEnd w:id="232"/>
            <w:bookmarkEnd w:id="233"/>
          </w:p>
          <w:p w14:paraId="4C93E8BD">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投标人</w:t>
            </w:r>
            <w:r>
              <w:rPr>
                <w:rFonts w:hint="eastAsia" w:ascii="仿宋" w:hAnsi="仿宋" w:eastAsia="仿宋" w:cs="仿宋"/>
                <w:color w:val="000000" w:themeColor="text1"/>
                <w:sz w:val="18"/>
                <w:szCs w:val="18"/>
                <w:highlight w:val="none"/>
                <w:vertAlign w:val="baseline"/>
                <w14:textFill>
                  <w14:solidFill>
                    <w14:schemeClr w14:val="tx1"/>
                  </w14:solidFill>
                </w14:textFill>
              </w:rPr>
              <w:t>应负责</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建设并提供</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项目建设</w:t>
            </w:r>
            <w:r>
              <w:rPr>
                <w:rFonts w:hint="eastAsia" w:ascii="仿宋" w:hAnsi="仿宋" w:eastAsia="仿宋" w:cs="仿宋"/>
                <w:color w:val="000000" w:themeColor="text1"/>
                <w:sz w:val="18"/>
                <w:szCs w:val="18"/>
                <w:highlight w:val="none"/>
                <w:vertAlign w:val="baseline"/>
                <w14:textFill>
                  <w14:solidFill>
                    <w14:schemeClr w14:val="tx1"/>
                  </w14:solidFill>
                </w14:textFill>
              </w:rPr>
              <w:t>过程数据（监测）分析服务</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功能</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具体要求如下：</w:t>
            </w:r>
          </w:p>
          <w:p w14:paraId="310CF3B5">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1、项目（数据）看板分析之任务维度</w:t>
            </w:r>
          </w:p>
          <w:p w14:paraId="02FCF7B2">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能够按总阶段和分阶段提供任务、资金、绩效维度的项目管理过程实时性分析。支持按照全校、部门和分管视角切换查看。同时，支持切换不同项目查看。如，在单年度任务维度，能够进行任务进度的统计，如已完成任务数、进行中任务数</w:t>
            </w:r>
            <w:r>
              <w:rPr>
                <w:rFonts w:hint="eastAsia" w:ascii="仿宋" w:hAnsi="仿宋" w:eastAsia="仿宋" w:cs="仿宋"/>
                <w:color w:val="000000" w:themeColor="text1"/>
                <w:sz w:val="18"/>
                <w:szCs w:val="18"/>
                <w:highlight w:val="none"/>
                <w:vertAlign w:val="baseline"/>
                <w14:textFill>
                  <w14:solidFill>
                    <w14:schemeClr w14:val="tx1"/>
                  </w14:solidFill>
                </w14:textFill>
              </w:rPr>
              <w:t>、当月未反馈任务数、无佐证材料任务数</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需支持下钻查看具体任务列表并支持进一步下钻查看单条任务的历史反馈信息。具有督办权限的用户能够在任务列表进行单项任务督办。要求能够进行一级任务完成实时进度情况以及部门完成实时进度情况，并支持下钻查看相关任务信息。支持对月度任务反馈情况、任务逐月反馈度以及按任务类型完成情况分析。同时提供</w:t>
            </w:r>
            <w:r>
              <w:rPr>
                <w:rFonts w:hint="eastAsia" w:ascii="仿宋" w:hAnsi="仿宋" w:eastAsia="仿宋" w:cs="仿宋"/>
                <w:color w:val="000000" w:themeColor="text1"/>
                <w:sz w:val="18"/>
                <w:szCs w:val="18"/>
                <w:highlight w:val="none"/>
                <w:vertAlign w:val="baseline"/>
                <w14:textFill>
                  <w14:solidFill>
                    <w14:schemeClr w14:val="tx1"/>
                  </w14:solidFill>
                </w14:textFill>
              </w:rPr>
              <w:t>部门催办/督办多维分析</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以及</w:t>
            </w:r>
            <w:r>
              <w:rPr>
                <w:rFonts w:hint="eastAsia" w:ascii="仿宋" w:hAnsi="仿宋" w:eastAsia="仿宋" w:cs="仿宋"/>
                <w:color w:val="000000" w:themeColor="text1"/>
                <w:sz w:val="18"/>
                <w:szCs w:val="18"/>
                <w:highlight w:val="none"/>
                <w:vertAlign w:val="baseline"/>
                <w14:textFill>
                  <w14:solidFill>
                    <w14:schemeClr w14:val="tx1"/>
                  </w14:solidFill>
                </w14:textFill>
              </w:rPr>
              <w:t>任务催办/督办多口径排行</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p>
          <w:p w14:paraId="02422A9B">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2、项目（数据）看板分析之资金维度</w:t>
            </w:r>
          </w:p>
          <w:p w14:paraId="501E29ED">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要求展示资金进度统计情况，如在阶段分析中的年度预算、执行金额、未执行金额和执行率。要求能够进行</w:t>
            </w:r>
            <w:r>
              <w:rPr>
                <w:rFonts w:hint="eastAsia" w:ascii="仿宋" w:hAnsi="仿宋" w:eastAsia="仿宋" w:cs="仿宋"/>
                <w:color w:val="000000" w:themeColor="text1"/>
                <w:sz w:val="18"/>
                <w:szCs w:val="18"/>
                <w:highlight w:val="none"/>
                <w:vertAlign w:val="baseline"/>
                <w14:textFill>
                  <w14:solidFill>
                    <w14:schemeClr w14:val="tx1"/>
                  </w14:solidFill>
                </w14:textFill>
              </w:rPr>
              <w:t>重点建设内容资金执行情况</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排名与</w:t>
            </w:r>
            <w:r>
              <w:rPr>
                <w:rFonts w:hint="eastAsia" w:ascii="仿宋" w:hAnsi="仿宋" w:eastAsia="仿宋" w:cs="仿宋"/>
                <w:color w:val="000000" w:themeColor="text1"/>
                <w:sz w:val="18"/>
                <w:szCs w:val="18"/>
                <w:highlight w:val="none"/>
                <w:vertAlign w:val="baseline"/>
                <w14:textFill>
                  <w14:solidFill>
                    <w14:schemeClr w14:val="tx1"/>
                  </w14:solidFill>
                </w14:textFill>
              </w:rPr>
              <w:t>部门口径资金执行情况</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并支持下钻查看资金详情，对于下级资金，需能够进一步下钻查看。能够进行</w:t>
            </w:r>
            <w:r>
              <w:rPr>
                <w:rFonts w:hint="eastAsia" w:ascii="仿宋" w:hAnsi="仿宋" w:eastAsia="仿宋" w:cs="仿宋"/>
                <w:color w:val="000000" w:themeColor="text1"/>
                <w:sz w:val="18"/>
                <w:szCs w:val="18"/>
                <w:highlight w:val="none"/>
                <w:vertAlign w:val="baseline"/>
                <w14:textFill>
                  <w14:solidFill>
                    <w14:schemeClr w14:val="tx1"/>
                  </w14:solidFill>
                </w14:textFill>
              </w:rPr>
              <w:t>部门未执行金额排行</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并且支持按照按部门或任务进行</w:t>
            </w:r>
            <w:r>
              <w:rPr>
                <w:rFonts w:hint="eastAsia" w:ascii="仿宋" w:hAnsi="仿宋" w:eastAsia="仿宋" w:cs="仿宋"/>
                <w:color w:val="000000" w:themeColor="text1"/>
                <w:sz w:val="18"/>
                <w:szCs w:val="18"/>
                <w:highlight w:val="none"/>
                <w:vertAlign w:val="baseline"/>
                <w14:textFill>
                  <w14:solidFill>
                    <w14:schemeClr w14:val="tx1"/>
                  </w14:solidFill>
                </w14:textFill>
              </w:rPr>
              <w:t>资金预算执行对比分析</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需支持下钻查看详情。（需提供出详细的功能建设内容描述和原型图或系统截图）</w:t>
            </w:r>
          </w:p>
          <w:p w14:paraId="480511DC">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3、项目（数据）看板分析之绩效维度</w:t>
            </w:r>
          </w:p>
          <w:p w14:paraId="3FC6DEB3">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要求展示绩效进度统计情况，如绩效总数、未开始绩效数、已完成绩效数、进行中绩效数、超额完成绩效数。需支持下钻查看具体绩效列表。</w:t>
            </w:r>
          </w:p>
          <w:p w14:paraId="3DD36FC6">
            <w:pP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要求提供</w:t>
            </w:r>
            <w:r>
              <w:rPr>
                <w:rFonts w:hint="eastAsia" w:ascii="仿宋" w:hAnsi="仿宋" w:eastAsia="仿宋" w:cs="仿宋"/>
                <w:color w:val="000000" w:themeColor="text1"/>
                <w:sz w:val="18"/>
                <w:szCs w:val="18"/>
                <w:highlight w:val="none"/>
                <w:vertAlign w:val="baseline"/>
                <w14:textFill>
                  <w14:solidFill>
                    <w14:schemeClr w14:val="tx1"/>
                  </w14:solidFill>
                </w14:textFill>
              </w:rPr>
              <w:t>年度绩效完成度排名</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以及</w:t>
            </w:r>
            <w:r>
              <w:rPr>
                <w:rFonts w:hint="eastAsia" w:ascii="仿宋" w:hAnsi="仿宋" w:eastAsia="仿宋" w:cs="仿宋"/>
                <w:color w:val="000000" w:themeColor="text1"/>
                <w:sz w:val="18"/>
                <w:szCs w:val="18"/>
                <w:highlight w:val="none"/>
                <w:vertAlign w:val="baseline"/>
                <w14:textFill>
                  <w14:solidFill>
                    <w14:schemeClr w14:val="tx1"/>
                  </w14:solidFill>
                </w14:textFill>
              </w:rPr>
              <w:t>部门年度绩效完成进度</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并支持下钻查看详情。要求能够查阅</w:t>
            </w:r>
            <w:r>
              <w:rPr>
                <w:rFonts w:hint="eastAsia" w:ascii="仿宋" w:hAnsi="仿宋" w:eastAsia="仿宋" w:cs="仿宋"/>
                <w:color w:val="000000" w:themeColor="text1"/>
                <w:sz w:val="18"/>
                <w:szCs w:val="18"/>
                <w:highlight w:val="none"/>
                <w:vertAlign w:val="baseline"/>
                <w14:textFill>
                  <w14:solidFill>
                    <w14:schemeClr w14:val="tx1"/>
                  </w14:solidFill>
                </w14:textFill>
              </w:rPr>
              <w:t>年度绩效分类进度一览</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部门催办/督办多维分析以及绩效催办/督办多口径排行。（需提供出详细的功能建设内容描述和原型图或系统截图）</w:t>
            </w:r>
          </w:p>
          <w:p w14:paraId="4DDDD8B7">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4、实时监控大屏数据分析</w:t>
            </w:r>
          </w:p>
          <w:p w14:paraId="68109DB4">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提供项目建设监控数据分析，能够实时查看各项目整体或分阶段（针对分阶段项目）进展情况分析。支持实时查看任务、资金、绩效分析。如：对于任务，能够查阅任务完成率、任务执行进度分析、一级任务完成情况、部门完成率排名、项目最新动态；对于资金，展示部门执行率排行、重点建设内容资金执行情况、部门未执行金额排行；对于绩效，能够展示绩效概览、绩效指标完成情况、部门完成率排名、绩效最新动态分析。</w:t>
            </w:r>
          </w:p>
          <w:p w14:paraId="0950D0B3">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5、项目作战图数据分析</w:t>
            </w:r>
          </w:p>
          <w:p w14:paraId="62736A31">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项目作战图要求能以学校治理视角展现学校所有在建项目的对比分析。要求支持双高专业群之间的横向分析，展示各双高专业群在项目进度、资源利用效率、成果产出方面的对比情况。要求能够进行学校其他重大项目之间的横向对比，能以团队分析视角展现每个项目的数据分析。要求以可视化形式展示多个项目任务、资金、绩效对比分析情况。（需提供出详细的功能建设内容描述和原型图或系统截图）</w:t>
            </w:r>
          </w:p>
          <w:p w14:paraId="72AEA87A">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6、任务一览</w:t>
            </w:r>
          </w:p>
          <w:p w14:paraId="36106A7D">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要求以全校宏观视角进行各项目项目的分阶段进展查看，能够以树状结构和甘特图切换形式查看不同层级任务在各阶段以月度为单位的进展情况。</w:t>
            </w:r>
          </w:p>
          <w:p w14:paraId="5898DCB9">
            <w:pPr>
              <w:numPr>
                <w:ilvl w:val="0"/>
                <w:numId w:val="10"/>
              </w:num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★为保障项目建设质量，需依据‌全国高等职业学校人才培养工作状态数据采集与管理平台等权威数据对双高项目建设中的主要观测点达成情况进行年度监测与分析对比，对应指标不限于以下内容：</w:t>
            </w:r>
          </w:p>
          <w:p w14:paraId="49C3B102">
            <w:pPr>
              <w:numPr>
                <w:ilvl w:val="0"/>
                <w:numId w:val="0"/>
              </w:num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①社会需求匹配度核心监测指标不少于5项；</w:t>
            </w:r>
          </w:p>
          <w:p w14:paraId="32CD5F47">
            <w:pPr>
              <w:numPr>
                <w:ilvl w:val="0"/>
                <w:numId w:val="0"/>
              </w:num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②师资队伍支撑度核心监测指标不少于8项；</w:t>
            </w:r>
          </w:p>
          <w:p w14:paraId="63D5FEA0">
            <w:pPr>
              <w:numPr>
                <w:ilvl w:val="0"/>
                <w:numId w:val="0"/>
              </w:num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③实践条件支撑度核心监测指标不少于5项；</w:t>
            </w:r>
          </w:p>
          <w:p w14:paraId="16EB4A9E">
            <w:pPr>
              <w:numPr>
                <w:ilvl w:val="0"/>
                <w:numId w:val="0"/>
              </w:num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④学校外部资源的支撑度核心监测指标不少于8项；</w:t>
            </w:r>
          </w:p>
          <w:p w14:paraId="4D07D39A">
            <w:pPr>
              <w:numPr>
                <w:ilvl w:val="0"/>
                <w:numId w:val="0"/>
              </w:num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⑤建设措施目标的可达成度核心监测指标不少于10项；</w:t>
            </w:r>
          </w:p>
          <w:p w14:paraId="58C6FC24">
            <w:pPr>
              <w:numPr>
                <w:ilvl w:val="0"/>
                <w:numId w:val="0"/>
              </w:num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⑥成果成效的共享度核心监测指标不少于8项；</w:t>
            </w:r>
          </w:p>
          <w:p w14:paraId="61B30ED3">
            <w:pPr>
              <w:numPr>
                <w:ilvl w:val="0"/>
                <w:numId w:val="0"/>
              </w:num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⑦职教出海完成度核心监测指标不少于8项；</w:t>
            </w:r>
          </w:p>
          <w:p w14:paraId="1A40AB35">
            <w:pPr>
              <w:rPr>
                <w:rFonts w:hint="eastAsia" w:ascii="仿宋" w:hAnsi="仿宋" w:eastAsia="仿宋" w:cs="仿宋"/>
                <w:b/>
                <w:bCs/>
                <w:color w:val="000000" w:themeColor="text1"/>
                <w:sz w:val="18"/>
                <w:szCs w:val="18"/>
                <w:highlight w:val="none"/>
                <w:vertAlign w:val="baseline"/>
                <w:lang w:val="en-US" w:eastAsia="zh-CN"/>
                <w14:textFill>
                  <w14:solidFill>
                    <w14:schemeClr w14:val="tx1"/>
                  </w14:solidFill>
                </w14:textFill>
              </w:rPr>
            </w:pPr>
            <w:bookmarkStart w:id="234" w:name="_Toc17035"/>
            <w:bookmarkStart w:id="235" w:name="_Toc5033"/>
            <w:bookmarkStart w:id="236" w:name="_Toc29684"/>
            <w:bookmarkStart w:id="237" w:name="_Toc28509"/>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能够根据以上七个方面等关键维度进行充分的调研，数据需准确及时，与人才培养工作状态数据采集与管理平台保持一致。对比方案应支持选择对比维度，包括与全省相关中位数、最大值、最小值等进行对比，满足不同场景下对标分析需求，</w:t>
            </w:r>
            <w:r>
              <w:rPr>
                <w:rFonts w:hint="eastAsia" w:ascii="仿宋" w:hAnsi="仿宋" w:eastAsia="仿宋" w:cs="仿宋"/>
                <w:b w:val="0"/>
                <w:bCs w:val="0"/>
                <w:color w:val="000000" w:themeColor="text1"/>
                <w:sz w:val="18"/>
                <w:szCs w:val="18"/>
                <w:highlight w:val="none"/>
                <w:vertAlign w:val="baseline"/>
                <w:lang w:val="en-US" w:eastAsia="zh-CN"/>
                <w14:textFill>
                  <w14:solidFill>
                    <w14:schemeClr w14:val="tx1"/>
                  </w14:solidFill>
                </w14:textFill>
              </w:rPr>
              <w:t>投标文件提供指标分析、数据比对实施方案。</w:t>
            </w:r>
          </w:p>
          <w:p w14:paraId="6D42B10B">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十八、数据上报中心</w:t>
            </w:r>
            <w:bookmarkEnd w:id="234"/>
            <w:bookmarkEnd w:id="235"/>
            <w:bookmarkEnd w:id="236"/>
            <w:bookmarkEnd w:id="237"/>
          </w:p>
          <w:p w14:paraId="6588768A">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投标人</w:t>
            </w:r>
            <w:r>
              <w:rPr>
                <w:rFonts w:hint="eastAsia" w:ascii="仿宋" w:hAnsi="仿宋" w:eastAsia="仿宋" w:cs="仿宋"/>
                <w:color w:val="000000" w:themeColor="text1"/>
                <w:sz w:val="18"/>
                <w:szCs w:val="18"/>
                <w:highlight w:val="none"/>
                <w:vertAlign w:val="baseline"/>
                <w14:textFill>
                  <w14:solidFill>
                    <w14:schemeClr w14:val="tx1"/>
                  </w14:solidFill>
                </w14:textFill>
              </w:rPr>
              <w:t>应负责</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建设并提供</w:t>
            </w:r>
            <w:r>
              <w:rPr>
                <w:rFonts w:hint="eastAsia" w:ascii="仿宋" w:hAnsi="仿宋" w:eastAsia="仿宋" w:cs="仿宋"/>
                <w:color w:val="000000" w:themeColor="text1"/>
                <w:sz w:val="18"/>
                <w:szCs w:val="18"/>
                <w:highlight w:val="none"/>
                <w:vertAlign w:val="baseline"/>
                <w14:textFill>
                  <w14:solidFill>
                    <w14:schemeClr w14:val="tx1"/>
                  </w14:solidFill>
                </w14:textFill>
              </w:rPr>
              <w:t>数据上报中心</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服务功能</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为学校的双高建设过程材料的准备与报送工作提供支持。具体要求如下：</w:t>
            </w:r>
          </w:p>
          <w:p w14:paraId="7BDB2BA6">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要求数据上报中心能够依据本校新双高项目建设阶段，对年度监测上报材料、中期检查上报材料以及终期检查上报材料进行分类管理，平台能够依照本省第二期省级双高建设上报标准进行数据上报中心功能匹配性调整，以便学校相关人员进行上报材料的准备工作，助力提升学校建设情况上报工作效率，减轻上报数据处理负担。</w:t>
            </w:r>
          </w:p>
          <w:p w14:paraId="16B3C12B">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2、如，在年度工作任务中，需支持开展各年度工作任务上报准备工作，内容涵盖专业群年度建设任务、典型工作案例、年度建设工作报告，并且可以查看整体填报情况。在年度建设任务填报过程中，相关层级的任务负责人可针对自身负责的任务进行完成情况填报，并支持在线查看历史反馈情况，审核人员能够对任务的完成情况进行审核。在进行年度任务填报时，佐证材料需支持从本地进行上传，或者引用该任务及下级任务的反馈材料。若审核未通过，填报人员可查看历史填报记录，并对任务重新进行填报。（需提供出详细的功能建设内容描述和原型图或系统截图，提供不少于5张的功能截图）</w:t>
            </w:r>
          </w:p>
          <w:p w14:paraId="3E70420F">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bookmarkStart w:id="238" w:name="_Toc16110"/>
            <w:bookmarkStart w:id="239" w:name="_Toc17647"/>
            <w:bookmarkStart w:id="240" w:name="_Toc10520"/>
            <w:bookmarkStart w:id="241" w:name="_Toc10587"/>
            <w:bookmarkStart w:id="242" w:name="_Toc19132"/>
            <w:bookmarkStart w:id="243" w:name="_Toc13105"/>
            <w:bookmarkStart w:id="244" w:name="_Toc11234"/>
            <w:bookmarkStart w:id="245" w:name="_Toc16267"/>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十九、人员工作移交管理</w:t>
            </w:r>
            <w:bookmarkEnd w:id="238"/>
            <w:bookmarkEnd w:id="239"/>
            <w:bookmarkEnd w:id="240"/>
            <w:bookmarkEnd w:id="241"/>
          </w:p>
          <w:p w14:paraId="1087C5DF">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为应对项目</w:t>
            </w:r>
            <w:r>
              <w:rPr>
                <w:rFonts w:hint="eastAsia" w:ascii="仿宋" w:hAnsi="仿宋" w:eastAsia="仿宋" w:cs="仿宋"/>
                <w:color w:val="000000" w:themeColor="text1"/>
                <w:sz w:val="18"/>
                <w:szCs w:val="18"/>
                <w:highlight w:val="none"/>
                <w:vertAlign w:val="baseline"/>
                <w14:textFill>
                  <w14:solidFill>
                    <w14:schemeClr w14:val="tx1"/>
                  </w14:solidFill>
                </w14:textFill>
              </w:rPr>
              <w:t>建设过程中可能出现的人员变动风险，供应商应负责</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建设并提供</w:t>
            </w:r>
            <w:r>
              <w:rPr>
                <w:rFonts w:hint="eastAsia" w:ascii="仿宋" w:hAnsi="仿宋" w:eastAsia="仿宋" w:cs="仿宋"/>
                <w:color w:val="000000" w:themeColor="text1"/>
                <w:sz w:val="18"/>
                <w:szCs w:val="18"/>
                <w:highlight w:val="none"/>
                <w:vertAlign w:val="baseline"/>
                <w14:textFill>
                  <w14:solidFill>
                    <w14:schemeClr w14:val="tx1"/>
                  </w14:solidFill>
                </w14:textFill>
              </w:rPr>
              <w:t>工作移交管理</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功能</w:t>
            </w:r>
            <w:r>
              <w:rPr>
                <w:rFonts w:hint="eastAsia" w:ascii="仿宋" w:hAnsi="仿宋" w:eastAsia="仿宋" w:cs="仿宋"/>
                <w:color w:val="000000" w:themeColor="text1"/>
                <w:sz w:val="18"/>
                <w:szCs w:val="18"/>
                <w:highlight w:val="none"/>
                <w:vertAlign w:val="baseline"/>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具体要求如下：</w:t>
            </w:r>
          </w:p>
          <w:p w14:paraId="34B06004">
            <w:pP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w:t>
            </w:r>
            <w:r>
              <w:rPr>
                <w:rFonts w:hint="eastAsia" w:ascii="仿宋" w:hAnsi="仿宋" w:eastAsia="仿宋" w:cs="仿宋"/>
                <w:color w:val="000000" w:themeColor="text1"/>
                <w:sz w:val="18"/>
                <w:szCs w:val="18"/>
                <w:highlight w:val="none"/>
                <w:vertAlign w:val="baseline"/>
                <w14:textFill>
                  <w14:solidFill>
                    <w14:schemeClr w14:val="tx1"/>
                  </w14:solidFill>
                </w14:textFill>
              </w:rPr>
              <w:t>单个项目内人员工作转交管理</w:t>
            </w:r>
          </w:p>
          <w:p w14:paraId="370BCD9D">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14:textFill>
                  <w14:solidFill>
                    <w14:schemeClr w14:val="tx1"/>
                  </w14:solidFill>
                </w14:textFill>
              </w:rPr>
              <w:t>要求提供单个项目内高效便捷的人员工作转交管理功能，要求管理员能够选择更换人和工作接收人，支持查看更换人负责或参与的任务及绩效明细，能够自定义选择需转交的工作内容并进行一键转交。转交后，对应接收人需能够查看</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对应工作的所有</w:t>
            </w:r>
            <w:r>
              <w:rPr>
                <w:rFonts w:hint="eastAsia" w:ascii="仿宋" w:hAnsi="仿宋" w:eastAsia="仿宋" w:cs="仿宋"/>
                <w:color w:val="000000" w:themeColor="text1"/>
                <w:sz w:val="18"/>
                <w:szCs w:val="18"/>
                <w:highlight w:val="none"/>
                <w:vertAlign w:val="baseline"/>
                <w14:textFill>
                  <w14:solidFill>
                    <w14:schemeClr w14:val="tx1"/>
                  </w14:solidFill>
                </w14:textFill>
              </w:rPr>
              <w:t>历史记录。</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当项目创建人发生变动时，要求支持进行项目创建人的转让功能，实现管理权限的高效转交。（需提供出详细的功能建设内容描述和原型图或系统截图，提供不少于5张的功能截图）</w:t>
            </w:r>
          </w:p>
          <w:p w14:paraId="7F9AB902">
            <w:pP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2、</w:t>
            </w:r>
            <w:r>
              <w:rPr>
                <w:rFonts w:hint="eastAsia" w:ascii="仿宋" w:hAnsi="仿宋" w:eastAsia="仿宋" w:cs="仿宋"/>
                <w:color w:val="000000" w:themeColor="text1"/>
                <w:sz w:val="18"/>
                <w:szCs w:val="18"/>
                <w:highlight w:val="none"/>
                <w:vertAlign w:val="baseline"/>
                <w14:textFill>
                  <w14:solidFill>
                    <w14:schemeClr w14:val="tx1"/>
                  </w14:solidFill>
                </w14:textFill>
              </w:rPr>
              <w:t>跨项目负责人更换管理</w:t>
            </w:r>
          </w:p>
          <w:p w14:paraId="070A78B3">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14:textFill>
                  <w14:solidFill>
                    <w14:schemeClr w14:val="tx1"/>
                  </w14:solidFill>
                </w14:textFill>
              </w:rPr>
              <w:t>要求平台支持管理员进行跨项目负责人更换管理，进行项目人员更换时相关权限和数据需能够全量转交，不影响项目的正常进行。要求支持查看待更换人负责的项目与创建的项目信息，并支持按需求选择待转交项目。选择项目待更换人和接收人后，要求相应功能权限及相关数据内容自动转移至接收人处。</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（需提供出详细的功能建设内容描述和原型图或系统截图）</w:t>
            </w:r>
          </w:p>
          <w:p w14:paraId="5E685C8A">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bookmarkStart w:id="246" w:name="_Toc5560"/>
            <w:bookmarkStart w:id="247" w:name="_Toc23336"/>
            <w:bookmarkStart w:id="248" w:name="_Toc25235"/>
            <w:bookmarkStart w:id="249" w:name="_Toc5681"/>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二十、任务</w:t>
            </w:r>
            <w:r>
              <w:rPr>
                <w:rFonts w:hint="eastAsia" w:ascii="仿宋" w:hAnsi="仿宋" w:eastAsia="仿宋" w:cs="仿宋"/>
                <w:color w:val="000000" w:themeColor="text1"/>
                <w:sz w:val="18"/>
                <w:szCs w:val="18"/>
                <w:highlight w:val="none"/>
                <w:vertAlign w:val="baseline"/>
                <w14:textFill>
                  <w14:solidFill>
                    <w14:schemeClr w14:val="tx1"/>
                  </w14:solidFill>
                </w14:textFill>
              </w:rPr>
              <w:t>考核管理</w:t>
            </w:r>
            <w:bookmarkEnd w:id="246"/>
            <w:bookmarkEnd w:id="247"/>
            <w:bookmarkEnd w:id="248"/>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服务</w:t>
            </w:r>
          </w:p>
          <w:p w14:paraId="58F8EE37">
            <w:pP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投标人</w:t>
            </w:r>
            <w:r>
              <w:rPr>
                <w:rFonts w:hint="eastAsia" w:ascii="仿宋" w:hAnsi="仿宋" w:eastAsia="仿宋" w:cs="仿宋"/>
                <w:color w:val="000000" w:themeColor="text1"/>
                <w:sz w:val="18"/>
                <w:szCs w:val="18"/>
                <w:highlight w:val="none"/>
                <w:vertAlign w:val="baseline"/>
                <w14:textFill>
                  <w14:solidFill>
                    <w14:schemeClr w14:val="tx1"/>
                  </w14:solidFill>
                </w14:textFill>
              </w:rPr>
              <w:t>应负责</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建设并提供</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任务</w:t>
            </w:r>
            <w:r>
              <w:rPr>
                <w:rFonts w:hint="eastAsia" w:ascii="仿宋" w:hAnsi="仿宋" w:eastAsia="仿宋" w:cs="仿宋"/>
                <w:color w:val="000000" w:themeColor="text1"/>
                <w:sz w:val="18"/>
                <w:szCs w:val="18"/>
                <w:highlight w:val="none"/>
                <w:vertAlign w:val="baseline"/>
                <w14:textFill>
                  <w14:solidFill>
                    <w14:schemeClr w14:val="tx1"/>
                  </w14:solidFill>
                </w14:textFill>
              </w:rPr>
              <w:t>考核管理</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功能</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14:textFill>
                  <w14:solidFill>
                    <w14:schemeClr w14:val="tx1"/>
                  </w14:solidFill>
                </w14:textFill>
              </w:rPr>
              <w:t>要求具备考核权限的用户能够对本校各类重大项目下的任务进行评分。以便学校为后续的决策应用提供数据支撑。</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具体要求如下：</w:t>
            </w:r>
          </w:p>
          <w:p w14:paraId="5795D1C2">
            <w:pP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1）要求</w:t>
            </w:r>
            <w:r>
              <w:rPr>
                <w:rFonts w:hint="eastAsia" w:ascii="仿宋" w:hAnsi="仿宋" w:eastAsia="仿宋" w:cs="仿宋"/>
                <w:color w:val="000000" w:themeColor="text1"/>
                <w:sz w:val="18"/>
                <w:szCs w:val="18"/>
                <w:highlight w:val="none"/>
                <w:vertAlign w:val="baseline"/>
                <w14:textFill>
                  <w14:solidFill>
                    <w14:schemeClr w14:val="tx1"/>
                  </w14:solidFill>
                </w14:textFill>
              </w:rPr>
              <w:t>支持根据月度、季度、半年度或年度时间周期，利用平台进行任务执行进度反馈，并对明细级任务的完成情况进行综合评价。</w:t>
            </w:r>
          </w:p>
          <w:p w14:paraId="278F0F46">
            <w:pP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2）要求</w:t>
            </w:r>
            <w:r>
              <w:rPr>
                <w:rFonts w:hint="eastAsia" w:ascii="仿宋" w:hAnsi="仿宋" w:eastAsia="仿宋" w:cs="仿宋"/>
                <w:color w:val="000000" w:themeColor="text1"/>
                <w:sz w:val="18"/>
                <w:szCs w:val="18"/>
                <w:highlight w:val="none"/>
                <w:vertAlign w:val="baseline"/>
                <w14:textFill>
                  <w14:solidFill>
                    <w14:schemeClr w14:val="tx1"/>
                  </w14:solidFill>
                </w14:textFill>
              </w:rPr>
              <w:t xml:space="preserve">支持“校内+校外”专家综合评价方式，校内专家可以按业务账号或外部匿名账号，校外专家按随机账号进行评价入口访问并开展评价工作。 </w:t>
            </w:r>
          </w:p>
          <w:p w14:paraId="04772809">
            <w:pP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3）要求</w:t>
            </w:r>
            <w:r>
              <w:rPr>
                <w:rFonts w:hint="eastAsia" w:ascii="仿宋" w:hAnsi="仿宋" w:eastAsia="仿宋" w:cs="仿宋"/>
                <w:color w:val="000000" w:themeColor="text1"/>
                <w:sz w:val="18"/>
                <w:szCs w:val="18"/>
                <w:highlight w:val="none"/>
                <w:vertAlign w:val="baseline"/>
                <w14:textFill>
                  <w14:solidFill>
                    <w14:schemeClr w14:val="tx1"/>
                  </w14:solidFill>
                </w14:textFill>
              </w:rPr>
              <w:t xml:space="preserve">支持量化（打分、登记等）与非量化综合评价手段，支持接入系统外综合评价打分表进行评价活动开展，提供一键分发与回收统计功能。 </w:t>
            </w:r>
          </w:p>
          <w:p w14:paraId="618589ED">
            <w:pP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4）</w:t>
            </w:r>
            <w:r>
              <w:rPr>
                <w:rFonts w:hint="eastAsia" w:ascii="仿宋" w:hAnsi="仿宋" w:eastAsia="仿宋" w:cs="仿宋"/>
                <w:color w:val="000000" w:themeColor="text1"/>
                <w:sz w:val="18"/>
                <w:szCs w:val="18"/>
                <w:highlight w:val="none"/>
                <w:vertAlign w:val="baseline"/>
                <w14:textFill>
                  <w14:solidFill>
                    <w14:schemeClr w14:val="tx1"/>
                  </w14:solidFill>
                </w14:textFill>
              </w:rPr>
              <w:t>在评价过程中，</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w:t>
            </w:r>
            <w:r>
              <w:rPr>
                <w:rFonts w:hint="eastAsia" w:ascii="仿宋" w:hAnsi="仿宋" w:eastAsia="仿宋" w:cs="仿宋"/>
                <w:color w:val="000000" w:themeColor="text1"/>
                <w:sz w:val="18"/>
                <w:szCs w:val="18"/>
                <w:highlight w:val="none"/>
                <w:vertAlign w:val="baseline"/>
                <w14:textFill>
                  <w14:solidFill>
                    <w14:schemeClr w14:val="tx1"/>
                  </w14:solidFill>
                </w14:textFill>
              </w:rPr>
              <w:t xml:space="preserve">能够实现评价任务对象与绩效对象的联动查看，既实现“量”的考核，也能聚焦“质”的评价。 </w:t>
            </w:r>
          </w:p>
          <w:p w14:paraId="307164A2">
            <w:pP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5）要求能够</w:t>
            </w:r>
            <w:r>
              <w:rPr>
                <w:rFonts w:hint="eastAsia" w:ascii="仿宋" w:hAnsi="仿宋" w:eastAsia="仿宋" w:cs="仿宋"/>
                <w:color w:val="000000" w:themeColor="text1"/>
                <w:sz w:val="18"/>
                <w:szCs w:val="18"/>
                <w:highlight w:val="none"/>
                <w:vertAlign w:val="baseline"/>
                <w14:textFill>
                  <w14:solidFill>
                    <w14:schemeClr w14:val="tx1"/>
                  </w14:solidFill>
                </w14:textFill>
              </w:rPr>
              <w:t>根据后续</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省</w:t>
            </w:r>
            <w:r>
              <w:rPr>
                <w:rFonts w:hint="eastAsia" w:ascii="仿宋" w:hAnsi="仿宋" w:eastAsia="仿宋" w:cs="仿宋"/>
                <w:color w:val="000000" w:themeColor="text1"/>
                <w:sz w:val="18"/>
                <w:szCs w:val="18"/>
                <w:highlight w:val="none"/>
                <w:vertAlign w:val="baseline"/>
                <w14:textFill>
                  <w14:solidFill>
                    <w14:schemeClr w14:val="tx1"/>
                  </w14:solidFill>
                </w14:textFill>
              </w:rPr>
              <w:t>双高绩效评价明细管理办法实现评价前业务数据的同步，实现学校层面业务数据复用价值最大化。</w:t>
            </w:r>
          </w:p>
          <w:p w14:paraId="77B3F5BA">
            <w:pPr>
              <w:rPr>
                <w:rFonts w:hint="eastAsia" w:ascii="仿宋" w:hAnsi="仿宋" w:eastAsia="仿宋" w:cs="仿宋"/>
                <w:color w:val="000000" w:themeColor="text1"/>
                <w:sz w:val="18"/>
                <w:szCs w:val="18"/>
                <w:highlight w:val="none"/>
                <w:vertAlign w:val="baseline"/>
                <w14:textFill>
                  <w14:solidFill>
                    <w14:schemeClr w14:val="tx1"/>
                  </w14:solidFill>
                </w14:textFill>
              </w:rPr>
            </w:pP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6）要求</w:t>
            </w:r>
            <w:r>
              <w:rPr>
                <w:rFonts w:hint="eastAsia" w:ascii="仿宋" w:hAnsi="仿宋" w:eastAsia="仿宋" w:cs="仿宋"/>
                <w:color w:val="000000" w:themeColor="text1"/>
                <w:sz w:val="18"/>
                <w:szCs w:val="18"/>
                <w:highlight w:val="none"/>
                <w:vertAlign w:val="baseline"/>
                <w14:textFill>
                  <w14:solidFill>
                    <w14:schemeClr w14:val="tx1"/>
                  </w14:solidFill>
                </w14:textFill>
              </w:rPr>
              <w:t>支持任务考核评价结果的一键导出，满足评价结果在学校其他考核场景下的应用需要。</w:t>
            </w:r>
          </w:p>
          <w:p w14:paraId="053C7D05">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7）</w:t>
            </w:r>
            <w:r>
              <w:rPr>
                <w:rFonts w:hint="eastAsia" w:ascii="仿宋" w:hAnsi="仿宋" w:eastAsia="仿宋" w:cs="仿宋"/>
                <w:color w:val="000000" w:themeColor="text1"/>
                <w:sz w:val="18"/>
                <w:szCs w:val="18"/>
                <w:highlight w:val="none"/>
                <w:vertAlign w:val="baseline"/>
                <w14:textFill>
                  <w14:solidFill>
                    <w14:schemeClr w14:val="tx1"/>
                  </w14:solidFill>
                </w14:textFill>
              </w:rPr>
              <w:t>学校能进行考核管理，组建考核小组，自定义考核时间段，考核任务可分配至考核小组。要求提供所有末级任务考核管理功能，考核通过则根据任务等级赋相应分数，考核不通过则根据任务等级扣相应分数，考核结果经“双高计划”项目建设办公室审核通过后能推送反馈给相对应执行部门和牵头部门，最后能汇总统计各类分数并排名。（需提供出详细的功能建设内容描述和原型图或系统截图）</w:t>
            </w:r>
          </w:p>
          <w:p w14:paraId="4214BCF3">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bookmarkStart w:id="250" w:name="_Toc31033"/>
            <w:bookmarkStart w:id="251" w:name="_Toc422"/>
            <w:bookmarkStart w:id="252" w:name="_Toc11739"/>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二十一、移动支撑服务</w:t>
            </w:r>
            <w:bookmarkEnd w:id="242"/>
            <w:bookmarkEnd w:id="243"/>
            <w:bookmarkEnd w:id="244"/>
            <w:bookmarkEnd w:id="245"/>
            <w:bookmarkEnd w:id="249"/>
            <w:bookmarkEnd w:id="250"/>
            <w:bookmarkEnd w:id="251"/>
            <w:bookmarkEnd w:id="252"/>
          </w:p>
          <w:p w14:paraId="587F4BBB">
            <w:p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投标人</w:t>
            </w:r>
            <w:r>
              <w:rPr>
                <w:rFonts w:hint="eastAsia" w:ascii="仿宋" w:hAnsi="仿宋" w:eastAsia="仿宋" w:cs="仿宋"/>
                <w:color w:val="000000" w:themeColor="text1"/>
                <w:sz w:val="18"/>
                <w:szCs w:val="18"/>
                <w:highlight w:val="none"/>
                <w:vertAlign w:val="baseline"/>
                <w14:textFill>
                  <w14:solidFill>
                    <w14:schemeClr w14:val="tx1"/>
                  </w14:solidFill>
                </w14:textFill>
              </w:rPr>
              <w:t>应负责</w:t>
            </w:r>
            <w:r>
              <w:rPr>
                <w:rFonts w:hint="eastAsia" w:ascii="仿宋" w:hAnsi="仿宋" w:eastAsia="仿宋" w:cs="仿宋"/>
                <w:color w:val="000000" w:themeColor="text1"/>
                <w:sz w:val="18"/>
                <w:szCs w:val="18"/>
                <w:highlight w:val="none"/>
                <w:vertAlign w:val="baseline"/>
                <w:lang w:eastAsia="zh-CN"/>
                <w14:textFill>
                  <w14:solidFill>
                    <w14:schemeClr w14:val="tx1"/>
                  </w14:solidFill>
                </w14:textFill>
              </w:rPr>
              <w:t>建设并提供</w:t>
            </w:r>
            <w:r>
              <w:rPr>
                <w:rFonts w:hint="eastAsia" w:ascii="仿宋" w:hAnsi="仿宋" w:eastAsia="仿宋" w:cs="仿宋"/>
                <w:color w:val="000000" w:themeColor="text1"/>
                <w:sz w:val="18"/>
                <w:szCs w:val="18"/>
                <w:highlight w:val="none"/>
                <w:vertAlign w:val="baseline"/>
                <w14:textFill>
                  <w14:solidFill>
                    <w14:schemeClr w14:val="tx1"/>
                  </w14:solidFill>
                </w14:textFill>
              </w:rPr>
              <w:t>移动支撑服务</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功能</w:t>
            </w:r>
            <w:r>
              <w:rPr>
                <w:rFonts w:hint="eastAsia" w:ascii="仿宋" w:hAnsi="仿宋" w:eastAsia="仿宋" w:cs="仿宋"/>
                <w:color w:val="000000" w:themeColor="text1"/>
                <w:sz w:val="18"/>
                <w:szCs w:val="18"/>
                <w:highlight w:val="none"/>
                <w:vertAlign w:val="baseline"/>
                <w14:textFill>
                  <w14:solidFill>
                    <w14:schemeClr w14:val="tx1"/>
                  </w14:solidFill>
                </w14:textFill>
              </w:rPr>
              <w:t>，</w:t>
            </w: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具体要求如下：</w:t>
            </w:r>
          </w:p>
          <w:p w14:paraId="3F264E10">
            <w:pPr>
              <w:numPr>
                <w:ilvl w:val="0"/>
                <w:numId w:val="11"/>
              </w:num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要求能够基于企业微信加入新双高项目管理入口，具有权限的用户能够进行相关项目的查询操作。支持移动端消息推送模式，用户能够及时接收相关催办、督办与预警信息。（需提供出详细的功能建设内容描述和原型图或系统截图）</w:t>
            </w:r>
          </w:p>
          <w:p w14:paraId="4E3B4AE6">
            <w:pPr>
              <w:numPr>
                <w:ilvl w:val="0"/>
                <w:numId w:val="0"/>
              </w:num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二十二、对接能力要求</w:t>
            </w:r>
          </w:p>
          <w:p w14:paraId="71132E5E">
            <w:pPr>
              <w:numPr>
                <w:ilvl w:val="0"/>
                <w:numId w:val="0"/>
              </w:numP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（1）技术标准一致性：系统技术架构、数据结构与教育部新一轮国家双高申报与管理平台的技术标准完全一致，遵循教育行业统一的数据交换规范与编码规则。</w:t>
            </w:r>
          </w:p>
          <w:p w14:paraId="75277283">
            <w:pPr>
              <w:numPr>
                <w:ilvl w:val="0"/>
                <w:numId w:val="0"/>
              </w:numPr>
              <w:rPr>
                <w:rFonts w:hint="eastAsia" w:ascii="仿宋" w:hAnsi="仿宋" w:eastAsia="仿宋" w:cs="仿宋"/>
                <w:color w:val="000000" w:themeColor="text1"/>
                <w:highlight w:val="none"/>
                <w:vertAlign w:val="baseline"/>
                <w:lang w:val="en-US" w:eastAsia="zh-CN"/>
                <w14:textFill>
                  <w14:solidFill>
                    <w14:schemeClr w14:val="tx1"/>
                  </w14:solidFill>
                </w14:textFill>
              </w:rPr>
            </w:pPr>
            <w:r>
              <w:rPr>
                <w:rFonts w:hint="eastAsia" w:ascii="仿宋" w:hAnsi="仿宋" w:eastAsia="仿宋" w:cs="仿宋"/>
                <w:color w:val="000000" w:themeColor="text1"/>
                <w:sz w:val="18"/>
                <w:szCs w:val="18"/>
                <w:highlight w:val="none"/>
                <w:vertAlign w:val="baseline"/>
                <w:lang w:val="en-US" w:eastAsia="zh-CN"/>
                <w14:textFill>
                  <w14:solidFill>
                    <w14:schemeClr w14:val="tx1"/>
                  </w14:solidFill>
                </w14:textFill>
              </w:rPr>
              <w:t>（2）双向数据交互：支持一键拉取已上传至教育部平台的双高群建设任务、资金绩效等核心数据，确保数据同步延迟不超过2小时。支持双高建设中期、终期验收的过程性资料（含报告、佐证材料等）经校内系统审核确认后一键上传至教育部平台，无需重复录入或格式转换。</w:t>
            </w:r>
          </w:p>
        </w:tc>
        <w:tc>
          <w:tcPr>
            <w:tcW w:w="703" w:type="dxa"/>
            <w:vAlign w:val="center"/>
          </w:tcPr>
          <w:p w14:paraId="56C7F839">
            <w:pPr>
              <w:ind w:left="0" w:leftChars="0" w:firstLine="0" w:firstLineChars="0"/>
              <w:jc w:val="both"/>
              <w:rPr>
                <w:rFonts w:hint="eastAsia" w:ascii="仿宋" w:hAnsi="仿宋" w:eastAsia="仿宋" w:cs="仿宋"/>
                <w:highlight w:val="none"/>
                <w:lang w:val="en-US" w:eastAsia="zh-CN"/>
              </w:rPr>
            </w:pPr>
            <w:r>
              <w:rPr>
                <w:rFonts w:hint="eastAsia" w:ascii="仿宋" w:hAnsi="仿宋" w:eastAsia="仿宋" w:cs="仿宋"/>
                <w:highlight w:val="none"/>
                <w:lang w:val="en-US" w:eastAsia="zh-CN"/>
              </w:rPr>
              <w:t>1项</w:t>
            </w:r>
          </w:p>
        </w:tc>
      </w:tr>
    </w:tbl>
    <w:p w14:paraId="5BA8E10A">
      <w:pPr>
        <w:ind w:left="0" w:leftChars="0" w:firstLine="0" w:firstLineChars="0"/>
        <w:outlineLvl w:val="9"/>
        <w:rPr>
          <w:rFonts w:hint="eastAsia" w:ascii="仿宋" w:hAnsi="仿宋" w:eastAsia="仿宋" w:cs="仿宋"/>
          <w:color w:val="auto"/>
          <w:highlight w:val="none"/>
          <w:lang w:val="en-US" w:eastAsia="zh-CN"/>
        </w:rPr>
        <w:sectPr>
          <w:pgSz w:w="16838" w:h="11905" w:orient="landscape"/>
          <w:pgMar w:top="1417" w:right="1417" w:bottom="1417" w:left="1417" w:header="850" w:footer="850" w:gutter="0"/>
          <w:pgBorders>
            <w:top w:val="none" w:sz="0" w:space="0"/>
            <w:left w:val="none" w:sz="0" w:space="0"/>
            <w:bottom w:val="none" w:sz="0" w:space="0"/>
            <w:right w:val="none" w:sz="0" w:space="0"/>
          </w:pgBorders>
          <w:pgNumType w:fmt="numberInDash"/>
          <w:cols w:space="0" w:num="1"/>
          <w:rtlGutter w:val="0"/>
          <w:docGrid w:type="lines" w:linePitch="412" w:charSpace="0"/>
        </w:sectPr>
      </w:pPr>
    </w:p>
    <w:p w14:paraId="491C27D8">
      <w:pPr>
        <w:pStyle w:val="16"/>
        <w:bidi w:val="0"/>
        <w:spacing w:line="400" w:lineRule="exact"/>
        <w:outlineLvl w:val="0"/>
        <w:rPr>
          <w:rFonts w:hint="eastAsia" w:ascii="仿宋" w:hAnsi="仿宋" w:eastAsia="仿宋" w:cs="仿宋"/>
          <w:color w:val="auto"/>
          <w:highlight w:val="none"/>
        </w:rPr>
      </w:pPr>
      <w:bookmarkStart w:id="253" w:name="_Toc19597"/>
      <w:r>
        <w:rPr>
          <w:rFonts w:hint="eastAsia" w:ascii="仿宋" w:hAnsi="仿宋" w:eastAsia="仿宋" w:cs="仿宋"/>
          <w:b/>
          <w:bCs w:val="0"/>
          <w:color w:val="auto"/>
          <w:kern w:val="2"/>
          <w:sz w:val="36"/>
          <w:szCs w:val="36"/>
          <w:highlight w:val="none"/>
          <w:lang w:val="en-US" w:eastAsia="zh-CN" w:bidi="ar-SA"/>
        </w:rPr>
        <w:t>第六章 投标文件格式</w:t>
      </w:r>
      <w:bookmarkEnd w:id="103"/>
      <w:bookmarkEnd w:id="253"/>
    </w:p>
    <w:p w14:paraId="2F3DEC3A">
      <w:pPr>
        <w:bidi w:val="0"/>
        <w:spacing w:line="400" w:lineRule="exact"/>
        <w:jc w:val="center"/>
        <w:outlineLvl w:val="9"/>
        <w:rPr>
          <w:rFonts w:hint="eastAsia" w:ascii="仿宋" w:hAnsi="仿宋" w:eastAsia="仿宋" w:cs="仿宋"/>
          <w:color w:val="auto"/>
          <w:sz w:val="32"/>
          <w:szCs w:val="32"/>
          <w:highlight w:val="none"/>
        </w:rPr>
      </w:pPr>
    </w:p>
    <w:p w14:paraId="619B1DDB">
      <w:pPr>
        <w:pStyle w:val="17"/>
        <w:bidi w:val="0"/>
        <w:spacing w:line="400" w:lineRule="exact"/>
        <w:ind w:firstLine="210"/>
        <w:outlineLvl w:val="9"/>
        <w:rPr>
          <w:rFonts w:hint="eastAsia" w:ascii="仿宋" w:hAnsi="仿宋" w:eastAsia="仿宋" w:cs="仿宋"/>
          <w:color w:val="auto"/>
          <w:highlight w:val="none"/>
        </w:rPr>
      </w:pPr>
      <w:r>
        <w:rPr>
          <w:rFonts w:hint="eastAsia" w:ascii="仿宋" w:hAnsi="仿宋" w:eastAsia="仿宋" w:cs="仿宋"/>
          <w:color w:val="auto"/>
          <w:highlight w:val="none"/>
        </w:rPr>
        <w:t>（封面格式）</w:t>
      </w:r>
    </w:p>
    <w:p w14:paraId="3936EE0C">
      <w:pPr>
        <w:pStyle w:val="17"/>
        <w:bidi w:val="0"/>
        <w:spacing w:line="400" w:lineRule="exact"/>
        <w:ind w:firstLine="210"/>
        <w:outlineLvl w:val="9"/>
        <w:rPr>
          <w:rFonts w:hint="eastAsia" w:ascii="仿宋" w:hAnsi="仿宋" w:eastAsia="仿宋" w:cs="仿宋"/>
          <w:color w:val="auto"/>
          <w:highlight w:val="none"/>
        </w:rPr>
      </w:pPr>
    </w:p>
    <w:p w14:paraId="41DA2010">
      <w:pPr>
        <w:pStyle w:val="17"/>
        <w:bidi w:val="0"/>
        <w:spacing w:line="400" w:lineRule="exact"/>
        <w:ind w:firstLine="210"/>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highlight w:val="none"/>
        </w:rPr>
        <w:t xml:space="preserve">                                                          </w:t>
      </w:r>
    </w:p>
    <w:p w14:paraId="57C861FD">
      <w:pPr>
        <w:bidi w:val="0"/>
        <w:spacing w:line="400" w:lineRule="exact"/>
        <w:jc w:val="center"/>
        <w:outlineLvl w:val="9"/>
        <w:rPr>
          <w:rFonts w:hint="eastAsia" w:ascii="仿宋" w:hAnsi="仿宋" w:eastAsia="仿宋" w:cs="仿宋"/>
          <w:color w:val="auto"/>
          <w:kern w:val="0"/>
          <w:sz w:val="32"/>
          <w:szCs w:val="32"/>
          <w:highlight w:val="none"/>
          <w:u w:val="single"/>
        </w:rPr>
      </w:pPr>
    </w:p>
    <w:p w14:paraId="20398AD4">
      <w:pPr>
        <w:bidi w:val="0"/>
        <w:spacing w:line="400" w:lineRule="exact"/>
        <w:jc w:val="center"/>
        <w:outlineLvl w:val="9"/>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u w:val="single"/>
        </w:rPr>
        <w:t xml:space="preserve">                </w:t>
      </w:r>
      <w:r>
        <w:rPr>
          <w:rFonts w:hint="eastAsia" w:ascii="仿宋" w:hAnsi="仿宋" w:eastAsia="仿宋" w:cs="仿宋"/>
          <w:color w:val="auto"/>
          <w:kern w:val="0"/>
          <w:sz w:val="32"/>
          <w:szCs w:val="32"/>
          <w:highlight w:val="none"/>
        </w:rPr>
        <w:t>（项目名称）</w:t>
      </w:r>
    </w:p>
    <w:p w14:paraId="599D7670">
      <w:pPr>
        <w:pStyle w:val="43"/>
        <w:bidi w:val="0"/>
        <w:ind w:firstLine="880"/>
        <w:outlineLvl w:val="9"/>
        <w:rPr>
          <w:rFonts w:hint="eastAsia" w:ascii="仿宋" w:hAnsi="仿宋" w:eastAsia="仿宋" w:cs="仿宋"/>
          <w:color w:val="auto"/>
          <w:highlight w:val="none"/>
        </w:rPr>
      </w:pPr>
    </w:p>
    <w:p w14:paraId="00860E69">
      <w:pPr>
        <w:bidi w:val="0"/>
        <w:spacing w:before="411" w:beforeLines="100" w:line="400" w:lineRule="exact"/>
        <w:jc w:val="center"/>
        <w:outlineLvl w:val="9"/>
        <w:rPr>
          <w:rFonts w:hint="eastAsia" w:ascii="仿宋" w:hAnsi="仿宋" w:eastAsia="仿宋" w:cs="仿宋"/>
          <w:color w:val="auto"/>
          <w:sz w:val="44"/>
          <w:szCs w:val="44"/>
          <w:highlight w:val="none"/>
        </w:rPr>
      </w:pPr>
    </w:p>
    <w:p w14:paraId="33980B8D">
      <w:pPr>
        <w:bidi w:val="0"/>
        <w:spacing w:before="411" w:beforeLines="100" w:line="400" w:lineRule="exact"/>
        <w:ind w:left="0" w:leftChars="0" w:firstLine="0" w:firstLineChars="0"/>
        <w:jc w:val="center"/>
        <w:outlineLvl w:val="9"/>
        <w:rPr>
          <w:rFonts w:hint="eastAsia" w:ascii="仿宋" w:hAnsi="仿宋" w:eastAsia="仿宋" w:cs="仿宋"/>
          <w:b/>
          <w:bCs/>
          <w:color w:val="auto"/>
          <w:sz w:val="48"/>
          <w:szCs w:val="48"/>
          <w:highlight w:val="none"/>
        </w:rPr>
      </w:pPr>
      <w:r>
        <w:rPr>
          <w:rFonts w:hint="eastAsia" w:ascii="仿宋" w:hAnsi="仿宋" w:eastAsia="仿宋" w:cs="仿宋"/>
          <w:b/>
          <w:bCs/>
          <w:color w:val="auto"/>
          <w:sz w:val="48"/>
          <w:szCs w:val="48"/>
          <w:highlight w:val="none"/>
        </w:rPr>
        <w:t>投  标  文  件</w:t>
      </w:r>
    </w:p>
    <w:p w14:paraId="6DA025A0">
      <w:pPr>
        <w:bidi w:val="0"/>
        <w:spacing w:line="400" w:lineRule="exact"/>
        <w:ind w:left="0" w:leftChars="0" w:firstLine="0" w:firstLineChars="0"/>
        <w:jc w:val="center"/>
        <w:outlineLvl w:val="9"/>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项目编号：</w:t>
      </w:r>
    </w:p>
    <w:p w14:paraId="64D66B98">
      <w:pPr>
        <w:bidi w:val="0"/>
        <w:spacing w:line="400" w:lineRule="exact"/>
        <w:jc w:val="center"/>
        <w:outlineLvl w:val="9"/>
        <w:rPr>
          <w:rFonts w:hint="eastAsia" w:ascii="仿宋" w:hAnsi="仿宋" w:eastAsia="仿宋" w:cs="仿宋"/>
          <w:color w:val="auto"/>
          <w:sz w:val="32"/>
          <w:szCs w:val="32"/>
          <w:highlight w:val="none"/>
        </w:rPr>
      </w:pPr>
    </w:p>
    <w:p w14:paraId="2B09E6E5">
      <w:pPr>
        <w:bidi w:val="0"/>
        <w:spacing w:line="400" w:lineRule="exact"/>
        <w:ind w:left="0" w:leftChars="0" w:firstLine="0" w:firstLineChars="0"/>
        <w:jc w:val="both"/>
        <w:outlineLvl w:val="9"/>
        <w:rPr>
          <w:rFonts w:hint="eastAsia" w:ascii="仿宋" w:hAnsi="仿宋" w:eastAsia="仿宋" w:cs="仿宋"/>
          <w:color w:val="auto"/>
          <w:sz w:val="32"/>
          <w:szCs w:val="32"/>
          <w:highlight w:val="none"/>
        </w:rPr>
      </w:pPr>
    </w:p>
    <w:p w14:paraId="18606475">
      <w:pPr>
        <w:bidi w:val="0"/>
        <w:spacing w:line="400" w:lineRule="exact"/>
        <w:jc w:val="center"/>
        <w:outlineLvl w:val="9"/>
        <w:rPr>
          <w:rFonts w:hint="eastAsia" w:ascii="仿宋" w:hAnsi="仿宋" w:eastAsia="仿宋" w:cs="仿宋"/>
          <w:color w:val="auto"/>
          <w:sz w:val="32"/>
          <w:szCs w:val="32"/>
          <w:highlight w:val="none"/>
        </w:rPr>
      </w:pPr>
    </w:p>
    <w:p w14:paraId="2A81BD2F">
      <w:pPr>
        <w:bidi w:val="0"/>
        <w:spacing w:line="400" w:lineRule="exact"/>
        <w:jc w:val="center"/>
        <w:outlineLvl w:val="9"/>
        <w:rPr>
          <w:rFonts w:hint="eastAsia" w:ascii="仿宋" w:hAnsi="仿宋" w:eastAsia="仿宋" w:cs="仿宋"/>
          <w:color w:val="auto"/>
          <w:sz w:val="32"/>
          <w:szCs w:val="32"/>
          <w:highlight w:val="none"/>
        </w:rPr>
      </w:pPr>
    </w:p>
    <w:p w14:paraId="70B2B2E0">
      <w:pPr>
        <w:bidi w:val="0"/>
        <w:spacing w:line="400" w:lineRule="exact"/>
        <w:jc w:val="center"/>
        <w:outlineLvl w:val="9"/>
        <w:rPr>
          <w:rFonts w:hint="eastAsia" w:ascii="仿宋" w:hAnsi="仿宋" w:eastAsia="仿宋" w:cs="仿宋"/>
          <w:color w:val="auto"/>
          <w:sz w:val="32"/>
          <w:szCs w:val="32"/>
          <w:highlight w:val="none"/>
        </w:rPr>
      </w:pPr>
    </w:p>
    <w:p w14:paraId="78556548">
      <w:pPr>
        <w:bidi w:val="0"/>
        <w:spacing w:line="400" w:lineRule="exact"/>
        <w:outlineLvl w:val="9"/>
        <w:rPr>
          <w:rFonts w:hint="eastAsia" w:ascii="仿宋" w:hAnsi="仿宋" w:eastAsia="仿宋" w:cs="仿宋"/>
          <w:color w:val="auto"/>
          <w:sz w:val="32"/>
          <w:szCs w:val="32"/>
          <w:highlight w:val="none"/>
        </w:rPr>
      </w:pPr>
    </w:p>
    <w:p w14:paraId="6EADF661">
      <w:pPr>
        <w:pStyle w:val="5"/>
        <w:bidi w:val="0"/>
        <w:outlineLvl w:val="9"/>
        <w:rPr>
          <w:rFonts w:hint="eastAsia" w:ascii="仿宋" w:hAnsi="仿宋" w:eastAsia="仿宋" w:cs="仿宋"/>
          <w:color w:val="auto"/>
          <w:highlight w:val="none"/>
        </w:rPr>
      </w:pPr>
    </w:p>
    <w:p w14:paraId="05F64BE7">
      <w:pPr>
        <w:pStyle w:val="14"/>
        <w:bidi w:val="0"/>
        <w:outlineLvl w:val="9"/>
        <w:rPr>
          <w:rFonts w:hint="eastAsia" w:ascii="仿宋" w:hAnsi="仿宋" w:eastAsia="仿宋" w:cs="仿宋"/>
          <w:color w:val="auto"/>
          <w:highlight w:val="none"/>
        </w:rPr>
      </w:pPr>
    </w:p>
    <w:p w14:paraId="1DD04C4A">
      <w:pPr>
        <w:bidi w:val="0"/>
        <w:spacing w:line="400" w:lineRule="exact"/>
        <w:jc w:val="center"/>
        <w:outlineLvl w:val="9"/>
        <w:rPr>
          <w:rFonts w:hint="eastAsia" w:ascii="仿宋" w:hAnsi="仿宋" w:eastAsia="仿宋" w:cs="仿宋"/>
          <w:color w:val="auto"/>
          <w:sz w:val="32"/>
          <w:szCs w:val="32"/>
          <w:highlight w:val="none"/>
        </w:rPr>
      </w:pPr>
    </w:p>
    <w:p w14:paraId="76377C32">
      <w:pPr>
        <w:bidi w:val="0"/>
        <w:spacing w:line="40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（单位电子签章）</w:t>
      </w:r>
    </w:p>
    <w:p w14:paraId="4AE601CA">
      <w:pPr>
        <w:bidi w:val="0"/>
        <w:spacing w:line="400" w:lineRule="exact"/>
        <w:jc w:val="center"/>
        <w:outlineLvl w:val="9"/>
        <w:rPr>
          <w:rFonts w:hint="eastAsia" w:ascii="仿宋" w:hAnsi="仿宋" w:eastAsia="仿宋" w:cs="仿宋"/>
          <w:color w:val="auto"/>
          <w:highlight w:val="none"/>
        </w:rPr>
      </w:pPr>
      <w:r>
        <w:rPr>
          <w:rFonts w:hint="eastAsia" w:ascii="仿宋" w:hAnsi="仿宋" w:eastAsia="仿宋" w:cs="仿宋"/>
          <w:color w:val="auto"/>
          <w:sz w:val="24"/>
          <w:szCs w:val="24"/>
          <w:highlight w:val="none"/>
        </w:rPr>
        <w:t>法定代表人或其委托代理人：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（电子签名或电子盖章或签字或盖章）</w:t>
      </w:r>
    </w:p>
    <w:p w14:paraId="629B8A3E">
      <w:pPr>
        <w:bidi w:val="0"/>
        <w:spacing w:line="40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p>
    <w:p w14:paraId="076103E8">
      <w:pPr>
        <w:numPr>
          <w:ilvl w:val="0"/>
          <w:numId w:val="0"/>
        </w:numPr>
        <w:bidi w:val="0"/>
        <w:spacing w:line="400" w:lineRule="exact"/>
        <w:ind w:right="210"/>
        <w:jc w:val="center"/>
        <w:outlineLvl w:val="9"/>
        <w:rPr>
          <w:rFonts w:hint="eastAsia" w:ascii="仿宋" w:hAnsi="仿宋" w:eastAsia="仿宋" w:cs="仿宋"/>
          <w:color w:val="auto"/>
          <w:szCs w:val="32"/>
          <w:highlight w:val="none"/>
        </w:rPr>
      </w:pPr>
      <w:bookmarkStart w:id="254" w:name="_Toc472337696"/>
      <w:bookmarkStart w:id="255" w:name="_Toc472429341"/>
    </w:p>
    <w:p w14:paraId="473F0C3A">
      <w:pPr>
        <w:numPr>
          <w:ilvl w:val="0"/>
          <w:numId w:val="0"/>
        </w:numPr>
        <w:bidi w:val="0"/>
        <w:spacing w:line="400" w:lineRule="exact"/>
        <w:ind w:right="210"/>
        <w:jc w:val="center"/>
        <w:outlineLvl w:val="9"/>
        <w:rPr>
          <w:rFonts w:hint="eastAsia" w:ascii="仿宋" w:hAnsi="仿宋" w:eastAsia="仿宋" w:cs="仿宋"/>
          <w:b/>
          <w:bCs/>
          <w:color w:val="auto"/>
          <w:sz w:val="28"/>
          <w:szCs w:val="28"/>
          <w:highlight w:val="none"/>
        </w:rPr>
        <w:sectPr>
          <w:pgSz w:w="11905" w:h="16838"/>
          <w:pgMar w:top="1417" w:right="1417" w:bottom="1417" w:left="1417" w:header="850" w:footer="850" w:gutter="0"/>
          <w:pgBorders>
            <w:top w:val="none" w:sz="0" w:space="0"/>
            <w:left w:val="none" w:sz="0" w:space="0"/>
            <w:bottom w:val="none" w:sz="0" w:space="0"/>
            <w:right w:val="none" w:sz="0" w:space="0"/>
          </w:pgBorders>
          <w:pgNumType w:fmt="numberInDash"/>
          <w:cols w:space="0" w:num="1"/>
          <w:rtlGutter w:val="0"/>
          <w:docGrid w:type="lines" w:linePitch="412" w:charSpace="0"/>
        </w:sectPr>
      </w:pPr>
    </w:p>
    <w:p w14:paraId="4552D334">
      <w:pPr>
        <w:numPr>
          <w:ilvl w:val="0"/>
          <w:numId w:val="0"/>
        </w:numPr>
        <w:bidi w:val="0"/>
        <w:spacing w:line="400" w:lineRule="exact"/>
        <w:ind w:right="210"/>
        <w:jc w:val="center"/>
        <w:outlineLvl w:val="9"/>
        <w:rPr>
          <w:rFonts w:hint="eastAsia" w:ascii="仿宋" w:hAnsi="仿宋" w:eastAsia="仿宋" w:cs="仿宋"/>
          <w:color w:val="auto"/>
          <w:highlight w:val="none"/>
        </w:rPr>
      </w:pPr>
      <w:r>
        <w:rPr>
          <w:rFonts w:hint="eastAsia" w:ascii="仿宋" w:hAnsi="仿宋" w:eastAsia="仿宋" w:cs="仿宋"/>
          <w:b/>
          <w:bCs/>
          <w:color w:val="auto"/>
          <w:sz w:val="28"/>
          <w:szCs w:val="28"/>
          <w:highlight w:val="none"/>
        </w:rPr>
        <w:t>目    录</w:t>
      </w:r>
    </w:p>
    <w:bookmarkEnd w:id="254"/>
    <w:bookmarkEnd w:id="255"/>
    <w:p w14:paraId="4CA78ED5">
      <w:pPr>
        <w:numPr>
          <w:ilvl w:val="0"/>
          <w:numId w:val="0"/>
        </w:numPr>
        <w:bidi w:val="0"/>
        <w:spacing w:line="400" w:lineRule="exact"/>
        <w:ind w:left="210" w:right="210"/>
        <w:jc w:val="center"/>
        <w:outlineLvl w:val="9"/>
        <w:rPr>
          <w:rFonts w:hint="eastAsia" w:ascii="仿宋" w:hAnsi="仿宋" w:eastAsia="仿宋" w:cs="仿宋"/>
          <w:b/>
          <w:color w:val="auto"/>
          <w:sz w:val="28"/>
          <w:szCs w:val="28"/>
          <w:highlight w:val="none"/>
        </w:rPr>
      </w:pPr>
      <w:bookmarkStart w:id="256" w:name="_Toc472337697"/>
      <w:bookmarkStart w:id="257" w:name="_Toc472429342"/>
    </w:p>
    <w:p w14:paraId="13C13B84">
      <w:pPr>
        <w:numPr>
          <w:ilvl w:val="0"/>
          <w:numId w:val="0"/>
        </w:numPr>
        <w:bidi w:val="0"/>
        <w:spacing w:line="400" w:lineRule="exact"/>
        <w:ind w:left="210" w:right="210"/>
        <w:jc w:val="center"/>
        <w:outlineLvl w:val="9"/>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w:t>
      </w:r>
      <w:r>
        <w:rPr>
          <w:rFonts w:hint="eastAsia" w:ascii="仿宋" w:hAnsi="仿宋" w:eastAsia="仿宋" w:cs="仿宋"/>
          <w:b/>
          <w:color w:val="auto"/>
          <w:sz w:val="28"/>
          <w:szCs w:val="28"/>
          <w:highlight w:val="none"/>
          <w:lang w:val="en-US" w:eastAsia="zh-CN"/>
        </w:rPr>
        <w:t>为方便评标专家评审，</w:t>
      </w:r>
      <w:r>
        <w:rPr>
          <w:rFonts w:hint="eastAsia" w:ascii="仿宋" w:hAnsi="仿宋" w:eastAsia="仿宋" w:cs="仿宋"/>
          <w:b/>
          <w:color w:val="auto"/>
          <w:sz w:val="28"/>
          <w:szCs w:val="28"/>
          <w:highlight w:val="none"/>
        </w:rPr>
        <w:t>目录须清晰明了</w:t>
      </w:r>
      <w:r>
        <w:rPr>
          <w:rFonts w:hint="eastAsia" w:ascii="仿宋" w:hAnsi="仿宋" w:eastAsia="仿宋" w:cs="仿宋"/>
          <w:b/>
          <w:color w:val="auto"/>
          <w:sz w:val="28"/>
          <w:szCs w:val="28"/>
          <w:highlight w:val="none"/>
          <w:lang w:val="en-US" w:eastAsia="zh-CN"/>
        </w:rPr>
        <w:t>并标注页码</w:t>
      </w:r>
      <w:r>
        <w:rPr>
          <w:rFonts w:hint="eastAsia" w:ascii="仿宋" w:hAnsi="仿宋" w:eastAsia="仿宋" w:cs="仿宋"/>
          <w:b/>
          <w:color w:val="auto"/>
          <w:sz w:val="28"/>
          <w:szCs w:val="28"/>
          <w:highlight w:val="none"/>
        </w:rPr>
        <w:t>）</w:t>
      </w:r>
    </w:p>
    <w:p w14:paraId="2A6D39BB">
      <w:pPr>
        <w:bidi w:val="0"/>
        <w:outlineLvl w:val="9"/>
        <w:rPr>
          <w:rFonts w:hint="eastAsia" w:ascii="仿宋" w:hAnsi="仿宋" w:eastAsia="仿宋" w:cs="仿宋"/>
          <w:color w:val="auto"/>
          <w:highlight w:val="none"/>
        </w:rPr>
      </w:pPr>
    </w:p>
    <w:p w14:paraId="3CD692AD">
      <w:pPr>
        <w:numPr>
          <w:ilvl w:val="0"/>
          <w:numId w:val="0"/>
        </w:numPr>
        <w:bidi w:val="0"/>
        <w:spacing w:line="400" w:lineRule="exact"/>
        <w:ind w:left="210" w:right="210"/>
        <w:jc w:val="center"/>
        <w:outlineLvl w:val="9"/>
        <w:rPr>
          <w:rFonts w:hint="eastAsia" w:ascii="仿宋" w:hAnsi="仿宋" w:eastAsia="仿宋" w:cs="仿宋"/>
          <w:b/>
          <w:color w:val="auto"/>
          <w:sz w:val="28"/>
          <w:szCs w:val="28"/>
          <w:highlight w:val="none"/>
        </w:rPr>
        <w:sectPr>
          <w:pgSz w:w="11905" w:h="16838"/>
          <w:pgMar w:top="1417" w:right="1417" w:bottom="1417" w:left="1417" w:header="850" w:footer="850" w:gutter="0"/>
          <w:pgBorders>
            <w:top w:val="none" w:sz="0" w:space="0"/>
            <w:left w:val="none" w:sz="0" w:space="0"/>
            <w:bottom w:val="none" w:sz="0" w:space="0"/>
            <w:right w:val="none" w:sz="0" w:space="0"/>
          </w:pgBorders>
          <w:pgNumType w:fmt="numberInDash"/>
          <w:cols w:space="0" w:num="1"/>
          <w:rtlGutter w:val="0"/>
          <w:docGrid w:type="lines" w:linePitch="412" w:charSpace="0"/>
        </w:sectPr>
      </w:pPr>
    </w:p>
    <w:p w14:paraId="5575B9C2">
      <w:pPr>
        <w:numPr>
          <w:ilvl w:val="0"/>
          <w:numId w:val="0"/>
        </w:numPr>
        <w:bidi w:val="0"/>
        <w:spacing w:line="400" w:lineRule="exact"/>
        <w:ind w:left="210" w:right="210"/>
        <w:jc w:val="center"/>
        <w:outlineLvl w:val="9"/>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一、投标函及投标函附录</w:t>
      </w:r>
      <w:bookmarkEnd w:id="256"/>
      <w:bookmarkEnd w:id="257"/>
    </w:p>
    <w:p w14:paraId="0D344694">
      <w:pPr>
        <w:bidi w:val="0"/>
        <w:spacing w:line="400" w:lineRule="exact"/>
        <w:jc w:val="center"/>
        <w:outlineLvl w:val="9"/>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（一）投标函</w:t>
      </w:r>
    </w:p>
    <w:p w14:paraId="02D5925B">
      <w:pPr>
        <w:widowControl/>
        <w:bidi w:val="0"/>
        <w:spacing w:line="400" w:lineRule="exact"/>
        <w:outlineLvl w:val="9"/>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rPr>
        <w:t>致：</w:t>
      </w:r>
      <w:r>
        <w:rPr>
          <w:rFonts w:hint="eastAsia" w:ascii="仿宋" w:hAnsi="仿宋" w:eastAsia="仿宋" w:cs="仿宋"/>
          <w:color w:val="auto"/>
          <w:sz w:val="21"/>
          <w:szCs w:val="21"/>
          <w:highlight w:val="none"/>
          <w:u w:val="single"/>
        </w:rPr>
        <w:t>（</w:t>
      </w:r>
      <w:r>
        <w:rPr>
          <w:rFonts w:hint="eastAsia" w:ascii="仿宋" w:hAnsi="仿宋" w:eastAsia="仿宋" w:cs="仿宋"/>
          <w:color w:val="auto"/>
          <w:sz w:val="21"/>
          <w:szCs w:val="21"/>
          <w:highlight w:val="none"/>
          <w:u w:val="single"/>
          <w:lang w:eastAsia="zh-CN"/>
        </w:rPr>
        <w:t>采购人</w:t>
      </w:r>
      <w:r>
        <w:rPr>
          <w:rFonts w:hint="eastAsia" w:ascii="仿宋" w:hAnsi="仿宋" w:eastAsia="仿宋" w:cs="仿宋"/>
          <w:color w:val="auto"/>
          <w:sz w:val="21"/>
          <w:szCs w:val="21"/>
          <w:highlight w:val="none"/>
          <w:u w:val="single"/>
        </w:rPr>
        <w:t xml:space="preserve">）    </w:t>
      </w:r>
    </w:p>
    <w:p w14:paraId="114F09E6">
      <w:pPr>
        <w:bidi w:val="0"/>
        <w:spacing w:line="400" w:lineRule="exact"/>
        <w:ind w:firstLine="420" w:firstLineChars="200"/>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我方已仔细研究了</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u w:val="single"/>
          <w:lang w:val="en-US" w:eastAsia="zh-CN"/>
        </w:rPr>
        <w:t xml:space="preserve">       </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（项目名称）招标文件的全部内容，愿以人民币（大写）</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lang w:eastAsia="zh-CN"/>
        </w:rPr>
        <w:t>元</w:t>
      </w:r>
      <w:r>
        <w:rPr>
          <w:rFonts w:hint="eastAsia" w:ascii="仿宋" w:hAnsi="仿宋" w:eastAsia="仿宋" w:cs="仿宋"/>
          <w:color w:val="auto"/>
          <w:sz w:val="21"/>
          <w:szCs w:val="21"/>
          <w:highlight w:val="none"/>
        </w:rPr>
        <w:t>）的投标总报价，</w:t>
      </w:r>
      <w:r>
        <w:rPr>
          <w:rFonts w:hint="eastAsia" w:ascii="仿宋" w:hAnsi="仿宋" w:eastAsia="仿宋" w:cs="仿宋"/>
          <w:color w:val="auto"/>
          <w:sz w:val="21"/>
          <w:szCs w:val="21"/>
          <w:highlight w:val="none"/>
          <w:lang w:eastAsia="zh-CN"/>
        </w:rPr>
        <w:t>提供招标文件规定的各项技术服务，并按合同约定履行义务。</w:t>
      </w:r>
    </w:p>
    <w:p w14:paraId="206E642C">
      <w:pPr>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lang w:val="en-US" w:eastAsia="zh-CN"/>
        </w:rPr>
        <w:t>2.</w:t>
      </w:r>
      <w:r>
        <w:rPr>
          <w:rFonts w:hint="eastAsia" w:ascii="仿宋" w:hAnsi="仿宋" w:eastAsia="仿宋" w:cs="仿宋"/>
          <w:color w:val="auto"/>
          <w:sz w:val="21"/>
          <w:szCs w:val="21"/>
          <w:highlight w:val="none"/>
        </w:rPr>
        <w:t>我方承诺在投标有效期内不修改、撤销投标文件。</w:t>
      </w:r>
    </w:p>
    <w:p w14:paraId="42B6777E">
      <w:pPr>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3.如我方中标：</w:t>
      </w:r>
    </w:p>
    <w:p w14:paraId="460AE098">
      <w:pPr>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（1）我方承诺在收到中标通知书后，在中标通知书规定的期限内与你方签订合同。</w:t>
      </w:r>
    </w:p>
    <w:p w14:paraId="7AE4500D">
      <w:pPr>
        <w:bidi w:val="0"/>
        <w:spacing w:line="400" w:lineRule="exact"/>
        <w:ind w:firstLine="210" w:firstLineChars="1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（2）随同本投标函递交的投标函附录属于合同文件的组成部分。</w:t>
      </w:r>
    </w:p>
    <w:p w14:paraId="6457914A">
      <w:pPr>
        <w:bidi w:val="0"/>
        <w:spacing w:line="400" w:lineRule="exact"/>
        <w:ind w:firstLine="210" w:firstLineChars="1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（3）我方承诺按照招标文件规定向你方递交履约担保。</w:t>
      </w:r>
    </w:p>
    <w:p w14:paraId="338EE7A0">
      <w:pPr>
        <w:bidi w:val="0"/>
        <w:spacing w:line="400" w:lineRule="exact"/>
        <w:ind w:firstLine="210" w:firstLineChars="1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（4）如果我方中标，同意按招标文件规定的收费标准向采购代理机构支付服务费。</w:t>
      </w:r>
    </w:p>
    <w:p w14:paraId="056A98EA">
      <w:pPr>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4.我方在此声明，所递交的投标文件及有关资料内容完整、真实和准确，且不存在第二章“投标人须知”第1.4.3项规定的任何一种情形。</w:t>
      </w:r>
    </w:p>
    <w:p w14:paraId="1A0CCE7A">
      <w:pPr>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5. </w:t>
      </w:r>
      <w:r>
        <w:rPr>
          <w:rFonts w:hint="eastAsia" w:ascii="仿宋" w:hAnsi="仿宋" w:eastAsia="仿宋" w:cs="仿宋"/>
          <w:color w:val="auto"/>
          <w:sz w:val="21"/>
          <w:szCs w:val="21"/>
          <w:highlight w:val="none"/>
          <w:u w:val="single"/>
        </w:rPr>
        <w:t>（其他补充说明）</w:t>
      </w:r>
      <w:r>
        <w:rPr>
          <w:rFonts w:hint="eastAsia" w:ascii="仿宋" w:hAnsi="仿宋" w:eastAsia="仿宋" w:cs="仿宋"/>
          <w:color w:val="auto"/>
          <w:sz w:val="21"/>
          <w:szCs w:val="21"/>
          <w:highlight w:val="none"/>
        </w:rPr>
        <w:t>。</w:t>
      </w:r>
    </w:p>
    <w:p w14:paraId="18904B4E">
      <w:pPr>
        <w:bidi w:val="0"/>
        <w:spacing w:line="400" w:lineRule="exact"/>
        <w:outlineLvl w:val="9"/>
        <w:rPr>
          <w:rFonts w:hint="eastAsia" w:ascii="仿宋" w:hAnsi="仿宋" w:eastAsia="仿宋" w:cs="仿宋"/>
          <w:color w:val="auto"/>
          <w:sz w:val="21"/>
          <w:szCs w:val="21"/>
          <w:highlight w:val="none"/>
        </w:rPr>
      </w:pPr>
    </w:p>
    <w:p w14:paraId="39F5A9FF">
      <w:pPr>
        <w:bidi w:val="0"/>
        <w:spacing w:line="400" w:lineRule="exact"/>
        <w:ind w:left="0" w:leftChars="0" w:firstLine="1478" w:firstLineChars="704"/>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单位电子签章</w:t>
      </w:r>
      <w:r>
        <w:rPr>
          <w:rFonts w:hint="eastAsia" w:ascii="仿宋" w:hAnsi="仿宋" w:eastAsia="仿宋" w:cs="仿宋"/>
          <w:color w:val="auto"/>
          <w:sz w:val="21"/>
          <w:szCs w:val="21"/>
          <w:highlight w:val="none"/>
          <w:lang w:eastAsia="zh-CN"/>
        </w:rPr>
        <w:t>）</w:t>
      </w:r>
    </w:p>
    <w:p w14:paraId="142D197B">
      <w:pPr>
        <w:bidi w:val="0"/>
        <w:spacing w:line="400" w:lineRule="exact"/>
        <w:ind w:left="0" w:leftChars="0" w:firstLine="1478" w:firstLineChars="704"/>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法定代表人或其委托代理人：</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电子签名或电子盖章或签字或盖章</w:t>
      </w:r>
      <w:r>
        <w:rPr>
          <w:rFonts w:hint="eastAsia" w:ascii="仿宋" w:hAnsi="仿宋" w:eastAsia="仿宋" w:cs="仿宋"/>
          <w:color w:val="auto"/>
          <w:sz w:val="21"/>
          <w:szCs w:val="21"/>
          <w:highlight w:val="none"/>
          <w:lang w:eastAsia="zh-CN"/>
        </w:rPr>
        <w:t>）</w:t>
      </w:r>
    </w:p>
    <w:p w14:paraId="6381D071">
      <w:pPr>
        <w:bidi w:val="0"/>
        <w:spacing w:line="400" w:lineRule="exact"/>
        <w:ind w:left="0" w:leftChars="0" w:firstLine="1478" w:firstLineChars="704"/>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地址：</w:t>
      </w:r>
    </w:p>
    <w:p w14:paraId="0EB02DFA">
      <w:pPr>
        <w:bidi w:val="0"/>
        <w:spacing w:line="400" w:lineRule="exact"/>
        <w:ind w:left="0" w:leftChars="0" w:firstLine="1478" w:firstLineChars="704"/>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电话：</w:t>
      </w:r>
    </w:p>
    <w:p w14:paraId="47DF07B0">
      <w:pPr>
        <w:bidi w:val="0"/>
        <w:spacing w:line="400" w:lineRule="exact"/>
        <w:ind w:left="0" w:leftChars="0" w:firstLine="1478" w:firstLineChars="704"/>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年   月  日</w:t>
      </w:r>
    </w:p>
    <w:p w14:paraId="00864D07">
      <w:pPr>
        <w:pStyle w:val="17"/>
        <w:bidi w:val="0"/>
        <w:spacing w:line="400" w:lineRule="exact"/>
        <w:ind w:firstLine="210"/>
        <w:outlineLvl w:val="9"/>
        <w:rPr>
          <w:rFonts w:hint="eastAsia" w:ascii="仿宋" w:hAnsi="仿宋" w:eastAsia="仿宋" w:cs="仿宋"/>
          <w:color w:val="auto"/>
          <w:sz w:val="21"/>
          <w:szCs w:val="21"/>
          <w:highlight w:val="none"/>
        </w:rPr>
      </w:pPr>
    </w:p>
    <w:p w14:paraId="6C35E44C">
      <w:pPr>
        <w:widowControl/>
        <w:bidi w:val="0"/>
        <w:spacing w:line="400" w:lineRule="exact"/>
        <w:jc w:val="center"/>
        <w:outlineLvl w:val="9"/>
        <w:rPr>
          <w:rFonts w:hint="eastAsia" w:ascii="仿宋" w:hAnsi="仿宋" w:eastAsia="仿宋" w:cs="仿宋"/>
          <w:b/>
          <w:color w:val="auto"/>
          <w:sz w:val="21"/>
          <w:szCs w:val="21"/>
          <w:highlight w:val="none"/>
        </w:rPr>
      </w:pPr>
    </w:p>
    <w:p w14:paraId="0DAAA4A9">
      <w:pPr>
        <w:pStyle w:val="37"/>
        <w:outlineLvl w:val="9"/>
        <w:rPr>
          <w:rFonts w:hint="eastAsia" w:ascii="仿宋" w:hAnsi="仿宋" w:eastAsia="仿宋" w:cs="仿宋"/>
          <w:b/>
          <w:color w:val="auto"/>
          <w:sz w:val="21"/>
          <w:szCs w:val="21"/>
          <w:highlight w:val="none"/>
        </w:rPr>
      </w:pPr>
    </w:p>
    <w:p w14:paraId="49EE9441">
      <w:pPr>
        <w:pStyle w:val="12"/>
        <w:outlineLvl w:val="9"/>
        <w:rPr>
          <w:rFonts w:hint="eastAsia" w:ascii="仿宋" w:hAnsi="仿宋" w:eastAsia="仿宋" w:cs="仿宋"/>
          <w:b/>
          <w:color w:val="auto"/>
          <w:sz w:val="21"/>
          <w:szCs w:val="21"/>
          <w:highlight w:val="none"/>
        </w:rPr>
      </w:pPr>
    </w:p>
    <w:p w14:paraId="2F0979CA">
      <w:pPr>
        <w:pStyle w:val="12"/>
        <w:outlineLvl w:val="9"/>
        <w:rPr>
          <w:rFonts w:hint="eastAsia" w:ascii="仿宋" w:hAnsi="仿宋" w:eastAsia="仿宋" w:cs="仿宋"/>
          <w:b/>
          <w:color w:val="auto"/>
          <w:sz w:val="21"/>
          <w:szCs w:val="21"/>
          <w:highlight w:val="none"/>
        </w:rPr>
      </w:pPr>
    </w:p>
    <w:p w14:paraId="2320F4A1">
      <w:pPr>
        <w:pStyle w:val="12"/>
        <w:outlineLvl w:val="9"/>
        <w:rPr>
          <w:rFonts w:hint="eastAsia" w:ascii="仿宋" w:hAnsi="仿宋" w:eastAsia="仿宋" w:cs="仿宋"/>
          <w:b/>
          <w:color w:val="auto"/>
          <w:sz w:val="21"/>
          <w:szCs w:val="21"/>
          <w:highlight w:val="none"/>
        </w:rPr>
      </w:pPr>
    </w:p>
    <w:p w14:paraId="02CD65BC">
      <w:pPr>
        <w:pStyle w:val="12"/>
        <w:ind w:left="0" w:leftChars="0" w:firstLine="0" w:firstLineChars="0"/>
        <w:outlineLvl w:val="9"/>
        <w:rPr>
          <w:rFonts w:hint="eastAsia" w:ascii="仿宋" w:hAnsi="仿宋" w:eastAsia="仿宋" w:cs="仿宋"/>
          <w:b/>
          <w:color w:val="auto"/>
          <w:sz w:val="21"/>
          <w:szCs w:val="21"/>
          <w:highlight w:val="none"/>
        </w:rPr>
      </w:pPr>
    </w:p>
    <w:p w14:paraId="35861AC8">
      <w:pPr>
        <w:pStyle w:val="12"/>
        <w:ind w:left="0" w:leftChars="0" w:firstLine="0" w:firstLineChars="0"/>
        <w:outlineLvl w:val="9"/>
        <w:rPr>
          <w:rFonts w:hint="eastAsia" w:ascii="仿宋" w:hAnsi="仿宋" w:eastAsia="仿宋" w:cs="仿宋"/>
          <w:b/>
          <w:color w:val="auto"/>
          <w:sz w:val="21"/>
          <w:szCs w:val="21"/>
          <w:highlight w:val="none"/>
        </w:rPr>
      </w:pPr>
    </w:p>
    <w:p w14:paraId="3D4409F4">
      <w:pPr>
        <w:pStyle w:val="12"/>
        <w:ind w:left="0" w:leftChars="0" w:firstLine="0" w:firstLineChars="0"/>
        <w:outlineLvl w:val="9"/>
        <w:rPr>
          <w:rFonts w:hint="eastAsia" w:ascii="仿宋" w:hAnsi="仿宋" w:eastAsia="仿宋" w:cs="仿宋"/>
          <w:b/>
          <w:color w:val="auto"/>
          <w:sz w:val="21"/>
          <w:szCs w:val="21"/>
          <w:highlight w:val="none"/>
        </w:rPr>
      </w:pPr>
    </w:p>
    <w:p w14:paraId="3C6C9A81">
      <w:pPr>
        <w:widowControl/>
        <w:bidi w:val="0"/>
        <w:spacing w:line="400" w:lineRule="exact"/>
        <w:jc w:val="center"/>
        <w:outlineLvl w:val="9"/>
        <w:rPr>
          <w:rFonts w:hint="eastAsia" w:ascii="仿宋" w:hAnsi="仿宋" w:eastAsia="仿宋" w:cs="仿宋"/>
          <w:b/>
          <w:color w:val="auto"/>
          <w:sz w:val="21"/>
          <w:szCs w:val="21"/>
          <w:highlight w:val="none"/>
        </w:rPr>
      </w:pPr>
    </w:p>
    <w:p w14:paraId="50243875">
      <w:pPr>
        <w:widowControl/>
        <w:bidi w:val="0"/>
        <w:spacing w:line="400" w:lineRule="exact"/>
        <w:jc w:val="center"/>
        <w:outlineLvl w:val="9"/>
        <w:rPr>
          <w:rFonts w:hint="eastAsia" w:ascii="仿宋" w:hAnsi="仿宋" w:eastAsia="仿宋" w:cs="仿宋"/>
          <w:b/>
          <w:color w:val="auto"/>
          <w:sz w:val="28"/>
          <w:szCs w:val="28"/>
          <w:highlight w:val="none"/>
        </w:rPr>
        <w:sectPr>
          <w:pgSz w:w="11905" w:h="16838"/>
          <w:pgMar w:top="1417" w:right="1417" w:bottom="1417" w:left="1417" w:header="850" w:footer="850" w:gutter="0"/>
          <w:pgBorders>
            <w:top w:val="none" w:sz="0" w:space="0"/>
            <w:left w:val="none" w:sz="0" w:space="0"/>
            <w:bottom w:val="none" w:sz="0" w:space="0"/>
            <w:right w:val="none" w:sz="0" w:space="0"/>
          </w:pgBorders>
          <w:pgNumType w:fmt="numberInDash"/>
          <w:cols w:space="0" w:num="1"/>
          <w:rtlGutter w:val="0"/>
          <w:docGrid w:type="lines" w:linePitch="412" w:charSpace="0"/>
        </w:sectPr>
      </w:pPr>
    </w:p>
    <w:p w14:paraId="46E65EC9">
      <w:pPr>
        <w:widowControl/>
        <w:bidi w:val="0"/>
        <w:spacing w:line="400" w:lineRule="exact"/>
        <w:jc w:val="center"/>
        <w:outlineLvl w:val="9"/>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（二）投标函附录</w:t>
      </w:r>
    </w:p>
    <w:p w14:paraId="29BACD4F">
      <w:pPr>
        <w:bidi w:val="0"/>
        <w:spacing w:line="400" w:lineRule="exact"/>
        <w:outlineLvl w:val="9"/>
        <w:rPr>
          <w:rFonts w:hint="eastAsia" w:ascii="仿宋" w:hAnsi="仿宋" w:eastAsia="仿宋" w:cs="仿宋"/>
          <w:color w:val="auto"/>
          <w:sz w:val="21"/>
          <w:szCs w:val="21"/>
          <w:highlight w:val="none"/>
        </w:rPr>
      </w:pPr>
    </w:p>
    <w:tbl>
      <w:tblPr>
        <w:tblStyle w:val="19"/>
        <w:tblW w:w="851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27"/>
        <w:gridCol w:w="6792"/>
      </w:tblGrid>
      <w:tr w14:paraId="7D5AEA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0" w:hRule="atLeast"/>
          <w:jc w:val="center"/>
        </w:trPr>
        <w:tc>
          <w:tcPr>
            <w:tcW w:w="1727" w:type="dxa"/>
            <w:noWrap w:val="0"/>
            <w:vAlign w:val="center"/>
          </w:tcPr>
          <w:p w14:paraId="516A231F">
            <w:pPr>
              <w:widowControl/>
              <w:spacing w:line="400" w:lineRule="exact"/>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项目名称</w:t>
            </w:r>
          </w:p>
        </w:tc>
        <w:tc>
          <w:tcPr>
            <w:tcW w:w="6792" w:type="dxa"/>
            <w:noWrap w:val="0"/>
            <w:vAlign w:val="center"/>
          </w:tcPr>
          <w:p w14:paraId="57875FB0">
            <w:pPr>
              <w:widowControl/>
              <w:spacing w:line="400" w:lineRule="exact"/>
              <w:jc w:val="center"/>
              <w:outlineLvl w:val="9"/>
              <w:rPr>
                <w:rFonts w:hint="eastAsia" w:ascii="仿宋" w:hAnsi="仿宋" w:eastAsia="仿宋" w:cs="仿宋"/>
                <w:color w:val="auto"/>
                <w:sz w:val="21"/>
                <w:szCs w:val="21"/>
                <w:highlight w:val="none"/>
              </w:rPr>
            </w:pPr>
          </w:p>
        </w:tc>
      </w:tr>
      <w:tr w14:paraId="37B9CE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jc w:val="center"/>
        </w:trPr>
        <w:tc>
          <w:tcPr>
            <w:tcW w:w="1727" w:type="dxa"/>
            <w:noWrap w:val="0"/>
            <w:vAlign w:val="center"/>
          </w:tcPr>
          <w:p w14:paraId="2DD5CC62">
            <w:pPr>
              <w:widowControl/>
              <w:spacing w:line="400" w:lineRule="exact"/>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投标人名称</w:t>
            </w:r>
          </w:p>
        </w:tc>
        <w:tc>
          <w:tcPr>
            <w:tcW w:w="6792" w:type="dxa"/>
            <w:noWrap w:val="0"/>
            <w:vAlign w:val="center"/>
          </w:tcPr>
          <w:p w14:paraId="41FB27AF">
            <w:pPr>
              <w:widowControl/>
              <w:spacing w:line="400" w:lineRule="exact"/>
              <w:jc w:val="center"/>
              <w:outlineLvl w:val="9"/>
              <w:rPr>
                <w:rFonts w:hint="eastAsia" w:ascii="仿宋" w:hAnsi="仿宋" w:eastAsia="仿宋" w:cs="仿宋"/>
                <w:color w:val="auto"/>
                <w:sz w:val="21"/>
                <w:szCs w:val="21"/>
                <w:highlight w:val="none"/>
              </w:rPr>
            </w:pPr>
          </w:p>
        </w:tc>
      </w:tr>
      <w:tr w14:paraId="1DF307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2" w:hRule="atLeast"/>
          <w:jc w:val="center"/>
        </w:trPr>
        <w:tc>
          <w:tcPr>
            <w:tcW w:w="1727" w:type="dxa"/>
            <w:noWrap w:val="0"/>
            <w:vAlign w:val="center"/>
          </w:tcPr>
          <w:p w14:paraId="4D5FBDB8">
            <w:pPr>
              <w:widowControl/>
              <w:spacing w:line="400" w:lineRule="exact"/>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投标报价（元）</w:t>
            </w:r>
          </w:p>
        </w:tc>
        <w:tc>
          <w:tcPr>
            <w:tcW w:w="6792" w:type="dxa"/>
            <w:noWrap w:val="0"/>
            <w:vAlign w:val="center"/>
          </w:tcPr>
          <w:p w14:paraId="34B0628E">
            <w:pPr>
              <w:spacing w:line="400" w:lineRule="exact"/>
              <w:jc w:val="center"/>
              <w:outlineLvl w:val="9"/>
              <w:rPr>
                <w:rFonts w:hint="eastAsia" w:ascii="仿宋" w:hAnsi="仿宋" w:eastAsia="仿宋" w:cs="仿宋"/>
                <w:color w:val="auto"/>
                <w:sz w:val="21"/>
                <w:szCs w:val="21"/>
                <w:highlight w:val="none"/>
              </w:rPr>
            </w:pPr>
          </w:p>
        </w:tc>
      </w:tr>
      <w:tr w14:paraId="5B40A9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82" w:hRule="atLeast"/>
          <w:jc w:val="center"/>
        </w:trPr>
        <w:tc>
          <w:tcPr>
            <w:tcW w:w="1727" w:type="dxa"/>
            <w:noWrap w:val="0"/>
            <w:vAlign w:val="center"/>
          </w:tcPr>
          <w:p w14:paraId="6F672260">
            <w:pPr>
              <w:widowControl/>
              <w:spacing w:line="400" w:lineRule="exact"/>
              <w:ind w:left="0" w:leftChars="0" w:firstLine="0" w:firstLineChars="0"/>
              <w:jc w:val="center"/>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采购内容</w:t>
            </w:r>
          </w:p>
        </w:tc>
        <w:tc>
          <w:tcPr>
            <w:tcW w:w="6792" w:type="dxa"/>
            <w:noWrap w:val="0"/>
            <w:vAlign w:val="center"/>
          </w:tcPr>
          <w:p w14:paraId="32456598">
            <w:pPr>
              <w:spacing w:line="400" w:lineRule="exact"/>
              <w:jc w:val="center"/>
              <w:outlineLvl w:val="9"/>
              <w:rPr>
                <w:rFonts w:hint="eastAsia" w:ascii="仿宋" w:hAnsi="仿宋" w:eastAsia="仿宋" w:cs="仿宋"/>
                <w:color w:val="auto"/>
                <w:sz w:val="21"/>
                <w:szCs w:val="21"/>
                <w:highlight w:val="none"/>
              </w:rPr>
            </w:pPr>
          </w:p>
        </w:tc>
      </w:tr>
      <w:tr w14:paraId="339751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7" w:hRule="atLeast"/>
          <w:jc w:val="center"/>
        </w:trPr>
        <w:tc>
          <w:tcPr>
            <w:tcW w:w="1727" w:type="dxa"/>
            <w:noWrap w:val="0"/>
            <w:vAlign w:val="center"/>
          </w:tcPr>
          <w:p w14:paraId="10D7862A">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highlight w:val="none"/>
              </w:rPr>
              <w:t>质量要求</w:t>
            </w:r>
          </w:p>
        </w:tc>
        <w:tc>
          <w:tcPr>
            <w:tcW w:w="6792" w:type="dxa"/>
            <w:shd w:val="clear" w:color="auto" w:fill="auto"/>
            <w:noWrap w:val="0"/>
            <w:vAlign w:val="center"/>
          </w:tcPr>
          <w:p w14:paraId="7E011A14">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kern w:val="2"/>
                <w:sz w:val="21"/>
                <w:szCs w:val="22"/>
                <w:highlight w:val="none"/>
                <w:lang w:val="en-US" w:eastAsia="zh-CN" w:bidi="ar-SA"/>
              </w:rPr>
            </w:pPr>
          </w:p>
        </w:tc>
      </w:tr>
      <w:tr w14:paraId="256CDE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7" w:hRule="atLeast"/>
          <w:jc w:val="center"/>
        </w:trPr>
        <w:tc>
          <w:tcPr>
            <w:tcW w:w="1727" w:type="dxa"/>
            <w:noWrap w:val="0"/>
            <w:vAlign w:val="center"/>
          </w:tcPr>
          <w:p w14:paraId="12DDBAB0">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highlight w:val="none"/>
                <w:lang w:eastAsia="zh-CN"/>
              </w:rPr>
              <w:t>交货期</w:t>
            </w:r>
          </w:p>
        </w:tc>
        <w:tc>
          <w:tcPr>
            <w:tcW w:w="6792" w:type="dxa"/>
            <w:shd w:val="clear" w:color="auto" w:fill="auto"/>
            <w:noWrap w:val="0"/>
            <w:vAlign w:val="center"/>
          </w:tcPr>
          <w:p w14:paraId="75643D85">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kern w:val="2"/>
                <w:sz w:val="21"/>
                <w:szCs w:val="22"/>
                <w:highlight w:val="none"/>
                <w:lang w:val="en-US" w:eastAsia="zh-CN" w:bidi="ar-SA"/>
              </w:rPr>
            </w:pPr>
          </w:p>
        </w:tc>
      </w:tr>
      <w:tr w14:paraId="129934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7" w:hRule="atLeast"/>
          <w:jc w:val="center"/>
        </w:trPr>
        <w:tc>
          <w:tcPr>
            <w:tcW w:w="1727" w:type="dxa"/>
            <w:noWrap w:val="0"/>
            <w:vAlign w:val="center"/>
          </w:tcPr>
          <w:p w14:paraId="02F6BE44">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highlight w:val="none"/>
              </w:rPr>
              <w:t>交货地点</w:t>
            </w:r>
          </w:p>
        </w:tc>
        <w:tc>
          <w:tcPr>
            <w:tcW w:w="6792" w:type="dxa"/>
            <w:shd w:val="clear" w:color="auto" w:fill="auto"/>
            <w:noWrap w:val="0"/>
            <w:vAlign w:val="center"/>
          </w:tcPr>
          <w:p w14:paraId="57D2EC3B">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kern w:val="2"/>
                <w:sz w:val="21"/>
                <w:szCs w:val="22"/>
                <w:highlight w:val="none"/>
                <w:lang w:val="en-US" w:eastAsia="zh-CN" w:bidi="ar-SA"/>
              </w:rPr>
            </w:pPr>
          </w:p>
        </w:tc>
      </w:tr>
      <w:tr w14:paraId="127738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7" w:hRule="atLeast"/>
          <w:jc w:val="center"/>
        </w:trPr>
        <w:tc>
          <w:tcPr>
            <w:tcW w:w="1727" w:type="dxa"/>
            <w:noWrap w:val="0"/>
            <w:vAlign w:val="center"/>
          </w:tcPr>
          <w:p w14:paraId="3C64169B">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仿宋" w:hAnsi="仿宋" w:eastAsia="仿宋" w:cs="仿宋"/>
                <w:color w:val="auto"/>
                <w:sz w:val="21"/>
                <w:szCs w:val="21"/>
                <w:highlight w:val="none"/>
              </w:rPr>
            </w:pPr>
            <w:r>
              <w:rPr>
                <w:rFonts w:hint="eastAsia" w:ascii="仿宋" w:hAnsi="仿宋" w:eastAsia="仿宋" w:cs="仿宋"/>
                <w:color w:val="auto"/>
                <w:highlight w:val="none"/>
              </w:rPr>
              <w:t>质保期</w:t>
            </w:r>
          </w:p>
        </w:tc>
        <w:tc>
          <w:tcPr>
            <w:tcW w:w="6792" w:type="dxa"/>
            <w:shd w:val="clear" w:color="auto" w:fill="auto"/>
            <w:noWrap w:val="0"/>
            <w:vAlign w:val="center"/>
          </w:tcPr>
          <w:p w14:paraId="75F49D16">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highlight w:val="none"/>
              </w:rPr>
            </w:pPr>
          </w:p>
        </w:tc>
      </w:tr>
      <w:tr w14:paraId="26457C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7" w:hRule="atLeast"/>
          <w:jc w:val="center"/>
        </w:trPr>
        <w:tc>
          <w:tcPr>
            <w:tcW w:w="1727" w:type="dxa"/>
            <w:noWrap w:val="0"/>
            <w:vAlign w:val="center"/>
          </w:tcPr>
          <w:p w14:paraId="3F09807B">
            <w:pPr>
              <w:pageBreakBefore w:val="0"/>
              <w:kinsoku/>
              <w:wordWrap/>
              <w:overflowPunct/>
              <w:topLinePunct w:val="0"/>
              <w:bidi w:val="0"/>
              <w:spacing w:line="400" w:lineRule="exact"/>
              <w:ind w:left="0" w:leftChars="0" w:right="105" w:rightChars="50" w:firstLine="0" w:firstLineChars="0"/>
              <w:jc w:val="center"/>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rPr>
              <w:t>投标有效期</w:t>
            </w:r>
          </w:p>
        </w:tc>
        <w:tc>
          <w:tcPr>
            <w:tcW w:w="6792" w:type="dxa"/>
            <w:shd w:val="clear" w:color="auto" w:fill="auto"/>
            <w:noWrap w:val="0"/>
            <w:vAlign w:val="center"/>
          </w:tcPr>
          <w:p w14:paraId="32B0E6DC">
            <w:pPr>
              <w:keepNext/>
              <w:keepLines/>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outlineLvl w:val="9"/>
              <w:rPr>
                <w:rFonts w:hint="eastAsia" w:ascii="仿宋" w:hAnsi="仿宋" w:eastAsia="仿宋" w:cs="仿宋"/>
                <w:color w:val="auto"/>
                <w:kern w:val="2"/>
                <w:sz w:val="21"/>
                <w:szCs w:val="22"/>
                <w:highlight w:val="none"/>
                <w:lang w:val="en-US" w:eastAsia="zh-CN" w:bidi="ar-SA"/>
              </w:rPr>
            </w:pPr>
          </w:p>
        </w:tc>
      </w:tr>
      <w:tr w14:paraId="56D31D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1" w:hRule="atLeast"/>
          <w:jc w:val="center"/>
        </w:trPr>
        <w:tc>
          <w:tcPr>
            <w:tcW w:w="1727" w:type="dxa"/>
            <w:noWrap w:val="0"/>
            <w:vAlign w:val="center"/>
          </w:tcPr>
          <w:p w14:paraId="63FE0D12">
            <w:pPr>
              <w:widowControl/>
              <w:spacing w:line="400" w:lineRule="exact"/>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备  注</w:t>
            </w:r>
          </w:p>
        </w:tc>
        <w:tc>
          <w:tcPr>
            <w:tcW w:w="6792" w:type="dxa"/>
            <w:noWrap w:val="0"/>
            <w:vAlign w:val="center"/>
          </w:tcPr>
          <w:p w14:paraId="59B8FF58">
            <w:pPr>
              <w:widowControl/>
              <w:spacing w:line="400" w:lineRule="exact"/>
              <w:jc w:val="left"/>
              <w:outlineLvl w:val="9"/>
              <w:rPr>
                <w:rFonts w:hint="eastAsia" w:ascii="仿宋" w:hAnsi="仿宋" w:eastAsia="仿宋" w:cs="仿宋"/>
                <w:color w:val="auto"/>
                <w:sz w:val="21"/>
                <w:szCs w:val="21"/>
                <w:highlight w:val="none"/>
              </w:rPr>
            </w:pPr>
          </w:p>
        </w:tc>
      </w:tr>
    </w:tbl>
    <w:p w14:paraId="24C5A35A">
      <w:pPr>
        <w:bidi w:val="0"/>
        <w:spacing w:line="400" w:lineRule="exact"/>
        <w:ind w:firstLine="422" w:firstLineChars="200"/>
        <w:outlineLvl w:val="9"/>
        <w:rPr>
          <w:rFonts w:hint="eastAsia" w:ascii="仿宋" w:hAnsi="仿宋" w:eastAsia="仿宋" w:cs="仿宋"/>
          <w:b/>
          <w:color w:val="auto"/>
          <w:sz w:val="21"/>
          <w:szCs w:val="21"/>
          <w:highlight w:val="none"/>
        </w:rPr>
      </w:pPr>
    </w:p>
    <w:p w14:paraId="48F6F23C">
      <w:pPr>
        <w:bidi w:val="0"/>
        <w:spacing w:line="400" w:lineRule="exact"/>
        <w:ind w:left="0" w:leftChars="0" w:firstLine="1260" w:firstLineChars="6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单位电子签章</w:t>
      </w:r>
      <w:r>
        <w:rPr>
          <w:rFonts w:hint="eastAsia" w:ascii="仿宋" w:hAnsi="仿宋" w:eastAsia="仿宋" w:cs="仿宋"/>
          <w:color w:val="auto"/>
          <w:sz w:val="21"/>
          <w:szCs w:val="21"/>
          <w:highlight w:val="none"/>
          <w:lang w:eastAsia="zh-CN"/>
        </w:rPr>
        <w:t>）</w:t>
      </w:r>
    </w:p>
    <w:p w14:paraId="76B9AE20">
      <w:pPr>
        <w:bidi w:val="0"/>
        <w:spacing w:line="400" w:lineRule="exact"/>
        <w:ind w:left="0" w:leftChars="0" w:firstLine="1260" w:firstLineChars="600"/>
        <w:outlineLvl w:val="9"/>
        <w:rPr>
          <w:rFonts w:hint="eastAsia" w:ascii="仿宋" w:hAnsi="仿宋" w:eastAsia="仿宋" w:cs="仿宋"/>
          <w:color w:val="auto"/>
          <w:sz w:val="21"/>
          <w:szCs w:val="21"/>
          <w:highlight w:val="none"/>
        </w:rPr>
      </w:pPr>
    </w:p>
    <w:p w14:paraId="0C5FDD97">
      <w:pPr>
        <w:bidi w:val="0"/>
        <w:spacing w:line="400" w:lineRule="exact"/>
        <w:ind w:left="0" w:leftChars="0" w:firstLine="1260" w:firstLineChars="6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法定代表人或其委托代理人：</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电子签名或电子盖章或签字或盖章</w:t>
      </w:r>
      <w:r>
        <w:rPr>
          <w:rFonts w:hint="eastAsia" w:ascii="仿宋" w:hAnsi="仿宋" w:eastAsia="仿宋" w:cs="仿宋"/>
          <w:color w:val="auto"/>
          <w:sz w:val="21"/>
          <w:szCs w:val="21"/>
          <w:highlight w:val="none"/>
          <w:lang w:eastAsia="zh-CN"/>
        </w:rPr>
        <w:t>）</w:t>
      </w:r>
    </w:p>
    <w:p w14:paraId="5D011663">
      <w:pPr>
        <w:bidi w:val="0"/>
        <w:spacing w:line="400" w:lineRule="exact"/>
        <w:ind w:left="0" w:leftChars="0" w:firstLine="1260" w:firstLineChars="600"/>
        <w:outlineLvl w:val="9"/>
        <w:rPr>
          <w:rFonts w:hint="eastAsia" w:ascii="仿宋" w:hAnsi="仿宋" w:eastAsia="仿宋" w:cs="仿宋"/>
          <w:color w:val="auto"/>
          <w:sz w:val="21"/>
          <w:szCs w:val="21"/>
          <w:highlight w:val="none"/>
        </w:rPr>
      </w:pPr>
    </w:p>
    <w:p w14:paraId="53722A1F">
      <w:pPr>
        <w:bidi w:val="0"/>
        <w:spacing w:line="400" w:lineRule="exact"/>
        <w:ind w:left="0" w:leftChars="0" w:firstLine="1260" w:firstLineChars="6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年   月    日</w:t>
      </w:r>
    </w:p>
    <w:p w14:paraId="471A0EB2">
      <w:pPr>
        <w:bidi w:val="0"/>
        <w:spacing w:after="206" w:afterLines="50" w:line="400" w:lineRule="exact"/>
        <w:jc w:val="center"/>
        <w:outlineLvl w:val="9"/>
        <w:rPr>
          <w:rFonts w:hint="eastAsia" w:ascii="仿宋" w:hAnsi="仿宋" w:eastAsia="仿宋" w:cs="仿宋"/>
          <w:color w:val="auto"/>
          <w:sz w:val="21"/>
          <w:szCs w:val="21"/>
          <w:highlight w:val="none"/>
        </w:rPr>
      </w:pPr>
    </w:p>
    <w:p w14:paraId="023B9606">
      <w:pPr>
        <w:pStyle w:val="17"/>
        <w:bidi w:val="0"/>
        <w:spacing w:line="400" w:lineRule="exact"/>
        <w:ind w:firstLine="210"/>
        <w:outlineLvl w:val="9"/>
        <w:rPr>
          <w:rFonts w:hint="eastAsia" w:ascii="仿宋" w:hAnsi="仿宋" w:eastAsia="仿宋" w:cs="仿宋"/>
          <w:color w:val="auto"/>
          <w:sz w:val="21"/>
          <w:szCs w:val="21"/>
          <w:highlight w:val="none"/>
        </w:rPr>
      </w:pPr>
    </w:p>
    <w:p w14:paraId="57C632DA">
      <w:pPr>
        <w:pStyle w:val="18"/>
        <w:outlineLvl w:val="9"/>
        <w:rPr>
          <w:rFonts w:hint="eastAsia" w:ascii="仿宋" w:hAnsi="仿宋" w:eastAsia="仿宋" w:cs="仿宋"/>
          <w:color w:val="auto"/>
          <w:highlight w:val="none"/>
        </w:rPr>
      </w:pPr>
    </w:p>
    <w:p w14:paraId="5F9DF611">
      <w:pPr>
        <w:numPr>
          <w:ilvl w:val="0"/>
          <w:numId w:val="0"/>
        </w:numPr>
        <w:bidi w:val="0"/>
        <w:spacing w:line="400" w:lineRule="exact"/>
        <w:jc w:val="center"/>
        <w:outlineLvl w:val="9"/>
        <w:rPr>
          <w:rFonts w:hint="eastAsia" w:ascii="仿宋" w:hAnsi="仿宋" w:eastAsia="仿宋" w:cs="仿宋"/>
          <w:b/>
          <w:color w:val="auto"/>
          <w:sz w:val="28"/>
          <w:szCs w:val="28"/>
          <w:highlight w:val="none"/>
        </w:rPr>
        <w:sectPr>
          <w:pgSz w:w="11905" w:h="16838"/>
          <w:pgMar w:top="1417" w:right="1417" w:bottom="1417" w:left="1417" w:header="850" w:footer="850" w:gutter="0"/>
          <w:pgBorders>
            <w:top w:val="none" w:sz="0" w:space="0"/>
            <w:left w:val="none" w:sz="0" w:space="0"/>
            <w:bottom w:val="none" w:sz="0" w:space="0"/>
            <w:right w:val="none" w:sz="0" w:space="0"/>
          </w:pgBorders>
          <w:pgNumType w:fmt="numberInDash"/>
          <w:cols w:space="0" w:num="1"/>
          <w:rtlGutter w:val="0"/>
          <w:docGrid w:type="lines" w:linePitch="412" w:charSpace="0"/>
        </w:sectPr>
      </w:pPr>
    </w:p>
    <w:p w14:paraId="63ECD7D2">
      <w:pPr>
        <w:numPr>
          <w:ilvl w:val="0"/>
          <w:numId w:val="0"/>
        </w:numPr>
        <w:bidi w:val="0"/>
        <w:spacing w:line="400" w:lineRule="exact"/>
        <w:jc w:val="center"/>
        <w:outlineLvl w:val="9"/>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二、法定代表人（单位负责人）身份证明</w:t>
      </w:r>
    </w:p>
    <w:p w14:paraId="006C66F4">
      <w:pPr>
        <w:numPr>
          <w:ilvl w:val="0"/>
          <w:numId w:val="0"/>
        </w:numPr>
        <w:bidi w:val="0"/>
        <w:spacing w:line="400" w:lineRule="exact"/>
        <w:jc w:val="center"/>
        <w:outlineLvl w:val="9"/>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（适用于无委托代理人的情况）</w:t>
      </w:r>
    </w:p>
    <w:p w14:paraId="3630976E">
      <w:pPr>
        <w:bidi w:val="0"/>
        <w:spacing w:line="400" w:lineRule="exact"/>
        <w:ind w:firstLine="420" w:firstLineChars="200"/>
        <w:outlineLvl w:val="9"/>
        <w:rPr>
          <w:rFonts w:hint="eastAsia" w:ascii="仿宋" w:hAnsi="仿宋" w:eastAsia="仿宋" w:cs="仿宋"/>
          <w:color w:val="auto"/>
          <w:sz w:val="21"/>
          <w:szCs w:val="21"/>
          <w:highlight w:val="none"/>
        </w:rPr>
      </w:pPr>
    </w:p>
    <w:p w14:paraId="11BF0C82">
      <w:pPr>
        <w:bidi w:val="0"/>
        <w:spacing w:line="400" w:lineRule="exact"/>
        <w:ind w:firstLine="420" w:firstLineChars="200"/>
        <w:outlineLvl w:val="9"/>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rPr>
        <w:t xml:space="preserve">投标人名称：  </w:t>
      </w:r>
    </w:p>
    <w:p w14:paraId="048A35C6">
      <w:pPr>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姓名：</w:t>
      </w:r>
    </w:p>
    <w:p w14:paraId="0834A7EA">
      <w:pPr>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性别：</w:t>
      </w:r>
    </w:p>
    <w:p w14:paraId="50E2A3BA">
      <w:pPr>
        <w:bidi w:val="0"/>
        <w:spacing w:line="400" w:lineRule="exact"/>
        <w:ind w:firstLine="420" w:firstLineChars="200"/>
        <w:outlineLvl w:val="9"/>
        <w:rPr>
          <w:rFonts w:hint="eastAsia" w:ascii="仿宋" w:hAnsi="仿宋" w:eastAsia="仿宋" w:cs="仿宋"/>
          <w:color w:val="auto"/>
          <w:sz w:val="21"/>
          <w:szCs w:val="21"/>
          <w:highlight w:val="none"/>
          <w:u w:val="single"/>
        </w:rPr>
      </w:pPr>
      <w:r>
        <w:rPr>
          <w:rFonts w:hint="eastAsia" w:ascii="仿宋" w:hAnsi="仿宋" w:eastAsia="仿宋" w:cs="仿宋"/>
          <w:color w:val="auto"/>
          <w:sz w:val="21"/>
          <w:szCs w:val="21"/>
          <w:highlight w:val="none"/>
        </w:rPr>
        <w:t>年龄：</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职务：</w:t>
      </w:r>
      <w:r>
        <w:rPr>
          <w:rFonts w:hint="eastAsia" w:ascii="仿宋" w:hAnsi="仿宋" w:eastAsia="仿宋" w:cs="仿宋"/>
          <w:color w:val="auto"/>
          <w:sz w:val="21"/>
          <w:szCs w:val="21"/>
          <w:highlight w:val="none"/>
          <w:u w:val="single"/>
        </w:rPr>
        <w:t xml:space="preserve">                </w:t>
      </w:r>
    </w:p>
    <w:p w14:paraId="5A712222">
      <w:pPr>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系</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（投标人名称）的法定代表人。</w:t>
      </w:r>
    </w:p>
    <w:p w14:paraId="761B7581">
      <w:pPr>
        <w:bidi w:val="0"/>
        <w:spacing w:line="400" w:lineRule="exact"/>
        <w:ind w:firstLine="840" w:firstLineChars="4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特此证明。</w:t>
      </w:r>
    </w:p>
    <w:p w14:paraId="5B0105F4">
      <w:pPr>
        <w:bidi w:val="0"/>
        <w:spacing w:line="400" w:lineRule="exact"/>
        <w:ind w:firstLine="420" w:firstLineChars="200"/>
        <w:outlineLvl w:val="9"/>
        <w:rPr>
          <w:rFonts w:hint="eastAsia" w:ascii="仿宋" w:hAnsi="仿宋" w:eastAsia="仿宋" w:cs="仿宋"/>
          <w:color w:val="auto"/>
          <w:sz w:val="21"/>
          <w:szCs w:val="21"/>
          <w:highlight w:val="none"/>
        </w:rPr>
      </w:pPr>
    </w:p>
    <w:p w14:paraId="52DD7CC8">
      <w:pPr>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附：法定代表人身份证扫描件。</w:t>
      </w:r>
    </w:p>
    <w:p w14:paraId="435A22B3">
      <w:pPr>
        <w:pStyle w:val="17"/>
        <w:bidi w:val="0"/>
        <w:spacing w:line="400" w:lineRule="exact"/>
        <w:ind w:firstLine="210"/>
        <w:outlineLvl w:val="9"/>
        <w:rPr>
          <w:rFonts w:hint="eastAsia" w:ascii="仿宋" w:hAnsi="仿宋" w:eastAsia="仿宋" w:cs="仿宋"/>
          <w:color w:val="auto"/>
          <w:sz w:val="21"/>
          <w:szCs w:val="21"/>
          <w:highlight w:val="none"/>
        </w:rPr>
      </w:pPr>
    </w:p>
    <w:tbl>
      <w:tblPr>
        <w:tblStyle w:val="47"/>
        <w:tblW w:w="89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973"/>
      </w:tblGrid>
      <w:tr w14:paraId="3D085B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5" w:hRule="atLeast"/>
        </w:trPr>
        <w:tc>
          <w:tcPr>
            <w:tcW w:w="8973" w:type="dxa"/>
            <w:vAlign w:val="top"/>
          </w:tcPr>
          <w:p w14:paraId="75409FEA">
            <w:pPr>
              <w:pStyle w:val="46"/>
              <w:spacing w:before="65" w:line="228" w:lineRule="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8"/>
                <w:sz w:val="20"/>
                <w:szCs w:val="20"/>
                <w:highlight w:val="none"/>
              </w:rPr>
              <w:t>法定代表人身份证扫描件</w:t>
            </w:r>
          </w:p>
        </w:tc>
      </w:tr>
    </w:tbl>
    <w:p w14:paraId="0F08BEB7">
      <w:pPr>
        <w:bidi w:val="0"/>
        <w:spacing w:line="400" w:lineRule="exact"/>
        <w:ind w:left="0" w:leftChars="0" w:firstLine="0" w:firstLineChars="0"/>
        <w:outlineLvl w:val="9"/>
        <w:rPr>
          <w:rFonts w:hint="eastAsia" w:ascii="仿宋" w:hAnsi="仿宋" w:eastAsia="仿宋" w:cs="仿宋"/>
          <w:color w:val="auto"/>
          <w:sz w:val="21"/>
          <w:szCs w:val="21"/>
          <w:highlight w:val="none"/>
        </w:rPr>
      </w:pPr>
    </w:p>
    <w:p w14:paraId="3B8CA3AF">
      <w:pPr>
        <w:bidi w:val="0"/>
        <w:spacing w:line="400" w:lineRule="exact"/>
        <w:ind w:firstLine="4200" w:firstLineChars="2000"/>
        <w:outlineLvl w:val="9"/>
        <w:rPr>
          <w:rFonts w:hint="eastAsia" w:ascii="仿宋" w:hAnsi="仿宋" w:eastAsia="仿宋" w:cs="仿宋"/>
          <w:color w:val="auto"/>
          <w:sz w:val="21"/>
          <w:szCs w:val="21"/>
          <w:highlight w:val="none"/>
        </w:rPr>
      </w:pPr>
    </w:p>
    <w:p w14:paraId="7957437B">
      <w:pPr>
        <w:bidi w:val="0"/>
        <w:spacing w:line="400" w:lineRule="exact"/>
        <w:ind w:firstLine="4200" w:firstLineChars="2000"/>
        <w:outlineLvl w:val="9"/>
        <w:rPr>
          <w:rFonts w:hint="eastAsia" w:ascii="仿宋" w:hAnsi="仿宋" w:eastAsia="仿宋" w:cs="仿宋"/>
          <w:color w:val="auto"/>
          <w:sz w:val="21"/>
          <w:szCs w:val="21"/>
          <w:highlight w:val="none"/>
        </w:rPr>
      </w:pPr>
    </w:p>
    <w:p w14:paraId="64F83526">
      <w:pPr>
        <w:bidi w:val="0"/>
        <w:spacing w:line="400" w:lineRule="exact"/>
        <w:ind w:firstLine="4200" w:firstLineChars="20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投标人：（单位电子签章）</w:t>
      </w:r>
    </w:p>
    <w:p w14:paraId="0F9AEFB9">
      <w:pPr>
        <w:bidi w:val="0"/>
        <w:spacing w:line="400" w:lineRule="exact"/>
        <w:ind w:firstLine="4515" w:firstLineChars="2150"/>
        <w:outlineLvl w:val="9"/>
        <w:rPr>
          <w:rFonts w:hint="eastAsia" w:ascii="仿宋" w:hAnsi="仿宋" w:eastAsia="仿宋" w:cs="仿宋"/>
          <w:color w:val="auto"/>
          <w:sz w:val="21"/>
          <w:szCs w:val="21"/>
          <w:highlight w:val="none"/>
          <w:u w:val="single"/>
        </w:rPr>
      </w:pPr>
    </w:p>
    <w:p w14:paraId="247EDAFF">
      <w:pPr>
        <w:bidi w:val="0"/>
        <w:spacing w:line="400" w:lineRule="exact"/>
        <w:ind w:firstLine="4515" w:firstLineChars="215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年  月   日</w:t>
      </w:r>
    </w:p>
    <w:p w14:paraId="33CFAD39">
      <w:pPr>
        <w:bidi w:val="0"/>
        <w:spacing w:line="400" w:lineRule="exact"/>
        <w:ind w:firstLine="420" w:firstLineChars="200"/>
        <w:outlineLvl w:val="9"/>
        <w:rPr>
          <w:rFonts w:hint="eastAsia" w:ascii="仿宋" w:hAnsi="仿宋" w:eastAsia="仿宋" w:cs="仿宋"/>
          <w:color w:val="auto"/>
          <w:sz w:val="21"/>
          <w:szCs w:val="21"/>
          <w:highlight w:val="none"/>
        </w:rPr>
        <w:sectPr>
          <w:pgSz w:w="11905" w:h="16838"/>
          <w:pgMar w:top="1417" w:right="1417" w:bottom="1417" w:left="1417" w:header="850" w:footer="850" w:gutter="0"/>
          <w:pgBorders>
            <w:top w:val="none" w:sz="0" w:space="0"/>
            <w:left w:val="none" w:sz="0" w:space="0"/>
            <w:bottom w:val="none" w:sz="0" w:space="0"/>
            <w:right w:val="none" w:sz="0" w:space="0"/>
          </w:pgBorders>
          <w:pgNumType w:fmt="numberInDash"/>
          <w:cols w:space="0" w:num="1"/>
          <w:rtlGutter w:val="0"/>
          <w:docGrid w:type="lines" w:linePitch="412" w:charSpace="0"/>
        </w:sectPr>
      </w:pPr>
    </w:p>
    <w:p w14:paraId="58067E62">
      <w:pPr>
        <w:numPr>
          <w:ilvl w:val="0"/>
          <w:numId w:val="0"/>
        </w:numPr>
        <w:bidi w:val="0"/>
        <w:spacing w:line="400" w:lineRule="exact"/>
        <w:jc w:val="center"/>
        <w:outlineLvl w:val="9"/>
        <w:rPr>
          <w:rFonts w:hint="eastAsia" w:ascii="仿宋" w:hAnsi="仿宋" w:eastAsia="仿宋" w:cs="仿宋"/>
          <w:b/>
          <w:color w:val="auto"/>
          <w:sz w:val="28"/>
          <w:szCs w:val="28"/>
          <w:highlight w:val="none"/>
          <w:lang w:eastAsia="zh-CN"/>
        </w:rPr>
      </w:pPr>
      <w:bookmarkStart w:id="258" w:name="_Toc184635140"/>
      <w:r>
        <w:rPr>
          <w:rFonts w:hint="eastAsia" w:ascii="仿宋" w:hAnsi="仿宋" w:eastAsia="仿宋" w:cs="仿宋"/>
          <w:b/>
          <w:color w:val="auto"/>
          <w:sz w:val="28"/>
          <w:szCs w:val="28"/>
          <w:highlight w:val="none"/>
          <w:lang w:val="en-US" w:eastAsia="zh-CN"/>
        </w:rPr>
        <w:t>三</w:t>
      </w:r>
      <w:r>
        <w:rPr>
          <w:rFonts w:hint="eastAsia" w:ascii="仿宋" w:hAnsi="仿宋" w:eastAsia="仿宋" w:cs="仿宋"/>
          <w:b/>
          <w:color w:val="auto"/>
          <w:sz w:val="28"/>
          <w:szCs w:val="28"/>
          <w:highlight w:val="none"/>
        </w:rPr>
        <w:t>、</w:t>
      </w:r>
      <w:bookmarkEnd w:id="258"/>
      <w:r>
        <w:rPr>
          <w:rFonts w:hint="eastAsia" w:ascii="仿宋" w:hAnsi="仿宋" w:eastAsia="仿宋" w:cs="仿宋"/>
          <w:b/>
          <w:color w:val="auto"/>
          <w:sz w:val="28"/>
          <w:szCs w:val="28"/>
          <w:highlight w:val="none"/>
        </w:rPr>
        <w:t>授权委托书（适用于有委托代理人的情况）</w:t>
      </w:r>
    </w:p>
    <w:p w14:paraId="363984BA">
      <w:pPr>
        <w:bidi w:val="0"/>
        <w:spacing w:line="400" w:lineRule="exact"/>
        <w:ind w:firstLine="420" w:firstLineChars="200"/>
        <w:outlineLvl w:val="9"/>
        <w:rPr>
          <w:rFonts w:hint="eastAsia" w:ascii="仿宋" w:hAnsi="仿宋" w:eastAsia="仿宋" w:cs="仿宋"/>
          <w:color w:val="auto"/>
          <w:sz w:val="21"/>
          <w:szCs w:val="21"/>
          <w:highlight w:val="none"/>
        </w:rPr>
      </w:pPr>
    </w:p>
    <w:p w14:paraId="4D306308">
      <w:pPr>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本人</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（姓名）</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系（投标人名称）的法定代表人，现委托</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（姓名）为我方代理人。代理人根据授权，以我方名义签署、澄清、说明、补正、递交、撤回、修改</w:t>
      </w:r>
      <w:r>
        <w:rPr>
          <w:rFonts w:hint="eastAsia" w:ascii="仿宋" w:hAnsi="仿宋" w:eastAsia="仿宋" w:cs="仿宋"/>
          <w:color w:val="auto"/>
          <w:sz w:val="21"/>
          <w:szCs w:val="21"/>
          <w:highlight w:val="none"/>
          <w:u w:val="single"/>
          <w:lang w:val="en-US" w:eastAsia="zh-CN"/>
        </w:rPr>
        <w:t xml:space="preserve"> </w:t>
      </w:r>
      <w:r>
        <w:rPr>
          <w:rFonts w:hint="eastAsia" w:ascii="仿宋" w:hAnsi="仿宋" w:eastAsia="仿宋" w:cs="仿宋"/>
          <w:color w:val="auto"/>
          <w:sz w:val="21"/>
          <w:szCs w:val="21"/>
          <w:highlight w:val="none"/>
          <w:u w:val="single"/>
        </w:rPr>
        <w:t xml:space="preserve">（项目名称） </w:t>
      </w:r>
      <w:r>
        <w:rPr>
          <w:rFonts w:hint="eastAsia" w:ascii="仿宋" w:hAnsi="仿宋" w:eastAsia="仿宋" w:cs="仿宋"/>
          <w:color w:val="auto"/>
          <w:sz w:val="21"/>
          <w:szCs w:val="21"/>
          <w:highlight w:val="none"/>
        </w:rPr>
        <w:t>投标文件、签订合同和处理有关事宜，其法律后果由我方承担。</w:t>
      </w:r>
    </w:p>
    <w:p w14:paraId="4ED6270E">
      <w:pPr>
        <w:bidi w:val="0"/>
        <w:spacing w:line="400" w:lineRule="exact"/>
        <w:ind w:firstLine="420" w:firstLineChars="200"/>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rPr>
        <w:t>代理人无转委托权</w:t>
      </w:r>
      <w:r>
        <w:rPr>
          <w:rFonts w:hint="eastAsia" w:ascii="仿宋" w:hAnsi="仿宋" w:eastAsia="仿宋" w:cs="仿宋"/>
          <w:color w:val="auto"/>
          <w:sz w:val="21"/>
          <w:szCs w:val="21"/>
          <w:highlight w:val="none"/>
          <w:lang w:eastAsia="zh-CN"/>
        </w:rPr>
        <w:t>。</w:t>
      </w:r>
    </w:p>
    <w:p w14:paraId="36D20777">
      <w:pPr>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b w:val="0"/>
          <w:bCs w:val="0"/>
          <w:color w:val="auto"/>
          <w:sz w:val="21"/>
          <w:szCs w:val="21"/>
          <w:highlight w:val="none"/>
          <w:lang w:eastAsia="zh-CN"/>
        </w:rPr>
        <w:t>委托期限：本授权书至投标有效期结束前始终有效</w:t>
      </w:r>
      <w:r>
        <w:rPr>
          <w:rFonts w:hint="eastAsia" w:ascii="仿宋" w:hAnsi="仿宋" w:eastAsia="仿宋" w:cs="仿宋"/>
          <w:b w:val="0"/>
          <w:bCs w:val="0"/>
          <w:color w:val="auto"/>
          <w:sz w:val="21"/>
          <w:szCs w:val="21"/>
          <w:highlight w:val="none"/>
        </w:rPr>
        <w:t>。</w:t>
      </w:r>
    </w:p>
    <w:p w14:paraId="784EFE13">
      <w:pPr>
        <w:bidi w:val="0"/>
        <w:spacing w:line="400" w:lineRule="exact"/>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附：法定代表人身份证</w:t>
      </w:r>
      <w:r>
        <w:rPr>
          <w:rFonts w:hint="eastAsia" w:ascii="仿宋" w:hAnsi="仿宋" w:eastAsia="仿宋" w:cs="仿宋"/>
          <w:color w:val="auto"/>
          <w:sz w:val="21"/>
          <w:szCs w:val="21"/>
          <w:highlight w:val="none"/>
          <w:lang w:val="en-US" w:eastAsia="zh-CN"/>
        </w:rPr>
        <w:t>扫描件</w:t>
      </w:r>
      <w:r>
        <w:rPr>
          <w:rFonts w:hint="eastAsia" w:ascii="仿宋" w:hAnsi="仿宋" w:eastAsia="仿宋" w:cs="仿宋"/>
          <w:color w:val="auto"/>
          <w:sz w:val="21"/>
          <w:szCs w:val="21"/>
          <w:highlight w:val="none"/>
        </w:rPr>
        <w:t>及委托代理人身份证扫描件</w:t>
      </w:r>
    </w:p>
    <w:p w14:paraId="210AD716">
      <w:pPr>
        <w:bidi w:val="0"/>
        <w:spacing w:line="400" w:lineRule="exact"/>
        <w:ind w:firstLine="420" w:firstLineChars="200"/>
        <w:outlineLvl w:val="9"/>
        <w:rPr>
          <w:rFonts w:hint="eastAsia" w:ascii="仿宋" w:hAnsi="仿宋" w:eastAsia="仿宋" w:cs="仿宋"/>
          <w:color w:val="auto"/>
          <w:sz w:val="21"/>
          <w:szCs w:val="21"/>
          <w:highlight w:val="none"/>
        </w:rPr>
      </w:pPr>
    </w:p>
    <w:tbl>
      <w:tblPr>
        <w:tblStyle w:val="47"/>
        <w:tblW w:w="89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973"/>
      </w:tblGrid>
      <w:tr w14:paraId="59CA04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45" w:hRule="atLeast"/>
        </w:trPr>
        <w:tc>
          <w:tcPr>
            <w:tcW w:w="8973" w:type="dxa"/>
            <w:vAlign w:val="top"/>
          </w:tcPr>
          <w:p w14:paraId="32D2BE62">
            <w:pPr>
              <w:pStyle w:val="46"/>
              <w:spacing w:before="65" w:line="228" w:lineRule="auto"/>
              <w:ind w:left="0" w:leftChars="0" w:firstLine="0" w:firstLineChars="0"/>
              <w:outlineLvl w:val="9"/>
              <w:rPr>
                <w:rFonts w:hint="eastAsia" w:ascii="仿宋" w:hAnsi="仿宋" w:eastAsia="仿宋" w:cs="仿宋"/>
                <w:color w:val="auto"/>
                <w:sz w:val="20"/>
                <w:szCs w:val="20"/>
                <w:highlight w:val="none"/>
              </w:rPr>
            </w:pPr>
            <w:r>
              <w:rPr>
                <w:rFonts w:hint="eastAsia" w:ascii="仿宋" w:hAnsi="仿宋" w:eastAsia="仿宋" w:cs="仿宋"/>
                <w:color w:val="auto"/>
                <w:spacing w:val="8"/>
                <w:sz w:val="20"/>
                <w:szCs w:val="20"/>
                <w:highlight w:val="none"/>
              </w:rPr>
              <w:t>法定代表人身份证扫描件</w:t>
            </w:r>
          </w:p>
        </w:tc>
      </w:tr>
      <w:tr w14:paraId="0C0F5F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03" w:hRule="atLeast"/>
        </w:trPr>
        <w:tc>
          <w:tcPr>
            <w:tcW w:w="8973" w:type="dxa"/>
            <w:vAlign w:val="top"/>
          </w:tcPr>
          <w:p w14:paraId="39211D7C">
            <w:pPr>
              <w:pStyle w:val="46"/>
              <w:spacing w:before="62" w:line="229" w:lineRule="auto"/>
              <w:ind w:left="0" w:leftChars="0" w:firstLine="0" w:firstLineChars="0"/>
              <w:outlineLvl w:val="9"/>
              <w:rPr>
                <w:rFonts w:hint="eastAsia" w:ascii="仿宋" w:hAnsi="仿宋" w:eastAsia="仿宋" w:cs="仿宋"/>
                <w:color w:val="auto"/>
                <w:highlight w:val="none"/>
              </w:rPr>
            </w:pPr>
            <w:r>
              <w:rPr>
                <w:rFonts w:hint="eastAsia" w:ascii="仿宋" w:hAnsi="仿宋" w:eastAsia="仿宋" w:cs="仿宋"/>
                <w:color w:val="auto"/>
                <w:spacing w:val="8"/>
                <w:highlight w:val="none"/>
              </w:rPr>
              <w:t>委托代理人身份证</w:t>
            </w:r>
            <w:r>
              <w:rPr>
                <w:rFonts w:hint="eastAsia" w:ascii="仿宋" w:hAnsi="仿宋" w:eastAsia="仿宋" w:cs="仿宋"/>
                <w:color w:val="auto"/>
                <w:spacing w:val="8"/>
                <w:sz w:val="20"/>
                <w:szCs w:val="20"/>
                <w:highlight w:val="none"/>
              </w:rPr>
              <w:t>扫描件</w:t>
            </w:r>
          </w:p>
        </w:tc>
      </w:tr>
    </w:tbl>
    <w:p w14:paraId="6DA7F656">
      <w:pPr>
        <w:bidi w:val="0"/>
        <w:spacing w:line="400" w:lineRule="exact"/>
        <w:ind w:left="0" w:leftChars="0" w:firstLine="0" w:firstLineChars="0"/>
        <w:outlineLvl w:val="9"/>
        <w:rPr>
          <w:rFonts w:hint="eastAsia" w:ascii="仿宋" w:hAnsi="仿宋" w:eastAsia="仿宋" w:cs="仿宋"/>
          <w:color w:val="auto"/>
          <w:sz w:val="21"/>
          <w:szCs w:val="21"/>
          <w:highlight w:val="none"/>
        </w:rPr>
      </w:pPr>
    </w:p>
    <w:p w14:paraId="4D09B927">
      <w:pPr>
        <w:bidi w:val="0"/>
        <w:spacing w:line="400" w:lineRule="exact"/>
        <w:ind w:left="0" w:leftChars="0" w:firstLine="2100" w:firstLineChars="10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投标人：（单位电子签章）</w:t>
      </w:r>
    </w:p>
    <w:p w14:paraId="6EAD33E9">
      <w:pPr>
        <w:bidi w:val="0"/>
        <w:spacing w:line="400" w:lineRule="exact"/>
        <w:ind w:left="0" w:leftChars="0" w:firstLine="2100" w:firstLineChars="10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法定代表人：（电子签名或电子盖章或签字或盖章）</w:t>
      </w:r>
    </w:p>
    <w:p w14:paraId="4E9D8959">
      <w:pPr>
        <w:bidi w:val="0"/>
        <w:spacing w:line="400" w:lineRule="exact"/>
        <w:ind w:left="0" w:leftChars="0" w:firstLine="2100" w:firstLineChars="10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身份证号码：</w:t>
      </w:r>
      <w:r>
        <w:rPr>
          <w:rFonts w:hint="eastAsia" w:ascii="仿宋" w:hAnsi="仿宋" w:eastAsia="仿宋" w:cs="仿宋"/>
          <w:color w:val="auto"/>
          <w:sz w:val="21"/>
          <w:szCs w:val="21"/>
          <w:highlight w:val="none"/>
          <w:u w:val="single"/>
        </w:rPr>
        <w:t xml:space="preserve">              </w:t>
      </w:r>
    </w:p>
    <w:p w14:paraId="5EB235F8">
      <w:pPr>
        <w:bidi w:val="0"/>
        <w:spacing w:line="400" w:lineRule="exact"/>
        <w:ind w:left="0" w:leftChars="0" w:firstLine="2100" w:firstLineChars="10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委托代理人：（电子签名或电子盖章或签字或盖章）</w:t>
      </w:r>
    </w:p>
    <w:p w14:paraId="743C237E">
      <w:pPr>
        <w:bidi w:val="0"/>
        <w:spacing w:line="400" w:lineRule="exact"/>
        <w:ind w:left="0" w:leftChars="0" w:firstLine="2100" w:firstLineChars="10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身份证号码：</w:t>
      </w:r>
      <w:r>
        <w:rPr>
          <w:rFonts w:hint="eastAsia" w:ascii="仿宋" w:hAnsi="仿宋" w:eastAsia="仿宋" w:cs="仿宋"/>
          <w:color w:val="auto"/>
          <w:sz w:val="21"/>
          <w:szCs w:val="21"/>
          <w:highlight w:val="none"/>
          <w:u w:val="single"/>
        </w:rPr>
        <w:t xml:space="preserve">              </w:t>
      </w:r>
    </w:p>
    <w:p w14:paraId="1968D71C">
      <w:pPr>
        <w:bidi w:val="0"/>
        <w:spacing w:line="400" w:lineRule="exact"/>
        <w:ind w:left="0" w:leftChars="0" w:firstLine="2100" w:firstLineChars="10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年  月   日</w:t>
      </w:r>
    </w:p>
    <w:p w14:paraId="78CFAA84">
      <w:pPr>
        <w:bidi w:val="0"/>
        <w:spacing w:line="400" w:lineRule="exact"/>
        <w:outlineLvl w:val="9"/>
        <w:rPr>
          <w:rFonts w:hint="eastAsia" w:ascii="仿宋" w:hAnsi="仿宋" w:eastAsia="仿宋" w:cs="仿宋"/>
          <w:color w:val="auto"/>
          <w:sz w:val="21"/>
          <w:szCs w:val="21"/>
          <w:highlight w:val="none"/>
        </w:rPr>
      </w:pPr>
    </w:p>
    <w:p w14:paraId="0A8687D9">
      <w:pPr>
        <w:numPr>
          <w:ilvl w:val="0"/>
          <w:numId w:val="0"/>
        </w:numPr>
        <w:bidi w:val="0"/>
        <w:spacing w:before="60" w:after="60" w:line="400" w:lineRule="exact"/>
        <w:ind w:firstLine="562" w:firstLineChars="200"/>
        <w:jc w:val="center"/>
        <w:outlineLvl w:val="9"/>
        <w:rPr>
          <w:rFonts w:hint="eastAsia" w:ascii="仿宋" w:hAnsi="仿宋" w:eastAsia="仿宋" w:cs="仿宋"/>
          <w:b/>
          <w:color w:val="auto"/>
          <w:kern w:val="2"/>
          <w:sz w:val="28"/>
          <w:szCs w:val="28"/>
          <w:highlight w:val="none"/>
          <w:lang w:val="en-US" w:eastAsia="zh-CN" w:bidi="ar-SA"/>
        </w:rPr>
        <w:sectPr>
          <w:headerReference r:id="rId11" w:type="default"/>
          <w:footerReference r:id="rId12" w:type="default"/>
          <w:pgSz w:w="11905" w:h="16838"/>
          <w:pgMar w:top="1417" w:right="1417" w:bottom="1417" w:left="1417" w:header="850" w:footer="850" w:gutter="0"/>
          <w:pgBorders>
            <w:top w:val="none" w:sz="0" w:space="0"/>
            <w:left w:val="none" w:sz="0" w:space="0"/>
            <w:bottom w:val="none" w:sz="0" w:space="0"/>
            <w:right w:val="none" w:sz="0" w:space="0"/>
          </w:pgBorders>
          <w:pgNumType w:fmt="numberInDash"/>
          <w:cols w:space="0" w:num="1"/>
          <w:rtlGutter w:val="0"/>
          <w:docGrid w:type="lines" w:linePitch="412" w:charSpace="0"/>
        </w:sectPr>
      </w:pPr>
    </w:p>
    <w:p w14:paraId="1F8395DA">
      <w:pPr>
        <w:numPr>
          <w:ilvl w:val="0"/>
          <w:numId w:val="0"/>
        </w:numPr>
        <w:bidi w:val="0"/>
        <w:spacing w:before="60" w:after="60" w:line="400" w:lineRule="exact"/>
        <w:ind w:firstLine="562" w:firstLineChars="200"/>
        <w:jc w:val="center"/>
        <w:outlineLvl w:val="9"/>
        <w:rPr>
          <w:rFonts w:hint="eastAsia" w:ascii="仿宋" w:hAnsi="仿宋" w:eastAsia="仿宋" w:cs="仿宋"/>
          <w:b/>
          <w:color w:val="auto"/>
          <w:sz w:val="28"/>
          <w:szCs w:val="28"/>
          <w:highlight w:val="none"/>
        </w:rPr>
      </w:pPr>
      <w:r>
        <w:rPr>
          <w:rFonts w:hint="eastAsia" w:ascii="仿宋" w:hAnsi="仿宋" w:eastAsia="仿宋" w:cs="仿宋"/>
          <w:b/>
          <w:color w:val="auto"/>
          <w:kern w:val="2"/>
          <w:sz w:val="28"/>
          <w:szCs w:val="28"/>
          <w:highlight w:val="none"/>
          <w:lang w:val="en-US" w:eastAsia="zh-CN" w:bidi="ar-SA"/>
        </w:rPr>
        <w:t>四、</w:t>
      </w:r>
      <w:r>
        <w:rPr>
          <w:rFonts w:hint="eastAsia" w:ascii="仿宋" w:hAnsi="仿宋" w:eastAsia="仿宋" w:cs="仿宋"/>
          <w:b/>
          <w:color w:val="auto"/>
          <w:sz w:val="28"/>
          <w:szCs w:val="28"/>
          <w:highlight w:val="none"/>
        </w:rPr>
        <w:t>分项报价表</w:t>
      </w:r>
    </w:p>
    <w:p w14:paraId="53C0C803">
      <w:pPr>
        <w:bidi w:val="0"/>
        <w:spacing w:line="400" w:lineRule="exact"/>
        <w:ind w:left="699" w:leftChars="227" w:hanging="222" w:hangingChars="106"/>
        <w:outlineLvl w:val="9"/>
        <w:rPr>
          <w:rFonts w:hint="eastAsia" w:ascii="仿宋" w:hAnsi="仿宋" w:eastAsia="仿宋" w:cs="仿宋"/>
          <w:color w:val="auto"/>
          <w:sz w:val="21"/>
          <w:szCs w:val="21"/>
          <w:highlight w:val="none"/>
        </w:rPr>
      </w:pPr>
    </w:p>
    <w:p w14:paraId="4C674B60">
      <w:pPr>
        <w:numPr>
          <w:ilvl w:val="0"/>
          <w:numId w:val="0"/>
        </w:numPr>
        <w:spacing w:line="360" w:lineRule="exact"/>
        <w:ind w:firstLine="482" w:firstLineChars="200"/>
        <w:jc w:val="center"/>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货物分项报价一览表</w:t>
      </w:r>
    </w:p>
    <w:p w14:paraId="70D94F4F">
      <w:pPr>
        <w:pStyle w:val="37"/>
        <w:outlineLvl w:val="9"/>
        <w:rPr>
          <w:rFonts w:hint="eastAsia" w:ascii="仿宋" w:hAnsi="仿宋" w:eastAsia="仿宋" w:cs="仿宋"/>
          <w:color w:val="auto"/>
          <w:highlight w:val="none"/>
        </w:rPr>
      </w:pPr>
    </w:p>
    <w:p w14:paraId="38D7D1C5">
      <w:pPr>
        <w:spacing w:line="312" w:lineRule="auto"/>
        <w:jc w:val="center"/>
        <w:outlineLvl w:val="9"/>
        <w:rPr>
          <w:rFonts w:hint="eastAsia" w:ascii="仿宋" w:hAnsi="仿宋" w:eastAsia="仿宋" w:cs="仿宋"/>
          <w:b/>
          <w:color w:val="auto"/>
          <w:sz w:val="21"/>
          <w:szCs w:val="21"/>
          <w:highlight w:val="none"/>
        </w:rPr>
      </w:pPr>
      <w:r>
        <w:rPr>
          <w:rFonts w:hint="eastAsia" w:ascii="仿宋" w:hAnsi="仿宋" w:eastAsia="仿宋" w:cs="仿宋"/>
          <w:b/>
          <w:color w:val="auto"/>
          <w:sz w:val="28"/>
          <w:szCs w:val="28"/>
          <w:highlight w:val="none"/>
        </w:rPr>
        <w:t xml:space="preserve">                                                 </w:t>
      </w:r>
      <w:r>
        <w:rPr>
          <w:rFonts w:hint="eastAsia" w:ascii="仿宋" w:hAnsi="仿宋" w:eastAsia="仿宋" w:cs="仿宋"/>
          <w:b/>
          <w:color w:val="auto"/>
          <w:sz w:val="21"/>
          <w:szCs w:val="21"/>
          <w:highlight w:val="none"/>
        </w:rPr>
        <w:t>单位：元</w:t>
      </w:r>
    </w:p>
    <w:tbl>
      <w:tblPr>
        <w:tblStyle w:val="19"/>
        <w:tblW w:w="105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7"/>
        <w:gridCol w:w="847"/>
        <w:gridCol w:w="783"/>
        <w:gridCol w:w="1173"/>
        <w:gridCol w:w="1026"/>
        <w:gridCol w:w="1113"/>
        <w:gridCol w:w="1113"/>
        <w:gridCol w:w="927"/>
        <w:gridCol w:w="927"/>
        <w:gridCol w:w="1113"/>
        <w:gridCol w:w="985"/>
      </w:tblGrid>
      <w:tr w14:paraId="5453A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557" w:type="dxa"/>
            <w:noWrap w:val="0"/>
            <w:vAlign w:val="center"/>
          </w:tcPr>
          <w:p w14:paraId="1DBBDDC2">
            <w:pPr>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序号</w:t>
            </w:r>
          </w:p>
        </w:tc>
        <w:tc>
          <w:tcPr>
            <w:tcW w:w="847" w:type="dxa"/>
            <w:noWrap w:val="0"/>
            <w:vAlign w:val="center"/>
          </w:tcPr>
          <w:p w14:paraId="2A495167">
            <w:pPr>
              <w:ind w:left="0" w:leftChars="0" w:firstLine="0" w:firstLineChars="0"/>
              <w:jc w:val="center"/>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color w:val="auto"/>
                <w:sz w:val="21"/>
                <w:szCs w:val="21"/>
                <w:highlight w:val="none"/>
                <w:lang w:val="en-US" w:eastAsia="zh-CN"/>
              </w:rPr>
              <w:t>项目编码</w:t>
            </w:r>
          </w:p>
        </w:tc>
        <w:tc>
          <w:tcPr>
            <w:tcW w:w="783" w:type="dxa"/>
            <w:noWrap w:val="0"/>
            <w:vAlign w:val="center"/>
          </w:tcPr>
          <w:p w14:paraId="27F3E43D">
            <w:pPr>
              <w:ind w:left="0" w:leftChars="0" w:firstLine="0" w:firstLineChars="0"/>
              <w:jc w:val="center"/>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货物名称</w:t>
            </w:r>
          </w:p>
        </w:tc>
        <w:tc>
          <w:tcPr>
            <w:tcW w:w="1173" w:type="dxa"/>
            <w:noWrap w:val="0"/>
            <w:vAlign w:val="center"/>
          </w:tcPr>
          <w:p w14:paraId="4959A432">
            <w:pPr>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规格</w:t>
            </w:r>
          </w:p>
        </w:tc>
        <w:tc>
          <w:tcPr>
            <w:tcW w:w="1026" w:type="dxa"/>
            <w:noWrap w:val="0"/>
            <w:vAlign w:val="center"/>
          </w:tcPr>
          <w:p w14:paraId="17AF3174">
            <w:pPr>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制造商</w:t>
            </w:r>
          </w:p>
        </w:tc>
        <w:tc>
          <w:tcPr>
            <w:tcW w:w="1113" w:type="dxa"/>
            <w:noWrap w:val="0"/>
            <w:vAlign w:val="center"/>
          </w:tcPr>
          <w:p w14:paraId="367B9FCF">
            <w:pPr>
              <w:ind w:left="0" w:leftChars="0" w:firstLine="0" w:firstLineChars="0"/>
              <w:jc w:val="center"/>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品牌</w:t>
            </w:r>
          </w:p>
        </w:tc>
        <w:tc>
          <w:tcPr>
            <w:tcW w:w="1113" w:type="dxa"/>
            <w:noWrap w:val="0"/>
            <w:vAlign w:val="center"/>
          </w:tcPr>
          <w:p w14:paraId="48C73929">
            <w:pPr>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单位</w:t>
            </w:r>
          </w:p>
        </w:tc>
        <w:tc>
          <w:tcPr>
            <w:tcW w:w="927" w:type="dxa"/>
            <w:noWrap w:val="0"/>
            <w:vAlign w:val="center"/>
          </w:tcPr>
          <w:p w14:paraId="195E0013">
            <w:pPr>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数量</w:t>
            </w:r>
          </w:p>
        </w:tc>
        <w:tc>
          <w:tcPr>
            <w:tcW w:w="927" w:type="dxa"/>
            <w:noWrap w:val="0"/>
            <w:vAlign w:val="center"/>
          </w:tcPr>
          <w:p w14:paraId="6FEA2BFF">
            <w:pPr>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单价</w:t>
            </w:r>
          </w:p>
        </w:tc>
        <w:tc>
          <w:tcPr>
            <w:tcW w:w="1113" w:type="dxa"/>
            <w:noWrap w:val="0"/>
            <w:vAlign w:val="center"/>
          </w:tcPr>
          <w:p w14:paraId="24B7462B">
            <w:pPr>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合计</w:t>
            </w:r>
          </w:p>
        </w:tc>
        <w:tc>
          <w:tcPr>
            <w:tcW w:w="985" w:type="dxa"/>
            <w:noWrap w:val="0"/>
            <w:vAlign w:val="center"/>
          </w:tcPr>
          <w:p w14:paraId="319DD242">
            <w:pPr>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备注</w:t>
            </w:r>
          </w:p>
        </w:tc>
      </w:tr>
      <w:tr w14:paraId="01752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557" w:type="dxa"/>
            <w:noWrap w:val="0"/>
            <w:vAlign w:val="center"/>
          </w:tcPr>
          <w:p w14:paraId="740E99A4">
            <w:pPr>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847" w:type="dxa"/>
            <w:noWrap w:val="0"/>
            <w:vAlign w:val="center"/>
          </w:tcPr>
          <w:p w14:paraId="010BEB0F">
            <w:pPr>
              <w:ind w:left="0" w:leftChars="0" w:firstLine="0" w:firstLineChars="0"/>
              <w:jc w:val="center"/>
              <w:outlineLvl w:val="9"/>
              <w:rPr>
                <w:rFonts w:hint="eastAsia" w:ascii="仿宋" w:hAnsi="仿宋" w:eastAsia="仿宋" w:cs="仿宋"/>
                <w:color w:val="auto"/>
                <w:sz w:val="21"/>
                <w:szCs w:val="21"/>
                <w:highlight w:val="none"/>
              </w:rPr>
            </w:pPr>
          </w:p>
        </w:tc>
        <w:tc>
          <w:tcPr>
            <w:tcW w:w="783" w:type="dxa"/>
            <w:noWrap w:val="0"/>
            <w:vAlign w:val="center"/>
          </w:tcPr>
          <w:p w14:paraId="41F21ACB">
            <w:pPr>
              <w:ind w:left="0" w:leftChars="0" w:firstLine="0" w:firstLineChars="0"/>
              <w:jc w:val="center"/>
              <w:outlineLvl w:val="9"/>
              <w:rPr>
                <w:rFonts w:hint="eastAsia" w:ascii="仿宋" w:hAnsi="仿宋" w:eastAsia="仿宋" w:cs="仿宋"/>
                <w:color w:val="auto"/>
                <w:sz w:val="21"/>
                <w:szCs w:val="21"/>
                <w:highlight w:val="none"/>
              </w:rPr>
            </w:pPr>
          </w:p>
        </w:tc>
        <w:tc>
          <w:tcPr>
            <w:tcW w:w="1173" w:type="dxa"/>
            <w:noWrap w:val="0"/>
            <w:vAlign w:val="center"/>
          </w:tcPr>
          <w:p w14:paraId="68AF5D68">
            <w:pPr>
              <w:ind w:left="0" w:leftChars="0" w:firstLine="0" w:firstLineChars="0"/>
              <w:jc w:val="center"/>
              <w:outlineLvl w:val="9"/>
              <w:rPr>
                <w:rFonts w:hint="eastAsia" w:ascii="仿宋" w:hAnsi="仿宋" w:eastAsia="仿宋" w:cs="仿宋"/>
                <w:color w:val="auto"/>
                <w:sz w:val="21"/>
                <w:szCs w:val="21"/>
                <w:highlight w:val="none"/>
              </w:rPr>
            </w:pPr>
          </w:p>
        </w:tc>
        <w:tc>
          <w:tcPr>
            <w:tcW w:w="1026" w:type="dxa"/>
            <w:noWrap w:val="0"/>
            <w:vAlign w:val="center"/>
          </w:tcPr>
          <w:p w14:paraId="48F38072">
            <w:pPr>
              <w:ind w:left="0" w:leftChars="0" w:firstLine="0" w:firstLineChars="0"/>
              <w:jc w:val="center"/>
              <w:outlineLvl w:val="9"/>
              <w:rPr>
                <w:rFonts w:hint="eastAsia" w:ascii="仿宋" w:hAnsi="仿宋" w:eastAsia="仿宋" w:cs="仿宋"/>
                <w:color w:val="auto"/>
                <w:sz w:val="21"/>
                <w:szCs w:val="21"/>
                <w:highlight w:val="none"/>
              </w:rPr>
            </w:pPr>
          </w:p>
        </w:tc>
        <w:tc>
          <w:tcPr>
            <w:tcW w:w="1113" w:type="dxa"/>
            <w:noWrap w:val="0"/>
            <w:vAlign w:val="center"/>
          </w:tcPr>
          <w:p w14:paraId="653B79A7">
            <w:pPr>
              <w:ind w:left="0" w:leftChars="0" w:firstLine="0" w:firstLineChars="0"/>
              <w:jc w:val="center"/>
              <w:outlineLvl w:val="9"/>
              <w:rPr>
                <w:rFonts w:hint="eastAsia" w:ascii="仿宋" w:hAnsi="仿宋" w:eastAsia="仿宋" w:cs="仿宋"/>
                <w:color w:val="auto"/>
                <w:sz w:val="21"/>
                <w:szCs w:val="21"/>
                <w:highlight w:val="none"/>
              </w:rPr>
            </w:pPr>
          </w:p>
        </w:tc>
        <w:tc>
          <w:tcPr>
            <w:tcW w:w="1113" w:type="dxa"/>
            <w:noWrap w:val="0"/>
            <w:vAlign w:val="center"/>
          </w:tcPr>
          <w:p w14:paraId="3D70DA98">
            <w:pPr>
              <w:ind w:left="0" w:leftChars="0" w:firstLine="0" w:firstLineChars="0"/>
              <w:jc w:val="center"/>
              <w:outlineLvl w:val="9"/>
              <w:rPr>
                <w:rFonts w:hint="eastAsia" w:ascii="仿宋" w:hAnsi="仿宋" w:eastAsia="仿宋" w:cs="仿宋"/>
                <w:color w:val="auto"/>
                <w:sz w:val="21"/>
                <w:szCs w:val="21"/>
                <w:highlight w:val="none"/>
              </w:rPr>
            </w:pPr>
          </w:p>
        </w:tc>
        <w:tc>
          <w:tcPr>
            <w:tcW w:w="927" w:type="dxa"/>
            <w:noWrap w:val="0"/>
            <w:vAlign w:val="center"/>
          </w:tcPr>
          <w:p w14:paraId="02B5FAAD">
            <w:pPr>
              <w:ind w:left="0" w:leftChars="0" w:firstLine="0" w:firstLineChars="0"/>
              <w:jc w:val="center"/>
              <w:outlineLvl w:val="9"/>
              <w:rPr>
                <w:rFonts w:hint="eastAsia" w:ascii="仿宋" w:hAnsi="仿宋" w:eastAsia="仿宋" w:cs="仿宋"/>
                <w:color w:val="auto"/>
                <w:sz w:val="21"/>
                <w:szCs w:val="21"/>
                <w:highlight w:val="none"/>
              </w:rPr>
            </w:pPr>
          </w:p>
        </w:tc>
        <w:tc>
          <w:tcPr>
            <w:tcW w:w="927" w:type="dxa"/>
            <w:noWrap w:val="0"/>
            <w:vAlign w:val="center"/>
          </w:tcPr>
          <w:p w14:paraId="0225F943">
            <w:pPr>
              <w:ind w:left="0" w:leftChars="0" w:firstLine="0" w:firstLineChars="0"/>
              <w:jc w:val="center"/>
              <w:outlineLvl w:val="9"/>
              <w:rPr>
                <w:rFonts w:hint="eastAsia" w:ascii="仿宋" w:hAnsi="仿宋" w:eastAsia="仿宋" w:cs="仿宋"/>
                <w:color w:val="auto"/>
                <w:sz w:val="21"/>
                <w:szCs w:val="21"/>
                <w:highlight w:val="none"/>
              </w:rPr>
            </w:pPr>
          </w:p>
        </w:tc>
        <w:tc>
          <w:tcPr>
            <w:tcW w:w="1113" w:type="dxa"/>
            <w:noWrap w:val="0"/>
            <w:vAlign w:val="center"/>
          </w:tcPr>
          <w:p w14:paraId="2077C554">
            <w:pPr>
              <w:ind w:left="0" w:leftChars="0" w:firstLine="0" w:firstLineChars="0"/>
              <w:jc w:val="center"/>
              <w:outlineLvl w:val="9"/>
              <w:rPr>
                <w:rFonts w:hint="eastAsia" w:ascii="仿宋" w:hAnsi="仿宋" w:eastAsia="仿宋" w:cs="仿宋"/>
                <w:color w:val="auto"/>
                <w:sz w:val="21"/>
                <w:szCs w:val="21"/>
                <w:highlight w:val="none"/>
              </w:rPr>
            </w:pPr>
          </w:p>
        </w:tc>
        <w:tc>
          <w:tcPr>
            <w:tcW w:w="985" w:type="dxa"/>
            <w:noWrap w:val="0"/>
            <w:vAlign w:val="center"/>
          </w:tcPr>
          <w:p w14:paraId="18B09168">
            <w:pPr>
              <w:ind w:left="0" w:leftChars="0" w:firstLine="0" w:firstLineChars="0"/>
              <w:jc w:val="center"/>
              <w:outlineLvl w:val="9"/>
              <w:rPr>
                <w:rFonts w:hint="eastAsia" w:ascii="仿宋" w:hAnsi="仿宋" w:eastAsia="仿宋" w:cs="仿宋"/>
                <w:color w:val="auto"/>
                <w:sz w:val="21"/>
                <w:szCs w:val="21"/>
                <w:highlight w:val="none"/>
              </w:rPr>
            </w:pPr>
          </w:p>
        </w:tc>
      </w:tr>
      <w:tr w14:paraId="12F08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557" w:type="dxa"/>
            <w:noWrap w:val="0"/>
            <w:vAlign w:val="center"/>
          </w:tcPr>
          <w:p w14:paraId="4F2FAB9D">
            <w:pPr>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847" w:type="dxa"/>
            <w:noWrap w:val="0"/>
            <w:vAlign w:val="center"/>
          </w:tcPr>
          <w:p w14:paraId="445C3C8B">
            <w:pPr>
              <w:ind w:left="0" w:leftChars="0" w:firstLine="0" w:firstLineChars="0"/>
              <w:jc w:val="center"/>
              <w:outlineLvl w:val="9"/>
              <w:rPr>
                <w:rFonts w:hint="eastAsia" w:ascii="仿宋" w:hAnsi="仿宋" w:eastAsia="仿宋" w:cs="仿宋"/>
                <w:color w:val="auto"/>
                <w:sz w:val="21"/>
                <w:szCs w:val="21"/>
                <w:highlight w:val="none"/>
              </w:rPr>
            </w:pPr>
          </w:p>
        </w:tc>
        <w:tc>
          <w:tcPr>
            <w:tcW w:w="783" w:type="dxa"/>
            <w:noWrap w:val="0"/>
            <w:vAlign w:val="center"/>
          </w:tcPr>
          <w:p w14:paraId="1D710649">
            <w:pPr>
              <w:ind w:left="0" w:leftChars="0" w:firstLine="0" w:firstLineChars="0"/>
              <w:jc w:val="center"/>
              <w:outlineLvl w:val="9"/>
              <w:rPr>
                <w:rFonts w:hint="eastAsia" w:ascii="仿宋" w:hAnsi="仿宋" w:eastAsia="仿宋" w:cs="仿宋"/>
                <w:color w:val="auto"/>
                <w:sz w:val="21"/>
                <w:szCs w:val="21"/>
                <w:highlight w:val="none"/>
              </w:rPr>
            </w:pPr>
          </w:p>
        </w:tc>
        <w:tc>
          <w:tcPr>
            <w:tcW w:w="1173" w:type="dxa"/>
            <w:noWrap w:val="0"/>
            <w:vAlign w:val="center"/>
          </w:tcPr>
          <w:p w14:paraId="28B06FDE">
            <w:pPr>
              <w:ind w:left="0" w:leftChars="0" w:firstLine="0" w:firstLineChars="0"/>
              <w:jc w:val="center"/>
              <w:outlineLvl w:val="9"/>
              <w:rPr>
                <w:rFonts w:hint="eastAsia" w:ascii="仿宋" w:hAnsi="仿宋" w:eastAsia="仿宋" w:cs="仿宋"/>
                <w:color w:val="auto"/>
                <w:sz w:val="21"/>
                <w:szCs w:val="21"/>
                <w:highlight w:val="none"/>
              </w:rPr>
            </w:pPr>
          </w:p>
        </w:tc>
        <w:tc>
          <w:tcPr>
            <w:tcW w:w="1026" w:type="dxa"/>
            <w:noWrap w:val="0"/>
            <w:vAlign w:val="center"/>
          </w:tcPr>
          <w:p w14:paraId="04312A7A">
            <w:pPr>
              <w:ind w:left="0" w:leftChars="0" w:firstLine="0" w:firstLineChars="0"/>
              <w:jc w:val="center"/>
              <w:outlineLvl w:val="9"/>
              <w:rPr>
                <w:rFonts w:hint="eastAsia" w:ascii="仿宋" w:hAnsi="仿宋" w:eastAsia="仿宋" w:cs="仿宋"/>
                <w:color w:val="auto"/>
                <w:sz w:val="21"/>
                <w:szCs w:val="21"/>
                <w:highlight w:val="none"/>
              </w:rPr>
            </w:pPr>
          </w:p>
        </w:tc>
        <w:tc>
          <w:tcPr>
            <w:tcW w:w="1113" w:type="dxa"/>
            <w:noWrap w:val="0"/>
            <w:vAlign w:val="center"/>
          </w:tcPr>
          <w:p w14:paraId="6C7D5519">
            <w:pPr>
              <w:ind w:left="0" w:leftChars="0" w:firstLine="0" w:firstLineChars="0"/>
              <w:jc w:val="center"/>
              <w:outlineLvl w:val="9"/>
              <w:rPr>
                <w:rFonts w:hint="eastAsia" w:ascii="仿宋" w:hAnsi="仿宋" w:eastAsia="仿宋" w:cs="仿宋"/>
                <w:color w:val="auto"/>
                <w:sz w:val="21"/>
                <w:szCs w:val="21"/>
                <w:highlight w:val="none"/>
              </w:rPr>
            </w:pPr>
          </w:p>
        </w:tc>
        <w:tc>
          <w:tcPr>
            <w:tcW w:w="1113" w:type="dxa"/>
            <w:noWrap w:val="0"/>
            <w:vAlign w:val="center"/>
          </w:tcPr>
          <w:p w14:paraId="47981273">
            <w:pPr>
              <w:ind w:left="0" w:leftChars="0" w:firstLine="0" w:firstLineChars="0"/>
              <w:jc w:val="center"/>
              <w:outlineLvl w:val="9"/>
              <w:rPr>
                <w:rFonts w:hint="eastAsia" w:ascii="仿宋" w:hAnsi="仿宋" w:eastAsia="仿宋" w:cs="仿宋"/>
                <w:color w:val="auto"/>
                <w:sz w:val="21"/>
                <w:szCs w:val="21"/>
                <w:highlight w:val="none"/>
              </w:rPr>
            </w:pPr>
          </w:p>
        </w:tc>
        <w:tc>
          <w:tcPr>
            <w:tcW w:w="927" w:type="dxa"/>
            <w:noWrap w:val="0"/>
            <w:vAlign w:val="center"/>
          </w:tcPr>
          <w:p w14:paraId="4C72FBC5">
            <w:pPr>
              <w:ind w:left="0" w:leftChars="0" w:firstLine="0" w:firstLineChars="0"/>
              <w:jc w:val="center"/>
              <w:outlineLvl w:val="9"/>
              <w:rPr>
                <w:rFonts w:hint="eastAsia" w:ascii="仿宋" w:hAnsi="仿宋" w:eastAsia="仿宋" w:cs="仿宋"/>
                <w:color w:val="auto"/>
                <w:sz w:val="21"/>
                <w:szCs w:val="21"/>
                <w:highlight w:val="none"/>
              </w:rPr>
            </w:pPr>
          </w:p>
        </w:tc>
        <w:tc>
          <w:tcPr>
            <w:tcW w:w="927" w:type="dxa"/>
            <w:noWrap w:val="0"/>
            <w:vAlign w:val="center"/>
          </w:tcPr>
          <w:p w14:paraId="466BB852">
            <w:pPr>
              <w:ind w:left="0" w:leftChars="0" w:firstLine="0" w:firstLineChars="0"/>
              <w:jc w:val="center"/>
              <w:outlineLvl w:val="9"/>
              <w:rPr>
                <w:rFonts w:hint="eastAsia" w:ascii="仿宋" w:hAnsi="仿宋" w:eastAsia="仿宋" w:cs="仿宋"/>
                <w:color w:val="auto"/>
                <w:sz w:val="21"/>
                <w:szCs w:val="21"/>
                <w:highlight w:val="none"/>
              </w:rPr>
            </w:pPr>
          </w:p>
        </w:tc>
        <w:tc>
          <w:tcPr>
            <w:tcW w:w="1113" w:type="dxa"/>
            <w:noWrap w:val="0"/>
            <w:vAlign w:val="center"/>
          </w:tcPr>
          <w:p w14:paraId="77A30894">
            <w:pPr>
              <w:ind w:left="0" w:leftChars="0" w:firstLine="0" w:firstLineChars="0"/>
              <w:jc w:val="center"/>
              <w:outlineLvl w:val="9"/>
              <w:rPr>
                <w:rFonts w:hint="eastAsia" w:ascii="仿宋" w:hAnsi="仿宋" w:eastAsia="仿宋" w:cs="仿宋"/>
                <w:color w:val="auto"/>
                <w:sz w:val="21"/>
                <w:szCs w:val="21"/>
                <w:highlight w:val="none"/>
              </w:rPr>
            </w:pPr>
          </w:p>
        </w:tc>
        <w:tc>
          <w:tcPr>
            <w:tcW w:w="985" w:type="dxa"/>
            <w:noWrap w:val="0"/>
            <w:vAlign w:val="center"/>
          </w:tcPr>
          <w:p w14:paraId="31E754CB">
            <w:pPr>
              <w:ind w:left="0" w:leftChars="0" w:firstLine="0" w:firstLineChars="0"/>
              <w:jc w:val="center"/>
              <w:outlineLvl w:val="9"/>
              <w:rPr>
                <w:rFonts w:hint="eastAsia" w:ascii="仿宋" w:hAnsi="仿宋" w:eastAsia="仿宋" w:cs="仿宋"/>
                <w:color w:val="auto"/>
                <w:sz w:val="21"/>
                <w:szCs w:val="21"/>
                <w:highlight w:val="none"/>
              </w:rPr>
            </w:pPr>
          </w:p>
        </w:tc>
      </w:tr>
      <w:tr w14:paraId="1DBF5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557" w:type="dxa"/>
            <w:noWrap w:val="0"/>
            <w:vAlign w:val="center"/>
          </w:tcPr>
          <w:p w14:paraId="5EC6234B">
            <w:pPr>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847" w:type="dxa"/>
            <w:noWrap w:val="0"/>
            <w:vAlign w:val="center"/>
          </w:tcPr>
          <w:p w14:paraId="67B298E9">
            <w:pPr>
              <w:ind w:left="0" w:leftChars="0" w:firstLine="0" w:firstLineChars="0"/>
              <w:jc w:val="center"/>
              <w:outlineLvl w:val="9"/>
              <w:rPr>
                <w:rFonts w:hint="eastAsia" w:ascii="仿宋" w:hAnsi="仿宋" w:eastAsia="仿宋" w:cs="仿宋"/>
                <w:color w:val="auto"/>
                <w:sz w:val="21"/>
                <w:szCs w:val="21"/>
                <w:highlight w:val="none"/>
              </w:rPr>
            </w:pPr>
          </w:p>
        </w:tc>
        <w:tc>
          <w:tcPr>
            <w:tcW w:w="783" w:type="dxa"/>
            <w:noWrap w:val="0"/>
            <w:vAlign w:val="center"/>
          </w:tcPr>
          <w:p w14:paraId="044CAF74">
            <w:pPr>
              <w:ind w:left="0" w:leftChars="0" w:firstLine="0" w:firstLineChars="0"/>
              <w:jc w:val="center"/>
              <w:outlineLvl w:val="9"/>
              <w:rPr>
                <w:rFonts w:hint="eastAsia" w:ascii="仿宋" w:hAnsi="仿宋" w:eastAsia="仿宋" w:cs="仿宋"/>
                <w:color w:val="auto"/>
                <w:sz w:val="21"/>
                <w:szCs w:val="21"/>
                <w:highlight w:val="none"/>
              </w:rPr>
            </w:pPr>
          </w:p>
        </w:tc>
        <w:tc>
          <w:tcPr>
            <w:tcW w:w="1173" w:type="dxa"/>
            <w:noWrap w:val="0"/>
            <w:vAlign w:val="center"/>
          </w:tcPr>
          <w:p w14:paraId="48642B4A">
            <w:pPr>
              <w:ind w:left="0" w:leftChars="0" w:firstLine="0" w:firstLineChars="0"/>
              <w:jc w:val="center"/>
              <w:outlineLvl w:val="9"/>
              <w:rPr>
                <w:rFonts w:hint="eastAsia" w:ascii="仿宋" w:hAnsi="仿宋" w:eastAsia="仿宋" w:cs="仿宋"/>
                <w:color w:val="auto"/>
                <w:sz w:val="21"/>
                <w:szCs w:val="21"/>
                <w:highlight w:val="none"/>
              </w:rPr>
            </w:pPr>
          </w:p>
        </w:tc>
        <w:tc>
          <w:tcPr>
            <w:tcW w:w="1026" w:type="dxa"/>
            <w:noWrap w:val="0"/>
            <w:vAlign w:val="center"/>
          </w:tcPr>
          <w:p w14:paraId="014D1A3E">
            <w:pPr>
              <w:ind w:left="0" w:leftChars="0" w:firstLine="0" w:firstLineChars="0"/>
              <w:jc w:val="center"/>
              <w:outlineLvl w:val="9"/>
              <w:rPr>
                <w:rFonts w:hint="eastAsia" w:ascii="仿宋" w:hAnsi="仿宋" w:eastAsia="仿宋" w:cs="仿宋"/>
                <w:color w:val="auto"/>
                <w:sz w:val="21"/>
                <w:szCs w:val="21"/>
                <w:highlight w:val="none"/>
              </w:rPr>
            </w:pPr>
          </w:p>
        </w:tc>
        <w:tc>
          <w:tcPr>
            <w:tcW w:w="1113" w:type="dxa"/>
            <w:noWrap w:val="0"/>
            <w:vAlign w:val="center"/>
          </w:tcPr>
          <w:p w14:paraId="4D4AD36B">
            <w:pPr>
              <w:ind w:left="0" w:leftChars="0" w:firstLine="0" w:firstLineChars="0"/>
              <w:jc w:val="center"/>
              <w:outlineLvl w:val="9"/>
              <w:rPr>
                <w:rFonts w:hint="eastAsia" w:ascii="仿宋" w:hAnsi="仿宋" w:eastAsia="仿宋" w:cs="仿宋"/>
                <w:color w:val="auto"/>
                <w:sz w:val="21"/>
                <w:szCs w:val="21"/>
                <w:highlight w:val="none"/>
              </w:rPr>
            </w:pPr>
          </w:p>
        </w:tc>
        <w:tc>
          <w:tcPr>
            <w:tcW w:w="1113" w:type="dxa"/>
            <w:noWrap w:val="0"/>
            <w:vAlign w:val="center"/>
          </w:tcPr>
          <w:p w14:paraId="383D2AA1">
            <w:pPr>
              <w:ind w:left="0" w:leftChars="0" w:firstLine="0" w:firstLineChars="0"/>
              <w:jc w:val="center"/>
              <w:outlineLvl w:val="9"/>
              <w:rPr>
                <w:rFonts w:hint="eastAsia" w:ascii="仿宋" w:hAnsi="仿宋" w:eastAsia="仿宋" w:cs="仿宋"/>
                <w:color w:val="auto"/>
                <w:sz w:val="21"/>
                <w:szCs w:val="21"/>
                <w:highlight w:val="none"/>
              </w:rPr>
            </w:pPr>
          </w:p>
        </w:tc>
        <w:tc>
          <w:tcPr>
            <w:tcW w:w="927" w:type="dxa"/>
            <w:noWrap w:val="0"/>
            <w:vAlign w:val="center"/>
          </w:tcPr>
          <w:p w14:paraId="20F82FD1">
            <w:pPr>
              <w:ind w:left="0" w:leftChars="0" w:firstLine="0" w:firstLineChars="0"/>
              <w:jc w:val="center"/>
              <w:outlineLvl w:val="9"/>
              <w:rPr>
                <w:rFonts w:hint="eastAsia" w:ascii="仿宋" w:hAnsi="仿宋" w:eastAsia="仿宋" w:cs="仿宋"/>
                <w:color w:val="auto"/>
                <w:sz w:val="21"/>
                <w:szCs w:val="21"/>
                <w:highlight w:val="none"/>
              </w:rPr>
            </w:pPr>
          </w:p>
        </w:tc>
        <w:tc>
          <w:tcPr>
            <w:tcW w:w="927" w:type="dxa"/>
            <w:noWrap w:val="0"/>
            <w:vAlign w:val="center"/>
          </w:tcPr>
          <w:p w14:paraId="45FCD389">
            <w:pPr>
              <w:ind w:left="0" w:leftChars="0" w:firstLine="0" w:firstLineChars="0"/>
              <w:jc w:val="center"/>
              <w:outlineLvl w:val="9"/>
              <w:rPr>
                <w:rFonts w:hint="eastAsia" w:ascii="仿宋" w:hAnsi="仿宋" w:eastAsia="仿宋" w:cs="仿宋"/>
                <w:color w:val="auto"/>
                <w:sz w:val="21"/>
                <w:szCs w:val="21"/>
                <w:highlight w:val="none"/>
              </w:rPr>
            </w:pPr>
          </w:p>
        </w:tc>
        <w:tc>
          <w:tcPr>
            <w:tcW w:w="1113" w:type="dxa"/>
            <w:noWrap w:val="0"/>
            <w:vAlign w:val="center"/>
          </w:tcPr>
          <w:p w14:paraId="7DFFD6AE">
            <w:pPr>
              <w:ind w:left="0" w:leftChars="0" w:firstLine="0" w:firstLineChars="0"/>
              <w:jc w:val="center"/>
              <w:outlineLvl w:val="9"/>
              <w:rPr>
                <w:rFonts w:hint="eastAsia" w:ascii="仿宋" w:hAnsi="仿宋" w:eastAsia="仿宋" w:cs="仿宋"/>
                <w:color w:val="auto"/>
                <w:sz w:val="21"/>
                <w:szCs w:val="21"/>
                <w:highlight w:val="none"/>
              </w:rPr>
            </w:pPr>
          </w:p>
        </w:tc>
        <w:tc>
          <w:tcPr>
            <w:tcW w:w="985" w:type="dxa"/>
            <w:noWrap w:val="0"/>
            <w:vAlign w:val="center"/>
          </w:tcPr>
          <w:p w14:paraId="157AE664">
            <w:pPr>
              <w:ind w:left="0" w:leftChars="0" w:firstLine="0" w:firstLineChars="0"/>
              <w:jc w:val="center"/>
              <w:outlineLvl w:val="9"/>
              <w:rPr>
                <w:rFonts w:hint="eastAsia" w:ascii="仿宋" w:hAnsi="仿宋" w:eastAsia="仿宋" w:cs="仿宋"/>
                <w:color w:val="auto"/>
                <w:sz w:val="21"/>
                <w:szCs w:val="21"/>
                <w:highlight w:val="none"/>
              </w:rPr>
            </w:pPr>
          </w:p>
        </w:tc>
      </w:tr>
      <w:tr w14:paraId="2A1C7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557" w:type="dxa"/>
            <w:noWrap w:val="0"/>
            <w:vAlign w:val="center"/>
          </w:tcPr>
          <w:p w14:paraId="366953AE">
            <w:pPr>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847" w:type="dxa"/>
            <w:noWrap w:val="0"/>
            <w:vAlign w:val="center"/>
          </w:tcPr>
          <w:p w14:paraId="45312A4D">
            <w:pPr>
              <w:ind w:left="0" w:leftChars="0" w:firstLine="0" w:firstLineChars="0"/>
              <w:jc w:val="center"/>
              <w:outlineLvl w:val="9"/>
              <w:rPr>
                <w:rFonts w:hint="eastAsia" w:ascii="仿宋" w:hAnsi="仿宋" w:eastAsia="仿宋" w:cs="仿宋"/>
                <w:color w:val="auto"/>
                <w:sz w:val="21"/>
                <w:szCs w:val="21"/>
                <w:highlight w:val="none"/>
              </w:rPr>
            </w:pPr>
          </w:p>
        </w:tc>
        <w:tc>
          <w:tcPr>
            <w:tcW w:w="783" w:type="dxa"/>
            <w:noWrap w:val="0"/>
            <w:vAlign w:val="center"/>
          </w:tcPr>
          <w:p w14:paraId="4D30FD6A">
            <w:pPr>
              <w:ind w:left="0" w:leftChars="0" w:firstLine="0" w:firstLineChars="0"/>
              <w:jc w:val="center"/>
              <w:outlineLvl w:val="9"/>
              <w:rPr>
                <w:rFonts w:hint="eastAsia" w:ascii="仿宋" w:hAnsi="仿宋" w:eastAsia="仿宋" w:cs="仿宋"/>
                <w:color w:val="auto"/>
                <w:sz w:val="21"/>
                <w:szCs w:val="21"/>
                <w:highlight w:val="none"/>
              </w:rPr>
            </w:pPr>
          </w:p>
        </w:tc>
        <w:tc>
          <w:tcPr>
            <w:tcW w:w="1173" w:type="dxa"/>
            <w:noWrap w:val="0"/>
            <w:vAlign w:val="center"/>
          </w:tcPr>
          <w:p w14:paraId="7D369094">
            <w:pPr>
              <w:ind w:left="0" w:leftChars="0" w:firstLine="0" w:firstLineChars="0"/>
              <w:jc w:val="center"/>
              <w:outlineLvl w:val="9"/>
              <w:rPr>
                <w:rFonts w:hint="eastAsia" w:ascii="仿宋" w:hAnsi="仿宋" w:eastAsia="仿宋" w:cs="仿宋"/>
                <w:color w:val="auto"/>
                <w:sz w:val="21"/>
                <w:szCs w:val="21"/>
                <w:highlight w:val="none"/>
              </w:rPr>
            </w:pPr>
          </w:p>
        </w:tc>
        <w:tc>
          <w:tcPr>
            <w:tcW w:w="1026" w:type="dxa"/>
            <w:noWrap w:val="0"/>
            <w:vAlign w:val="center"/>
          </w:tcPr>
          <w:p w14:paraId="002714D9">
            <w:pPr>
              <w:ind w:left="0" w:leftChars="0" w:firstLine="0" w:firstLineChars="0"/>
              <w:jc w:val="center"/>
              <w:outlineLvl w:val="9"/>
              <w:rPr>
                <w:rFonts w:hint="eastAsia" w:ascii="仿宋" w:hAnsi="仿宋" w:eastAsia="仿宋" w:cs="仿宋"/>
                <w:color w:val="auto"/>
                <w:sz w:val="21"/>
                <w:szCs w:val="21"/>
                <w:highlight w:val="none"/>
              </w:rPr>
            </w:pPr>
          </w:p>
        </w:tc>
        <w:tc>
          <w:tcPr>
            <w:tcW w:w="1113" w:type="dxa"/>
            <w:noWrap w:val="0"/>
            <w:vAlign w:val="center"/>
          </w:tcPr>
          <w:p w14:paraId="737A3D74">
            <w:pPr>
              <w:ind w:left="0" w:leftChars="0" w:firstLine="0" w:firstLineChars="0"/>
              <w:jc w:val="center"/>
              <w:outlineLvl w:val="9"/>
              <w:rPr>
                <w:rFonts w:hint="eastAsia" w:ascii="仿宋" w:hAnsi="仿宋" w:eastAsia="仿宋" w:cs="仿宋"/>
                <w:color w:val="auto"/>
                <w:sz w:val="21"/>
                <w:szCs w:val="21"/>
                <w:highlight w:val="none"/>
              </w:rPr>
            </w:pPr>
          </w:p>
        </w:tc>
        <w:tc>
          <w:tcPr>
            <w:tcW w:w="1113" w:type="dxa"/>
            <w:noWrap w:val="0"/>
            <w:vAlign w:val="center"/>
          </w:tcPr>
          <w:p w14:paraId="55CD2A27">
            <w:pPr>
              <w:ind w:left="0" w:leftChars="0" w:firstLine="0" w:firstLineChars="0"/>
              <w:jc w:val="center"/>
              <w:outlineLvl w:val="9"/>
              <w:rPr>
                <w:rFonts w:hint="eastAsia" w:ascii="仿宋" w:hAnsi="仿宋" w:eastAsia="仿宋" w:cs="仿宋"/>
                <w:color w:val="auto"/>
                <w:sz w:val="21"/>
                <w:szCs w:val="21"/>
                <w:highlight w:val="none"/>
              </w:rPr>
            </w:pPr>
          </w:p>
        </w:tc>
        <w:tc>
          <w:tcPr>
            <w:tcW w:w="927" w:type="dxa"/>
            <w:noWrap w:val="0"/>
            <w:vAlign w:val="center"/>
          </w:tcPr>
          <w:p w14:paraId="4E4AA0E6">
            <w:pPr>
              <w:ind w:left="0" w:leftChars="0" w:firstLine="0" w:firstLineChars="0"/>
              <w:jc w:val="center"/>
              <w:outlineLvl w:val="9"/>
              <w:rPr>
                <w:rFonts w:hint="eastAsia" w:ascii="仿宋" w:hAnsi="仿宋" w:eastAsia="仿宋" w:cs="仿宋"/>
                <w:color w:val="auto"/>
                <w:sz w:val="21"/>
                <w:szCs w:val="21"/>
                <w:highlight w:val="none"/>
              </w:rPr>
            </w:pPr>
          </w:p>
        </w:tc>
        <w:tc>
          <w:tcPr>
            <w:tcW w:w="927" w:type="dxa"/>
            <w:noWrap w:val="0"/>
            <w:vAlign w:val="center"/>
          </w:tcPr>
          <w:p w14:paraId="7E1C1FB6">
            <w:pPr>
              <w:ind w:left="0" w:leftChars="0" w:firstLine="0" w:firstLineChars="0"/>
              <w:jc w:val="center"/>
              <w:outlineLvl w:val="9"/>
              <w:rPr>
                <w:rFonts w:hint="eastAsia" w:ascii="仿宋" w:hAnsi="仿宋" w:eastAsia="仿宋" w:cs="仿宋"/>
                <w:color w:val="auto"/>
                <w:sz w:val="21"/>
                <w:szCs w:val="21"/>
                <w:highlight w:val="none"/>
              </w:rPr>
            </w:pPr>
          </w:p>
        </w:tc>
        <w:tc>
          <w:tcPr>
            <w:tcW w:w="1113" w:type="dxa"/>
            <w:noWrap w:val="0"/>
            <w:vAlign w:val="center"/>
          </w:tcPr>
          <w:p w14:paraId="245CB6DA">
            <w:pPr>
              <w:ind w:left="0" w:leftChars="0" w:firstLine="0" w:firstLineChars="0"/>
              <w:jc w:val="center"/>
              <w:outlineLvl w:val="9"/>
              <w:rPr>
                <w:rFonts w:hint="eastAsia" w:ascii="仿宋" w:hAnsi="仿宋" w:eastAsia="仿宋" w:cs="仿宋"/>
                <w:color w:val="auto"/>
                <w:sz w:val="21"/>
                <w:szCs w:val="21"/>
                <w:highlight w:val="none"/>
              </w:rPr>
            </w:pPr>
          </w:p>
        </w:tc>
        <w:tc>
          <w:tcPr>
            <w:tcW w:w="985" w:type="dxa"/>
            <w:noWrap w:val="0"/>
            <w:vAlign w:val="center"/>
          </w:tcPr>
          <w:p w14:paraId="42B9C695">
            <w:pPr>
              <w:ind w:left="0" w:leftChars="0" w:firstLine="0" w:firstLineChars="0"/>
              <w:jc w:val="center"/>
              <w:outlineLvl w:val="9"/>
              <w:rPr>
                <w:rFonts w:hint="eastAsia" w:ascii="仿宋" w:hAnsi="仿宋" w:eastAsia="仿宋" w:cs="仿宋"/>
                <w:color w:val="auto"/>
                <w:sz w:val="21"/>
                <w:szCs w:val="21"/>
                <w:highlight w:val="none"/>
              </w:rPr>
            </w:pPr>
          </w:p>
        </w:tc>
      </w:tr>
      <w:tr w14:paraId="334A6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557" w:type="dxa"/>
            <w:noWrap w:val="0"/>
            <w:vAlign w:val="center"/>
          </w:tcPr>
          <w:p w14:paraId="4BC7F529">
            <w:pPr>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847" w:type="dxa"/>
            <w:noWrap w:val="0"/>
            <w:vAlign w:val="center"/>
          </w:tcPr>
          <w:p w14:paraId="515B0045">
            <w:pPr>
              <w:ind w:left="0" w:leftChars="0" w:firstLine="0" w:firstLineChars="0"/>
              <w:jc w:val="center"/>
              <w:outlineLvl w:val="9"/>
              <w:rPr>
                <w:rFonts w:hint="eastAsia" w:ascii="仿宋" w:hAnsi="仿宋" w:eastAsia="仿宋" w:cs="仿宋"/>
                <w:color w:val="auto"/>
                <w:sz w:val="21"/>
                <w:szCs w:val="21"/>
                <w:highlight w:val="none"/>
              </w:rPr>
            </w:pPr>
          </w:p>
        </w:tc>
        <w:tc>
          <w:tcPr>
            <w:tcW w:w="783" w:type="dxa"/>
            <w:noWrap w:val="0"/>
            <w:vAlign w:val="center"/>
          </w:tcPr>
          <w:p w14:paraId="2D6FFD55">
            <w:pPr>
              <w:ind w:left="0" w:leftChars="0" w:firstLine="0" w:firstLineChars="0"/>
              <w:jc w:val="center"/>
              <w:outlineLvl w:val="9"/>
              <w:rPr>
                <w:rFonts w:hint="eastAsia" w:ascii="仿宋" w:hAnsi="仿宋" w:eastAsia="仿宋" w:cs="仿宋"/>
                <w:color w:val="auto"/>
                <w:sz w:val="21"/>
                <w:szCs w:val="21"/>
                <w:highlight w:val="none"/>
              </w:rPr>
            </w:pPr>
          </w:p>
        </w:tc>
        <w:tc>
          <w:tcPr>
            <w:tcW w:w="1173" w:type="dxa"/>
            <w:noWrap w:val="0"/>
            <w:vAlign w:val="center"/>
          </w:tcPr>
          <w:p w14:paraId="461DE3F9">
            <w:pPr>
              <w:ind w:left="0" w:leftChars="0" w:firstLine="0" w:firstLineChars="0"/>
              <w:jc w:val="center"/>
              <w:outlineLvl w:val="9"/>
              <w:rPr>
                <w:rFonts w:hint="eastAsia" w:ascii="仿宋" w:hAnsi="仿宋" w:eastAsia="仿宋" w:cs="仿宋"/>
                <w:color w:val="auto"/>
                <w:sz w:val="21"/>
                <w:szCs w:val="21"/>
                <w:highlight w:val="none"/>
              </w:rPr>
            </w:pPr>
          </w:p>
        </w:tc>
        <w:tc>
          <w:tcPr>
            <w:tcW w:w="1026" w:type="dxa"/>
            <w:noWrap w:val="0"/>
            <w:vAlign w:val="center"/>
          </w:tcPr>
          <w:p w14:paraId="782486F5">
            <w:pPr>
              <w:ind w:left="0" w:leftChars="0" w:firstLine="0" w:firstLineChars="0"/>
              <w:jc w:val="center"/>
              <w:outlineLvl w:val="9"/>
              <w:rPr>
                <w:rFonts w:hint="eastAsia" w:ascii="仿宋" w:hAnsi="仿宋" w:eastAsia="仿宋" w:cs="仿宋"/>
                <w:color w:val="auto"/>
                <w:sz w:val="21"/>
                <w:szCs w:val="21"/>
                <w:highlight w:val="none"/>
              </w:rPr>
            </w:pPr>
          </w:p>
        </w:tc>
        <w:tc>
          <w:tcPr>
            <w:tcW w:w="1113" w:type="dxa"/>
            <w:noWrap w:val="0"/>
            <w:vAlign w:val="center"/>
          </w:tcPr>
          <w:p w14:paraId="27567AC7">
            <w:pPr>
              <w:ind w:left="0" w:leftChars="0" w:firstLine="0" w:firstLineChars="0"/>
              <w:jc w:val="center"/>
              <w:outlineLvl w:val="9"/>
              <w:rPr>
                <w:rFonts w:hint="eastAsia" w:ascii="仿宋" w:hAnsi="仿宋" w:eastAsia="仿宋" w:cs="仿宋"/>
                <w:color w:val="auto"/>
                <w:sz w:val="21"/>
                <w:szCs w:val="21"/>
                <w:highlight w:val="none"/>
              </w:rPr>
            </w:pPr>
          </w:p>
        </w:tc>
        <w:tc>
          <w:tcPr>
            <w:tcW w:w="1113" w:type="dxa"/>
            <w:noWrap w:val="0"/>
            <w:vAlign w:val="center"/>
          </w:tcPr>
          <w:p w14:paraId="5038717C">
            <w:pPr>
              <w:ind w:left="0" w:leftChars="0" w:firstLine="0" w:firstLineChars="0"/>
              <w:jc w:val="center"/>
              <w:outlineLvl w:val="9"/>
              <w:rPr>
                <w:rFonts w:hint="eastAsia" w:ascii="仿宋" w:hAnsi="仿宋" w:eastAsia="仿宋" w:cs="仿宋"/>
                <w:color w:val="auto"/>
                <w:sz w:val="21"/>
                <w:szCs w:val="21"/>
                <w:highlight w:val="none"/>
              </w:rPr>
            </w:pPr>
          </w:p>
        </w:tc>
        <w:tc>
          <w:tcPr>
            <w:tcW w:w="927" w:type="dxa"/>
            <w:noWrap w:val="0"/>
            <w:vAlign w:val="center"/>
          </w:tcPr>
          <w:p w14:paraId="3D6E030E">
            <w:pPr>
              <w:ind w:left="0" w:leftChars="0" w:firstLine="0" w:firstLineChars="0"/>
              <w:jc w:val="center"/>
              <w:outlineLvl w:val="9"/>
              <w:rPr>
                <w:rFonts w:hint="eastAsia" w:ascii="仿宋" w:hAnsi="仿宋" w:eastAsia="仿宋" w:cs="仿宋"/>
                <w:color w:val="auto"/>
                <w:sz w:val="21"/>
                <w:szCs w:val="21"/>
                <w:highlight w:val="none"/>
              </w:rPr>
            </w:pPr>
          </w:p>
        </w:tc>
        <w:tc>
          <w:tcPr>
            <w:tcW w:w="927" w:type="dxa"/>
            <w:noWrap w:val="0"/>
            <w:vAlign w:val="center"/>
          </w:tcPr>
          <w:p w14:paraId="4AE10934">
            <w:pPr>
              <w:ind w:left="0" w:leftChars="0" w:firstLine="0" w:firstLineChars="0"/>
              <w:jc w:val="center"/>
              <w:outlineLvl w:val="9"/>
              <w:rPr>
                <w:rFonts w:hint="eastAsia" w:ascii="仿宋" w:hAnsi="仿宋" w:eastAsia="仿宋" w:cs="仿宋"/>
                <w:color w:val="auto"/>
                <w:sz w:val="21"/>
                <w:szCs w:val="21"/>
                <w:highlight w:val="none"/>
              </w:rPr>
            </w:pPr>
          </w:p>
        </w:tc>
        <w:tc>
          <w:tcPr>
            <w:tcW w:w="1113" w:type="dxa"/>
            <w:noWrap w:val="0"/>
            <w:vAlign w:val="center"/>
          </w:tcPr>
          <w:p w14:paraId="1C03FDC7">
            <w:pPr>
              <w:ind w:left="0" w:leftChars="0" w:firstLine="0" w:firstLineChars="0"/>
              <w:jc w:val="center"/>
              <w:outlineLvl w:val="9"/>
              <w:rPr>
                <w:rFonts w:hint="eastAsia" w:ascii="仿宋" w:hAnsi="仿宋" w:eastAsia="仿宋" w:cs="仿宋"/>
                <w:color w:val="auto"/>
                <w:sz w:val="21"/>
                <w:szCs w:val="21"/>
                <w:highlight w:val="none"/>
              </w:rPr>
            </w:pPr>
          </w:p>
        </w:tc>
        <w:tc>
          <w:tcPr>
            <w:tcW w:w="985" w:type="dxa"/>
            <w:noWrap w:val="0"/>
            <w:vAlign w:val="center"/>
          </w:tcPr>
          <w:p w14:paraId="50C74D5E">
            <w:pPr>
              <w:ind w:left="0" w:leftChars="0" w:firstLine="0" w:firstLineChars="0"/>
              <w:jc w:val="center"/>
              <w:outlineLvl w:val="9"/>
              <w:rPr>
                <w:rFonts w:hint="eastAsia" w:ascii="仿宋" w:hAnsi="仿宋" w:eastAsia="仿宋" w:cs="仿宋"/>
                <w:color w:val="auto"/>
                <w:sz w:val="21"/>
                <w:szCs w:val="21"/>
                <w:highlight w:val="none"/>
              </w:rPr>
            </w:pPr>
          </w:p>
        </w:tc>
      </w:tr>
      <w:tr w14:paraId="5EE4B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557" w:type="dxa"/>
            <w:noWrap w:val="0"/>
            <w:vAlign w:val="center"/>
          </w:tcPr>
          <w:p w14:paraId="6C10B0B5">
            <w:pPr>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847" w:type="dxa"/>
            <w:noWrap w:val="0"/>
            <w:vAlign w:val="top"/>
          </w:tcPr>
          <w:p w14:paraId="62CEB3A9">
            <w:pPr>
              <w:ind w:left="0" w:leftChars="0" w:firstLine="0" w:firstLineChars="0"/>
              <w:jc w:val="center"/>
              <w:outlineLvl w:val="9"/>
              <w:rPr>
                <w:rFonts w:hint="eastAsia" w:ascii="仿宋" w:hAnsi="仿宋" w:eastAsia="仿宋" w:cs="仿宋"/>
                <w:color w:val="auto"/>
                <w:sz w:val="21"/>
                <w:szCs w:val="21"/>
                <w:highlight w:val="none"/>
              </w:rPr>
            </w:pPr>
          </w:p>
        </w:tc>
        <w:tc>
          <w:tcPr>
            <w:tcW w:w="783" w:type="dxa"/>
            <w:noWrap w:val="0"/>
            <w:vAlign w:val="top"/>
          </w:tcPr>
          <w:p w14:paraId="3F977356">
            <w:pPr>
              <w:ind w:left="0" w:leftChars="0" w:firstLine="0" w:firstLineChars="0"/>
              <w:jc w:val="center"/>
              <w:outlineLvl w:val="9"/>
              <w:rPr>
                <w:rFonts w:hint="eastAsia" w:ascii="仿宋" w:hAnsi="仿宋" w:eastAsia="仿宋" w:cs="仿宋"/>
                <w:color w:val="auto"/>
                <w:sz w:val="21"/>
                <w:szCs w:val="21"/>
                <w:highlight w:val="none"/>
              </w:rPr>
            </w:pPr>
          </w:p>
        </w:tc>
        <w:tc>
          <w:tcPr>
            <w:tcW w:w="1173" w:type="dxa"/>
            <w:noWrap w:val="0"/>
            <w:vAlign w:val="top"/>
          </w:tcPr>
          <w:p w14:paraId="1BFA48E1">
            <w:pPr>
              <w:ind w:left="0" w:leftChars="0" w:firstLine="0" w:firstLineChars="0"/>
              <w:jc w:val="center"/>
              <w:outlineLvl w:val="9"/>
              <w:rPr>
                <w:rFonts w:hint="eastAsia" w:ascii="仿宋" w:hAnsi="仿宋" w:eastAsia="仿宋" w:cs="仿宋"/>
                <w:color w:val="auto"/>
                <w:sz w:val="21"/>
                <w:szCs w:val="21"/>
                <w:highlight w:val="none"/>
              </w:rPr>
            </w:pPr>
          </w:p>
        </w:tc>
        <w:tc>
          <w:tcPr>
            <w:tcW w:w="1026" w:type="dxa"/>
            <w:noWrap w:val="0"/>
            <w:vAlign w:val="top"/>
          </w:tcPr>
          <w:p w14:paraId="5EE21588">
            <w:pPr>
              <w:ind w:left="0" w:leftChars="0" w:firstLine="0" w:firstLineChars="0"/>
              <w:jc w:val="center"/>
              <w:outlineLvl w:val="9"/>
              <w:rPr>
                <w:rFonts w:hint="eastAsia" w:ascii="仿宋" w:hAnsi="仿宋" w:eastAsia="仿宋" w:cs="仿宋"/>
                <w:color w:val="auto"/>
                <w:sz w:val="21"/>
                <w:szCs w:val="21"/>
                <w:highlight w:val="none"/>
              </w:rPr>
            </w:pPr>
          </w:p>
        </w:tc>
        <w:tc>
          <w:tcPr>
            <w:tcW w:w="1113" w:type="dxa"/>
            <w:noWrap w:val="0"/>
            <w:vAlign w:val="top"/>
          </w:tcPr>
          <w:p w14:paraId="40D6D27B">
            <w:pPr>
              <w:ind w:left="0" w:leftChars="0" w:firstLine="0" w:firstLineChars="0"/>
              <w:jc w:val="center"/>
              <w:outlineLvl w:val="9"/>
              <w:rPr>
                <w:rFonts w:hint="eastAsia" w:ascii="仿宋" w:hAnsi="仿宋" w:eastAsia="仿宋" w:cs="仿宋"/>
                <w:color w:val="auto"/>
                <w:sz w:val="21"/>
                <w:szCs w:val="21"/>
                <w:highlight w:val="none"/>
              </w:rPr>
            </w:pPr>
          </w:p>
        </w:tc>
        <w:tc>
          <w:tcPr>
            <w:tcW w:w="1113" w:type="dxa"/>
            <w:noWrap w:val="0"/>
            <w:vAlign w:val="top"/>
          </w:tcPr>
          <w:p w14:paraId="76D7DD6E">
            <w:pPr>
              <w:ind w:left="0" w:leftChars="0" w:firstLine="0" w:firstLineChars="0"/>
              <w:jc w:val="center"/>
              <w:outlineLvl w:val="9"/>
              <w:rPr>
                <w:rFonts w:hint="eastAsia" w:ascii="仿宋" w:hAnsi="仿宋" w:eastAsia="仿宋" w:cs="仿宋"/>
                <w:color w:val="auto"/>
                <w:sz w:val="21"/>
                <w:szCs w:val="21"/>
                <w:highlight w:val="none"/>
              </w:rPr>
            </w:pPr>
          </w:p>
        </w:tc>
        <w:tc>
          <w:tcPr>
            <w:tcW w:w="927" w:type="dxa"/>
            <w:noWrap w:val="0"/>
            <w:vAlign w:val="top"/>
          </w:tcPr>
          <w:p w14:paraId="31444BFC">
            <w:pPr>
              <w:ind w:left="0" w:leftChars="0" w:firstLine="0" w:firstLineChars="0"/>
              <w:jc w:val="center"/>
              <w:outlineLvl w:val="9"/>
              <w:rPr>
                <w:rFonts w:hint="eastAsia" w:ascii="仿宋" w:hAnsi="仿宋" w:eastAsia="仿宋" w:cs="仿宋"/>
                <w:color w:val="auto"/>
                <w:sz w:val="21"/>
                <w:szCs w:val="21"/>
                <w:highlight w:val="none"/>
              </w:rPr>
            </w:pPr>
          </w:p>
        </w:tc>
        <w:tc>
          <w:tcPr>
            <w:tcW w:w="927" w:type="dxa"/>
            <w:noWrap w:val="0"/>
            <w:vAlign w:val="top"/>
          </w:tcPr>
          <w:p w14:paraId="189731F2">
            <w:pPr>
              <w:ind w:left="0" w:leftChars="0" w:firstLine="0" w:firstLineChars="0"/>
              <w:jc w:val="center"/>
              <w:outlineLvl w:val="9"/>
              <w:rPr>
                <w:rFonts w:hint="eastAsia" w:ascii="仿宋" w:hAnsi="仿宋" w:eastAsia="仿宋" w:cs="仿宋"/>
                <w:color w:val="auto"/>
                <w:sz w:val="21"/>
                <w:szCs w:val="21"/>
                <w:highlight w:val="none"/>
              </w:rPr>
            </w:pPr>
          </w:p>
        </w:tc>
        <w:tc>
          <w:tcPr>
            <w:tcW w:w="1113" w:type="dxa"/>
            <w:noWrap w:val="0"/>
            <w:vAlign w:val="top"/>
          </w:tcPr>
          <w:p w14:paraId="0613C6D0">
            <w:pPr>
              <w:ind w:left="0" w:leftChars="0" w:firstLine="0" w:firstLineChars="0"/>
              <w:jc w:val="center"/>
              <w:outlineLvl w:val="9"/>
              <w:rPr>
                <w:rFonts w:hint="eastAsia" w:ascii="仿宋" w:hAnsi="仿宋" w:eastAsia="仿宋" w:cs="仿宋"/>
                <w:color w:val="auto"/>
                <w:sz w:val="21"/>
                <w:szCs w:val="21"/>
                <w:highlight w:val="none"/>
              </w:rPr>
            </w:pPr>
          </w:p>
        </w:tc>
        <w:tc>
          <w:tcPr>
            <w:tcW w:w="985" w:type="dxa"/>
            <w:noWrap w:val="0"/>
            <w:vAlign w:val="top"/>
          </w:tcPr>
          <w:p w14:paraId="2F29960F">
            <w:pPr>
              <w:ind w:left="0" w:leftChars="0" w:firstLine="0" w:firstLineChars="0"/>
              <w:jc w:val="center"/>
              <w:outlineLvl w:val="9"/>
              <w:rPr>
                <w:rFonts w:hint="eastAsia" w:ascii="仿宋" w:hAnsi="仿宋" w:eastAsia="仿宋" w:cs="仿宋"/>
                <w:color w:val="auto"/>
                <w:sz w:val="21"/>
                <w:szCs w:val="21"/>
                <w:highlight w:val="none"/>
              </w:rPr>
            </w:pPr>
          </w:p>
        </w:tc>
      </w:tr>
      <w:tr w14:paraId="656BF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7539" w:type="dxa"/>
            <w:gridSpan w:val="8"/>
            <w:noWrap w:val="0"/>
            <w:vAlign w:val="center"/>
          </w:tcPr>
          <w:p w14:paraId="22CD9252">
            <w:pPr>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合    计</w:t>
            </w:r>
          </w:p>
        </w:tc>
        <w:tc>
          <w:tcPr>
            <w:tcW w:w="927" w:type="dxa"/>
            <w:noWrap w:val="0"/>
            <w:vAlign w:val="top"/>
          </w:tcPr>
          <w:p w14:paraId="06913323">
            <w:pPr>
              <w:jc w:val="center"/>
              <w:outlineLvl w:val="9"/>
              <w:rPr>
                <w:rFonts w:hint="eastAsia" w:ascii="仿宋" w:hAnsi="仿宋" w:eastAsia="仿宋" w:cs="仿宋"/>
                <w:color w:val="auto"/>
                <w:sz w:val="21"/>
                <w:szCs w:val="21"/>
                <w:highlight w:val="none"/>
              </w:rPr>
            </w:pPr>
          </w:p>
        </w:tc>
        <w:tc>
          <w:tcPr>
            <w:tcW w:w="1113" w:type="dxa"/>
            <w:noWrap w:val="0"/>
            <w:vAlign w:val="top"/>
          </w:tcPr>
          <w:p w14:paraId="3D1387B0">
            <w:pPr>
              <w:outlineLvl w:val="9"/>
              <w:rPr>
                <w:rFonts w:hint="eastAsia" w:ascii="仿宋" w:hAnsi="仿宋" w:eastAsia="仿宋" w:cs="仿宋"/>
                <w:color w:val="auto"/>
                <w:sz w:val="21"/>
                <w:szCs w:val="21"/>
                <w:highlight w:val="none"/>
              </w:rPr>
            </w:pPr>
          </w:p>
        </w:tc>
        <w:tc>
          <w:tcPr>
            <w:tcW w:w="985" w:type="dxa"/>
            <w:noWrap w:val="0"/>
            <w:vAlign w:val="top"/>
          </w:tcPr>
          <w:p w14:paraId="1A7DC3DC">
            <w:pPr>
              <w:outlineLvl w:val="9"/>
              <w:rPr>
                <w:rFonts w:hint="eastAsia" w:ascii="仿宋" w:hAnsi="仿宋" w:eastAsia="仿宋" w:cs="仿宋"/>
                <w:color w:val="auto"/>
                <w:sz w:val="21"/>
                <w:szCs w:val="21"/>
                <w:highlight w:val="none"/>
              </w:rPr>
            </w:pPr>
          </w:p>
        </w:tc>
      </w:tr>
    </w:tbl>
    <w:p w14:paraId="7A59BBDD">
      <w:pPr>
        <w:spacing w:line="336" w:lineRule="auto"/>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注：该表格仅供参考投标人，可根据需要自行扩展。</w:t>
      </w:r>
    </w:p>
    <w:p w14:paraId="73289D06">
      <w:pPr>
        <w:spacing w:line="312" w:lineRule="auto"/>
        <w:outlineLvl w:val="9"/>
        <w:rPr>
          <w:rFonts w:hint="eastAsia" w:ascii="仿宋" w:hAnsi="仿宋" w:eastAsia="仿宋" w:cs="仿宋"/>
          <w:color w:val="auto"/>
          <w:sz w:val="24"/>
          <w:highlight w:val="none"/>
        </w:rPr>
      </w:pPr>
    </w:p>
    <w:p w14:paraId="57D9C109">
      <w:pPr>
        <w:tabs>
          <w:tab w:val="left" w:pos="1365"/>
        </w:tabs>
        <w:spacing w:line="360" w:lineRule="auto"/>
        <w:ind w:firstLine="315" w:firstLineChars="150"/>
        <w:jc w:val="righ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投标人（单位电子签章）：                    </w:t>
      </w:r>
    </w:p>
    <w:p w14:paraId="7B0A9F10">
      <w:pPr>
        <w:tabs>
          <w:tab w:val="left" w:pos="1365"/>
        </w:tabs>
        <w:spacing w:line="360" w:lineRule="auto"/>
        <w:ind w:firstLine="315" w:firstLineChars="150"/>
        <w:jc w:val="righ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法定代表人或其委托代理人（电子签名或电子盖章或签字或盖章）：</w:t>
      </w:r>
    </w:p>
    <w:p w14:paraId="770AE3E0">
      <w:pPr>
        <w:spacing w:line="312" w:lineRule="auto"/>
        <w:jc w:val="right"/>
        <w:outlineLvl w:val="9"/>
        <w:rPr>
          <w:rFonts w:hint="eastAsia" w:ascii="仿宋" w:hAnsi="仿宋" w:eastAsia="仿宋" w:cs="仿宋"/>
          <w:b/>
          <w:color w:val="auto"/>
          <w:sz w:val="24"/>
          <w:szCs w:val="24"/>
          <w:highlight w:val="none"/>
        </w:rPr>
      </w:pPr>
      <w:r>
        <w:rPr>
          <w:rFonts w:hint="eastAsia" w:ascii="仿宋" w:hAnsi="仿宋" w:eastAsia="仿宋" w:cs="仿宋"/>
          <w:color w:val="auto"/>
          <w:sz w:val="21"/>
          <w:szCs w:val="21"/>
          <w:highlight w:val="none"/>
        </w:rPr>
        <w:t>日   期：     年    月    日</w:t>
      </w:r>
    </w:p>
    <w:p w14:paraId="4301E7BA">
      <w:pPr>
        <w:numPr>
          <w:ilvl w:val="0"/>
          <w:numId w:val="0"/>
        </w:numPr>
        <w:adjustRightInd w:val="0"/>
        <w:snapToGrid w:val="0"/>
        <w:spacing w:line="400" w:lineRule="exact"/>
        <w:ind w:left="0" w:leftChars="0" w:firstLine="0" w:firstLineChars="0"/>
        <w:jc w:val="center"/>
        <w:outlineLvl w:val="9"/>
        <w:rPr>
          <w:rFonts w:hint="eastAsia" w:ascii="仿宋" w:hAnsi="仿宋" w:eastAsia="仿宋" w:cs="仿宋"/>
          <w:b/>
          <w:color w:val="auto"/>
          <w:kern w:val="2"/>
          <w:sz w:val="30"/>
          <w:szCs w:val="30"/>
          <w:highlight w:val="none"/>
          <w:lang w:val="en-US" w:eastAsia="zh-CN" w:bidi="ar-SA"/>
        </w:rPr>
        <w:sectPr>
          <w:pgSz w:w="11905" w:h="16838"/>
          <w:pgMar w:top="1417" w:right="1417" w:bottom="1417" w:left="1417" w:header="850" w:footer="850" w:gutter="0"/>
          <w:pgBorders>
            <w:top w:val="none" w:sz="0" w:space="0"/>
            <w:left w:val="none" w:sz="0" w:space="0"/>
            <w:bottom w:val="none" w:sz="0" w:space="0"/>
            <w:right w:val="none" w:sz="0" w:space="0"/>
          </w:pgBorders>
          <w:pgNumType w:fmt="numberInDash"/>
          <w:cols w:space="0" w:num="1"/>
          <w:rtlGutter w:val="0"/>
          <w:docGrid w:type="lines" w:linePitch="412" w:charSpace="0"/>
        </w:sectPr>
      </w:pPr>
      <w:bookmarkStart w:id="259" w:name="_Toc29376"/>
    </w:p>
    <w:bookmarkEnd w:id="259"/>
    <w:p w14:paraId="1521CFCE">
      <w:pPr>
        <w:pStyle w:val="17"/>
        <w:bidi w:val="0"/>
        <w:ind w:firstLine="540" w:firstLineChars="192"/>
        <w:jc w:val="center"/>
        <w:outlineLvl w:val="9"/>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五、商务及技术偏差表</w:t>
      </w:r>
    </w:p>
    <w:p w14:paraId="57DEA635">
      <w:pPr>
        <w:pStyle w:val="17"/>
        <w:bidi w:val="0"/>
        <w:ind w:firstLine="540" w:firstLineChars="192"/>
        <w:jc w:val="center"/>
        <w:outlineLvl w:val="9"/>
        <w:rPr>
          <w:rFonts w:hint="eastAsia" w:ascii="仿宋" w:hAnsi="仿宋" w:eastAsia="仿宋" w:cs="仿宋"/>
          <w:color w:val="auto"/>
          <w:sz w:val="21"/>
          <w:szCs w:val="21"/>
          <w:highlight w:val="none"/>
          <w:lang w:eastAsia="zh-CN"/>
        </w:rPr>
      </w:pPr>
      <w:r>
        <w:rPr>
          <w:rFonts w:hint="eastAsia" w:ascii="仿宋" w:hAnsi="仿宋" w:eastAsia="仿宋" w:cs="仿宋"/>
          <w:b/>
          <w:color w:val="auto"/>
          <w:sz w:val="28"/>
          <w:szCs w:val="28"/>
          <w:highlight w:val="none"/>
          <w:lang w:eastAsia="zh-CN"/>
        </w:rPr>
        <w:t>（一）商务偏差表</w:t>
      </w:r>
    </w:p>
    <w:tbl>
      <w:tblPr>
        <w:tblStyle w:val="19"/>
        <w:tblW w:w="9278" w:type="dxa"/>
        <w:tblInd w:w="-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49"/>
        <w:gridCol w:w="1727"/>
        <w:gridCol w:w="2354"/>
        <w:gridCol w:w="2799"/>
        <w:gridCol w:w="1449"/>
      </w:tblGrid>
      <w:tr w14:paraId="71B87A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3" w:hRule="exact"/>
        </w:trPr>
        <w:tc>
          <w:tcPr>
            <w:tcW w:w="949" w:type="dxa"/>
            <w:noWrap w:val="0"/>
            <w:vAlign w:val="center"/>
          </w:tcPr>
          <w:p w14:paraId="3A250398">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r>
              <w:rPr>
                <w:rFonts w:hint="eastAsia" w:ascii="仿宋" w:hAnsi="仿宋" w:eastAsia="仿宋" w:cs="仿宋"/>
              </w:rPr>
              <w:t>序号</w:t>
            </w:r>
          </w:p>
        </w:tc>
        <w:tc>
          <w:tcPr>
            <w:tcW w:w="1727" w:type="dxa"/>
            <w:noWrap w:val="0"/>
            <w:vAlign w:val="center"/>
          </w:tcPr>
          <w:p w14:paraId="074944E7">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r>
              <w:rPr>
                <w:rFonts w:hint="eastAsia" w:ascii="仿宋" w:hAnsi="仿宋" w:eastAsia="仿宋" w:cs="仿宋"/>
              </w:rPr>
              <w:t>项目内容</w:t>
            </w:r>
          </w:p>
        </w:tc>
        <w:tc>
          <w:tcPr>
            <w:tcW w:w="2354" w:type="dxa"/>
            <w:noWrap w:val="0"/>
            <w:vAlign w:val="center"/>
          </w:tcPr>
          <w:p w14:paraId="302534A2">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r>
              <w:rPr>
                <w:rFonts w:hint="eastAsia" w:ascii="仿宋" w:hAnsi="仿宋" w:eastAsia="仿宋" w:cs="仿宋"/>
              </w:rPr>
              <w:t>招标文件要求</w:t>
            </w:r>
          </w:p>
        </w:tc>
        <w:tc>
          <w:tcPr>
            <w:tcW w:w="2799" w:type="dxa"/>
            <w:noWrap w:val="0"/>
            <w:vAlign w:val="center"/>
          </w:tcPr>
          <w:p w14:paraId="4416B77E">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r>
              <w:rPr>
                <w:rFonts w:hint="eastAsia" w:ascii="仿宋" w:hAnsi="仿宋" w:eastAsia="仿宋" w:cs="仿宋"/>
              </w:rPr>
              <w:t>投标文件响应</w:t>
            </w:r>
          </w:p>
        </w:tc>
        <w:tc>
          <w:tcPr>
            <w:tcW w:w="1449" w:type="dxa"/>
            <w:noWrap w:val="0"/>
            <w:vAlign w:val="center"/>
          </w:tcPr>
          <w:p w14:paraId="72EE0FFF">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r>
              <w:rPr>
                <w:rFonts w:hint="eastAsia" w:ascii="仿宋" w:hAnsi="仿宋" w:eastAsia="仿宋" w:cs="仿宋"/>
              </w:rPr>
              <w:t>偏差结论</w:t>
            </w:r>
          </w:p>
        </w:tc>
      </w:tr>
      <w:tr w14:paraId="16E82F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exact"/>
        </w:trPr>
        <w:tc>
          <w:tcPr>
            <w:tcW w:w="949" w:type="dxa"/>
            <w:noWrap w:val="0"/>
            <w:vAlign w:val="center"/>
          </w:tcPr>
          <w:p w14:paraId="78407097">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lang w:val="en-US" w:eastAsia="zh-CN"/>
              </w:rPr>
            </w:pPr>
            <w:r>
              <w:rPr>
                <w:rFonts w:hint="eastAsia" w:ascii="仿宋" w:hAnsi="仿宋" w:eastAsia="仿宋" w:cs="仿宋"/>
                <w:lang w:val="en-US" w:eastAsia="zh-CN"/>
              </w:rPr>
              <w:t>1</w:t>
            </w:r>
          </w:p>
        </w:tc>
        <w:tc>
          <w:tcPr>
            <w:tcW w:w="1727" w:type="dxa"/>
            <w:noWrap w:val="0"/>
            <w:vAlign w:val="center"/>
          </w:tcPr>
          <w:p w14:paraId="4A7F336F">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r>
              <w:rPr>
                <w:rFonts w:hint="eastAsia" w:ascii="仿宋" w:hAnsi="仿宋" w:eastAsia="仿宋" w:cs="仿宋"/>
              </w:rPr>
              <w:t>交货期</w:t>
            </w:r>
          </w:p>
        </w:tc>
        <w:tc>
          <w:tcPr>
            <w:tcW w:w="2354" w:type="dxa"/>
            <w:noWrap w:val="0"/>
            <w:vAlign w:val="center"/>
          </w:tcPr>
          <w:p w14:paraId="2180C00C">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p>
        </w:tc>
        <w:tc>
          <w:tcPr>
            <w:tcW w:w="2799" w:type="dxa"/>
            <w:noWrap w:val="0"/>
            <w:vAlign w:val="center"/>
          </w:tcPr>
          <w:p w14:paraId="4A6FA283">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p>
        </w:tc>
        <w:tc>
          <w:tcPr>
            <w:tcW w:w="1449" w:type="dxa"/>
            <w:noWrap w:val="0"/>
            <w:vAlign w:val="center"/>
          </w:tcPr>
          <w:p w14:paraId="0B75DC15">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p>
        </w:tc>
      </w:tr>
      <w:tr w14:paraId="16D0D6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exact"/>
        </w:trPr>
        <w:tc>
          <w:tcPr>
            <w:tcW w:w="949" w:type="dxa"/>
            <w:noWrap w:val="0"/>
            <w:vAlign w:val="center"/>
          </w:tcPr>
          <w:p w14:paraId="26DB371C">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lang w:val="en-US" w:eastAsia="zh-CN"/>
              </w:rPr>
            </w:pPr>
            <w:r>
              <w:rPr>
                <w:rFonts w:hint="eastAsia" w:ascii="仿宋" w:hAnsi="仿宋" w:eastAsia="仿宋" w:cs="仿宋"/>
                <w:lang w:val="en-US" w:eastAsia="zh-CN"/>
              </w:rPr>
              <w:t>2</w:t>
            </w:r>
          </w:p>
        </w:tc>
        <w:tc>
          <w:tcPr>
            <w:tcW w:w="1727" w:type="dxa"/>
            <w:noWrap w:val="0"/>
            <w:vAlign w:val="center"/>
          </w:tcPr>
          <w:p w14:paraId="44A78764">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r>
              <w:rPr>
                <w:rFonts w:hint="eastAsia" w:ascii="仿宋" w:hAnsi="仿宋" w:eastAsia="仿宋" w:cs="仿宋"/>
                <w:color w:val="auto"/>
                <w:sz w:val="21"/>
                <w:szCs w:val="21"/>
              </w:rPr>
              <w:t>质量</w:t>
            </w:r>
          </w:p>
        </w:tc>
        <w:tc>
          <w:tcPr>
            <w:tcW w:w="2354" w:type="dxa"/>
            <w:noWrap w:val="0"/>
            <w:vAlign w:val="center"/>
          </w:tcPr>
          <w:p w14:paraId="2B4212BF">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p>
        </w:tc>
        <w:tc>
          <w:tcPr>
            <w:tcW w:w="2799" w:type="dxa"/>
            <w:noWrap w:val="0"/>
            <w:vAlign w:val="center"/>
          </w:tcPr>
          <w:p w14:paraId="4092275C">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p>
        </w:tc>
        <w:tc>
          <w:tcPr>
            <w:tcW w:w="1449" w:type="dxa"/>
            <w:noWrap w:val="0"/>
            <w:vAlign w:val="center"/>
          </w:tcPr>
          <w:p w14:paraId="35FFB5C1">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p>
        </w:tc>
      </w:tr>
      <w:tr w14:paraId="181B43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exact"/>
        </w:trPr>
        <w:tc>
          <w:tcPr>
            <w:tcW w:w="949" w:type="dxa"/>
            <w:noWrap w:val="0"/>
            <w:vAlign w:val="center"/>
          </w:tcPr>
          <w:p w14:paraId="1A82C3F9">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lang w:val="en-US" w:eastAsia="zh-CN"/>
              </w:rPr>
            </w:pPr>
            <w:r>
              <w:rPr>
                <w:rFonts w:hint="eastAsia" w:ascii="仿宋" w:hAnsi="仿宋" w:eastAsia="仿宋" w:cs="仿宋"/>
                <w:lang w:val="en-US" w:eastAsia="zh-CN"/>
              </w:rPr>
              <w:t>3</w:t>
            </w:r>
          </w:p>
        </w:tc>
        <w:tc>
          <w:tcPr>
            <w:tcW w:w="1727" w:type="dxa"/>
            <w:noWrap w:val="0"/>
            <w:vAlign w:val="center"/>
          </w:tcPr>
          <w:p w14:paraId="718D5DF7">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r>
              <w:rPr>
                <w:rFonts w:hint="eastAsia" w:ascii="仿宋" w:hAnsi="仿宋" w:eastAsia="仿宋" w:cs="仿宋"/>
                <w:color w:val="auto"/>
                <w:sz w:val="21"/>
                <w:szCs w:val="21"/>
              </w:rPr>
              <w:t>质保期</w:t>
            </w:r>
          </w:p>
        </w:tc>
        <w:tc>
          <w:tcPr>
            <w:tcW w:w="2354" w:type="dxa"/>
            <w:noWrap w:val="0"/>
            <w:vAlign w:val="center"/>
          </w:tcPr>
          <w:p w14:paraId="0C60920E">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p>
        </w:tc>
        <w:tc>
          <w:tcPr>
            <w:tcW w:w="2799" w:type="dxa"/>
            <w:noWrap w:val="0"/>
            <w:vAlign w:val="center"/>
          </w:tcPr>
          <w:p w14:paraId="65021F6D">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p>
        </w:tc>
        <w:tc>
          <w:tcPr>
            <w:tcW w:w="1449" w:type="dxa"/>
            <w:noWrap w:val="0"/>
            <w:vAlign w:val="center"/>
          </w:tcPr>
          <w:p w14:paraId="7A321533">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p>
        </w:tc>
      </w:tr>
      <w:tr w14:paraId="097061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exact"/>
        </w:trPr>
        <w:tc>
          <w:tcPr>
            <w:tcW w:w="949" w:type="dxa"/>
            <w:noWrap w:val="0"/>
            <w:vAlign w:val="center"/>
          </w:tcPr>
          <w:p w14:paraId="5756B165">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lang w:val="en-US" w:eastAsia="zh-CN"/>
              </w:rPr>
            </w:pPr>
            <w:r>
              <w:rPr>
                <w:rFonts w:hint="eastAsia" w:ascii="仿宋" w:hAnsi="仿宋" w:eastAsia="仿宋" w:cs="仿宋"/>
                <w:lang w:val="en-US" w:eastAsia="zh-CN"/>
              </w:rPr>
              <w:t>4</w:t>
            </w:r>
          </w:p>
        </w:tc>
        <w:tc>
          <w:tcPr>
            <w:tcW w:w="1727" w:type="dxa"/>
            <w:noWrap w:val="0"/>
            <w:vAlign w:val="center"/>
          </w:tcPr>
          <w:p w14:paraId="3C07BC60">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r>
              <w:rPr>
                <w:rFonts w:hint="eastAsia" w:ascii="仿宋" w:hAnsi="仿宋" w:eastAsia="仿宋" w:cs="仿宋"/>
              </w:rPr>
              <w:t>交货地点</w:t>
            </w:r>
          </w:p>
        </w:tc>
        <w:tc>
          <w:tcPr>
            <w:tcW w:w="2354" w:type="dxa"/>
            <w:noWrap w:val="0"/>
            <w:vAlign w:val="center"/>
          </w:tcPr>
          <w:p w14:paraId="0A0FA33D">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p>
        </w:tc>
        <w:tc>
          <w:tcPr>
            <w:tcW w:w="2799" w:type="dxa"/>
            <w:noWrap w:val="0"/>
            <w:vAlign w:val="center"/>
          </w:tcPr>
          <w:p w14:paraId="2A07E0CE">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p>
        </w:tc>
        <w:tc>
          <w:tcPr>
            <w:tcW w:w="1449" w:type="dxa"/>
            <w:noWrap w:val="0"/>
            <w:vAlign w:val="center"/>
          </w:tcPr>
          <w:p w14:paraId="7B34DCD6">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p>
        </w:tc>
      </w:tr>
      <w:tr w14:paraId="1CB582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exact"/>
        </w:trPr>
        <w:tc>
          <w:tcPr>
            <w:tcW w:w="949" w:type="dxa"/>
            <w:noWrap w:val="0"/>
            <w:vAlign w:val="center"/>
          </w:tcPr>
          <w:p w14:paraId="150FBF00">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lang w:val="en-US" w:eastAsia="zh-CN"/>
              </w:rPr>
            </w:pPr>
            <w:r>
              <w:rPr>
                <w:rFonts w:hint="eastAsia" w:ascii="仿宋" w:hAnsi="仿宋" w:eastAsia="仿宋" w:cs="仿宋"/>
                <w:lang w:val="en-US" w:eastAsia="zh-CN"/>
              </w:rPr>
              <w:t>5</w:t>
            </w:r>
          </w:p>
        </w:tc>
        <w:tc>
          <w:tcPr>
            <w:tcW w:w="1727" w:type="dxa"/>
            <w:noWrap w:val="0"/>
            <w:vAlign w:val="center"/>
          </w:tcPr>
          <w:p w14:paraId="64DD1E30">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r>
              <w:rPr>
                <w:rFonts w:hint="eastAsia" w:ascii="仿宋" w:hAnsi="仿宋" w:eastAsia="仿宋" w:cs="仿宋"/>
              </w:rPr>
              <w:t>投标有效期</w:t>
            </w:r>
          </w:p>
        </w:tc>
        <w:tc>
          <w:tcPr>
            <w:tcW w:w="2354" w:type="dxa"/>
            <w:noWrap w:val="0"/>
            <w:vAlign w:val="center"/>
          </w:tcPr>
          <w:p w14:paraId="5E06A17C">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p>
        </w:tc>
        <w:tc>
          <w:tcPr>
            <w:tcW w:w="2799" w:type="dxa"/>
            <w:noWrap w:val="0"/>
            <w:vAlign w:val="center"/>
          </w:tcPr>
          <w:p w14:paraId="1BB23E4A">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p>
        </w:tc>
        <w:tc>
          <w:tcPr>
            <w:tcW w:w="1449" w:type="dxa"/>
            <w:noWrap w:val="0"/>
            <w:vAlign w:val="center"/>
          </w:tcPr>
          <w:p w14:paraId="0D20C1B1">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p>
        </w:tc>
      </w:tr>
      <w:tr w14:paraId="3D4A2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9" w:hRule="exact"/>
        </w:trPr>
        <w:tc>
          <w:tcPr>
            <w:tcW w:w="949" w:type="dxa"/>
            <w:noWrap w:val="0"/>
            <w:vAlign w:val="center"/>
          </w:tcPr>
          <w:p w14:paraId="5765C75C">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r>
              <w:rPr>
                <w:rFonts w:hint="eastAsia" w:ascii="仿宋" w:hAnsi="仿宋" w:eastAsia="仿宋" w:cs="仿宋"/>
              </w:rPr>
              <w:t>…</w:t>
            </w:r>
          </w:p>
        </w:tc>
        <w:tc>
          <w:tcPr>
            <w:tcW w:w="1727" w:type="dxa"/>
            <w:noWrap w:val="0"/>
            <w:vAlign w:val="center"/>
          </w:tcPr>
          <w:p w14:paraId="7700FB05">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p>
        </w:tc>
        <w:tc>
          <w:tcPr>
            <w:tcW w:w="2354" w:type="dxa"/>
            <w:noWrap w:val="0"/>
            <w:vAlign w:val="center"/>
          </w:tcPr>
          <w:p w14:paraId="2FABB198">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p>
        </w:tc>
        <w:tc>
          <w:tcPr>
            <w:tcW w:w="2799" w:type="dxa"/>
            <w:noWrap w:val="0"/>
            <w:vAlign w:val="center"/>
          </w:tcPr>
          <w:p w14:paraId="17ED823B">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p>
        </w:tc>
        <w:tc>
          <w:tcPr>
            <w:tcW w:w="1449" w:type="dxa"/>
            <w:noWrap w:val="0"/>
            <w:vAlign w:val="center"/>
          </w:tcPr>
          <w:p w14:paraId="4FCB0132">
            <w:pPr>
              <w:keepNext w:val="0"/>
              <w:keepLines w:val="0"/>
              <w:suppressLineNumbers w:val="0"/>
              <w:bidi w:val="0"/>
              <w:spacing w:before="0" w:beforeAutospacing="0" w:after="0" w:afterAutospacing="0"/>
              <w:ind w:left="0" w:leftChars="0" w:right="0" w:firstLine="0" w:firstLineChars="0"/>
              <w:jc w:val="center"/>
              <w:rPr>
                <w:rFonts w:hint="eastAsia" w:ascii="仿宋" w:hAnsi="仿宋" w:eastAsia="仿宋" w:cs="仿宋"/>
              </w:rPr>
            </w:pPr>
          </w:p>
        </w:tc>
      </w:tr>
      <w:tr w14:paraId="5E2EC9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3" w:hRule="exact"/>
        </w:trPr>
        <w:tc>
          <w:tcPr>
            <w:tcW w:w="949" w:type="dxa"/>
            <w:noWrap w:val="0"/>
            <w:vAlign w:val="center"/>
          </w:tcPr>
          <w:p w14:paraId="635A6129">
            <w:pPr>
              <w:keepNext w:val="0"/>
              <w:keepLines w:val="0"/>
              <w:suppressLineNumbers w:val="0"/>
              <w:bidi w:val="0"/>
              <w:spacing w:before="0" w:beforeAutospacing="0" w:after="0" w:afterAutospacing="0"/>
              <w:ind w:left="0" w:right="0"/>
              <w:rPr>
                <w:rFonts w:hint="eastAsia" w:ascii="仿宋" w:hAnsi="仿宋" w:eastAsia="仿宋" w:cs="仿宋"/>
              </w:rPr>
            </w:pPr>
          </w:p>
        </w:tc>
        <w:tc>
          <w:tcPr>
            <w:tcW w:w="1727" w:type="dxa"/>
            <w:noWrap w:val="0"/>
            <w:vAlign w:val="center"/>
          </w:tcPr>
          <w:p w14:paraId="7167342A">
            <w:pPr>
              <w:keepNext w:val="0"/>
              <w:keepLines w:val="0"/>
              <w:suppressLineNumbers w:val="0"/>
              <w:bidi w:val="0"/>
              <w:spacing w:before="0" w:beforeAutospacing="0" w:after="0" w:afterAutospacing="0"/>
              <w:ind w:left="0" w:right="0"/>
              <w:rPr>
                <w:rFonts w:hint="eastAsia" w:ascii="仿宋" w:hAnsi="仿宋" w:eastAsia="仿宋" w:cs="仿宋"/>
              </w:rPr>
            </w:pPr>
          </w:p>
        </w:tc>
        <w:tc>
          <w:tcPr>
            <w:tcW w:w="2354" w:type="dxa"/>
            <w:noWrap w:val="0"/>
            <w:vAlign w:val="center"/>
          </w:tcPr>
          <w:p w14:paraId="1E0A43B5">
            <w:pPr>
              <w:keepNext w:val="0"/>
              <w:keepLines w:val="0"/>
              <w:suppressLineNumbers w:val="0"/>
              <w:bidi w:val="0"/>
              <w:spacing w:before="0" w:beforeAutospacing="0" w:after="0" w:afterAutospacing="0"/>
              <w:ind w:left="0" w:right="0"/>
              <w:rPr>
                <w:rFonts w:hint="eastAsia" w:ascii="仿宋" w:hAnsi="仿宋" w:eastAsia="仿宋" w:cs="仿宋"/>
              </w:rPr>
            </w:pPr>
          </w:p>
        </w:tc>
        <w:tc>
          <w:tcPr>
            <w:tcW w:w="2799" w:type="dxa"/>
            <w:noWrap w:val="0"/>
            <w:vAlign w:val="center"/>
          </w:tcPr>
          <w:p w14:paraId="7465041B">
            <w:pPr>
              <w:keepNext w:val="0"/>
              <w:keepLines w:val="0"/>
              <w:suppressLineNumbers w:val="0"/>
              <w:bidi w:val="0"/>
              <w:spacing w:before="0" w:beforeAutospacing="0" w:after="0" w:afterAutospacing="0"/>
              <w:ind w:left="0" w:right="0"/>
              <w:rPr>
                <w:rFonts w:hint="eastAsia" w:ascii="仿宋" w:hAnsi="仿宋" w:eastAsia="仿宋" w:cs="仿宋"/>
              </w:rPr>
            </w:pPr>
          </w:p>
        </w:tc>
        <w:tc>
          <w:tcPr>
            <w:tcW w:w="1449" w:type="dxa"/>
            <w:noWrap w:val="0"/>
            <w:vAlign w:val="center"/>
          </w:tcPr>
          <w:p w14:paraId="2F9B4B90">
            <w:pPr>
              <w:keepNext w:val="0"/>
              <w:keepLines w:val="0"/>
              <w:suppressLineNumbers w:val="0"/>
              <w:bidi w:val="0"/>
              <w:spacing w:before="0" w:beforeAutospacing="0" w:after="0" w:afterAutospacing="0"/>
              <w:ind w:left="0" w:right="0"/>
              <w:rPr>
                <w:rFonts w:hint="eastAsia" w:ascii="仿宋" w:hAnsi="仿宋" w:eastAsia="仿宋" w:cs="仿宋"/>
              </w:rPr>
            </w:pPr>
          </w:p>
        </w:tc>
      </w:tr>
    </w:tbl>
    <w:p w14:paraId="51554B9F">
      <w:pPr>
        <w:pStyle w:val="5"/>
        <w:spacing w:before="1"/>
        <w:outlineLvl w:val="9"/>
        <w:rPr>
          <w:rFonts w:hint="eastAsia" w:ascii="仿宋" w:hAnsi="仿宋" w:eastAsia="仿宋" w:cs="仿宋"/>
          <w:b/>
          <w:color w:val="auto"/>
          <w:sz w:val="4"/>
          <w:highlight w:val="none"/>
        </w:rPr>
      </w:pPr>
    </w:p>
    <w:p w14:paraId="2B6818AC">
      <w:pPr>
        <w:pStyle w:val="17"/>
        <w:bidi w:val="0"/>
        <w:ind w:firstLine="403" w:firstLineChars="192"/>
        <w:jc w:val="center"/>
        <w:outlineLvl w:val="9"/>
        <w:rPr>
          <w:rFonts w:hint="eastAsia" w:ascii="仿宋" w:hAnsi="仿宋" w:eastAsia="仿宋" w:cs="仿宋"/>
          <w:color w:val="auto"/>
          <w:sz w:val="21"/>
          <w:szCs w:val="21"/>
          <w:highlight w:val="none"/>
          <w:lang w:eastAsia="zh-CN"/>
        </w:rPr>
      </w:pPr>
    </w:p>
    <w:p w14:paraId="14C5DE49">
      <w:pPr>
        <w:pStyle w:val="17"/>
        <w:bidi w:val="0"/>
        <w:ind w:firstLine="403" w:firstLineChars="192"/>
        <w:jc w:val="center"/>
        <w:outlineLvl w:val="9"/>
        <w:rPr>
          <w:rFonts w:hint="eastAsia" w:ascii="仿宋" w:hAnsi="仿宋" w:eastAsia="仿宋" w:cs="仿宋"/>
          <w:color w:val="auto"/>
          <w:sz w:val="21"/>
          <w:szCs w:val="21"/>
          <w:highlight w:val="none"/>
          <w:lang w:eastAsia="zh-CN"/>
        </w:rPr>
      </w:pPr>
    </w:p>
    <w:p w14:paraId="3C0570BA">
      <w:pPr>
        <w:pStyle w:val="17"/>
        <w:bidi w:val="0"/>
        <w:ind w:firstLine="403" w:firstLineChars="192"/>
        <w:jc w:val="center"/>
        <w:outlineLvl w:val="9"/>
        <w:rPr>
          <w:rFonts w:hint="eastAsia" w:ascii="仿宋" w:hAnsi="仿宋" w:eastAsia="仿宋" w:cs="仿宋"/>
          <w:color w:val="auto"/>
          <w:sz w:val="21"/>
          <w:szCs w:val="21"/>
          <w:highlight w:val="none"/>
          <w:lang w:eastAsia="zh-CN"/>
        </w:rPr>
      </w:pPr>
    </w:p>
    <w:p w14:paraId="78E866F3">
      <w:pPr>
        <w:pStyle w:val="18"/>
        <w:outlineLvl w:val="9"/>
        <w:rPr>
          <w:rFonts w:hint="eastAsia" w:ascii="仿宋" w:hAnsi="仿宋" w:eastAsia="仿宋" w:cs="仿宋"/>
          <w:color w:val="auto"/>
          <w:sz w:val="21"/>
          <w:szCs w:val="21"/>
          <w:highlight w:val="none"/>
          <w:lang w:eastAsia="zh-CN"/>
        </w:rPr>
      </w:pPr>
    </w:p>
    <w:p w14:paraId="38E10FE2">
      <w:pPr>
        <w:outlineLvl w:val="9"/>
        <w:rPr>
          <w:rFonts w:hint="eastAsia" w:ascii="仿宋" w:hAnsi="仿宋" w:eastAsia="仿宋" w:cs="仿宋"/>
          <w:color w:val="auto"/>
          <w:sz w:val="21"/>
          <w:szCs w:val="21"/>
          <w:highlight w:val="none"/>
          <w:lang w:eastAsia="zh-CN"/>
        </w:rPr>
      </w:pPr>
    </w:p>
    <w:p w14:paraId="59956159">
      <w:pPr>
        <w:pStyle w:val="37"/>
        <w:outlineLvl w:val="9"/>
        <w:rPr>
          <w:rFonts w:hint="eastAsia" w:ascii="仿宋" w:hAnsi="仿宋" w:eastAsia="仿宋" w:cs="仿宋"/>
          <w:color w:val="auto"/>
          <w:sz w:val="21"/>
          <w:szCs w:val="21"/>
          <w:highlight w:val="none"/>
          <w:lang w:eastAsia="zh-CN"/>
        </w:rPr>
      </w:pPr>
    </w:p>
    <w:p w14:paraId="22048FAA">
      <w:pPr>
        <w:pStyle w:val="12"/>
        <w:outlineLvl w:val="9"/>
        <w:rPr>
          <w:rFonts w:hint="eastAsia" w:ascii="仿宋" w:hAnsi="仿宋" w:eastAsia="仿宋" w:cs="仿宋"/>
          <w:color w:val="auto"/>
          <w:sz w:val="21"/>
          <w:szCs w:val="21"/>
          <w:highlight w:val="none"/>
          <w:lang w:eastAsia="zh-CN"/>
        </w:rPr>
      </w:pPr>
    </w:p>
    <w:p w14:paraId="43C74E29">
      <w:pPr>
        <w:pStyle w:val="12"/>
        <w:outlineLvl w:val="9"/>
        <w:rPr>
          <w:rFonts w:hint="eastAsia" w:ascii="仿宋" w:hAnsi="仿宋" w:eastAsia="仿宋" w:cs="仿宋"/>
          <w:color w:val="auto"/>
          <w:sz w:val="21"/>
          <w:szCs w:val="21"/>
          <w:highlight w:val="none"/>
          <w:lang w:eastAsia="zh-CN"/>
        </w:rPr>
      </w:pPr>
    </w:p>
    <w:p w14:paraId="33FB5461">
      <w:pPr>
        <w:pStyle w:val="12"/>
        <w:outlineLvl w:val="9"/>
        <w:rPr>
          <w:rFonts w:hint="eastAsia" w:ascii="仿宋" w:hAnsi="仿宋" w:eastAsia="仿宋" w:cs="仿宋"/>
          <w:color w:val="auto"/>
          <w:sz w:val="21"/>
          <w:szCs w:val="21"/>
          <w:highlight w:val="none"/>
          <w:lang w:eastAsia="zh-CN"/>
        </w:rPr>
      </w:pPr>
    </w:p>
    <w:p w14:paraId="46752CCA">
      <w:pPr>
        <w:pStyle w:val="12"/>
        <w:outlineLvl w:val="9"/>
        <w:rPr>
          <w:rFonts w:hint="eastAsia" w:ascii="仿宋" w:hAnsi="仿宋" w:eastAsia="仿宋" w:cs="仿宋"/>
          <w:color w:val="auto"/>
          <w:sz w:val="21"/>
          <w:szCs w:val="21"/>
          <w:highlight w:val="none"/>
          <w:lang w:eastAsia="zh-CN"/>
        </w:rPr>
      </w:pPr>
    </w:p>
    <w:p w14:paraId="4D1F4116">
      <w:pPr>
        <w:pStyle w:val="17"/>
        <w:bidi w:val="0"/>
        <w:ind w:firstLine="540" w:firstLineChars="192"/>
        <w:jc w:val="center"/>
        <w:outlineLvl w:val="9"/>
        <w:rPr>
          <w:rFonts w:hint="eastAsia" w:ascii="仿宋" w:hAnsi="仿宋" w:eastAsia="仿宋" w:cs="仿宋"/>
          <w:b/>
          <w:color w:val="auto"/>
          <w:sz w:val="28"/>
          <w:szCs w:val="28"/>
          <w:highlight w:val="none"/>
          <w:lang w:eastAsia="zh-CN"/>
        </w:rPr>
      </w:pPr>
      <w:r>
        <w:rPr>
          <w:rFonts w:hint="eastAsia" w:ascii="仿宋" w:hAnsi="仿宋" w:eastAsia="仿宋" w:cs="仿宋"/>
          <w:b/>
          <w:color w:val="auto"/>
          <w:sz w:val="28"/>
          <w:szCs w:val="28"/>
          <w:highlight w:val="none"/>
          <w:lang w:eastAsia="zh-CN"/>
        </w:rPr>
        <w:t>（二）技术偏差表</w:t>
      </w:r>
    </w:p>
    <w:p w14:paraId="19B40730">
      <w:pPr>
        <w:tabs>
          <w:tab w:val="left" w:pos="926"/>
          <w:tab w:val="left" w:pos="4335"/>
          <w:tab w:val="left" w:pos="7227"/>
        </w:tabs>
        <w:bidi w:val="0"/>
        <w:spacing w:line="400" w:lineRule="exact"/>
        <w:jc w:val="left"/>
        <w:outlineLvl w:val="9"/>
        <w:rPr>
          <w:rFonts w:hint="eastAsia" w:ascii="仿宋" w:hAnsi="仿宋" w:eastAsia="仿宋" w:cs="仿宋"/>
          <w:color w:val="auto"/>
          <w:sz w:val="21"/>
          <w:szCs w:val="21"/>
          <w:highlight w:val="none"/>
          <w:lang w:eastAsia="zh-CN"/>
        </w:rPr>
      </w:pPr>
    </w:p>
    <w:p w14:paraId="67F0946B">
      <w:pPr>
        <w:tabs>
          <w:tab w:val="left" w:pos="926"/>
          <w:tab w:val="left" w:pos="4335"/>
          <w:tab w:val="left" w:pos="7227"/>
        </w:tabs>
        <w:bidi w:val="0"/>
        <w:spacing w:line="400" w:lineRule="exact"/>
        <w:jc w:val="lef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项目名称 ：                                              </w:t>
      </w:r>
    </w:p>
    <w:p w14:paraId="166962DB">
      <w:pPr>
        <w:tabs>
          <w:tab w:val="left" w:pos="926"/>
          <w:tab w:val="left" w:pos="4335"/>
          <w:tab w:val="left" w:pos="6390"/>
        </w:tabs>
        <w:bidi w:val="0"/>
        <w:spacing w:line="400" w:lineRule="exact"/>
        <w:jc w:val="lef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项目编号：</w:t>
      </w:r>
      <w:r>
        <w:rPr>
          <w:rFonts w:hint="eastAsia" w:ascii="仿宋" w:hAnsi="仿宋" w:eastAsia="仿宋" w:cs="仿宋"/>
          <w:color w:val="auto"/>
          <w:sz w:val="21"/>
          <w:szCs w:val="21"/>
          <w:highlight w:val="none"/>
        </w:rPr>
        <w:tab/>
      </w:r>
      <w:r>
        <w:rPr>
          <w:rFonts w:hint="eastAsia" w:ascii="仿宋" w:hAnsi="仿宋" w:eastAsia="仿宋" w:cs="仿宋"/>
          <w:color w:val="auto"/>
          <w:sz w:val="21"/>
          <w:szCs w:val="21"/>
          <w:highlight w:val="none"/>
        </w:rPr>
        <w:tab/>
      </w:r>
    </w:p>
    <w:tbl>
      <w:tblPr>
        <w:tblStyle w:val="19"/>
        <w:tblW w:w="89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1898"/>
        <w:gridCol w:w="2009"/>
        <w:gridCol w:w="2351"/>
        <w:gridCol w:w="1344"/>
        <w:gridCol w:w="647"/>
      </w:tblGrid>
      <w:tr w14:paraId="772CE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688" w:type="dxa"/>
            <w:vMerge w:val="restart"/>
            <w:noWrap w:val="0"/>
            <w:vAlign w:val="center"/>
          </w:tcPr>
          <w:p w14:paraId="768A41A3">
            <w:pPr>
              <w:spacing w:line="312" w:lineRule="auto"/>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序号</w:t>
            </w:r>
          </w:p>
        </w:tc>
        <w:tc>
          <w:tcPr>
            <w:tcW w:w="1898" w:type="dxa"/>
            <w:vMerge w:val="restart"/>
            <w:noWrap w:val="0"/>
            <w:vAlign w:val="center"/>
          </w:tcPr>
          <w:p w14:paraId="33836C0C">
            <w:pPr>
              <w:spacing w:line="312" w:lineRule="auto"/>
              <w:ind w:left="0" w:leftChars="0" w:firstLine="0" w:firstLineChars="0"/>
              <w:jc w:val="both"/>
              <w:outlineLvl w:val="9"/>
              <w:rPr>
                <w:rFonts w:hint="eastAsia"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货物名称</w:t>
            </w:r>
          </w:p>
        </w:tc>
        <w:tc>
          <w:tcPr>
            <w:tcW w:w="4360" w:type="dxa"/>
            <w:gridSpan w:val="2"/>
            <w:noWrap w:val="0"/>
            <w:vAlign w:val="center"/>
          </w:tcPr>
          <w:p w14:paraId="4AD41F46">
            <w:pPr>
              <w:spacing w:line="312" w:lineRule="auto"/>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技术参数及要求</w:t>
            </w:r>
          </w:p>
        </w:tc>
        <w:tc>
          <w:tcPr>
            <w:tcW w:w="1344" w:type="dxa"/>
            <w:vMerge w:val="restart"/>
            <w:noWrap w:val="0"/>
            <w:vAlign w:val="center"/>
          </w:tcPr>
          <w:p w14:paraId="6B7B9A43">
            <w:pPr>
              <w:spacing w:line="312" w:lineRule="auto"/>
              <w:ind w:left="0" w:leftChars="0" w:firstLine="0" w:firstLineChars="0"/>
              <w:jc w:val="both"/>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对招标文件偏差</w:t>
            </w:r>
          </w:p>
        </w:tc>
        <w:tc>
          <w:tcPr>
            <w:tcW w:w="647" w:type="dxa"/>
            <w:vMerge w:val="restart"/>
            <w:noWrap w:val="0"/>
            <w:vAlign w:val="center"/>
          </w:tcPr>
          <w:p w14:paraId="2A2E4432">
            <w:pPr>
              <w:spacing w:line="312" w:lineRule="auto"/>
              <w:ind w:left="0" w:leftChars="0" w:firstLine="0" w:firstLineChars="0"/>
              <w:jc w:val="both"/>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偏差说明</w:t>
            </w:r>
          </w:p>
        </w:tc>
      </w:tr>
      <w:tr w14:paraId="47935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688" w:type="dxa"/>
            <w:vMerge w:val="continue"/>
            <w:noWrap w:val="0"/>
            <w:vAlign w:val="center"/>
          </w:tcPr>
          <w:p w14:paraId="4DBB9FA9">
            <w:pPr>
              <w:spacing w:line="312" w:lineRule="auto"/>
              <w:jc w:val="center"/>
              <w:outlineLvl w:val="9"/>
              <w:rPr>
                <w:rFonts w:hint="eastAsia" w:ascii="仿宋" w:hAnsi="仿宋" w:eastAsia="仿宋" w:cs="仿宋"/>
                <w:color w:val="auto"/>
                <w:sz w:val="21"/>
                <w:szCs w:val="21"/>
                <w:highlight w:val="none"/>
              </w:rPr>
            </w:pPr>
          </w:p>
        </w:tc>
        <w:tc>
          <w:tcPr>
            <w:tcW w:w="1898" w:type="dxa"/>
            <w:vMerge w:val="continue"/>
            <w:noWrap w:val="0"/>
            <w:vAlign w:val="center"/>
          </w:tcPr>
          <w:p w14:paraId="2BCD7A12">
            <w:pPr>
              <w:spacing w:line="312" w:lineRule="auto"/>
              <w:jc w:val="center"/>
              <w:outlineLvl w:val="9"/>
              <w:rPr>
                <w:rFonts w:hint="eastAsia" w:ascii="仿宋" w:hAnsi="仿宋" w:eastAsia="仿宋" w:cs="仿宋"/>
                <w:color w:val="auto"/>
                <w:sz w:val="21"/>
                <w:szCs w:val="21"/>
                <w:highlight w:val="none"/>
              </w:rPr>
            </w:pPr>
          </w:p>
        </w:tc>
        <w:tc>
          <w:tcPr>
            <w:tcW w:w="2009" w:type="dxa"/>
            <w:noWrap w:val="0"/>
            <w:vAlign w:val="center"/>
          </w:tcPr>
          <w:p w14:paraId="3FE6F481">
            <w:pPr>
              <w:spacing w:line="312" w:lineRule="auto"/>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招标技术要求</w:t>
            </w:r>
          </w:p>
        </w:tc>
        <w:tc>
          <w:tcPr>
            <w:tcW w:w="2351" w:type="dxa"/>
            <w:noWrap w:val="0"/>
            <w:vAlign w:val="center"/>
          </w:tcPr>
          <w:p w14:paraId="427200D9">
            <w:pPr>
              <w:spacing w:line="312" w:lineRule="auto"/>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投标技术指标</w:t>
            </w:r>
          </w:p>
        </w:tc>
        <w:tc>
          <w:tcPr>
            <w:tcW w:w="1344" w:type="dxa"/>
            <w:vMerge w:val="continue"/>
            <w:noWrap w:val="0"/>
            <w:vAlign w:val="center"/>
          </w:tcPr>
          <w:p w14:paraId="396194BF">
            <w:pPr>
              <w:spacing w:line="312" w:lineRule="auto"/>
              <w:jc w:val="center"/>
              <w:outlineLvl w:val="9"/>
              <w:rPr>
                <w:rFonts w:hint="eastAsia" w:ascii="仿宋" w:hAnsi="仿宋" w:eastAsia="仿宋" w:cs="仿宋"/>
                <w:color w:val="auto"/>
                <w:sz w:val="21"/>
                <w:szCs w:val="21"/>
                <w:highlight w:val="none"/>
              </w:rPr>
            </w:pPr>
          </w:p>
        </w:tc>
        <w:tc>
          <w:tcPr>
            <w:tcW w:w="647" w:type="dxa"/>
            <w:vMerge w:val="continue"/>
            <w:noWrap w:val="0"/>
            <w:vAlign w:val="center"/>
          </w:tcPr>
          <w:p w14:paraId="1C75F3FA">
            <w:pPr>
              <w:spacing w:line="312" w:lineRule="auto"/>
              <w:jc w:val="center"/>
              <w:outlineLvl w:val="9"/>
              <w:rPr>
                <w:rFonts w:hint="eastAsia" w:ascii="仿宋" w:hAnsi="仿宋" w:eastAsia="仿宋" w:cs="仿宋"/>
                <w:color w:val="auto"/>
                <w:sz w:val="21"/>
                <w:szCs w:val="21"/>
                <w:highlight w:val="none"/>
              </w:rPr>
            </w:pPr>
          </w:p>
        </w:tc>
      </w:tr>
      <w:tr w14:paraId="4453F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688" w:type="dxa"/>
            <w:noWrap w:val="0"/>
            <w:vAlign w:val="center"/>
          </w:tcPr>
          <w:p w14:paraId="544AFE09">
            <w:pPr>
              <w:spacing w:line="312" w:lineRule="auto"/>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w:t>
            </w:r>
          </w:p>
        </w:tc>
        <w:tc>
          <w:tcPr>
            <w:tcW w:w="1898" w:type="dxa"/>
            <w:noWrap w:val="0"/>
            <w:vAlign w:val="center"/>
          </w:tcPr>
          <w:p w14:paraId="10BF1193">
            <w:pPr>
              <w:spacing w:line="312" w:lineRule="auto"/>
              <w:jc w:val="center"/>
              <w:outlineLvl w:val="9"/>
              <w:rPr>
                <w:rFonts w:hint="eastAsia" w:ascii="仿宋" w:hAnsi="仿宋" w:eastAsia="仿宋" w:cs="仿宋"/>
                <w:color w:val="auto"/>
                <w:sz w:val="21"/>
                <w:szCs w:val="21"/>
                <w:highlight w:val="none"/>
              </w:rPr>
            </w:pPr>
          </w:p>
        </w:tc>
        <w:tc>
          <w:tcPr>
            <w:tcW w:w="2009" w:type="dxa"/>
            <w:noWrap w:val="0"/>
            <w:vAlign w:val="center"/>
          </w:tcPr>
          <w:p w14:paraId="7AF4362A">
            <w:pPr>
              <w:spacing w:line="312" w:lineRule="auto"/>
              <w:jc w:val="center"/>
              <w:outlineLvl w:val="9"/>
              <w:rPr>
                <w:rFonts w:hint="eastAsia" w:ascii="仿宋" w:hAnsi="仿宋" w:eastAsia="仿宋" w:cs="仿宋"/>
                <w:color w:val="auto"/>
                <w:sz w:val="21"/>
                <w:szCs w:val="21"/>
                <w:highlight w:val="none"/>
              </w:rPr>
            </w:pPr>
          </w:p>
        </w:tc>
        <w:tc>
          <w:tcPr>
            <w:tcW w:w="2351" w:type="dxa"/>
            <w:noWrap w:val="0"/>
            <w:vAlign w:val="center"/>
          </w:tcPr>
          <w:p w14:paraId="07BD17EA">
            <w:pPr>
              <w:spacing w:line="312" w:lineRule="auto"/>
              <w:jc w:val="center"/>
              <w:outlineLvl w:val="9"/>
              <w:rPr>
                <w:rFonts w:hint="eastAsia" w:ascii="仿宋" w:hAnsi="仿宋" w:eastAsia="仿宋" w:cs="仿宋"/>
                <w:color w:val="auto"/>
                <w:sz w:val="21"/>
                <w:szCs w:val="21"/>
                <w:highlight w:val="none"/>
              </w:rPr>
            </w:pPr>
          </w:p>
        </w:tc>
        <w:tc>
          <w:tcPr>
            <w:tcW w:w="1344" w:type="dxa"/>
            <w:noWrap w:val="0"/>
            <w:vAlign w:val="center"/>
          </w:tcPr>
          <w:p w14:paraId="71872E40">
            <w:pPr>
              <w:spacing w:line="312" w:lineRule="auto"/>
              <w:jc w:val="center"/>
              <w:outlineLvl w:val="9"/>
              <w:rPr>
                <w:rFonts w:hint="eastAsia" w:ascii="仿宋" w:hAnsi="仿宋" w:eastAsia="仿宋" w:cs="仿宋"/>
                <w:color w:val="auto"/>
                <w:sz w:val="21"/>
                <w:szCs w:val="21"/>
                <w:highlight w:val="none"/>
              </w:rPr>
            </w:pPr>
          </w:p>
        </w:tc>
        <w:tc>
          <w:tcPr>
            <w:tcW w:w="647" w:type="dxa"/>
            <w:noWrap w:val="0"/>
            <w:vAlign w:val="center"/>
          </w:tcPr>
          <w:p w14:paraId="03619AF6">
            <w:pPr>
              <w:spacing w:line="312" w:lineRule="auto"/>
              <w:jc w:val="center"/>
              <w:outlineLvl w:val="9"/>
              <w:rPr>
                <w:rFonts w:hint="eastAsia" w:ascii="仿宋" w:hAnsi="仿宋" w:eastAsia="仿宋" w:cs="仿宋"/>
                <w:color w:val="auto"/>
                <w:sz w:val="21"/>
                <w:szCs w:val="21"/>
                <w:highlight w:val="none"/>
              </w:rPr>
            </w:pPr>
          </w:p>
        </w:tc>
      </w:tr>
      <w:tr w14:paraId="48394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688" w:type="dxa"/>
            <w:noWrap w:val="0"/>
            <w:vAlign w:val="center"/>
          </w:tcPr>
          <w:p w14:paraId="01C8DAD1">
            <w:pPr>
              <w:spacing w:line="312" w:lineRule="auto"/>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2</w:t>
            </w:r>
          </w:p>
        </w:tc>
        <w:tc>
          <w:tcPr>
            <w:tcW w:w="1898" w:type="dxa"/>
            <w:noWrap w:val="0"/>
            <w:vAlign w:val="center"/>
          </w:tcPr>
          <w:p w14:paraId="6A5C7B48">
            <w:pPr>
              <w:spacing w:line="312" w:lineRule="auto"/>
              <w:jc w:val="center"/>
              <w:outlineLvl w:val="9"/>
              <w:rPr>
                <w:rFonts w:hint="eastAsia" w:ascii="仿宋" w:hAnsi="仿宋" w:eastAsia="仿宋" w:cs="仿宋"/>
                <w:color w:val="auto"/>
                <w:sz w:val="21"/>
                <w:szCs w:val="21"/>
                <w:highlight w:val="none"/>
              </w:rPr>
            </w:pPr>
          </w:p>
        </w:tc>
        <w:tc>
          <w:tcPr>
            <w:tcW w:w="2009" w:type="dxa"/>
            <w:noWrap w:val="0"/>
            <w:vAlign w:val="center"/>
          </w:tcPr>
          <w:p w14:paraId="365753D5">
            <w:pPr>
              <w:spacing w:line="312" w:lineRule="auto"/>
              <w:jc w:val="center"/>
              <w:outlineLvl w:val="9"/>
              <w:rPr>
                <w:rFonts w:hint="eastAsia" w:ascii="仿宋" w:hAnsi="仿宋" w:eastAsia="仿宋" w:cs="仿宋"/>
                <w:color w:val="auto"/>
                <w:sz w:val="21"/>
                <w:szCs w:val="21"/>
                <w:highlight w:val="none"/>
              </w:rPr>
            </w:pPr>
          </w:p>
        </w:tc>
        <w:tc>
          <w:tcPr>
            <w:tcW w:w="2351" w:type="dxa"/>
            <w:noWrap w:val="0"/>
            <w:vAlign w:val="center"/>
          </w:tcPr>
          <w:p w14:paraId="496115CB">
            <w:pPr>
              <w:spacing w:line="312" w:lineRule="auto"/>
              <w:jc w:val="center"/>
              <w:outlineLvl w:val="9"/>
              <w:rPr>
                <w:rFonts w:hint="eastAsia" w:ascii="仿宋" w:hAnsi="仿宋" w:eastAsia="仿宋" w:cs="仿宋"/>
                <w:color w:val="auto"/>
                <w:sz w:val="21"/>
                <w:szCs w:val="21"/>
                <w:highlight w:val="none"/>
              </w:rPr>
            </w:pPr>
          </w:p>
        </w:tc>
        <w:tc>
          <w:tcPr>
            <w:tcW w:w="1344" w:type="dxa"/>
            <w:noWrap w:val="0"/>
            <w:vAlign w:val="center"/>
          </w:tcPr>
          <w:p w14:paraId="7B05291E">
            <w:pPr>
              <w:spacing w:line="312" w:lineRule="auto"/>
              <w:jc w:val="center"/>
              <w:outlineLvl w:val="9"/>
              <w:rPr>
                <w:rFonts w:hint="eastAsia" w:ascii="仿宋" w:hAnsi="仿宋" w:eastAsia="仿宋" w:cs="仿宋"/>
                <w:color w:val="auto"/>
                <w:sz w:val="21"/>
                <w:szCs w:val="21"/>
                <w:highlight w:val="none"/>
              </w:rPr>
            </w:pPr>
          </w:p>
        </w:tc>
        <w:tc>
          <w:tcPr>
            <w:tcW w:w="647" w:type="dxa"/>
            <w:noWrap w:val="0"/>
            <w:vAlign w:val="center"/>
          </w:tcPr>
          <w:p w14:paraId="1782E3B6">
            <w:pPr>
              <w:spacing w:line="312" w:lineRule="auto"/>
              <w:jc w:val="center"/>
              <w:outlineLvl w:val="9"/>
              <w:rPr>
                <w:rFonts w:hint="eastAsia" w:ascii="仿宋" w:hAnsi="仿宋" w:eastAsia="仿宋" w:cs="仿宋"/>
                <w:color w:val="auto"/>
                <w:sz w:val="21"/>
                <w:szCs w:val="21"/>
                <w:highlight w:val="none"/>
              </w:rPr>
            </w:pPr>
          </w:p>
        </w:tc>
      </w:tr>
      <w:tr w14:paraId="6BF38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688" w:type="dxa"/>
            <w:noWrap w:val="0"/>
            <w:vAlign w:val="center"/>
          </w:tcPr>
          <w:p w14:paraId="76B6FA35">
            <w:pPr>
              <w:spacing w:line="312" w:lineRule="auto"/>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3</w:t>
            </w:r>
          </w:p>
        </w:tc>
        <w:tc>
          <w:tcPr>
            <w:tcW w:w="1898" w:type="dxa"/>
            <w:noWrap w:val="0"/>
            <w:vAlign w:val="center"/>
          </w:tcPr>
          <w:p w14:paraId="003A3AEA">
            <w:pPr>
              <w:spacing w:line="312" w:lineRule="auto"/>
              <w:jc w:val="center"/>
              <w:outlineLvl w:val="9"/>
              <w:rPr>
                <w:rFonts w:hint="eastAsia" w:ascii="仿宋" w:hAnsi="仿宋" w:eastAsia="仿宋" w:cs="仿宋"/>
                <w:color w:val="auto"/>
                <w:sz w:val="21"/>
                <w:szCs w:val="21"/>
                <w:highlight w:val="none"/>
              </w:rPr>
            </w:pPr>
          </w:p>
        </w:tc>
        <w:tc>
          <w:tcPr>
            <w:tcW w:w="2009" w:type="dxa"/>
            <w:noWrap w:val="0"/>
            <w:vAlign w:val="center"/>
          </w:tcPr>
          <w:p w14:paraId="5D09C28C">
            <w:pPr>
              <w:spacing w:line="312" w:lineRule="auto"/>
              <w:jc w:val="center"/>
              <w:outlineLvl w:val="9"/>
              <w:rPr>
                <w:rFonts w:hint="eastAsia" w:ascii="仿宋" w:hAnsi="仿宋" w:eastAsia="仿宋" w:cs="仿宋"/>
                <w:color w:val="auto"/>
                <w:sz w:val="21"/>
                <w:szCs w:val="21"/>
                <w:highlight w:val="none"/>
              </w:rPr>
            </w:pPr>
          </w:p>
        </w:tc>
        <w:tc>
          <w:tcPr>
            <w:tcW w:w="2351" w:type="dxa"/>
            <w:noWrap w:val="0"/>
            <w:vAlign w:val="center"/>
          </w:tcPr>
          <w:p w14:paraId="761959BD">
            <w:pPr>
              <w:spacing w:line="312" w:lineRule="auto"/>
              <w:jc w:val="center"/>
              <w:outlineLvl w:val="9"/>
              <w:rPr>
                <w:rFonts w:hint="eastAsia" w:ascii="仿宋" w:hAnsi="仿宋" w:eastAsia="仿宋" w:cs="仿宋"/>
                <w:color w:val="auto"/>
                <w:sz w:val="21"/>
                <w:szCs w:val="21"/>
                <w:highlight w:val="none"/>
              </w:rPr>
            </w:pPr>
          </w:p>
        </w:tc>
        <w:tc>
          <w:tcPr>
            <w:tcW w:w="1344" w:type="dxa"/>
            <w:noWrap w:val="0"/>
            <w:vAlign w:val="center"/>
          </w:tcPr>
          <w:p w14:paraId="68C2CE98">
            <w:pPr>
              <w:spacing w:line="312" w:lineRule="auto"/>
              <w:jc w:val="center"/>
              <w:outlineLvl w:val="9"/>
              <w:rPr>
                <w:rFonts w:hint="eastAsia" w:ascii="仿宋" w:hAnsi="仿宋" w:eastAsia="仿宋" w:cs="仿宋"/>
                <w:color w:val="auto"/>
                <w:sz w:val="21"/>
                <w:szCs w:val="21"/>
                <w:highlight w:val="none"/>
              </w:rPr>
            </w:pPr>
          </w:p>
        </w:tc>
        <w:tc>
          <w:tcPr>
            <w:tcW w:w="647" w:type="dxa"/>
            <w:noWrap w:val="0"/>
            <w:vAlign w:val="center"/>
          </w:tcPr>
          <w:p w14:paraId="71C0C027">
            <w:pPr>
              <w:spacing w:line="312" w:lineRule="auto"/>
              <w:jc w:val="center"/>
              <w:outlineLvl w:val="9"/>
              <w:rPr>
                <w:rFonts w:hint="eastAsia" w:ascii="仿宋" w:hAnsi="仿宋" w:eastAsia="仿宋" w:cs="仿宋"/>
                <w:color w:val="auto"/>
                <w:sz w:val="21"/>
                <w:szCs w:val="21"/>
                <w:highlight w:val="none"/>
              </w:rPr>
            </w:pPr>
          </w:p>
        </w:tc>
      </w:tr>
      <w:tr w14:paraId="58576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688" w:type="dxa"/>
            <w:noWrap w:val="0"/>
            <w:vAlign w:val="center"/>
          </w:tcPr>
          <w:p w14:paraId="29BC710E">
            <w:pPr>
              <w:spacing w:line="312" w:lineRule="auto"/>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4</w:t>
            </w:r>
          </w:p>
        </w:tc>
        <w:tc>
          <w:tcPr>
            <w:tcW w:w="1898" w:type="dxa"/>
            <w:noWrap w:val="0"/>
            <w:vAlign w:val="center"/>
          </w:tcPr>
          <w:p w14:paraId="790BCF17">
            <w:pPr>
              <w:spacing w:line="312" w:lineRule="auto"/>
              <w:jc w:val="center"/>
              <w:outlineLvl w:val="9"/>
              <w:rPr>
                <w:rFonts w:hint="eastAsia" w:ascii="仿宋" w:hAnsi="仿宋" w:eastAsia="仿宋" w:cs="仿宋"/>
                <w:color w:val="auto"/>
                <w:sz w:val="21"/>
                <w:szCs w:val="21"/>
                <w:highlight w:val="none"/>
              </w:rPr>
            </w:pPr>
          </w:p>
        </w:tc>
        <w:tc>
          <w:tcPr>
            <w:tcW w:w="2009" w:type="dxa"/>
            <w:noWrap w:val="0"/>
            <w:vAlign w:val="center"/>
          </w:tcPr>
          <w:p w14:paraId="6CE25F8A">
            <w:pPr>
              <w:spacing w:line="312" w:lineRule="auto"/>
              <w:jc w:val="center"/>
              <w:outlineLvl w:val="9"/>
              <w:rPr>
                <w:rFonts w:hint="eastAsia" w:ascii="仿宋" w:hAnsi="仿宋" w:eastAsia="仿宋" w:cs="仿宋"/>
                <w:color w:val="auto"/>
                <w:sz w:val="21"/>
                <w:szCs w:val="21"/>
                <w:highlight w:val="none"/>
              </w:rPr>
            </w:pPr>
          </w:p>
        </w:tc>
        <w:tc>
          <w:tcPr>
            <w:tcW w:w="2351" w:type="dxa"/>
            <w:noWrap w:val="0"/>
            <w:vAlign w:val="center"/>
          </w:tcPr>
          <w:p w14:paraId="604CB9F2">
            <w:pPr>
              <w:spacing w:line="312" w:lineRule="auto"/>
              <w:jc w:val="center"/>
              <w:outlineLvl w:val="9"/>
              <w:rPr>
                <w:rFonts w:hint="eastAsia" w:ascii="仿宋" w:hAnsi="仿宋" w:eastAsia="仿宋" w:cs="仿宋"/>
                <w:color w:val="auto"/>
                <w:sz w:val="21"/>
                <w:szCs w:val="21"/>
                <w:highlight w:val="none"/>
              </w:rPr>
            </w:pPr>
          </w:p>
        </w:tc>
        <w:tc>
          <w:tcPr>
            <w:tcW w:w="1344" w:type="dxa"/>
            <w:noWrap w:val="0"/>
            <w:vAlign w:val="center"/>
          </w:tcPr>
          <w:p w14:paraId="06AC8AE2">
            <w:pPr>
              <w:spacing w:line="312" w:lineRule="auto"/>
              <w:jc w:val="center"/>
              <w:outlineLvl w:val="9"/>
              <w:rPr>
                <w:rFonts w:hint="eastAsia" w:ascii="仿宋" w:hAnsi="仿宋" w:eastAsia="仿宋" w:cs="仿宋"/>
                <w:color w:val="auto"/>
                <w:sz w:val="21"/>
                <w:szCs w:val="21"/>
                <w:highlight w:val="none"/>
              </w:rPr>
            </w:pPr>
          </w:p>
        </w:tc>
        <w:tc>
          <w:tcPr>
            <w:tcW w:w="647" w:type="dxa"/>
            <w:noWrap w:val="0"/>
            <w:vAlign w:val="center"/>
          </w:tcPr>
          <w:p w14:paraId="43F0E119">
            <w:pPr>
              <w:spacing w:line="312" w:lineRule="auto"/>
              <w:jc w:val="center"/>
              <w:outlineLvl w:val="9"/>
              <w:rPr>
                <w:rFonts w:hint="eastAsia" w:ascii="仿宋" w:hAnsi="仿宋" w:eastAsia="仿宋" w:cs="仿宋"/>
                <w:color w:val="auto"/>
                <w:sz w:val="21"/>
                <w:szCs w:val="21"/>
                <w:highlight w:val="none"/>
              </w:rPr>
            </w:pPr>
          </w:p>
        </w:tc>
      </w:tr>
      <w:tr w14:paraId="79CA5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688" w:type="dxa"/>
            <w:noWrap w:val="0"/>
            <w:vAlign w:val="center"/>
          </w:tcPr>
          <w:p w14:paraId="2C285B28">
            <w:pPr>
              <w:spacing w:line="312" w:lineRule="auto"/>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5</w:t>
            </w:r>
          </w:p>
        </w:tc>
        <w:tc>
          <w:tcPr>
            <w:tcW w:w="1898" w:type="dxa"/>
            <w:noWrap w:val="0"/>
            <w:vAlign w:val="center"/>
          </w:tcPr>
          <w:p w14:paraId="17D2AE56">
            <w:pPr>
              <w:spacing w:line="312" w:lineRule="auto"/>
              <w:jc w:val="center"/>
              <w:outlineLvl w:val="9"/>
              <w:rPr>
                <w:rFonts w:hint="eastAsia" w:ascii="仿宋" w:hAnsi="仿宋" w:eastAsia="仿宋" w:cs="仿宋"/>
                <w:color w:val="auto"/>
                <w:sz w:val="21"/>
                <w:szCs w:val="21"/>
                <w:highlight w:val="none"/>
              </w:rPr>
            </w:pPr>
          </w:p>
        </w:tc>
        <w:tc>
          <w:tcPr>
            <w:tcW w:w="2009" w:type="dxa"/>
            <w:noWrap w:val="0"/>
            <w:vAlign w:val="center"/>
          </w:tcPr>
          <w:p w14:paraId="4D2E9F0F">
            <w:pPr>
              <w:spacing w:line="312" w:lineRule="auto"/>
              <w:jc w:val="center"/>
              <w:outlineLvl w:val="9"/>
              <w:rPr>
                <w:rFonts w:hint="eastAsia" w:ascii="仿宋" w:hAnsi="仿宋" w:eastAsia="仿宋" w:cs="仿宋"/>
                <w:color w:val="auto"/>
                <w:sz w:val="21"/>
                <w:szCs w:val="21"/>
                <w:highlight w:val="none"/>
              </w:rPr>
            </w:pPr>
          </w:p>
        </w:tc>
        <w:tc>
          <w:tcPr>
            <w:tcW w:w="2351" w:type="dxa"/>
            <w:noWrap w:val="0"/>
            <w:vAlign w:val="center"/>
          </w:tcPr>
          <w:p w14:paraId="02E6589E">
            <w:pPr>
              <w:spacing w:line="312" w:lineRule="auto"/>
              <w:jc w:val="center"/>
              <w:outlineLvl w:val="9"/>
              <w:rPr>
                <w:rFonts w:hint="eastAsia" w:ascii="仿宋" w:hAnsi="仿宋" w:eastAsia="仿宋" w:cs="仿宋"/>
                <w:color w:val="auto"/>
                <w:sz w:val="21"/>
                <w:szCs w:val="21"/>
                <w:highlight w:val="none"/>
              </w:rPr>
            </w:pPr>
          </w:p>
        </w:tc>
        <w:tc>
          <w:tcPr>
            <w:tcW w:w="1344" w:type="dxa"/>
            <w:noWrap w:val="0"/>
            <w:vAlign w:val="center"/>
          </w:tcPr>
          <w:p w14:paraId="7F0E64B1">
            <w:pPr>
              <w:spacing w:line="312" w:lineRule="auto"/>
              <w:jc w:val="center"/>
              <w:outlineLvl w:val="9"/>
              <w:rPr>
                <w:rFonts w:hint="eastAsia" w:ascii="仿宋" w:hAnsi="仿宋" w:eastAsia="仿宋" w:cs="仿宋"/>
                <w:color w:val="auto"/>
                <w:sz w:val="21"/>
                <w:szCs w:val="21"/>
                <w:highlight w:val="none"/>
              </w:rPr>
            </w:pPr>
          </w:p>
        </w:tc>
        <w:tc>
          <w:tcPr>
            <w:tcW w:w="647" w:type="dxa"/>
            <w:noWrap w:val="0"/>
            <w:vAlign w:val="center"/>
          </w:tcPr>
          <w:p w14:paraId="1DEA215A">
            <w:pPr>
              <w:spacing w:line="312" w:lineRule="auto"/>
              <w:jc w:val="center"/>
              <w:outlineLvl w:val="9"/>
              <w:rPr>
                <w:rFonts w:hint="eastAsia" w:ascii="仿宋" w:hAnsi="仿宋" w:eastAsia="仿宋" w:cs="仿宋"/>
                <w:color w:val="auto"/>
                <w:sz w:val="21"/>
                <w:szCs w:val="21"/>
                <w:highlight w:val="none"/>
              </w:rPr>
            </w:pPr>
          </w:p>
        </w:tc>
      </w:tr>
      <w:tr w14:paraId="645B5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688" w:type="dxa"/>
            <w:noWrap w:val="0"/>
            <w:vAlign w:val="center"/>
          </w:tcPr>
          <w:p w14:paraId="11E30554">
            <w:pPr>
              <w:spacing w:line="312" w:lineRule="auto"/>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6</w:t>
            </w:r>
          </w:p>
        </w:tc>
        <w:tc>
          <w:tcPr>
            <w:tcW w:w="1898" w:type="dxa"/>
            <w:noWrap w:val="0"/>
            <w:vAlign w:val="center"/>
          </w:tcPr>
          <w:p w14:paraId="4846208A">
            <w:pPr>
              <w:spacing w:line="312" w:lineRule="auto"/>
              <w:jc w:val="center"/>
              <w:outlineLvl w:val="9"/>
              <w:rPr>
                <w:rFonts w:hint="eastAsia" w:ascii="仿宋" w:hAnsi="仿宋" w:eastAsia="仿宋" w:cs="仿宋"/>
                <w:color w:val="auto"/>
                <w:sz w:val="21"/>
                <w:szCs w:val="21"/>
                <w:highlight w:val="none"/>
              </w:rPr>
            </w:pPr>
          </w:p>
        </w:tc>
        <w:tc>
          <w:tcPr>
            <w:tcW w:w="2009" w:type="dxa"/>
            <w:noWrap w:val="0"/>
            <w:vAlign w:val="center"/>
          </w:tcPr>
          <w:p w14:paraId="67B9A14C">
            <w:pPr>
              <w:spacing w:line="312" w:lineRule="auto"/>
              <w:jc w:val="center"/>
              <w:outlineLvl w:val="9"/>
              <w:rPr>
                <w:rFonts w:hint="eastAsia" w:ascii="仿宋" w:hAnsi="仿宋" w:eastAsia="仿宋" w:cs="仿宋"/>
                <w:color w:val="auto"/>
                <w:sz w:val="21"/>
                <w:szCs w:val="21"/>
                <w:highlight w:val="none"/>
              </w:rPr>
            </w:pPr>
          </w:p>
        </w:tc>
        <w:tc>
          <w:tcPr>
            <w:tcW w:w="2351" w:type="dxa"/>
            <w:noWrap w:val="0"/>
            <w:vAlign w:val="center"/>
          </w:tcPr>
          <w:p w14:paraId="571BEC88">
            <w:pPr>
              <w:spacing w:line="312" w:lineRule="auto"/>
              <w:jc w:val="center"/>
              <w:outlineLvl w:val="9"/>
              <w:rPr>
                <w:rFonts w:hint="eastAsia" w:ascii="仿宋" w:hAnsi="仿宋" w:eastAsia="仿宋" w:cs="仿宋"/>
                <w:color w:val="auto"/>
                <w:sz w:val="21"/>
                <w:szCs w:val="21"/>
                <w:highlight w:val="none"/>
              </w:rPr>
            </w:pPr>
          </w:p>
        </w:tc>
        <w:tc>
          <w:tcPr>
            <w:tcW w:w="1344" w:type="dxa"/>
            <w:noWrap w:val="0"/>
            <w:vAlign w:val="center"/>
          </w:tcPr>
          <w:p w14:paraId="6F9B9A3B">
            <w:pPr>
              <w:spacing w:line="312" w:lineRule="auto"/>
              <w:jc w:val="center"/>
              <w:outlineLvl w:val="9"/>
              <w:rPr>
                <w:rFonts w:hint="eastAsia" w:ascii="仿宋" w:hAnsi="仿宋" w:eastAsia="仿宋" w:cs="仿宋"/>
                <w:color w:val="auto"/>
                <w:sz w:val="21"/>
                <w:szCs w:val="21"/>
                <w:highlight w:val="none"/>
              </w:rPr>
            </w:pPr>
          </w:p>
        </w:tc>
        <w:tc>
          <w:tcPr>
            <w:tcW w:w="647" w:type="dxa"/>
            <w:noWrap w:val="0"/>
            <w:vAlign w:val="center"/>
          </w:tcPr>
          <w:p w14:paraId="28F16E21">
            <w:pPr>
              <w:spacing w:line="312" w:lineRule="auto"/>
              <w:jc w:val="center"/>
              <w:outlineLvl w:val="9"/>
              <w:rPr>
                <w:rFonts w:hint="eastAsia" w:ascii="仿宋" w:hAnsi="仿宋" w:eastAsia="仿宋" w:cs="仿宋"/>
                <w:color w:val="auto"/>
                <w:sz w:val="21"/>
                <w:szCs w:val="21"/>
                <w:highlight w:val="none"/>
              </w:rPr>
            </w:pPr>
          </w:p>
        </w:tc>
      </w:tr>
      <w:tr w14:paraId="0B8DE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688" w:type="dxa"/>
            <w:noWrap w:val="0"/>
            <w:vAlign w:val="center"/>
          </w:tcPr>
          <w:p w14:paraId="19C0FF86">
            <w:pPr>
              <w:spacing w:line="312" w:lineRule="auto"/>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w:t>
            </w:r>
          </w:p>
        </w:tc>
        <w:tc>
          <w:tcPr>
            <w:tcW w:w="1898" w:type="dxa"/>
            <w:noWrap w:val="0"/>
            <w:vAlign w:val="center"/>
          </w:tcPr>
          <w:p w14:paraId="12DA5396">
            <w:pPr>
              <w:spacing w:line="312" w:lineRule="auto"/>
              <w:outlineLvl w:val="9"/>
              <w:rPr>
                <w:rFonts w:hint="eastAsia" w:ascii="仿宋" w:hAnsi="仿宋" w:eastAsia="仿宋" w:cs="仿宋"/>
                <w:color w:val="auto"/>
                <w:highlight w:val="none"/>
              </w:rPr>
            </w:pPr>
          </w:p>
        </w:tc>
        <w:tc>
          <w:tcPr>
            <w:tcW w:w="2009" w:type="dxa"/>
            <w:noWrap w:val="0"/>
            <w:vAlign w:val="center"/>
          </w:tcPr>
          <w:p w14:paraId="4D08A9EB">
            <w:pPr>
              <w:spacing w:line="312" w:lineRule="auto"/>
              <w:outlineLvl w:val="9"/>
              <w:rPr>
                <w:rFonts w:hint="eastAsia" w:ascii="仿宋" w:hAnsi="仿宋" w:eastAsia="仿宋" w:cs="仿宋"/>
                <w:color w:val="auto"/>
                <w:highlight w:val="none"/>
              </w:rPr>
            </w:pPr>
          </w:p>
        </w:tc>
        <w:tc>
          <w:tcPr>
            <w:tcW w:w="2351" w:type="dxa"/>
            <w:noWrap w:val="0"/>
            <w:vAlign w:val="center"/>
          </w:tcPr>
          <w:p w14:paraId="09FD548C">
            <w:pPr>
              <w:spacing w:line="312" w:lineRule="auto"/>
              <w:outlineLvl w:val="9"/>
              <w:rPr>
                <w:rFonts w:hint="eastAsia" w:ascii="仿宋" w:hAnsi="仿宋" w:eastAsia="仿宋" w:cs="仿宋"/>
                <w:color w:val="auto"/>
                <w:highlight w:val="none"/>
              </w:rPr>
            </w:pPr>
          </w:p>
        </w:tc>
        <w:tc>
          <w:tcPr>
            <w:tcW w:w="1344" w:type="dxa"/>
            <w:noWrap w:val="0"/>
            <w:vAlign w:val="center"/>
          </w:tcPr>
          <w:p w14:paraId="6974E71F">
            <w:pPr>
              <w:spacing w:line="312" w:lineRule="auto"/>
              <w:outlineLvl w:val="9"/>
              <w:rPr>
                <w:rFonts w:hint="eastAsia" w:ascii="仿宋" w:hAnsi="仿宋" w:eastAsia="仿宋" w:cs="仿宋"/>
                <w:color w:val="auto"/>
                <w:highlight w:val="none"/>
              </w:rPr>
            </w:pPr>
          </w:p>
        </w:tc>
        <w:tc>
          <w:tcPr>
            <w:tcW w:w="647" w:type="dxa"/>
            <w:noWrap w:val="0"/>
            <w:vAlign w:val="center"/>
          </w:tcPr>
          <w:p w14:paraId="16E9751C">
            <w:pPr>
              <w:spacing w:line="312" w:lineRule="auto"/>
              <w:outlineLvl w:val="9"/>
              <w:rPr>
                <w:rFonts w:hint="eastAsia" w:ascii="仿宋" w:hAnsi="仿宋" w:eastAsia="仿宋" w:cs="仿宋"/>
                <w:color w:val="auto"/>
                <w:highlight w:val="none"/>
              </w:rPr>
            </w:pPr>
          </w:p>
        </w:tc>
      </w:tr>
    </w:tbl>
    <w:p w14:paraId="67312B30">
      <w:pPr>
        <w:bidi w:val="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 xml:space="preserve">                               </w:t>
      </w:r>
    </w:p>
    <w:p w14:paraId="25052DBB">
      <w:pPr>
        <w:bidi w:val="0"/>
        <w:spacing w:line="400" w:lineRule="exac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投标人应按招标文件中的技术规格及要求，根据投报产品进行相应响应，投标人必须根据所投产品的实际情况如实填写，照抄、复制招标文件主要技术指标要求的按无效投标处理。偏差情况填写“负偏差”或“正偏差”或“无偏差”。</w:t>
      </w:r>
    </w:p>
    <w:p w14:paraId="71708441">
      <w:pPr>
        <w:numPr>
          <w:ilvl w:val="1"/>
          <w:numId w:val="0"/>
        </w:numPr>
        <w:bidi w:val="0"/>
        <w:spacing w:before="60" w:after="60" w:line="400" w:lineRule="exact"/>
        <w:outlineLvl w:val="9"/>
        <w:rPr>
          <w:rFonts w:hint="eastAsia" w:ascii="仿宋" w:hAnsi="仿宋" w:eastAsia="仿宋" w:cs="仿宋"/>
          <w:b/>
          <w:color w:val="auto"/>
          <w:sz w:val="21"/>
          <w:szCs w:val="21"/>
          <w:highlight w:val="none"/>
          <w:lang w:eastAsia="zh-CN"/>
        </w:rPr>
      </w:pPr>
      <w:r>
        <w:rPr>
          <w:rFonts w:hint="eastAsia" w:ascii="仿宋" w:hAnsi="仿宋" w:eastAsia="仿宋" w:cs="仿宋"/>
          <w:b/>
          <w:color w:val="auto"/>
          <w:sz w:val="21"/>
          <w:szCs w:val="21"/>
          <w:highlight w:val="none"/>
        </w:rPr>
        <w:t>投标人保证：除商务和技术偏差表列出的偏差外，投标人响应招标文件的全部要求</w:t>
      </w:r>
      <w:r>
        <w:rPr>
          <w:rFonts w:hint="eastAsia" w:ascii="仿宋" w:hAnsi="仿宋" w:eastAsia="仿宋" w:cs="仿宋"/>
          <w:b/>
          <w:color w:val="auto"/>
          <w:sz w:val="21"/>
          <w:szCs w:val="21"/>
          <w:highlight w:val="none"/>
          <w:lang w:eastAsia="zh-CN"/>
        </w:rPr>
        <w:t>。</w:t>
      </w:r>
    </w:p>
    <w:p w14:paraId="12A75209">
      <w:pPr>
        <w:bidi w:val="0"/>
        <w:spacing w:line="400" w:lineRule="exact"/>
        <w:ind w:left="0" w:leftChars="0" w:firstLine="1680" w:firstLineChars="800"/>
        <w:outlineLvl w:val="9"/>
        <w:rPr>
          <w:rFonts w:hint="eastAsia" w:ascii="仿宋" w:hAnsi="仿宋" w:eastAsia="仿宋" w:cs="仿宋"/>
          <w:color w:val="auto"/>
          <w:sz w:val="21"/>
          <w:szCs w:val="21"/>
          <w:highlight w:val="none"/>
        </w:rPr>
      </w:pPr>
    </w:p>
    <w:p w14:paraId="77891AEB">
      <w:pPr>
        <w:bidi w:val="0"/>
        <w:spacing w:line="400" w:lineRule="exact"/>
        <w:ind w:left="0" w:leftChars="0" w:firstLine="1680" w:firstLineChars="800"/>
        <w:outlineLvl w:val="9"/>
        <w:rPr>
          <w:rFonts w:hint="eastAsia" w:ascii="仿宋" w:hAnsi="仿宋" w:eastAsia="仿宋" w:cs="仿宋"/>
          <w:color w:val="auto"/>
          <w:sz w:val="21"/>
          <w:szCs w:val="21"/>
          <w:highlight w:val="none"/>
        </w:rPr>
      </w:pPr>
    </w:p>
    <w:p w14:paraId="555E8AC6">
      <w:pPr>
        <w:bidi w:val="0"/>
        <w:spacing w:line="400" w:lineRule="exact"/>
        <w:ind w:left="0" w:leftChars="0" w:firstLine="1680" w:firstLineChars="800"/>
        <w:outlineLvl w:val="9"/>
        <w:rPr>
          <w:rFonts w:hint="eastAsia" w:ascii="仿宋" w:hAnsi="仿宋" w:eastAsia="仿宋" w:cs="仿宋"/>
          <w:color w:val="auto"/>
          <w:sz w:val="21"/>
          <w:szCs w:val="21"/>
          <w:highlight w:val="none"/>
        </w:rPr>
      </w:pPr>
    </w:p>
    <w:p w14:paraId="2F0E36AB">
      <w:pPr>
        <w:bidi w:val="0"/>
        <w:spacing w:line="400" w:lineRule="exact"/>
        <w:ind w:left="0" w:leftChars="0" w:firstLine="1680" w:firstLineChars="8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w:t>
      </w:r>
      <w:r>
        <w:rPr>
          <w:rFonts w:hint="eastAsia" w:ascii="仿宋" w:hAnsi="仿宋" w:eastAsia="仿宋" w:cs="仿宋"/>
          <w:color w:val="auto"/>
          <w:sz w:val="21"/>
          <w:szCs w:val="21"/>
          <w:highlight w:val="none"/>
          <w:lang w:eastAsia="zh-CN"/>
        </w:rPr>
        <w:t>（单位电子签章）</w:t>
      </w:r>
    </w:p>
    <w:p w14:paraId="72C10C58">
      <w:pPr>
        <w:bidi w:val="0"/>
        <w:spacing w:line="400" w:lineRule="exact"/>
        <w:ind w:left="0" w:leftChars="0" w:firstLine="1680" w:firstLineChars="8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法定代表人或其委托代理人：</w:t>
      </w:r>
      <w:r>
        <w:rPr>
          <w:rFonts w:hint="eastAsia" w:ascii="仿宋" w:hAnsi="仿宋" w:eastAsia="仿宋" w:cs="仿宋"/>
          <w:color w:val="auto"/>
          <w:sz w:val="21"/>
          <w:szCs w:val="21"/>
          <w:highlight w:val="none"/>
          <w:lang w:eastAsia="zh-CN"/>
        </w:rPr>
        <w:t>（</w:t>
      </w:r>
      <w:r>
        <w:rPr>
          <w:rFonts w:hint="eastAsia" w:ascii="仿宋" w:hAnsi="仿宋" w:eastAsia="仿宋" w:cs="仿宋"/>
          <w:color w:val="auto"/>
          <w:sz w:val="21"/>
          <w:szCs w:val="21"/>
          <w:highlight w:val="none"/>
        </w:rPr>
        <w:t>电子签名或电子盖章或签字或盖章</w:t>
      </w:r>
      <w:r>
        <w:rPr>
          <w:rFonts w:hint="eastAsia" w:ascii="仿宋" w:hAnsi="仿宋" w:eastAsia="仿宋" w:cs="仿宋"/>
          <w:color w:val="auto"/>
          <w:sz w:val="21"/>
          <w:szCs w:val="21"/>
          <w:highlight w:val="none"/>
          <w:lang w:eastAsia="zh-CN"/>
        </w:rPr>
        <w:t>）</w:t>
      </w:r>
    </w:p>
    <w:p w14:paraId="4C9FF2E8">
      <w:pPr>
        <w:bidi w:val="0"/>
        <w:spacing w:line="400" w:lineRule="exact"/>
        <w:ind w:left="0" w:leftChars="0" w:firstLine="1680" w:firstLineChars="8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年  月  日</w:t>
      </w:r>
    </w:p>
    <w:p w14:paraId="2BA8CB8A">
      <w:pPr>
        <w:pStyle w:val="17"/>
        <w:bidi w:val="0"/>
        <w:spacing w:line="400" w:lineRule="exact"/>
        <w:ind w:firstLine="210"/>
        <w:outlineLvl w:val="9"/>
        <w:rPr>
          <w:rFonts w:hint="eastAsia" w:ascii="仿宋" w:hAnsi="仿宋" w:eastAsia="仿宋" w:cs="仿宋"/>
          <w:color w:val="auto"/>
          <w:sz w:val="21"/>
          <w:szCs w:val="21"/>
          <w:highlight w:val="none"/>
        </w:rPr>
      </w:pPr>
    </w:p>
    <w:p w14:paraId="5257B982">
      <w:pPr>
        <w:pStyle w:val="17"/>
        <w:numPr>
          <w:ilvl w:val="0"/>
          <w:numId w:val="0"/>
        </w:numPr>
        <w:bidi w:val="0"/>
        <w:jc w:val="center"/>
        <w:outlineLvl w:val="9"/>
        <w:rPr>
          <w:rFonts w:hint="eastAsia" w:ascii="仿宋" w:hAnsi="仿宋" w:eastAsia="仿宋" w:cs="仿宋"/>
          <w:b/>
          <w:color w:val="auto"/>
          <w:sz w:val="28"/>
          <w:szCs w:val="28"/>
          <w:highlight w:val="none"/>
          <w:lang w:val="en-US" w:eastAsia="zh-CN"/>
        </w:rPr>
        <w:sectPr>
          <w:pgSz w:w="11905" w:h="16838"/>
          <w:pgMar w:top="1417" w:right="1417" w:bottom="1417" w:left="1417" w:header="850" w:footer="850" w:gutter="0"/>
          <w:pgBorders>
            <w:top w:val="none" w:sz="0" w:space="0"/>
            <w:left w:val="none" w:sz="0" w:space="0"/>
            <w:bottom w:val="none" w:sz="0" w:space="0"/>
            <w:right w:val="none" w:sz="0" w:space="0"/>
          </w:pgBorders>
          <w:pgNumType w:fmt="numberInDash"/>
          <w:cols w:space="0" w:num="1"/>
          <w:rtlGutter w:val="0"/>
          <w:docGrid w:type="lines" w:linePitch="412" w:charSpace="0"/>
        </w:sectPr>
      </w:pPr>
      <w:bookmarkStart w:id="260" w:name="_Toc150653531"/>
    </w:p>
    <w:p w14:paraId="2A7B8CFE">
      <w:pPr>
        <w:pStyle w:val="17"/>
        <w:numPr>
          <w:ilvl w:val="0"/>
          <w:numId w:val="0"/>
        </w:numPr>
        <w:bidi w:val="0"/>
        <w:jc w:val="center"/>
        <w:outlineLvl w:val="9"/>
        <w:rPr>
          <w:rFonts w:hint="eastAsia" w:ascii="仿宋" w:hAnsi="仿宋" w:eastAsia="仿宋" w:cs="仿宋"/>
          <w:b/>
          <w:bCs/>
          <w:color w:val="auto"/>
          <w:kern w:val="0"/>
          <w:sz w:val="24"/>
          <w:szCs w:val="32"/>
          <w:highlight w:val="none"/>
          <w:lang w:val="en-US" w:eastAsia="zh-CN" w:bidi="ar-SA"/>
        </w:rPr>
      </w:pPr>
      <w:r>
        <w:rPr>
          <w:rFonts w:hint="eastAsia" w:ascii="仿宋" w:hAnsi="仿宋" w:eastAsia="仿宋" w:cs="仿宋"/>
          <w:b/>
          <w:color w:val="auto"/>
          <w:sz w:val="28"/>
          <w:szCs w:val="28"/>
          <w:highlight w:val="none"/>
          <w:lang w:val="en-US" w:eastAsia="zh-CN"/>
        </w:rPr>
        <w:t>六、技术部分</w:t>
      </w:r>
    </w:p>
    <w:p w14:paraId="380C6ADC">
      <w:pPr>
        <w:jc w:val="center"/>
        <w:outlineLvl w:val="9"/>
        <w:rPr>
          <w:rFonts w:hint="eastAsia" w:ascii="仿宋" w:hAnsi="仿宋" w:eastAsia="仿宋" w:cs="仿宋"/>
          <w:b/>
          <w:color w:val="auto"/>
          <w:kern w:val="0"/>
          <w:sz w:val="24"/>
          <w:szCs w:val="18"/>
          <w:highlight w:val="none"/>
        </w:rPr>
      </w:pPr>
      <w:r>
        <w:rPr>
          <w:rFonts w:hint="eastAsia" w:ascii="仿宋" w:hAnsi="仿宋" w:eastAsia="仿宋" w:cs="仿宋"/>
          <w:b/>
          <w:color w:val="auto"/>
          <w:kern w:val="0"/>
          <w:sz w:val="24"/>
          <w:szCs w:val="18"/>
          <w:highlight w:val="none"/>
        </w:rPr>
        <w:t>（根据采购内容情况及评分办法编写格式自拟）</w:t>
      </w:r>
    </w:p>
    <w:p w14:paraId="14F84081">
      <w:pPr>
        <w:pStyle w:val="17"/>
        <w:bidi w:val="0"/>
        <w:outlineLvl w:val="9"/>
        <w:rPr>
          <w:rFonts w:hint="eastAsia" w:ascii="仿宋" w:hAnsi="仿宋" w:eastAsia="仿宋" w:cs="仿宋"/>
          <w:color w:val="auto"/>
          <w:kern w:val="0"/>
          <w:sz w:val="21"/>
          <w:szCs w:val="21"/>
          <w:highlight w:val="none"/>
          <w:lang w:val="en-US" w:eastAsia="zh-CN" w:bidi="ar"/>
        </w:rPr>
      </w:pPr>
    </w:p>
    <w:p w14:paraId="0135ED9E">
      <w:pPr>
        <w:pStyle w:val="18"/>
        <w:bidi w:val="0"/>
        <w:outlineLvl w:val="9"/>
        <w:rPr>
          <w:rFonts w:hint="eastAsia" w:ascii="仿宋" w:hAnsi="仿宋" w:eastAsia="仿宋" w:cs="仿宋"/>
          <w:color w:val="auto"/>
          <w:kern w:val="0"/>
          <w:sz w:val="21"/>
          <w:szCs w:val="21"/>
          <w:highlight w:val="none"/>
          <w:lang w:val="en-US" w:eastAsia="zh-CN" w:bidi="ar"/>
        </w:rPr>
      </w:pPr>
    </w:p>
    <w:p w14:paraId="1B69525D">
      <w:pPr>
        <w:bidi w:val="0"/>
        <w:outlineLvl w:val="9"/>
        <w:rPr>
          <w:rFonts w:hint="eastAsia" w:ascii="仿宋" w:hAnsi="仿宋" w:eastAsia="仿宋" w:cs="仿宋"/>
          <w:color w:val="auto"/>
          <w:kern w:val="0"/>
          <w:sz w:val="21"/>
          <w:szCs w:val="21"/>
          <w:highlight w:val="none"/>
          <w:lang w:val="en-US" w:eastAsia="zh-CN" w:bidi="ar"/>
        </w:rPr>
      </w:pPr>
    </w:p>
    <w:p w14:paraId="7B7C7CF1">
      <w:pPr>
        <w:pStyle w:val="17"/>
        <w:bidi w:val="0"/>
        <w:outlineLvl w:val="9"/>
        <w:rPr>
          <w:rFonts w:hint="eastAsia" w:ascii="仿宋" w:hAnsi="仿宋" w:eastAsia="仿宋" w:cs="仿宋"/>
          <w:color w:val="auto"/>
          <w:kern w:val="0"/>
          <w:sz w:val="21"/>
          <w:szCs w:val="21"/>
          <w:highlight w:val="none"/>
          <w:lang w:val="en-US" w:eastAsia="zh-CN" w:bidi="ar"/>
        </w:rPr>
      </w:pPr>
    </w:p>
    <w:p w14:paraId="6E0EB50D">
      <w:pPr>
        <w:pStyle w:val="18"/>
        <w:bidi w:val="0"/>
        <w:outlineLvl w:val="9"/>
        <w:rPr>
          <w:rFonts w:hint="eastAsia" w:ascii="仿宋" w:hAnsi="仿宋" w:eastAsia="仿宋" w:cs="仿宋"/>
          <w:color w:val="auto"/>
          <w:kern w:val="0"/>
          <w:sz w:val="21"/>
          <w:szCs w:val="21"/>
          <w:highlight w:val="none"/>
          <w:lang w:val="en-US" w:eastAsia="zh-CN" w:bidi="ar"/>
        </w:rPr>
      </w:pPr>
    </w:p>
    <w:p w14:paraId="341F3183">
      <w:pPr>
        <w:bidi w:val="0"/>
        <w:outlineLvl w:val="9"/>
        <w:rPr>
          <w:rFonts w:hint="eastAsia" w:ascii="仿宋" w:hAnsi="仿宋" w:eastAsia="仿宋" w:cs="仿宋"/>
          <w:color w:val="auto"/>
          <w:kern w:val="0"/>
          <w:sz w:val="21"/>
          <w:szCs w:val="21"/>
          <w:highlight w:val="none"/>
          <w:lang w:val="en-US" w:eastAsia="zh-CN" w:bidi="ar"/>
        </w:rPr>
      </w:pPr>
    </w:p>
    <w:p w14:paraId="36F72315">
      <w:pPr>
        <w:pStyle w:val="17"/>
        <w:bidi w:val="0"/>
        <w:outlineLvl w:val="9"/>
        <w:rPr>
          <w:rFonts w:hint="eastAsia" w:ascii="仿宋" w:hAnsi="仿宋" w:eastAsia="仿宋" w:cs="仿宋"/>
          <w:color w:val="auto"/>
          <w:kern w:val="0"/>
          <w:sz w:val="21"/>
          <w:szCs w:val="21"/>
          <w:highlight w:val="none"/>
          <w:lang w:val="en-US" w:eastAsia="zh-CN" w:bidi="ar"/>
        </w:rPr>
      </w:pPr>
    </w:p>
    <w:p w14:paraId="3444ECF2">
      <w:pPr>
        <w:pStyle w:val="18"/>
        <w:bidi w:val="0"/>
        <w:outlineLvl w:val="9"/>
        <w:rPr>
          <w:rFonts w:hint="eastAsia" w:ascii="仿宋" w:hAnsi="仿宋" w:eastAsia="仿宋" w:cs="仿宋"/>
          <w:color w:val="auto"/>
          <w:kern w:val="0"/>
          <w:sz w:val="21"/>
          <w:szCs w:val="21"/>
          <w:highlight w:val="none"/>
          <w:lang w:val="en-US" w:eastAsia="zh-CN" w:bidi="ar"/>
        </w:rPr>
      </w:pPr>
    </w:p>
    <w:p w14:paraId="32B8F89C">
      <w:pPr>
        <w:bidi w:val="0"/>
        <w:outlineLvl w:val="9"/>
        <w:rPr>
          <w:rFonts w:hint="eastAsia" w:ascii="仿宋" w:hAnsi="仿宋" w:eastAsia="仿宋" w:cs="仿宋"/>
          <w:color w:val="auto"/>
          <w:kern w:val="0"/>
          <w:sz w:val="21"/>
          <w:szCs w:val="21"/>
          <w:highlight w:val="none"/>
          <w:lang w:val="en-US" w:eastAsia="zh-CN" w:bidi="ar"/>
        </w:rPr>
      </w:pPr>
    </w:p>
    <w:p w14:paraId="03B44C20">
      <w:pPr>
        <w:pStyle w:val="17"/>
        <w:bidi w:val="0"/>
        <w:outlineLvl w:val="9"/>
        <w:rPr>
          <w:rFonts w:hint="eastAsia" w:ascii="仿宋" w:hAnsi="仿宋" w:eastAsia="仿宋" w:cs="仿宋"/>
          <w:color w:val="auto"/>
          <w:kern w:val="0"/>
          <w:sz w:val="21"/>
          <w:szCs w:val="21"/>
          <w:highlight w:val="none"/>
          <w:lang w:val="en-US" w:eastAsia="zh-CN" w:bidi="ar"/>
        </w:rPr>
      </w:pPr>
    </w:p>
    <w:p w14:paraId="3CA5E549">
      <w:pPr>
        <w:pStyle w:val="18"/>
        <w:bidi w:val="0"/>
        <w:outlineLvl w:val="9"/>
        <w:rPr>
          <w:rFonts w:hint="eastAsia" w:ascii="仿宋" w:hAnsi="仿宋" w:eastAsia="仿宋" w:cs="仿宋"/>
          <w:color w:val="auto"/>
          <w:kern w:val="0"/>
          <w:sz w:val="21"/>
          <w:szCs w:val="21"/>
          <w:highlight w:val="none"/>
          <w:lang w:val="en-US" w:eastAsia="zh-CN" w:bidi="ar"/>
        </w:rPr>
      </w:pPr>
    </w:p>
    <w:p w14:paraId="499FCC73">
      <w:pPr>
        <w:outlineLvl w:val="9"/>
        <w:rPr>
          <w:rFonts w:hint="eastAsia" w:ascii="仿宋" w:hAnsi="仿宋" w:eastAsia="仿宋" w:cs="仿宋"/>
          <w:color w:val="auto"/>
          <w:highlight w:val="none"/>
          <w:lang w:val="en-US" w:eastAsia="zh-CN"/>
        </w:rPr>
      </w:pPr>
    </w:p>
    <w:p w14:paraId="1D8BA5D3">
      <w:pPr>
        <w:bidi w:val="0"/>
        <w:outlineLvl w:val="9"/>
        <w:rPr>
          <w:rFonts w:hint="eastAsia" w:ascii="仿宋" w:hAnsi="仿宋" w:eastAsia="仿宋" w:cs="仿宋"/>
          <w:color w:val="auto"/>
          <w:kern w:val="0"/>
          <w:sz w:val="21"/>
          <w:szCs w:val="21"/>
          <w:highlight w:val="none"/>
          <w:lang w:val="en-US" w:eastAsia="zh-CN" w:bidi="ar"/>
        </w:rPr>
      </w:pPr>
    </w:p>
    <w:p w14:paraId="04BFDE46">
      <w:pPr>
        <w:pStyle w:val="17"/>
        <w:bidi w:val="0"/>
        <w:outlineLvl w:val="9"/>
        <w:rPr>
          <w:rFonts w:hint="eastAsia" w:ascii="仿宋" w:hAnsi="仿宋" w:eastAsia="仿宋" w:cs="仿宋"/>
          <w:color w:val="auto"/>
          <w:kern w:val="0"/>
          <w:sz w:val="21"/>
          <w:szCs w:val="21"/>
          <w:highlight w:val="none"/>
          <w:lang w:val="en-US" w:eastAsia="zh-CN" w:bidi="ar"/>
        </w:rPr>
      </w:pPr>
    </w:p>
    <w:p w14:paraId="5AB79A61">
      <w:pPr>
        <w:pStyle w:val="18"/>
        <w:outlineLvl w:val="9"/>
        <w:rPr>
          <w:rFonts w:hint="eastAsia" w:ascii="仿宋" w:hAnsi="仿宋" w:eastAsia="仿宋" w:cs="仿宋"/>
          <w:color w:val="auto"/>
          <w:kern w:val="0"/>
          <w:sz w:val="21"/>
          <w:szCs w:val="21"/>
          <w:highlight w:val="none"/>
          <w:lang w:val="en-US" w:eastAsia="zh-CN" w:bidi="ar"/>
        </w:rPr>
      </w:pPr>
    </w:p>
    <w:p w14:paraId="6B2D73C0">
      <w:pPr>
        <w:outlineLvl w:val="9"/>
        <w:rPr>
          <w:rFonts w:hint="eastAsia" w:ascii="仿宋" w:hAnsi="仿宋" w:eastAsia="仿宋" w:cs="仿宋"/>
          <w:color w:val="auto"/>
          <w:highlight w:val="none"/>
          <w:lang w:val="en-US" w:eastAsia="zh-CN"/>
        </w:rPr>
      </w:pPr>
    </w:p>
    <w:p w14:paraId="4ED44D5A">
      <w:pPr>
        <w:pStyle w:val="18"/>
        <w:bidi w:val="0"/>
        <w:outlineLvl w:val="9"/>
        <w:rPr>
          <w:rFonts w:hint="eastAsia" w:ascii="仿宋" w:hAnsi="仿宋" w:eastAsia="仿宋" w:cs="仿宋"/>
          <w:color w:val="auto"/>
          <w:highlight w:val="none"/>
        </w:rPr>
      </w:pPr>
    </w:p>
    <w:p w14:paraId="5EA8A8B8">
      <w:pPr>
        <w:outlineLvl w:val="9"/>
        <w:rPr>
          <w:rFonts w:hint="eastAsia" w:ascii="仿宋" w:hAnsi="仿宋" w:eastAsia="仿宋" w:cs="仿宋"/>
          <w:color w:val="auto"/>
          <w:highlight w:val="none"/>
        </w:rPr>
      </w:pPr>
    </w:p>
    <w:p w14:paraId="3DECF0DB">
      <w:pPr>
        <w:pStyle w:val="5"/>
        <w:outlineLvl w:val="9"/>
        <w:rPr>
          <w:rFonts w:hint="eastAsia" w:ascii="仿宋" w:hAnsi="仿宋" w:eastAsia="仿宋" w:cs="仿宋"/>
          <w:color w:val="auto"/>
          <w:highlight w:val="none"/>
        </w:rPr>
      </w:pPr>
    </w:p>
    <w:p w14:paraId="7D64DC0B">
      <w:pPr>
        <w:pStyle w:val="18"/>
        <w:numPr>
          <w:ilvl w:val="0"/>
          <w:numId w:val="0"/>
        </w:numPr>
        <w:bidi w:val="0"/>
        <w:ind w:left="840" w:leftChars="400"/>
        <w:outlineLvl w:val="9"/>
        <w:rPr>
          <w:rFonts w:hint="eastAsia" w:ascii="仿宋" w:hAnsi="仿宋" w:eastAsia="仿宋" w:cs="仿宋"/>
          <w:color w:val="auto"/>
          <w:highlight w:val="none"/>
          <w:lang w:val="en-US" w:eastAsia="zh-CN"/>
        </w:rPr>
      </w:pPr>
    </w:p>
    <w:p w14:paraId="5833509D">
      <w:pPr>
        <w:ind w:left="0" w:leftChars="0" w:firstLine="0" w:firstLineChars="0"/>
        <w:jc w:val="center"/>
        <w:outlineLvl w:val="9"/>
        <w:rPr>
          <w:rFonts w:hint="eastAsia" w:ascii="仿宋" w:hAnsi="仿宋" w:eastAsia="仿宋" w:cs="仿宋"/>
          <w:b/>
          <w:bCs/>
          <w:color w:val="auto"/>
          <w:kern w:val="0"/>
          <w:sz w:val="24"/>
          <w:szCs w:val="32"/>
          <w:highlight w:val="none"/>
          <w:lang w:val="en-US" w:eastAsia="zh-CN" w:bidi="ar-SA"/>
        </w:rPr>
      </w:pPr>
      <w:r>
        <w:rPr>
          <w:rFonts w:hint="eastAsia" w:ascii="仿宋" w:hAnsi="仿宋" w:eastAsia="仿宋" w:cs="仿宋"/>
          <w:b/>
          <w:color w:val="auto"/>
          <w:sz w:val="28"/>
          <w:szCs w:val="28"/>
          <w:highlight w:val="none"/>
          <w:lang w:val="en-US" w:eastAsia="zh-CN"/>
        </w:rPr>
        <w:t>七、</w:t>
      </w:r>
      <w:r>
        <w:rPr>
          <w:rFonts w:hint="eastAsia" w:ascii="仿宋" w:hAnsi="仿宋" w:eastAsia="仿宋" w:cs="仿宋"/>
          <w:b/>
          <w:color w:val="auto"/>
          <w:kern w:val="2"/>
          <w:sz w:val="28"/>
          <w:szCs w:val="28"/>
          <w:highlight w:val="none"/>
          <w:lang w:val="en-US" w:eastAsia="zh-CN" w:bidi="ar-SA"/>
        </w:rPr>
        <w:t>综合部分</w:t>
      </w:r>
    </w:p>
    <w:p w14:paraId="2EA38833">
      <w:pPr>
        <w:jc w:val="center"/>
        <w:outlineLvl w:val="9"/>
        <w:rPr>
          <w:rFonts w:hint="eastAsia" w:ascii="仿宋" w:hAnsi="仿宋" w:eastAsia="仿宋" w:cs="仿宋"/>
          <w:b/>
          <w:color w:val="auto"/>
          <w:kern w:val="0"/>
          <w:sz w:val="24"/>
          <w:szCs w:val="18"/>
          <w:highlight w:val="none"/>
        </w:rPr>
      </w:pPr>
      <w:r>
        <w:rPr>
          <w:rFonts w:hint="eastAsia" w:ascii="仿宋" w:hAnsi="仿宋" w:eastAsia="仿宋" w:cs="仿宋"/>
          <w:b/>
          <w:color w:val="auto"/>
          <w:kern w:val="0"/>
          <w:sz w:val="24"/>
          <w:szCs w:val="18"/>
          <w:highlight w:val="none"/>
        </w:rPr>
        <w:t>（根据采购内容情况及评分办法编写格式自拟）</w:t>
      </w:r>
    </w:p>
    <w:p w14:paraId="4D021E8A">
      <w:pPr>
        <w:keepNext w:val="0"/>
        <w:keepLines w:val="0"/>
        <w:widowControl/>
        <w:suppressLineNumbers w:val="0"/>
        <w:bidi w:val="0"/>
        <w:jc w:val="center"/>
        <w:outlineLvl w:val="9"/>
        <w:rPr>
          <w:rFonts w:hint="eastAsia" w:ascii="仿宋" w:hAnsi="仿宋" w:eastAsia="仿宋" w:cs="仿宋"/>
          <w:color w:val="auto"/>
          <w:sz w:val="21"/>
          <w:szCs w:val="21"/>
          <w:highlight w:val="none"/>
        </w:rPr>
      </w:pPr>
    </w:p>
    <w:p w14:paraId="3B756853">
      <w:pPr>
        <w:bidi w:val="0"/>
        <w:spacing w:line="480" w:lineRule="exact"/>
        <w:ind w:left="315" w:hanging="315" w:hangingChars="150"/>
        <w:jc w:val="right"/>
        <w:outlineLvl w:val="9"/>
        <w:rPr>
          <w:rFonts w:hint="eastAsia" w:ascii="仿宋" w:hAnsi="仿宋" w:eastAsia="仿宋" w:cs="仿宋"/>
          <w:color w:val="auto"/>
          <w:sz w:val="21"/>
          <w:szCs w:val="21"/>
          <w:highlight w:val="none"/>
        </w:rPr>
      </w:pPr>
    </w:p>
    <w:p w14:paraId="7C6C0304">
      <w:pPr>
        <w:pStyle w:val="50"/>
        <w:bidi w:val="0"/>
        <w:spacing w:line="520" w:lineRule="exact"/>
        <w:ind w:firstLine="0"/>
        <w:outlineLvl w:val="9"/>
        <w:rPr>
          <w:rFonts w:hint="eastAsia" w:ascii="仿宋" w:hAnsi="仿宋" w:eastAsia="仿宋" w:cs="仿宋"/>
          <w:bCs/>
          <w:color w:val="auto"/>
          <w:sz w:val="21"/>
          <w:szCs w:val="21"/>
          <w:highlight w:val="none"/>
        </w:rPr>
      </w:pPr>
    </w:p>
    <w:p w14:paraId="7CEDF33A">
      <w:pPr>
        <w:pStyle w:val="17"/>
        <w:bidi w:val="0"/>
        <w:ind w:firstLine="405" w:firstLineChars="192"/>
        <w:jc w:val="center"/>
        <w:outlineLvl w:val="9"/>
        <w:rPr>
          <w:rFonts w:hint="eastAsia" w:ascii="仿宋" w:hAnsi="仿宋" w:eastAsia="仿宋" w:cs="仿宋"/>
          <w:b/>
          <w:color w:val="auto"/>
          <w:sz w:val="21"/>
          <w:szCs w:val="21"/>
          <w:highlight w:val="none"/>
          <w:lang w:val="en-US" w:eastAsia="zh-CN"/>
        </w:rPr>
      </w:pPr>
    </w:p>
    <w:p w14:paraId="289A0C99">
      <w:pPr>
        <w:pStyle w:val="17"/>
        <w:bidi w:val="0"/>
        <w:ind w:firstLine="405" w:firstLineChars="192"/>
        <w:jc w:val="center"/>
        <w:outlineLvl w:val="9"/>
        <w:rPr>
          <w:rFonts w:hint="eastAsia" w:ascii="仿宋" w:hAnsi="仿宋" w:eastAsia="仿宋" w:cs="仿宋"/>
          <w:b/>
          <w:color w:val="auto"/>
          <w:sz w:val="21"/>
          <w:szCs w:val="21"/>
          <w:highlight w:val="none"/>
          <w:lang w:val="en-US" w:eastAsia="zh-CN"/>
        </w:rPr>
      </w:pPr>
    </w:p>
    <w:p w14:paraId="107D11CA">
      <w:pPr>
        <w:pStyle w:val="17"/>
        <w:bidi w:val="0"/>
        <w:ind w:firstLine="405" w:firstLineChars="192"/>
        <w:jc w:val="center"/>
        <w:outlineLvl w:val="9"/>
        <w:rPr>
          <w:rFonts w:hint="eastAsia" w:ascii="仿宋" w:hAnsi="仿宋" w:eastAsia="仿宋" w:cs="仿宋"/>
          <w:b/>
          <w:color w:val="auto"/>
          <w:sz w:val="21"/>
          <w:szCs w:val="21"/>
          <w:highlight w:val="none"/>
          <w:lang w:val="en-US" w:eastAsia="zh-CN"/>
        </w:rPr>
      </w:pPr>
    </w:p>
    <w:p w14:paraId="3ABB4523">
      <w:pPr>
        <w:pStyle w:val="18"/>
        <w:outlineLvl w:val="9"/>
        <w:rPr>
          <w:rFonts w:hint="eastAsia" w:ascii="仿宋" w:hAnsi="仿宋" w:eastAsia="仿宋" w:cs="仿宋"/>
          <w:b/>
          <w:color w:val="auto"/>
          <w:sz w:val="21"/>
          <w:szCs w:val="21"/>
          <w:highlight w:val="none"/>
          <w:lang w:val="en-US" w:eastAsia="zh-CN"/>
        </w:rPr>
      </w:pPr>
    </w:p>
    <w:p w14:paraId="7FCA5AC2">
      <w:pPr>
        <w:outlineLvl w:val="9"/>
        <w:rPr>
          <w:rFonts w:hint="eastAsia" w:ascii="仿宋" w:hAnsi="仿宋" w:eastAsia="仿宋" w:cs="仿宋"/>
          <w:b/>
          <w:color w:val="auto"/>
          <w:sz w:val="21"/>
          <w:szCs w:val="21"/>
          <w:highlight w:val="none"/>
          <w:lang w:val="en-US" w:eastAsia="zh-CN"/>
        </w:rPr>
      </w:pPr>
    </w:p>
    <w:p w14:paraId="2EFE5E0A">
      <w:pPr>
        <w:pStyle w:val="17"/>
        <w:outlineLvl w:val="9"/>
        <w:rPr>
          <w:rFonts w:hint="eastAsia" w:ascii="仿宋" w:hAnsi="仿宋" w:eastAsia="仿宋" w:cs="仿宋"/>
          <w:b/>
          <w:color w:val="auto"/>
          <w:sz w:val="21"/>
          <w:szCs w:val="21"/>
          <w:highlight w:val="none"/>
          <w:lang w:val="en-US" w:eastAsia="zh-CN"/>
        </w:rPr>
      </w:pPr>
    </w:p>
    <w:p w14:paraId="29C45107">
      <w:pPr>
        <w:pStyle w:val="18"/>
        <w:outlineLvl w:val="9"/>
        <w:rPr>
          <w:rFonts w:hint="eastAsia" w:ascii="仿宋" w:hAnsi="仿宋" w:eastAsia="仿宋" w:cs="仿宋"/>
          <w:b/>
          <w:color w:val="auto"/>
          <w:sz w:val="21"/>
          <w:szCs w:val="21"/>
          <w:highlight w:val="none"/>
          <w:lang w:val="en-US" w:eastAsia="zh-CN"/>
        </w:rPr>
      </w:pPr>
    </w:p>
    <w:p w14:paraId="767D23C6">
      <w:pPr>
        <w:outlineLvl w:val="9"/>
        <w:rPr>
          <w:rFonts w:hint="eastAsia" w:ascii="仿宋" w:hAnsi="仿宋" w:eastAsia="仿宋" w:cs="仿宋"/>
          <w:b/>
          <w:color w:val="auto"/>
          <w:sz w:val="21"/>
          <w:szCs w:val="21"/>
          <w:highlight w:val="none"/>
          <w:lang w:val="en-US" w:eastAsia="zh-CN"/>
        </w:rPr>
      </w:pPr>
    </w:p>
    <w:p w14:paraId="5E7EACA8">
      <w:pPr>
        <w:pStyle w:val="17"/>
        <w:outlineLvl w:val="9"/>
        <w:rPr>
          <w:rFonts w:hint="eastAsia" w:ascii="仿宋" w:hAnsi="仿宋" w:eastAsia="仿宋" w:cs="仿宋"/>
          <w:b/>
          <w:color w:val="auto"/>
          <w:sz w:val="21"/>
          <w:szCs w:val="21"/>
          <w:highlight w:val="none"/>
          <w:lang w:val="en-US" w:eastAsia="zh-CN"/>
        </w:rPr>
      </w:pPr>
    </w:p>
    <w:p w14:paraId="3B955A7C">
      <w:pPr>
        <w:pStyle w:val="18"/>
        <w:outlineLvl w:val="9"/>
        <w:rPr>
          <w:rFonts w:hint="eastAsia" w:ascii="仿宋" w:hAnsi="仿宋" w:eastAsia="仿宋" w:cs="仿宋"/>
          <w:b/>
          <w:color w:val="auto"/>
          <w:sz w:val="21"/>
          <w:szCs w:val="21"/>
          <w:highlight w:val="none"/>
          <w:lang w:val="en-US" w:eastAsia="zh-CN"/>
        </w:rPr>
      </w:pPr>
    </w:p>
    <w:p w14:paraId="49F4E7D3">
      <w:pPr>
        <w:outlineLvl w:val="9"/>
        <w:rPr>
          <w:rFonts w:hint="eastAsia" w:ascii="仿宋" w:hAnsi="仿宋" w:eastAsia="仿宋" w:cs="仿宋"/>
          <w:b/>
          <w:color w:val="auto"/>
          <w:sz w:val="21"/>
          <w:szCs w:val="21"/>
          <w:highlight w:val="none"/>
          <w:lang w:val="en-US" w:eastAsia="zh-CN"/>
        </w:rPr>
      </w:pPr>
    </w:p>
    <w:p w14:paraId="4713E4B8">
      <w:pPr>
        <w:pStyle w:val="17"/>
        <w:outlineLvl w:val="9"/>
        <w:rPr>
          <w:rFonts w:hint="eastAsia" w:ascii="仿宋" w:hAnsi="仿宋" w:eastAsia="仿宋" w:cs="仿宋"/>
          <w:b/>
          <w:color w:val="auto"/>
          <w:sz w:val="21"/>
          <w:szCs w:val="21"/>
          <w:highlight w:val="none"/>
          <w:lang w:val="en-US" w:eastAsia="zh-CN"/>
        </w:rPr>
      </w:pPr>
    </w:p>
    <w:p w14:paraId="1914B713">
      <w:pPr>
        <w:pStyle w:val="18"/>
        <w:outlineLvl w:val="9"/>
        <w:rPr>
          <w:rFonts w:hint="eastAsia" w:ascii="仿宋" w:hAnsi="仿宋" w:eastAsia="仿宋" w:cs="仿宋"/>
          <w:b/>
          <w:color w:val="auto"/>
          <w:sz w:val="21"/>
          <w:szCs w:val="21"/>
          <w:highlight w:val="none"/>
          <w:lang w:val="en-US" w:eastAsia="zh-CN"/>
        </w:rPr>
      </w:pPr>
    </w:p>
    <w:p w14:paraId="7BC72F79">
      <w:pPr>
        <w:outlineLvl w:val="9"/>
        <w:rPr>
          <w:rFonts w:hint="eastAsia" w:ascii="仿宋" w:hAnsi="仿宋" w:eastAsia="仿宋" w:cs="仿宋"/>
          <w:b/>
          <w:color w:val="auto"/>
          <w:sz w:val="21"/>
          <w:szCs w:val="21"/>
          <w:highlight w:val="none"/>
          <w:lang w:val="en-US" w:eastAsia="zh-CN"/>
        </w:rPr>
      </w:pPr>
    </w:p>
    <w:p w14:paraId="3CB3F538">
      <w:pPr>
        <w:pStyle w:val="17"/>
        <w:outlineLvl w:val="9"/>
        <w:rPr>
          <w:rFonts w:hint="eastAsia" w:ascii="仿宋" w:hAnsi="仿宋" w:eastAsia="仿宋" w:cs="仿宋"/>
          <w:color w:val="auto"/>
          <w:highlight w:val="none"/>
          <w:lang w:val="en-US" w:eastAsia="zh-CN"/>
        </w:rPr>
      </w:pPr>
    </w:p>
    <w:p w14:paraId="0BF3BA41">
      <w:pPr>
        <w:pStyle w:val="17"/>
        <w:bidi w:val="0"/>
        <w:ind w:firstLine="405" w:firstLineChars="192"/>
        <w:jc w:val="center"/>
        <w:outlineLvl w:val="9"/>
        <w:rPr>
          <w:rFonts w:hint="eastAsia" w:ascii="仿宋" w:hAnsi="仿宋" w:eastAsia="仿宋" w:cs="仿宋"/>
          <w:b/>
          <w:color w:val="auto"/>
          <w:sz w:val="21"/>
          <w:szCs w:val="21"/>
          <w:highlight w:val="none"/>
          <w:lang w:val="en-US" w:eastAsia="zh-CN"/>
        </w:rPr>
      </w:pPr>
    </w:p>
    <w:p w14:paraId="2408DE09">
      <w:pPr>
        <w:pStyle w:val="18"/>
        <w:outlineLvl w:val="9"/>
        <w:rPr>
          <w:rFonts w:hint="eastAsia" w:ascii="仿宋" w:hAnsi="仿宋" w:eastAsia="仿宋" w:cs="仿宋"/>
          <w:color w:val="auto"/>
          <w:highlight w:val="none"/>
          <w:lang w:val="en-US" w:eastAsia="zh-CN"/>
        </w:rPr>
      </w:pPr>
    </w:p>
    <w:bookmarkEnd w:id="260"/>
    <w:p w14:paraId="176001C8">
      <w:pPr>
        <w:pStyle w:val="17"/>
        <w:bidi w:val="0"/>
        <w:spacing w:line="400" w:lineRule="exact"/>
        <w:ind w:firstLine="210"/>
        <w:jc w:val="center"/>
        <w:outlineLvl w:val="9"/>
        <w:rPr>
          <w:rFonts w:hint="eastAsia" w:ascii="仿宋" w:hAnsi="仿宋" w:eastAsia="仿宋" w:cs="仿宋"/>
          <w:color w:val="auto"/>
          <w:sz w:val="21"/>
          <w:szCs w:val="21"/>
          <w:highlight w:val="none"/>
        </w:rPr>
      </w:pPr>
      <w:r>
        <w:rPr>
          <w:rFonts w:hint="eastAsia" w:ascii="仿宋" w:hAnsi="仿宋" w:eastAsia="仿宋" w:cs="仿宋"/>
          <w:b/>
          <w:color w:val="auto"/>
          <w:sz w:val="28"/>
          <w:szCs w:val="28"/>
          <w:highlight w:val="none"/>
          <w:lang w:eastAsia="zh-CN"/>
        </w:rPr>
        <w:t>八</w:t>
      </w:r>
      <w:r>
        <w:rPr>
          <w:rFonts w:hint="eastAsia" w:ascii="仿宋" w:hAnsi="仿宋" w:eastAsia="仿宋" w:cs="仿宋"/>
          <w:b/>
          <w:color w:val="auto"/>
          <w:sz w:val="28"/>
          <w:szCs w:val="28"/>
          <w:highlight w:val="none"/>
        </w:rPr>
        <w:t>、 资格审查资料</w:t>
      </w:r>
    </w:p>
    <w:p w14:paraId="68488F21">
      <w:pPr>
        <w:numPr>
          <w:ilvl w:val="3"/>
          <w:numId w:val="0"/>
        </w:numPr>
        <w:bidi w:val="0"/>
        <w:spacing w:line="400" w:lineRule="exact"/>
        <w:jc w:val="left"/>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1、投标人基本情况表</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077"/>
        <w:gridCol w:w="1803"/>
        <w:gridCol w:w="1252"/>
        <w:gridCol w:w="1089"/>
        <w:gridCol w:w="176"/>
        <w:gridCol w:w="723"/>
        <w:gridCol w:w="1430"/>
      </w:tblGrid>
      <w:tr w14:paraId="2EAFE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jc w:val="center"/>
        </w:trPr>
        <w:tc>
          <w:tcPr>
            <w:tcW w:w="1980" w:type="dxa"/>
            <w:noWrap w:val="0"/>
            <w:vAlign w:val="top"/>
          </w:tcPr>
          <w:p w14:paraId="7153A8D7">
            <w:pPr>
              <w:spacing w:line="400" w:lineRule="exact"/>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投标人名称</w:t>
            </w:r>
          </w:p>
        </w:tc>
        <w:tc>
          <w:tcPr>
            <w:tcW w:w="7550" w:type="dxa"/>
            <w:gridSpan w:val="7"/>
            <w:noWrap w:val="0"/>
            <w:vAlign w:val="top"/>
          </w:tcPr>
          <w:p w14:paraId="631E577E">
            <w:pPr>
              <w:spacing w:line="400" w:lineRule="exact"/>
              <w:outlineLvl w:val="9"/>
              <w:rPr>
                <w:rFonts w:hint="eastAsia" w:ascii="仿宋" w:hAnsi="仿宋" w:eastAsia="仿宋" w:cs="仿宋"/>
                <w:color w:val="auto"/>
                <w:sz w:val="21"/>
                <w:szCs w:val="21"/>
                <w:highlight w:val="none"/>
              </w:rPr>
            </w:pPr>
          </w:p>
        </w:tc>
      </w:tr>
      <w:tr w14:paraId="74912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980" w:type="dxa"/>
            <w:noWrap w:val="0"/>
            <w:vAlign w:val="top"/>
          </w:tcPr>
          <w:p w14:paraId="6B31546F">
            <w:pPr>
              <w:spacing w:line="400" w:lineRule="exact"/>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注册地址</w:t>
            </w:r>
          </w:p>
        </w:tc>
        <w:tc>
          <w:tcPr>
            <w:tcW w:w="4132" w:type="dxa"/>
            <w:gridSpan w:val="3"/>
            <w:noWrap w:val="0"/>
            <w:vAlign w:val="top"/>
          </w:tcPr>
          <w:p w14:paraId="734296B4">
            <w:pPr>
              <w:spacing w:line="400" w:lineRule="exact"/>
              <w:outlineLvl w:val="9"/>
              <w:rPr>
                <w:rFonts w:hint="eastAsia" w:ascii="仿宋" w:hAnsi="仿宋" w:eastAsia="仿宋" w:cs="仿宋"/>
                <w:color w:val="auto"/>
                <w:sz w:val="21"/>
                <w:szCs w:val="21"/>
                <w:highlight w:val="none"/>
              </w:rPr>
            </w:pPr>
          </w:p>
        </w:tc>
        <w:tc>
          <w:tcPr>
            <w:tcW w:w="1089" w:type="dxa"/>
            <w:noWrap w:val="0"/>
            <w:vAlign w:val="top"/>
          </w:tcPr>
          <w:p w14:paraId="784D1848">
            <w:pPr>
              <w:spacing w:line="400" w:lineRule="exact"/>
              <w:ind w:left="0" w:leftChars="0" w:firstLine="0" w:firstLineChars="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邮政编码</w:t>
            </w:r>
          </w:p>
        </w:tc>
        <w:tc>
          <w:tcPr>
            <w:tcW w:w="2329" w:type="dxa"/>
            <w:gridSpan w:val="3"/>
            <w:noWrap w:val="0"/>
            <w:vAlign w:val="top"/>
          </w:tcPr>
          <w:p w14:paraId="3B663269">
            <w:pPr>
              <w:spacing w:line="400" w:lineRule="exact"/>
              <w:outlineLvl w:val="9"/>
              <w:rPr>
                <w:rFonts w:hint="eastAsia" w:ascii="仿宋" w:hAnsi="仿宋" w:eastAsia="仿宋" w:cs="仿宋"/>
                <w:color w:val="auto"/>
                <w:sz w:val="21"/>
                <w:szCs w:val="21"/>
                <w:highlight w:val="none"/>
              </w:rPr>
            </w:pPr>
          </w:p>
        </w:tc>
      </w:tr>
      <w:tr w14:paraId="03A3A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980" w:type="dxa"/>
            <w:noWrap w:val="0"/>
            <w:vAlign w:val="top"/>
          </w:tcPr>
          <w:p w14:paraId="5563DA8F">
            <w:pPr>
              <w:spacing w:line="400" w:lineRule="exact"/>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注册资金</w:t>
            </w:r>
          </w:p>
        </w:tc>
        <w:tc>
          <w:tcPr>
            <w:tcW w:w="4132" w:type="dxa"/>
            <w:gridSpan w:val="3"/>
            <w:noWrap w:val="0"/>
            <w:vAlign w:val="top"/>
          </w:tcPr>
          <w:p w14:paraId="3E246732">
            <w:pPr>
              <w:spacing w:line="400" w:lineRule="exact"/>
              <w:outlineLvl w:val="9"/>
              <w:rPr>
                <w:rFonts w:hint="eastAsia" w:ascii="仿宋" w:hAnsi="仿宋" w:eastAsia="仿宋" w:cs="仿宋"/>
                <w:color w:val="auto"/>
                <w:sz w:val="21"/>
                <w:szCs w:val="21"/>
                <w:highlight w:val="none"/>
              </w:rPr>
            </w:pPr>
          </w:p>
        </w:tc>
        <w:tc>
          <w:tcPr>
            <w:tcW w:w="1089" w:type="dxa"/>
            <w:noWrap w:val="0"/>
            <w:vAlign w:val="top"/>
          </w:tcPr>
          <w:p w14:paraId="5E5B6D24">
            <w:pPr>
              <w:spacing w:line="400" w:lineRule="exact"/>
              <w:ind w:left="0" w:leftChars="0" w:firstLine="0" w:firstLineChars="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成立时间</w:t>
            </w:r>
          </w:p>
        </w:tc>
        <w:tc>
          <w:tcPr>
            <w:tcW w:w="2329" w:type="dxa"/>
            <w:gridSpan w:val="3"/>
            <w:noWrap w:val="0"/>
            <w:vAlign w:val="top"/>
          </w:tcPr>
          <w:p w14:paraId="30630461">
            <w:pPr>
              <w:spacing w:line="400" w:lineRule="exact"/>
              <w:outlineLvl w:val="9"/>
              <w:rPr>
                <w:rFonts w:hint="eastAsia" w:ascii="仿宋" w:hAnsi="仿宋" w:eastAsia="仿宋" w:cs="仿宋"/>
                <w:color w:val="auto"/>
                <w:sz w:val="21"/>
                <w:szCs w:val="21"/>
                <w:highlight w:val="none"/>
              </w:rPr>
            </w:pPr>
          </w:p>
        </w:tc>
      </w:tr>
      <w:tr w14:paraId="67414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980" w:type="dxa"/>
            <w:vMerge w:val="restart"/>
            <w:noWrap w:val="0"/>
            <w:vAlign w:val="center"/>
          </w:tcPr>
          <w:p w14:paraId="0E6FB3F1">
            <w:pPr>
              <w:spacing w:line="400" w:lineRule="exact"/>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联系方式</w:t>
            </w:r>
          </w:p>
        </w:tc>
        <w:tc>
          <w:tcPr>
            <w:tcW w:w="1077" w:type="dxa"/>
            <w:noWrap w:val="0"/>
            <w:vAlign w:val="top"/>
          </w:tcPr>
          <w:p w14:paraId="7282546E">
            <w:pPr>
              <w:spacing w:line="400" w:lineRule="exact"/>
              <w:ind w:left="0" w:leftChars="0" w:firstLine="0" w:firstLineChars="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联系人</w:t>
            </w:r>
          </w:p>
        </w:tc>
        <w:tc>
          <w:tcPr>
            <w:tcW w:w="3055" w:type="dxa"/>
            <w:gridSpan w:val="2"/>
            <w:noWrap w:val="0"/>
            <w:vAlign w:val="top"/>
          </w:tcPr>
          <w:p w14:paraId="2BA54B0A">
            <w:pPr>
              <w:spacing w:line="400" w:lineRule="exact"/>
              <w:outlineLvl w:val="9"/>
              <w:rPr>
                <w:rFonts w:hint="eastAsia" w:ascii="仿宋" w:hAnsi="仿宋" w:eastAsia="仿宋" w:cs="仿宋"/>
                <w:color w:val="auto"/>
                <w:sz w:val="21"/>
                <w:szCs w:val="21"/>
                <w:highlight w:val="none"/>
              </w:rPr>
            </w:pPr>
          </w:p>
        </w:tc>
        <w:tc>
          <w:tcPr>
            <w:tcW w:w="1089" w:type="dxa"/>
            <w:noWrap w:val="0"/>
            <w:vAlign w:val="top"/>
          </w:tcPr>
          <w:p w14:paraId="48DEBFB2">
            <w:pPr>
              <w:spacing w:line="400" w:lineRule="exact"/>
              <w:ind w:left="0" w:leftChars="0" w:firstLine="0" w:firstLineChars="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电话</w:t>
            </w:r>
          </w:p>
        </w:tc>
        <w:tc>
          <w:tcPr>
            <w:tcW w:w="2329" w:type="dxa"/>
            <w:gridSpan w:val="3"/>
            <w:noWrap w:val="0"/>
            <w:vAlign w:val="top"/>
          </w:tcPr>
          <w:p w14:paraId="11938BFA">
            <w:pPr>
              <w:spacing w:line="400" w:lineRule="exact"/>
              <w:outlineLvl w:val="9"/>
              <w:rPr>
                <w:rFonts w:hint="eastAsia" w:ascii="仿宋" w:hAnsi="仿宋" w:eastAsia="仿宋" w:cs="仿宋"/>
                <w:color w:val="auto"/>
                <w:sz w:val="21"/>
                <w:szCs w:val="21"/>
                <w:highlight w:val="none"/>
              </w:rPr>
            </w:pPr>
          </w:p>
        </w:tc>
      </w:tr>
      <w:tr w14:paraId="5658D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980" w:type="dxa"/>
            <w:vMerge w:val="continue"/>
            <w:noWrap w:val="0"/>
            <w:vAlign w:val="top"/>
          </w:tcPr>
          <w:p w14:paraId="66376D1B">
            <w:pPr>
              <w:spacing w:line="400" w:lineRule="exact"/>
              <w:ind w:left="0" w:leftChars="0" w:firstLine="0" w:firstLineChars="0"/>
              <w:jc w:val="center"/>
              <w:outlineLvl w:val="9"/>
              <w:rPr>
                <w:rFonts w:hint="eastAsia" w:ascii="仿宋" w:hAnsi="仿宋" w:eastAsia="仿宋" w:cs="仿宋"/>
                <w:color w:val="auto"/>
                <w:sz w:val="21"/>
                <w:szCs w:val="21"/>
                <w:highlight w:val="none"/>
              </w:rPr>
            </w:pPr>
          </w:p>
        </w:tc>
        <w:tc>
          <w:tcPr>
            <w:tcW w:w="1077" w:type="dxa"/>
            <w:noWrap w:val="0"/>
            <w:vAlign w:val="top"/>
          </w:tcPr>
          <w:p w14:paraId="3C4A556B">
            <w:pPr>
              <w:spacing w:line="400" w:lineRule="exact"/>
              <w:ind w:left="0" w:leftChars="0" w:firstLine="0" w:firstLineChars="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传真</w:t>
            </w:r>
          </w:p>
        </w:tc>
        <w:tc>
          <w:tcPr>
            <w:tcW w:w="3055" w:type="dxa"/>
            <w:gridSpan w:val="2"/>
            <w:noWrap w:val="0"/>
            <w:vAlign w:val="top"/>
          </w:tcPr>
          <w:p w14:paraId="0843D091">
            <w:pPr>
              <w:spacing w:line="400" w:lineRule="exact"/>
              <w:outlineLvl w:val="9"/>
              <w:rPr>
                <w:rFonts w:hint="eastAsia" w:ascii="仿宋" w:hAnsi="仿宋" w:eastAsia="仿宋" w:cs="仿宋"/>
                <w:color w:val="auto"/>
                <w:sz w:val="21"/>
                <w:szCs w:val="21"/>
                <w:highlight w:val="none"/>
              </w:rPr>
            </w:pPr>
          </w:p>
        </w:tc>
        <w:tc>
          <w:tcPr>
            <w:tcW w:w="1089" w:type="dxa"/>
            <w:noWrap w:val="0"/>
            <w:vAlign w:val="top"/>
          </w:tcPr>
          <w:p w14:paraId="1B036CE2">
            <w:pPr>
              <w:spacing w:line="400" w:lineRule="exact"/>
              <w:ind w:left="0" w:leftChars="0" w:firstLine="0" w:firstLineChars="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网址</w:t>
            </w:r>
          </w:p>
        </w:tc>
        <w:tc>
          <w:tcPr>
            <w:tcW w:w="2329" w:type="dxa"/>
            <w:gridSpan w:val="3"/>
            <w:noWrap w:val="0"/>
            <w:vAlign w:val="top"/>
          </w:tcPr>
          <w:p w14:paraId="16144CD7">
            <w:pPr>
              <w:spacing w:line="400" w:lineRule="exact"/>
              <w:outlineLvl w:val="9"/>
              <w:rPr>
                <w:rFonts w:hint="eastAsia" w:ascii="仿宋" w:hAnsi="仿宋" w:eastAsia="仿宋" w:cs="仿宋"/>
                <w:color w:val="auto"/>
                <w:sz w:val="21"/>
                <w:szCs w:val="21"/>
                <w:highlight w:val="none"/>
              </w:rPr>
            </w:pPr>
          </w:p>
        </w:tc>
      </w:tr>
      <w:tr w14:paraId="3DCC6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980" w:type="dxa"/>
            <w:noWrap w:val="0"/>
            <w:vAlign w:val="top"/>
          </w:tcPr>
          <w:p w14:paraId="3E8105E1">
            <w:pPr>
              <w:spacing w:line="400" w:lineRule="exact"/>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法定代表人</w:t>
            </w:r>
          </w:p>
        </w:tc>
        <w:tc>
          <w:tcPr>
            <w:tcW w:w="1077" w:type="dxa"/>
            <w:noWrap w:val="0"/>
            <w:vAlign w:val="top"/>
          </w:tcPr>
          <w:p w14:paraId="65F27A07">
            <w:pPr>
              <w:spacing w:line="400" w:lineRule="exact"/>
              <w:ind w:left="0" w:leftChars="0" w:firstLine="0" w:firstLineChars="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姓名</w:t>
            </w:r>
          </w:p>
        </w:tc>
        <w:tc>
          <w:tcPr>
            <w:tcW w:w="1803" w:type="dxa"/>
            <w:noWrap w:val="0"/>
            <w:vAlign w:val="top"/>
          </w:tcPr>
          <w:p w14:paraId="77CD4A42">
            <w:pPr>
              <w:spacing w:line="400" w:lineRule="exact"/>
              <w:outlineLvl w:val="9"/>
              <w:rPr>
                <w:rFonts w:hint="eastAsia" w:ascii="仿宋" w:hAnsi="仿宋" w:eastAsia="仿宋" w:cs="仿宋"/>
                <w:color w:val="auto"/>
                <w:sz w:val="21"/>
                <w:szCs w:val="21"/>
                <w:highlight w:val="none"/>
              </w:rPr>
            </w:pPr>
          </w:p>
        </w:tc>
        <w:tc>
          <w:tcPr>
            <w:tcW w:w="1252" w:type="dxa"/>
            <w:noWrap w:val="0"/>
            <w:vAlign w:val="top"/>
          </w:tcPr>
          <w:p w14:paraId="78F0AF04">
            <w:pPr>
              <w:spacing w:line="400" w:lineRule="exact"/>
              <w:ind w:left="0" w:leftChars="0" w:firstLine="0" w:firstLineChars="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技术职称</w:t>
            </w:r>
          </w:p>
        </w:tc>
        <w:tc>
          <w:tcPr>
            <w:tcW w:w="1265" w:type="dxa"/>
            <w:gridSpan w:val="2"/>
            <w:noWrap w:val="0"/>
            <w:vAlign w:val="top"/>
          </w:tcPr>
          <w:p w14:paraId="512E3CD7">
            <w:pPr>
              <w:spacing w:line="400" w:lineRule="exact"/>
              <w:outlineLvl w:val="9"/>
              <w:rPr>
                <w:rFonts w:hint="eastAsia" w:ascii="仿宋" w:hAnsi="仿宋" w:eastAsia="仿宋" w:cs="仿宋"/>
                <w:color w:val="auto"/>
                <w:sz w:val="21"/>
                <w:szCs w:val="21"/>
                <w:highlight w:val="none"/>
              </w:rPr>
            </w:pPr>
          </w:p>
        </w:tc>
        <w:tc>
          <w:tcPr>
            <w:tcW w:w="723" w:type="dxa"/>
            <w:noWrap w:val="0"/>
            <w:vAlign w:val="top"/>
          </w:tcPr>
          <w:p w14:paraId="4249B825">
            <w:pPr>
              <w:spacing w:line="400" w:lineRule="exact"/>
              <w:ind w:left="0" w:leftChars="0" w:firstLine="0" w:firstLineChars="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电话</w:t>
            </w:r>
          </w:p>
        </w:tc>
        <w:tc>
          <w:tcPr>
            <w:tcW w:w="1430" w:type="dxa"/>
            <w:noWrap w:val="0"/>
            <w:vAlign w:val="top"/>
          </w:tcPr>
          <w:p w14:paraId="18F9E0AA">
            <w:pPr>
              <w:spacing w:line="400" w:lineRule="exact"/>
              <w:outlineLvl w:val="9"/>
              <w:rPr>
                <w:rFonts w:hint="eastAsia" w:ascii="仿宋" w:hAnsi="仿宋" w:eastAsia="仿宋" w:cs="仿宋"/>
                <w:color w:val="auto"/>
                <w:sz w:val="21"/>
                <w:szCs w:val="21"/>
                <w:highlight w:val="none"/>
              </w:rPr>
            </w:pPr>
          </w:p>
        </w:tc>
      </w:tr>
      <w:tr w14:paraId="60346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980" w:type="dxa"/>
            <w:noWrap w:val="0"/>
            <w:vAlign w:val="top"/>
          </w:tcPr>
          <w:p w14:paraId="388D30B3">
            <w:pPr>
              <w:spacing w:line="400" w:lineRule="exact"/>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投标人须知要求投标人需具有的各类资质证书（若有）</w:t>
            </w:r>
          </w:p>
        </w:tc>
        <w:tc>
          <w:tcPr>
            <w:tcW w:w="7550" w:type="dxa"/>
            <w:gridSpan w:val="7"/>
            <w:noWrap w:val="0"/>
            <w:vAlign w:val="top"/>
          </w:tcPr>
          <w:p w14:paraId="35D9F435">
            <w:pPr>
              <w:spacing w:line="400" w:lineRule="exact"/>
              <w:ind w:left="0" w:leftChars="0" w:firstLine="0" w:firstLineChars="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类型：           等级：          证书号：</w:t>
            </w:r>
          </w:p>
        </w:tc>
      </w:tr>
      <w:tr w14:paraId="1F13E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980" w:type="dxa"/>
            <w:noWrap w:val="0"/>
            <w:vAlign w:val="top"/>
          </w:tcPr>
          <w:p w14:paraId="0614CDAD">
            <w:pPr>
              <w:spacing w:line="400" w:lineRule="exact"/>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基本账户开户银行</w:t>
            </w:r>
          </w:p>
        </w:tc>
        <w:tc>
          <w:tcPr>
            <w:tcW w:w="7550" w:type="dxa"/>
            <w:gridSpan w:val="7"/>
            <w:noWrap w:val="0"/>
            <w:vAlign w:val="top"/>
          </w:tcPr>
          <w:p w14:paraId="0A565013">
            <w:pPr>
              <w:spacing w:line="400" w:lineRule="exact"/>
              <w:outlineLvl w:val="9"/>
              <w:rPr>
                <w:rFonts w:hint="eastAsia" w:ascii="仿宋" w:hAnsi="仿宋" w:eastAsia="仿宋" w:cs="仿宋"/>
                <w:color w:val="auto"/>
                <w:sz w:val="21"/>
                <w:szCs w:val="21"/>
                <w:highlight w:val="none"/>
              </w:rPr>
            </w:pPr>
          </w:p>
        </w:tc>
      </w:tr>
      <w:tr w14:paraId="31F75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980" w:type="dxa"/>
            <w:noWrap w:val="0"/>
            <w:vAlign w:val="top"/>
          </w:tcPr>
          <w:p w14:paraId="21909BC8">
            <w:pPr>
              <w:spacing w:line="400" w:lineRule="exact"/>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基本账户银行账号</w:t>
            </w:r>
          </w:p>
        </w:tc>
        <w:tc>
          <w:tcPr>
            <w:tcW w:w="7550" w:type="dxa"/>
            <w:gridSpan w:val="7"/>
            <w:noWrap w:val="0"/>
            <w:vAlign w:val="top"/>
          </w:tcPr>
          <w:p w14:paraId="01F596AE">
            <w:pPr>
              <w:spacing w:line="400" w:lineRule="exact"/>
              <w:outlineLvl w:val="9"/>
              <w:rPr>
                <w:rFonts w:hint="eastAsia" w:ascii="仿宋" w:hAnsi="仿宋" w:eastAsia="仿宋" w:cs="仿宋"/>
                <w:color w:val="auto"/>
                <w:sz w:val="21"/>
                <w:szCs w:val="21"/>
                <w:highlight w:val="none"/>
              </w:rPr>
            </w:pPr>
          </w:p>
        </w:tc>
      </w:tr>
      <w:tr w14:paraId="1D1C5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980" w:type="dxa"/>
            <w:noWrap w:val="0"/>
            <w:vAlign w:val="top"/>
          </w:tcPr>
          <w:p w14:paraId="09F5521A">
            <w:pPr>
              <w:spacing w:line="400" w:lineRule="exact"/>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近三年营业额</w:t>
            </w:r>
          </w:p>
        </w:tc>
        <w:tc>
          <w:tcPr>
            <w:tcW w:w="7550" w:type="dxa"/>
            <w:gridSpan w:val="7"/>
            <w:noWrap w:val="0"/>
            <w:vAlign w:val="top"/>
          </w:tcPr>
          <w:p w14:paraId="40611BA3">
            <w:pPr>
              <w:spacing w:line="400" w:lineRule="exact"/>
              <w:outlineLvl w:val="9"/>
              <w:rPr>
                <w:rFonts w:hint="eastAsia" w:ascii="仿宋" w:hAnsi="仿宋" w:eastAsia="仿宋" w:cs="仿宋"/>
                <w:color w:val="auto"/>
                <w:sz w:val="21"/>
                <w:szCs w:val="21"/>
                <w:highlight w:val="none"/>
              </w:rPr>
            </w:pPr>
          </w:p>
        </w:tc>
      </w:tr>
      <w:tr w14:paraId="451C6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980" w:type="dxa"/>
            <w:noWrap w:val="0"/>
            <w:vAlign w:val="top"/>
          </w:tcPr>
          <w:p w14:paraId="7EA8FC55">
            <w:pPr>
              <w:spacing w:line="400" w:lineRule="exact"/>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投标人关联企业情况（包括但不限于与投标人法定代表人为同一人或者存在控股、管理关系的不同单位）</w:t>
            </w:r>
          </w:p>
        </w:tc>
        <w:tc>
          <w:tcPr>
            <w:tcW w:w="7550" w:type="dxa"/>
            <w:gridSpan w:val="7"/>
            <w:noWrap w:val="0"/>
            <w:vAlign w:val="top"/>
          </w:tcPr>
          <w:p w14:paraId="4151E1BE">
            <w:pPr>
              <w:spacing w:line="400" w:lineRule="exact"/>
              <w:outlineLvl w:val="9"/>
              <w:rPr>
                <w:rFonts w:hint="eastAsia" w:ascii="仿宋" w:hAnsi="仿宋" w:eastAsia="仿宋" w:cs="仿宋"/>
                <w:color w:val="auto"/>
                <w:sz w:val="21"/>
                <w:szCs w:val="21"/>
                <w:highlight w:val="none"/>
              </w:rPr>
            </w:pPr>
          </w:p>
        </w:tc>
      </w:tr>
      <w:tr w14:paraId="17062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1980" w:type="dxa"/>
            <w:noWrap w:val="0"/>
            <w:vAlign w:val="top"/>
          </w:tcPr>
          <w:p w14:paraId="29038C55">
            <w:pPr>
              <w:spacing w:line="400" w:lineRule="exact"/>
              <w:ind w:left="0" w:leftChars="0" w:firstLine="0" w:firstLineChars="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经营范围备注</w:t>
            </w:r>
          </w:p>
        </w:tc>
        <w:tc>
          <w:tcPr>
            <w:tcW w:w="7550" w:type="dxa"/>
            <w:gridSpan w:val="7"/>
            <w:noWrap w:val="0"/>
            <w:vAlign w:val="top"/>
          </w:tcPr>
          <w:p w14:paraId="53058CFD">
            <w:pPr>
              <w:spacing w:line="400" w:lineRule="exact"/>
              <w:ind w:firstLine="420" w:firstLineChars="200"/>
              <w:outlineLvl w:val="9"/>
              <w:rPr>
                <w:rFonts w:hint="eastAsia" w:ascii="仿宋" w:hAnsi="仿宋" w:eastAsia="仿宋" w:cs="仿宋"/>
                <w:color w:val="auto"/>
                <w:sz w:val="21"/>
                <w:szCs w:val="21"/>
                <w:highlight w:val="none"/>
              </w:rPr>
            </w:pPr>
          </w:p>
        </w:tc>
      </w:tr>
    </w:tbl>
    <w:p w14:paraId="0ABC3C8E">
      <w:pPr>
        <w:bidi w:val="0"/>
        <w:spacing w:line="400" w:lineRule="exact"/>
        <w:ind w:left="0" w:leftChars="0" w:firstLine="0" w:firstLineChars="0"/>
        <w:outlineLvl w:val="9"/>
        <w:rPr>
          <w:rFonts w:hint="eastAsia" w:ascii="仿宋" w:hAnsi="仿宋" w:eastAsia="仿宋" w:cs="仿宋"/>
          <w:color w:val="auto"/>
          <w:sz w:val="21"/>
          <w:szCs w:val="21"/>
          <w:highlight w:val="none"/>
        </w:rPr>
      </w:pPr>
    </w:p>
    <w:p w14:paraId="37826EA8">
      <w:pPr>
        <w:bidi w:val="0"/>
        <w:spacing w:line="400" w:lineRule="exact"/>
        <w:outlineLvl w:val="9"/>
        <w:rPr>
          <w:rFonts w:hint="eastAsia" w:ascii="仿宋" w:hAnsi="仿宋" w:eastAsia="仿宋" w:cs="仿宋"/>
          <w:b w:val="0"/>
          <w:bCs w:val="0"/>
          <w:color w:val="auto"/>
          <w:sz w:val="21"/>
          <w:szCs w:val="21"/>
          <w:highlight w:val="none"/>
        </w:rPr>
      </w:pPr>
      <w:r>
        <w:rPr>
          <w:rFonts w:hint="eastAsia" w:ascii="仿宋" w:hAnsi="仿宋" w:eastAsia="仿宋" w:cs="仿宋"/>
          <w:color w:val="auto"/>
          <w:sz w:val="21"/>
          <w:szCs w:val="21"/>
          <w:highlight w:val="none"/>
        </w:rPr>
        <w:t>注：</w:t>
      </w:r>
      <w:r>
        <w:rPr>
          <w:rFonts w:hint="eastAsia" w:ascii="仿宋" w:hAnsi="仿宋" w:eastAsia="仿宋" w:cs="仿宋"/>
          <w:color w:val="auto"/>
          <w:sz w:val="21"/>
          <w:szCs w:val="21"/>
          <w:highlight w:val="none"/>
          <w:lang w:val="en-US" w:eastAsia="zh-CN"/>
        </w:rPr>
        <w:t>1.</w:t>
      </w:r>
      <w:r>
        <w:rPr>
          <w:rFonts w:hint="eastAsia" w:ascii="仿宋" w:hAnsi="仿宋" w:eastAsia="仿宋" w:cs="仿宋"/>
          <w:color w:val="auto"/>
          <w:sz w:val="21"/>
          <w:szCs w:val="21"/>
          <w:highlight w:val="none"/>
        </w:rPr>
        <w:t>投标人应根据投</w:t>
      </w:r>
      <w:r>
        <w:rPr>
          <w:rFonts w:hint="eastAsia" w:ascii="仿宋" w:hAnsi="仿宋" w:eastAsia="仿宋" w:cs="仿宋"/>
          <w:b w:val="0"/>
          <w:bCs w:val="0"/>
          <w:color w:val="auto"/>
          <w:sz w:val="21"/>
          <w:szCs w:val="21"/>
          <w:highlight w:val="none"/>
        </w:rPr>
        <w:t>标人须知</w:t>
      </w:r>
      <w:r>
        <w:rPr>
          <w:rFonts w:hint="eastAsia" w:ascii="仿宋" w:hAnsi="仿宋" w:eastAsia="仿宋" w:cs="仿宋"/>
          <w:b w:val="0"/>
          <w:bCs w:val="0"/>
          <w:color w:val="auto"/>
          <w:sz w:val="21"/>
          <w:szCs w:val="21"/>
          <w:highlight w:val="none"/>
          <w:lang w:eastAsia="zh-CN"/>
        </w:rPr>
        <w:t>“投标人资格</w:t>
      </w:r>
      <w:r>
        <w:rPr>
          <w:rFonts w:hint="eastAsia" w:ascii="仿宋" w:hAnsi="仿宋" w:eastAsia="仿宋" w:cs="仿宋"/>
          <w:b w:val="0"/>
          <w:bCs w:val="0"/>
          <w:color w:val="auto"/>
          <w:sz w:val="21"/>
          <w:szCs w:val="21"/>
          <w:highlight w:val="none"/>
        </w:rPr>
        <w:t>要求</w:t>
      </w:r>
      <w:r>
        <w:rPr>
          <w:rFonts w:hint="eastAsia" w:ascii="仿宋" w:hAnsi="仿宋" w:eastAsia="仿宋" w:cs="仿宋"/>
          <w:b w:val="0"/>
          <w:bCs w:val="0"/>
          <w:color w:val="auto"/>
          <w:sz w:val="21"/>
          <w:szCs w:val="21"/>
          <w:highlight w:val="none"/>
          <w:lang w:eastAsia="zh-CN"/>
        </w:rPr>
        <w:t>”</w:t>
      </w:r>
      <w:r>
        <w:rPr>
          <w:rFonts w:hint="eastAsia" w:ascii="仿宋" w:hAnsi="仿宋" w:eastAsia="仿宋" w:cs="仿宋"/>
          <w:b w:val="0"/>
          <w:bCs w:val="0"/>
          <w:color w:val="auto"/>
          <w:sz w:val="21"/>
          <w:szCs w:val="21"/>
          <w:highlight w:val="none"/>
        </w:rPr>
        <w:t>在本表后附</w:t>
      </w:r>
      <w:r>
        <w:rPr>
          <w:rFonts w:hint="eastAsia" w:ascii="仿宋" w:hAnsi="仿宋" w:eastAsia="仿宋" w:cs="仿宋"/>
          <w:b w:val="0"/>
          <w:bCs w:val="0"/>
          <w:color w:val="auto"/>
          <w:kern w:val="0"/>
          <w:sz w:val="21"/>
          <w:szCs w:val="21"/>
          <w:highlight w:val="none"/>
          <w:lang w:val="en-US" w:eastAsia="zh-CN" w:bidi="ar"/>
        </w:rPr>
        <w:t>相应的资格证明材料</w:t>
      </w:r>
    </w:p>
    <w:p w14:paraId="1D2F25DE">
      <w:pPr>
        <w:bidi w:val="0"/>
        <w:spacing w:line="400" w:lineRule="exact"/>
        <w:outlineLvl w:val="9"/>
        <w:rPr>
          <w:rFonts w:hint="eastAsia" w:ascii="仿宋" w:hAnsi="仿宋" w:eastAsia="仿宋" w:cs="仿宋"/>
          <w:b w:val="0"/>
          <w:bCs w:val="0"/>
          <w:color w:val="auto"/>
          <w:sz w:val="21"/>
          <w:szCs w:val="21"/>
          <w:highlight w:val="none"/>
          <w:lang w:val="en-US"/>
        </w:rPr>
        <w:sectPr>
          <w:pgSz w:w="11905" w:h="16838"/>
          <w:pgMar w:top="1417" w:right="1417" w:bottom="1417" w:left="1417" w:header="850" w:footer="850" w:gutter="0"/>
          <w:pgBorders>
            <w:top w:val="none" w:sz="0" w:space="0"/>
            <w:left w:val="none" w:sz="0" w:space="0"/>
            <w:bottom w:val="none" w:sz="0" w:space="0"/>
            <w:right w:val="none" w:sz="0" w:space="0"/>
          </w:pgBorders>
          <w:pgNumType w:fmt="numberInDash"/>
          <w:cols w:space="0" w:num="1"/>
          <w:rtlGutter w:val="0"/>
          <w:docGrid w:type="lines" w:linePitch="412" w:charSpace="0"/>
        </w:sectPr>
      </w:pPr>
      <w:r>
        <w:rPr>
          <w:rFonts w:hint="eastAsia" w:ascii="仿宋" w:hAnsi="仿宋" w:eastAsia="仿宋" w:cs="仿宋"/>
          <w:b w:val="0"/>
          <w:bCs w:val="0"/>
          <w:color w:val="auto"/>
          <w:sz w:val="21"/>
          <w:szCs w:val="21"/>
          <w:highlight w:val="none"/>
        </w:rPr>
        <w:t xml:space="preserve">  </w:t>
      </w:r>
      <w:r>
        <w:rPr>
          <w:rFonts w:hint="eastAsia" w:ascii="仿宋" w:hAnsi="仿宋" w:eastAsia="仿宋" w:cs="仿宋"/>
          <w:b w:val="0"/>
          <w:bCs w:val="0"/>
          <w:color w:val="auto"/>
          <w:sz w:val="21"/>
          <w:szCs w:val="21"/>
          <w:highlight w:val="none"/>
          <w:lang w:val="en-US" w:eastAsia="zh-CN"/>
        </w:rPr>
        <w:t xml:space="preserve"> 2.本项目的特定资格要求：需提供相应的证明材料</w:t>
      </w:r>
    </w:p>
    <w:p w14:paraId="429847BC">
      <w:pPr>
        <w:bidi w:val="0"/>
        <w:spacing w:line="360" w:lineRule="auto"/>
        <w:jc w:val="center"/>
        <w:outlineLvl w:val="9"/>
        <w:rPr>
          <w:rFonts w:hint="eastAsia" w:ascii="仿宋" w:hAnsi="仿宋" w:eastAsia="仿宋" w:cs="仿宋"/>
          <w:color w:val="auto"/>
          <w:sz w:val="21"/>
          <w:szCs w:val="21"/>
          <w:highlight w:val="none"/>
          <w:lang w:val="en-US" w:eastAsia="zh-CN"/>
        </w:rPr>
      </w:pPr>
      <w:r>
        <w:rPr>
          <w:rFonts w:hint="eastAsia" w:ascii="仿宋" w:hAnsi="仿宋" w:eastAsia="仿宋" w:cs="仿宋"/>
          <w:b/>
          <w:bCs/>
          <w:color w:val="auto"/>
          <w:sz w:val="28"/>
          <w:szCs w:val="28"/>
          <w:highlight w:val="none"/>
          <w:lang w:eastAsia="zh-CN"/>
        </w:rPr>
        <w:t>九、</w:t>
      </w:r>
      <w:bookmarkStart w:id="261" w:name="_Toc523494085"/>
      <w:bookmarkStart w:id="262" w:name="_Toc525210051"/>
      <w:r>
        <w:rPr>
          <w:rFonts w:hint="eastAsia" w:ascii="仿宋" w:hAnsi="仿宋" w:eastAsia="仿宋" w:cs="仿宋"/>
          <w:b/>
          <w:bCs/>
          <w:color w:val="auto"/>
          <w:sz w:val="28"/>
          <w:szCs w:val="28"/>
          <w:highlight w:val="none"/>
          <w:lang w:eastAsia="zh-CN"/>
        </w:rPr>
        <w:t>中小企业声明函</w:t>
      </w:r>
      <w:bookmarkEnd w:id="261"/>
      <w:bookmarkEnd w:id="262"/>
      <w:r>
        <w:rPr>
          <w:rFonts w:hint="eastAsia" w:ascii="仿宋" w:hAnsi="仿宋" w:eastAsia="仿宋" w:cs="仿宋"/>
          <w:b/>
          <w:bCs/>
          <w:color w:val="auto"/>
          <w:sz w:val="28"/>
          <w:szCs w:val="28"/>
          <w:highlight w:val="none"/>
          <w:lang w:eastAsia="zh-CN"/>
        </w:rPr>
        <w:t>（货物）</w:t>
      </w:r>
    </w:p>
    <w:p w14:paraId="6E888C8A">
      <w:pPr>
        <w:pStyle w:val="51"/>
        <w:bidi w:val="0"/>
        <w:spacing w:line="360" w:lineRule="auto"/>
        <w:ind w:firstLine="420" w:firstLineChars="200"/>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本公司（联合体）郑重声明，根据《政府采购促进中小企业发展管理办法》（财库[2020]46号）的规定，本公司（联合体）参加（单位名称）的（项目名称）采购活动，</w:t>
      </w:r>
      <w:r>
        <w:rPr>
          <w:rFonts w:hint="eastAsia" w:ascii="仿宋" w:hAnsi="仿宋" w:eastAsia="仿宋" w:cs="仿宋"/>
          <w:b/>
          <w:bCs/>
          <w:color w:val="auto"/>
          <w:kern w:val="2"/>
          <w:sz w:val="21"/>
          <w:szCs w:val="21"/>
          <w:highlight w:val="none"/>
          <w:lang w:val="en-US" w:eastAsia="zh-CN" w:bidi="ar-SA"/>
        </w:rPr>
        <w:t>提供的货物全部由符合政策要求的中小企业制造。</w:t>
      </w:r>
      <w:r>
        <w:rPr>
          <w:rFonts w:hint="eastAsia" w:ascii="仿宋" w:hAnsi="仿宋" w:eastAsia="仿宋" w:cs="仿宋"/>
          <w:color w:val="auto"/>
          <w:kern w:val="2"/>
          <w:sz w:val="21"/>
          <w:szCs w:val="21"/>
          <w:highlight w:val="none"/>
          <w:lang w:val="en-US" w:eastAsia="zh-CN" w:bidi="ar-SA"/>
        </w:rPr>
        <w:t>相关企业（含联合体中的中小企业、签订分包意向协议的中小企业）的具体情况如下：</w:t>
      </w:r>
    </w:p>
    <w:p w14:paraId="0771164B">
      <w:pPr>
        <w:pStyle w:val="51"/>
        <w:numPr>
          <w:ilvl w:val="0"/>
          <w:numId w:val="12"/>
        </w:numPr>
        <w:bidi w:val="0"/>
        <w:spacing w:line="360" w:lineRule="auto"/>
        <w:ind w:firstLine="420" w:firstLineChars="200"/>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（标的名称），属于（采购文件中明确的所属行业）行业；制造商为（企业名称），从业人员</w:t>
      </w:r>
      <w:r>
        <w:rPr>
          <w:rFonts w:hint="eastAsia" w:ascii="仿宋" w:hAnsi="仿宋" w:eastAsia="仿宋" w:cs="仿宋"/>
          <w:color w:val="auto"/>
          <w:kern w:val="2"/>
          <w:sz w:val="21"/>
          <w:szCs w:val="21"/>
          <w:highlight w:val="none"/>
          <w:u w:val="single"/>
          <w:lang w:val="en-US" w:eastAsia="zh-CN" w:bidi="ar-SA"/>
        </w:rPr>
        <w:t xml:space="preserve">         </w:t>
      </w:r>
      <w:r>
        <w:rPr>
          <w:rFonts w:hint="eastAsia" w:ascii="仿宋" w:hAnsi="仿宋" w:eastAsia="仿宋" w:cs="仿宋"/>
          <w:color w:val="auto"/>
          <w:kern w:val="2"/>
          <w:sz w:val="21"/>
          <w:szCs w:val="21"/>
          <w:highlight w:val="none"/>
          <w:lang w:val="en-US" w:eastAsia="zh-CN" w:bidi="ar-SA"/>
        </w:rPr>
        <w:t>人，营业收入为</w:t>
      </w:r>
      <w:r>
        <w:rPr>
          <w:rFonts w:hint="eastAsia" w:ascii="仿宋" w:hAnsi="仿宋" w:eastAsia="仿宋" w:cs="仿宋"/>
          <w:color w:val="auto"/>
          <w:kern w:val="2"/>
          <w:sz w:val="21"/>
          <w:szCs w:val="21"/>
          <w:highlight w:val="none"/>
          <w:u w:val="single"/>
          <w:lang w:val="en-US" w:eastAsia="zh-CN" w:bidi="ar-SA"/>
        </w:rPr>
        <w:t xml:space="preserve">        </w:t>
      </w:r>
      <w:r>
        <w:rPr>
          <w:rFonts w:hint="eastAsia" w:ascii="仿宋" w:hAnsi="仿宋" w:eastAsia="仿宋" w:cs="仿宋"/>
          <w:color w:val="auto"/>
          <w:kern w:val="2"/>
          <w:sz w:val="21"/>
          <w:szCs w:val="21"/>
          <w:highlight w:val="none"/>
          <w:lang w:val="en-US" w:eastAsia="zh-CN" w:bidi="ar-SA"/>
        </w:rPr>
        <w:t>万元，资产总额为</w:t>
      </w:r>
      <w:r>
        <w:rPr>
          <w:rFonts w:hint="eastAsia" w:ascii="仿宋" w:hAnsi="仿宋" w:eastAsia="仿宋" w:cs="仿宋"/>
          <w:color w:val="auto"/>
          <w:kern w:val="2"/>
          <w:sz w:val="21"/>
          <w:szCs w:val="21"/>
          <w:highlight w:val="none"/>
          <w:u w:val="single"/>
          <w:lang w:val="en-US" w:eastAsia="zh-CN" w:bidi="ar-SA"/>
        </w:rPr>
        <w:t xml:space="preserve">      </w:t>
      </w:r>
      <w:r>
        <w:rPr>
          <w:rFonts w:hint="eastAsia" w:ascii="仿宋" w:hAnsi="仿宋" w:eastAsia="仿宋" w:cs="仿宋"/>
          <w:color w:val="auto"/>
          <w:kern w:val="2"/>
          <w:sz w:val="21"/>
          <w:szCs w:val="21"/>
          <w:highlight w:val="none"/>
          <w:lang w:val="en-US" w:eastAsia="zh-CN" w:bidi="ar-SA"/>
        </w:rPr>
        <w:t>万元，属于（中型企业、小型企业、微型企业）；</w:t>
      </w:r>
    </w:p>
    <w:p w14:paraId="2048367C">
      <w:pPr>
        <w:pStyle w:val="51"/>
        <w:numPr>
          <w:ilvl w:val="0"/>
          <w:numId w:val="12"/>
        </w:numPr>
        <w:bidi w:val="0"/>
        <w:spacing w:line="360" w:lineRule="auto"/>
        <w:ind w:left="0" w:leftChars="0" w:firstLine="420" w:firstLineChars="200"/>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（标的名称），属于（采购文件中明确的所属行业）行业；制造商为（企业名称），从业人员</w:t>
      </w:r>
      <w:r>
        <w:rPr>
          <w:rFonts w:hint="eastAsia" w:ascii="仿宋" w:hAnsi="仿宋" w:eastAsia="仿宋" w:cs="仿宋"/>
          <w:color w:val="auto"/>
          <w:kern w:val="2"/>
          <w:sz w:val="21"/>
          <w:szCs w:val="21"/>
          <w:highlight w:val="none"/>
          <w:u w:val="single"/>
          <w:lang w:val="en-US" w:eastAsia="zh-CN" w:bidi="ar-SA"/>
        </w:rPr>
        <w:t xml:space="preserve">         </w:t>
      </w:r>
      <w:r>
        <w:rPr>
          <w:rFonts w:hint="eastAsia" w:ascii="仿宋" w:hAnsi="仿宋" w:eastAsia="仿宋" w:cs="仿宋"/>
          <w:color w:val="auto"/>
          <w:kern w:val="2"/>
          <w:sz w:val="21"/>
          <w:szCs w:val="21"/>
          <w:highlight w:val="none"/>
          <w:lang w:val="en-US" w:eastAsia="zh-CN" w:bidi="ar-SA"/>
        </w:rPr>
        <w:t>人，营业收入为</w:t>
      </w:r>
      <w:r>
        <w:rPr>
          <w:rFonts w:hint="eastAsia" w:ascii="仿宋" w:hAnsi="仿宋" w:eastAsia="仿宋" w:cs="仿宋"/>
          <w:color w:val="auto"/>
          <w:kern w:val="2"/>
          <w:sz w:val="21"/>
          <w:szCs w:val="21"/>
          <w:highlight w:val="none"/>
          <w:u w:val="single"/>
          <w:lang w:val="en-US" w:eastAsia="zh-CN" w:bidi="ar-SA"/>
        </w:rPr>
        <w:t xml:space="preserve">        </w:t>
      </w:r>
      <w:r>
        <w:rPr>
          <w:rFonts w:hint="eastAsia" w:ascii="仿宋" w:hAnsi="仿宋" w:eastAsia="仿宋" w:cs="仿宋"/>
          <w:color w:val="auto"/>
          <w:kern w:val="2"/>
          <w:sz w:val="21"/>
          <w:szCs w:val="21"/>
          <w:highlight w:val="none"/>
          <w:lang w:val="en-US" w:eastAsia="zh-CN" w:bidi="ar-SA"/>
        </w:rPr>
        <w:t>万元，资产总额为</w:t>
      </w:r>
      <w:r>
        <w:rPr>
          <w:rFonts w:hint="eastAsia" w:ascii="仿宋" w:hAnsi="仿宋" w:eastAsia="仿宋" w:cs="仿宋"/>
          <w:color w:val="auto"/>
          <w:kern w:val="2"/>
          <w:sz w:val="21"/>
          <w:szCs w:val="21"/>
          <w:highlight w:val="none"/>
          <w:u w:val="single"/>
          <w:lang w:val="en-US" w:eastAsia="zh-CN" w:bidi="ar-SA"/>
        </w:rPr>
        <w:t xml:space="preserve">      </w:t>
      </w:r>
      <w:r>
        <w:rPr>
          <w:rFonts w:hint="eastAsia" w:ascii="仿宋" w:hAnsi="仿宋" w:eastAsia="仿宋" w:cs="仿宋"/>
          <w:color w:val="auto"/>
          <w:kern w:val="2"/>
          <w:sz w:val="21"/>
          <w:szCs w:val="21"/>
          <w:highlight w:val="none"/>
          <w:lang w:val="en-US" w:eastAsia="zh-CN" w:bidi="ar-SA"/>
        </w:rPr>
        <w:t>万元，属于（中型企业、小型企业、微型企业）；</w:t>
      </w:r>
    </w:p>
    <w:p w14:paraId="6D36EB13">
      <w:pPr>
        <w:pStyle w:val="51"/>
        <w:numPr>
          <w:ilvl w:val="0"/>
          <w:numId w:val="0"/>
        </w:numPr>
        <w:bidi w:val="0"/>
        <w:spacing w:line="360" w:lineRule="auto"/>
        <w:ind w:left="420" w:leftChars="200"/>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w:t>
      </w:r>
    </w:p>
    <w:p w14:paraId="404C5A39">
      <w:pPr>
        <w:pStyle w:val="51"/>
        <w:numPr>
          <w:ilvl w:val="0"/>
          <w:numId w:val="0"/>
        </w:numPr>
        <w:bidi w:val="0"/>
        <w:spacing w:line="360" w:lineRule="auto"/>
        <w:ind w:firstLine="420" w:firstLineChars="200"/>
        <w:outlineLvl w:val="9"/>
        <w:rPr>
          <w:rFonts w:hint="eastAsia" w:ascii="仿宋" w:hAnsi="仿宋" w:eastAsia="仿宋" w:cs="仿宋"/>
          <w:color w:val="auto"/>
          <w:kern w:val="2"/>
          <w:sz w:val="21"/>
          <w:szCs w:val="21"/>
          <w:highlight w:val="none"/>
          <w:lang w:val="en-US" w:eastAsia="zh-CN" w:bidi="ar-SA"/>
        </w:rPr>
      </w:pPr>
    </w:p>
    <w:p w14:paraId="42F747DE">
      <w:pPr>
        <w:bidi w:val="0"/>
        <w:spacing w:line="360" w:lineRule="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　以上企业，不属于大企业的分支机构，不存在控股股东为大型企业的情形，也不存在与大型企业的负责人为同一人的情形。</w:t>
      </w:r>
    </w:p>
    <w:p w14:paraId="2AE80C1E">
      <w:pPr>
        <w:pStyle w:val="5"/>
        <w:bidi w:val="0"/>
        <w:spacing w:line="360" w:lineRule="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 xml:space="preserve">  本企业对上述声明内容的真实性负责。如有虚假，将依法承担相应责任。</w:t>
      </w:r>
    </w:p>
    <w:p w14:paraId="58682448">
      <w:pPr>
        <w:pStyle w:val="37"/>
        <w:bidi w:val="0"/>
        <w:spacing w:line="360" w:lineRule="auto"/>
        <w:ind w:firstLine="2940" w:firstLineChars="1400"/>
        <w:jc w:val="center"/>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 xml:space="preserve">        单位名称（单位电子签章）：</w:t>
      </w:r>
      <w:r>
        <w:rPr>
          <w:rFonts w:hint="eastAsia" w:ascii="仿宋" w:hAnsi="仿宋" w:eastAsia="仿宋" w:cs="仿宋"/>
          <w:color w:val="auto"/>
          <w:kern w:val="2"/>
          <w:sz w:val="21"/>
          <w:szCs w:val="21"/>
          <w:highlight w:val="none"/>
          <w:u w:val="single"/>
          <w:lang w:val="en-US" w:eastAsia="zh-CN" w:bidi="ar-SA"/>
        </w:rPr>
        <w:t xml:space="preserve">               </w:t>
      </w:r>
      <w:r>
        <w:rPr>
          <w:rFonts w:hint="eastAsia" w:ascii="仿宋" w:hAnsi="仿宋" w:eastAsia="仿宋" w:cs="仿宋"/>
          <w:color w:val="auto"/>
          <w:kern w:val="2"/>
          <w:sz w:val="21"/>
          <w:szCs w:val="21"/>
          <w:highlight w:val="none"/>
          <w:lang w:val="en-US" w:eastAsia="zh-CN" w:bidi="ar-SA"/>
        </w:rPr>
        <w:t xml:space="preserve">       </w:t>
      </w:r>
    </w:p>
    <w:p w14:paraId="0137D46F">
      <w:pPr>
        <w:pStyle w:val="37"/>
        <w:bidi w:val="0"/>
        <w:spacing w:line="360" w:lineRule="auto"/>
        <w:ind w:firstLine="5460" w:firstLineChars="2600"/>
        <w:jc w:val="both"/>
        <w:outlineLvl w:val="9"/>
        <w:rPr>
          <w:rFonts w:hint="eastAsia" w:ascii="仿宋" w:hAnsi="仿宋" w:eastAsia="仿宋" w:cs="仿宋"/>
          <w:color w:val="auto"/>
          <w:kern w:val="2"/>
          <w:sz w:val="21"/>
          <w:szCs w:val="21"/>
          <w:highlight w:val="none"/>
          <w:u w:val="single"/>
          <w:lang w:val="en-US" w:eastAsia="zh-CN" w:bidi="ar-SA"/>
        </w:rPr>
      </w:pPr>
      <w:r>
        <w:rPr>
          <w:rFonts w:hint="eastAsia" w:ascii="仿宋" w:hAnsi="仿宋" w:eastAsia="仿宋" w:cs="仿宋"/>
          <w:color w:val="auto"/>
          <w:kern w:val="2"/>
          <w:sz w:val="21"/>
          <w:szCs w:val="21"/>
          <w:highlight w:val="none"/>
          <w:lang w:val="en-US" w:eastAsia="zh-CN" w:bidi="ar-SA"/>
        </w:rPr>
        <w:t>日期：</w:t>
      </w:r>
      <w:r>
        <w:rPr>
          <w:rFonts w:hint="eastAsia" w:ascii="仿宋" w:hAnsi="仿宋" w:eastAsia="仿宋" w:cs="仿宋"/>
          <w:color w:val="auto"/>
          <w:kern w:val="2"/>
          <w:sz w:val="21"/>
          <w:szCs w:val="21"/>
          <w:highlight w:val="none"/>
          <w:u w:val="single"/>
          <w:lang w:val="en-US" w:eastAsia="zh-CN" w:bidi="ar-SA"/>
        </w:rPr>
        <w:t xml:space="preserve">                 </w:t>
      </w:r>
    </w:p>
    <w:p w14:paraId="78CB73F5">
      <w:pPr>
        <w:pStyle w:val="37"/>
        <w:bidi w:val="0"/>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1、从业人员、营业收入、资产总额填报上一年度数据，无上一年度数据的新成立企业可不填报。</w:t>
      </w:r>
    </w:p>
    <w:p w14:paraId="1AD12A03">
      <w:pPr>
        <w:pStyle w:val="4"/>
        <w:bidi w:val="0"/>
        <w:spacing w:line="360" w:lineRule="auto"/>
        <w:ind w:left="0" w:leftChars="0" w:firstLine="0" w:firstLineChars="0"/>
        <w:outlineLvl w:val="9"/>
        <w:rPr>
          <w:rFonts w:hint="eastAsia" w:ascii="仿宋" w:hAnsi="仿宋" w:eastAsia="仿宋" w:cs="仿宋"/>
          <w:b/>
          <w:bCs/>
          <w:color w:val="auto"/>
          <w:kern w:val="2"/>
          <w:sz w:val="21"/>
          <w:szCs w:val="21"/>
          <w:highlight w:val="none"/>
          <w:lang w:val="en-US" w:eastAsia="zh-CN" w:bidi="ar-SA"/>
        </w:rPr>
      </w:pPr>
      <w:r>
        <w:rPr>
          <w:rFonts w:hint="eastAsia" w:ascii="仿宋" w:hAnsi="仿宋" w:eastAsia="仿宋" w:cs="仿宋"/>
          <w:b/>
          <w:bCs/>
          <w:color w:val="auto"/>
          <w:kern w:val="2"/>
          <w:sz w:val="21"/>
          <w:szCs w:val="21"/>
          <w:highlight w:val="none"/>
          <w:lang w:val="en-US" w:eastAsia="zh-CN" w:bidi="ar-SA"/>
        </w:rPr>
        <w:t>2、所投产品制造商属于中小微企业的填写，不属于的无需填写此项内容，</w:t>
      </w:r>
      <w:r>
        <w:rPr>
          <w:rFonts w:hint="eastAsia" w:ascii="仿宋" w:hAnsi="仿宋" w:eastAsia="仿宋" w:cs="仿宋"/>
          <w:color w:val="auto"/>
          <w:sz w:val="21"/>
          <w:szCs w:val="21"/>
          <w:highlight w:val="none"/>
          <w:lang w:eastAsia="zh-CN"/>
        </w:rPr>
        <w:t>但不得删除及更改响应文件格式要求</w:t>
      </w:r>
      <w:r>
        <w:rPr>
          <w:rFonts w:hint="eastAsia" w:ascii="仿宋" w:hAnsi="仿宋" w:eastAsia="仿宋" w:cs="仿宋"/>
          <w:b/>
          <w:bCs/>
          <w:color w:val="auto"/>
          <w:kern w:val="2"/>
          <w:sz w:val="21"/>
          <w:szCs w:val="21"/>
          <w:highlight w:val="none"/>
          <w:lang w:val="en-US" w:eastAsia="zh-CN" w:bidi="ar-SA"/>
        </w:rPr>
        <w:t>，</w:t>
      </w:r>
    </w:p>
    <w:p w14:paraId="63649D25">
      <w:pPr>
        <w:pStyle w:val="4"/>
        <w:bidi w:val="0"/>
        <w:spacing w:line="360" w:lineRule="auto"/>
        <w:ind w:left="0" w:leftChars="0" w:firstLine="0" w:firstLineChars="0"/>
        <w:outlineLvl w:val="9"/>
        <w:rPr>
          <w:rFonts w:hint="eastAsia" w:ascii="仿宋" w:hAnsi="仿宋" w:eastAsia="仿宋" w:cs="仿宋"/>
          <w:b/>
          <w:bCs/>
          <w:color w:val="auto"/>
          <w:kern w:val="2"/>
          <w:sz w:val="21"/>
          <w:szCs w:val="21"/>
          <w:highlight w:val="none"/>
          <w:lang w:val="en-US" w:eastAsia="zh-CN" w:bidi="ar-SA"/>
        </w:rPr>
      </w:pPr>
    </w:p>
    <w:p w14:paraId="262E3CB2">
      <w:pPr>
        <w:bidi w:val="0"/>
        <w:spacing w:line="360" w:lineRule="auto"/>
        <w:ind w:left="0" w:leftChars="0" w:firstLine="0" w:firstLineChars="0"/>
        <w:jc w:val="left"/>
        <w:outlineLvl w:val="9"/>
        <w:rPr>
          <w:rFonts w:hint="eastAsia" w:ascii="仿宋" w:hAnsi="仿宋" w:eastAsia="仿宋" w:cs="仿宋"/>
          <w:color w:val="auto"/>
          <w:highlight w:val="none"/>
        </w:rPr>
      </w:pPr>
      <w:r>
        <w:rPr>
          <w:rFonts w:hint="eastAsia" w:ascii="仿宋" w:hAnsi="仿宋" w:eastAsia="仿宋" w:cs="仿宋"/>
          <w:color w:val="auto"/>
          <w:highlight w:val="none"/>
        </w:rPr>
        <w:drawing>
          <wp:inline distT="0" distB="0" distL="114300" distR="114300">
            <wp:extent cx="5618480" cy="7364095"/>
            <wp:effectExtent l="0" t="0" r="1270" b="825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9"/>
                    <a:stretch>
                      <a:fillRect/>
                    </a:stretch>
                  </pic:blipFill>
                  <pic:spPr>
                    <a:xfrm>
                      <a:off x="0" y="0"/>
                      <a:ext cx="5618480" cy="7364095"/>
                    </a:xfrm>
                    <a:prstGeom prst="rect">
                      <a:avLst/>
                    </a:prstGeom>
                    <a:noFill/>
                    <a:ln>
                      <a:noFill/>
                    </a:ln>
                  </pic:spPr>
                </pic:pic>
              </a:graphicData>
            </a:graphic>
          </wp:inline>
        </w:drawing>
      </w:r>
      <w:r>
        <w:rPr>
          <w:rFonts w:hint="eastAsia" w:ascii="仿宋" w:hAnsi="仿宋" w:eastAsia="仿宋" w:cs="仿宋"/>
          <w:color w:val="auto"/>
          <w:sz w:val="21"/>
          <w:szCs w:val="21"/>
          <w:highlight w:val="none"/>
        </w:rPr>
        <w:br w:type="page"/>
      </w:r>
      <w:bookmarkStart w:id="263" w:name="_Toc525210052"/>
      <w:r>
        <w:rPr>
          <w:rFonts w:hint="eastAsia" w:ascii="仿宋" w:hAnsi="仿宋" w:eastAsia="仿宋" w:cs="仿宋"/>
          <w:color w:val="auto"/>
          <w:highlight w:val="none"/>
        </w:rPr>
        <w:drawing>
          <wp:inline distT="0" distB="0" distL="114300" distR="114300">
            <wp:extent cx="5245100" cy="6876415"/>
            <wp:effectExtent l="0" t="0" r="12700" b="63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20"/>
                    <a:stretch>
                      <a:fillRect/>
                    </a:stretch>
                  </pic:blipFill>
                  <pic:spPr>
                    <a:xfrm>
                      <a:off x="0" y="0"/>
                      <a:ext cx="5245100" cy="6876415"/>
                    </a:xfrm>
                    <a:prstGeom prst="rect">
                      <a:avLst/>
                    </a:prstGeom>
                    <a:noFill/>
                    <a:ln>
                      <a:noFill/>
                    </a:ln>
                  </pic:spPr>
                </pic:pic>
              </a:graphicData>
            </a:graphic>
          </wp:inline>
        </w:drawing>
      </w:r>
    </w:p>
    <w:p w14:paraId="15BE3457">
      <w:pPr>
        <w:bidi w:val="0"/>
        <w:spacing w:line="360" w:lineRule="auto"/>
        <w:jc w:val="center"/>
        <w:outlineLvl w:val="9"/>
        <w:rPr>
          <w:rFonts w:hint="eastAsia" w:ascii="仿宋" w:hAnsi="仿宋" w:eastAsia="仿宋" w:cs="仿宋"/>
          <w:color w:val="auto"/>
          <w:highlight w:val="none"/>
        </w:rPr>
      </w:pPr>
    </w:p>
    <w:p w14:paraId="2CC027A3">
      <w:pPr>
        <w:bidi w:val="0"/>
        <w:spacing w:line="360" w:lineRule="auto"/>
        <w:jc w:val="center"/>
        <w:outlineLvl w:val="9"/>
        <w:rPr>
          <w:rFonts w:hint="eastAsia" w:ascii="仿宋" w:hAnsi="仿宋" w:eastAsia="仿宋" w:cs="仿宋"/>
          <w:color w:val="auto"/>
          <w:highlight w:val="none"/>
        </w:rPr>
      </w:pPr>
    </w:p>
    <w:p w14:paraId="55451F7A">
      <w:pPr>
        <w:bidi w:val="0"/>
        <w:spacing w:line="360" w:lineRule="auto"/>
        <w:jc w:val="center"/>
        <w:outlineLvl w:val="9"/>
        <w:rPr>
          <w:rFonts w:hint="eastAsia" w:ascii="仿宋" w:hAnsi="仿宋" w:eastAsia="仿宋" w:cs="仿宋"/>
          <w:b/>
          <w:bCs/>
          <w:color w:val="auto"/>
          <w:sz w:val="28"/>
          <w:szCs w:val="28"/>
          <w:highlight w:val="none"/>
          <w:lang w:val="en-US" w:eastAsia="zh-CN"/>
        </w:rPr>
        <w:sectPr>
          <w:footerReference r:id="rId13" w:type="default"/>
          <w:pgSz w:w="11905" w:h="16838"/>
          <w:pgMar w:top="1417" w:right="1417" w:bottom="1417" w:left="1417" w:header="850" w:footer="850" w:gutter="0"/>
          <w:pgBorders>
            <w:top w:val="none" w:sz="0" w:space="0"/>
            <w:left w:val="none" w:sz="0" w:space="0"/>
            <w:bottom w:val="none" w:sz="0" w:space="0"/>
            <w:right w:val="none" w:sz="0" w:space="0"/>
          </w:pgBorders>
          <w:pgNumType w:fmt="numberInDash"/>
          <w:cols w:space="0" w:num="1"/>
          <w:rtlGutter w:val="0"/>
          <w:docGrid w:type="lines" w:linePitch="412" w:charSpace="0"/>
        </w:sectPr>
      </w:pPr>
    </w:p>
    <w:p w14:paraId="356E6B16">
      <w:pPr>
        <w:bidi w:val="0"/>
        <w:spacing w:line="360" w:lineRule="auto"/>
        <w:jc w:val="center"/>
        <w:outlineLvl w:val="9"/>
        <w:rPr>
          <w:rFonts w:hint="eastAsia" w:ascii="仿宋" w:hAnsi="仿宋" w:eastAsia="仿宋" w:cs="仿宋"/>
          <w:color w:val="auto"/>
          <w:kern w:val="0"/>
          <w:sz w:val="21"/>
          <w:szCs w:val="21"/>
          <w:highlight w:val="none"/>
        </w:rPr>
      </w:pPr>
      <w:r>
        <w:rPr>
          <w:rFonts w:hint="eastAsia" w:ascii="仿宋" w:hAnsi="仿宋" w:eastAsia="仿宋" w:cs="仿宋"/>
          <w:b/>
          <w:bCs/>
          <w:color w:val="auto"/>
          <w:sz w:val="28"/>
          <w:szCs w:val="28"/>
          <w:highlight w:val="none"/>
          <w:lang w:val="en-US" w:eastAsia="zh-CN"/>
        </w:rPr>
        <w:t>十、</w:t>
      </w:r>
      <w:r>
        <w:rPr>
          <w:rFonts w:hint="eastAsia" w:ascii="仿宋" w:hAnsi="仿宋" w:eastAsia="仿宋" w:cs="仿宋"/>
          <w:b/>
          <w:bCs/>
          <w:color w:val="auto"/>
          <w:sz w:val="28"/>
          <w:szCs w:val="28"/>
          <w:highlight w:val="none"/>
          <w:lang w:eastAsia="zh-CN"/>
        </w:rPr>
        <w:t>残疾人福利性单位声明函</w:t>
      </w:r>
      <w:bookmarkEnd w:id="263"/>
    </w:p>
    <w:p w14:paraId="488A4EF1">
      <w:pPr>
        <w:bidi w:val="0"/>
        <w:spacing w:line="360" w:lineRule="auto"/>
        <w:ind w:firstLine="420" w:firstLineChars="200"/>
        <w:jc w:val="center"/>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（属于残疾人福利企业的填写，不属于的无需填写此项内容</w:t>
      </w:r>
      <w:r>
        <w:rPr>
          <w:rFonts w:hint="eastAsia" w:ascii="仿宋" w:hAnsi="仿宋" w:eastAsia="仿宋" w:cs="仿宋"/>
          <w:color w:val="auto"/>
          <w:sz w:val="21"/>
          <w:szCs w:val="21"/>
          <w:highlight w:val="none"/>
          <w:lang w:eastAsia="zh-CN"/>
        </w:rPr>
        <w:t>，但不得删除及更改响应文件格式要求</w:t>
      </w:r>
      <w:r>
        <w:rPr>
          <w:rFonts w:hint="eastAsia" w:ascii="仿宋" w:hAnsi="仿宋" w:eastAsia="仿宋" w:cs="仿宋"/>
          <w:color w:val="auto"/>
          <w:sz w:val="21"/>
          <w:szCs w:val="21"/>
          <w:highlight w:val="none"/>
        </w:rPr>
        <w:t>）</w:t>
      </w:r>
    </w:p>
    <w:p w14:paraId="485E8D11">
      <w:pPr>
        <w:pStyle w:val="34"/>
        <w:bidi w:val="0"/>
        <w:outlineLvl w:val="9"/>
        <w:rPr>
          <w:rFonts w:hint="eastAsia" w:ascii="仿宋" w:hAnsi="仿宋" w:eastAsia="仿宋" w:cs="仿宋"/>
          <w:color w:val="auto"/>
          <w:sz w:val="21"/>
          <w:szCs w:val="21"/>
          <w:highlight w:val="none"/>
        </w:rPr>
      </w:pPr>
    </w:p>
    <w:p w14:paraId="7C6394E7">
      <w:pPr>
        <w:bidi w:val="0"/>
        <w:spacing w:line="360" w:lineRule="auto"/>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本单位郑重声明，根据《财政部民政部中国残疾人联合会关于促进残疾人就业政府采购政策的通知》财库（2017〔141〕号）的规定，本单位为符合该文件之规定条件的残疾人福利性单位，参加本次政府采购活动提供本单位制造的货物，或者提供（其他残疾人福利性单位名称）制造的货物（不包括使用非残疾人福利性单位注册商标的货物）。货物的名称品牌型号是</w:t>
      </w:r>
      <w:r>
        <w:rPr>
          <w:rFonts w:hint="eastAsia" w:ascii="仿宋" w:hAnsi="仿宋" w:eastAsia="仿宋" w:cs="仿宋"/>
          <w:color w:val="auto"/>
          <w:sz w:val="21"/>
          <w:szCs w:val="21"/>
          <w:highlight w:val="none"/>
          <w:u w:val="single"/>
        </w:rPr>
        <w:t xml:space="preserve">            </w:t>
      </w:r>
      <w:r>
        <w:rPr>
          <w:rFonts w:hint="eastAsia" w:ascii="仿宋" w:hAnsi="仿宋" w:eastAsia="仿宋" w:cs="仿宋"/>
          <w:color w:val="auto"/>
          <w:sz w:val="21"/>
          <w:szCs w:val="21"/>
          <w:highlight w:val="none"/>
        </w:rPr>
        <w:t>。</w:t>
      </w:r>
    </w:p>
    <w:p w14:paraId="7C162629">
      <w:pPr>
        <w:bidi w:val="0"/>
        <w:spacing w:line="360" w:lineRule="auto"/>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本单位对上述声明的真实性负责。如有虚假，将承担相应的法律责任。</w:t>
      </w:r>
    </w:p>
    <w:p w14:paraId="3452AF61">
      <w:pPr>
        <w:bidi w:val="0"/>
        <w:spacing w:line="360" w:lineRule="auto"/>
        <w:ind w:firstLine="420" w:firstLineChars="200"/>
        <w:outlineLvl w:val="9"/>
        <w:rPr>
          <w:rFonts w:hint="eastAsia" w:ascii="仿宋" w:hAnsi="仿宋" w:eastAsia="仿宋" w:cs="仿宋"/>
          <w:color w:val="auto"/>
          <w:sz w:val="21"/>
          <w:szCs w:val="21"/>
          <w:highlight w:val="none"/>
        </w:rPr>
      </w:pPr>
    </w:p>
    <w:p w14:paraId="2B122FD3">
      <w:pPr>
        <w:bidi w:val="0"/>
        <w:spacing w:line="360" w:lineRule="auto"/>
        <w:ind w:firstLine="420" w:firstLineChars="200"/>
        <w:outlineLvl w:val="9"/>
        <w:rPr>
          <w:rFonts w:hint="eastAsia" w:ascii="仿宋" w:hAnsi="仿宋" w:eastAsia="仿宋" w:cs="仿宋"/>
          <w:color w:val="auto"/>
          <w:sz w:val="21"/>
          <w:szCs w:val="21"/>
          <w:highlight w:val="none"/>
        </w:rPr>
      </w:pPr>
    </w:p>
    <w:p w14:paraId="1FFE03CE">
      <w:pPr>
        <w:bidi w:val="0"/>
        <w:spacing w:line="360" w:lineRule="auto"/>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供应商名称（单位电子签章）：</w:t>
      </w:r>
    </w:p>
    <w:p w14:paraId="5FECCA80">
      <w:pPr>
        <w:bidi w:val="0"/>
        <w:spacing w:line="360" w:lineRule="auto"/>
        <w:ind w:firstLine="420" w:firstLineChars="200"/>
        <w:outlineLvl w:val="9"/>
        <w:rPr>
          <w:rFonts w:hint="eastAsia" w:ascii="仿宋" w:hAnsi="仿宋" w:eastAsia="仿宋" w:cs="仿宋"/>
          <w:color w:val="auto"/>
          <w:sz w:val="21"/>
          <w:szCs w:val="21"/>
          <w:highlight w:val="none"/>
        </w:rPr>
      </w:pPr>
      <w:r>
        <w:rPr>
          <w:rFonts w:hint="eastAsia" w:ascii="仿宋" w:hAnsi="仿宋" w:eastAsia="仿宋" w:cs="仿宋"/>
          <w:color w:val="auto"/>
          <w:sz w:val="21"/>
          <w:szCs w:val="21"/>
          <w:highlight w:val="none"/>
        </w:rPr>
        <w:t>日期：</w:t>
      </w:r>
    </w:p>
    <w:p w14:paraId="4C93225E">
      <w:pPr>
        <w:numPr>
          <w:ilvl w:val="0"/>
          <w:numId w:val="0"/>
        </w:numPr>
        <w:bidi w:val="0"/>
        <w:ind w:left="425"/>
        <w:jc w:val="center"/>
        <w:outlineLvl w:val="9"/>
        <w:rPr>
          <w:rFonts w:hint="eastAsia" w:ascii="仿宋" w:hAnsi="仿宋" w:eastAsia="仿宋" w:cs="仿宋"/>
          <w:b/>
          <w:bCs w:val="0"/>
          <w:color w:val="auto"/>
          <w:kern w:val="2"/>
          <w:sz w:val="21"/>
          <w:szCs w:val="21"/>
          <w:highlight w:val="none"/>
          <w:lang w:val="en-US" w:eastAsia="zh-CN" w:bidi="ar-SA"/>
        </w:rPr>
      </w:pPr>
    </w:p>
    <w:p w14:paraId="2FEBF27B">
      <w:pPr>
        <w:outlineLvl w:val="9"/>
        <w:rPr>
          <w:rFonts w:hint="eastAsia" w:ascii="仿宋" w:hAnsi="仿宋" w:eastAsia="仿宋" w:cs="仿宋"/>
          <w:b/>
          <w:bCs w:val="0"/>
          <w:color w:val="auto"/>
          <w:kern w:val="2"/>
          <w:sz w:val="21"/>
          <w:szCs w:val="21"/>
          <w:highlight w:val="none"/>
          <w:lang w:val="en-US" w:eastAsia="zh-CN" w:bidi="ar-SA"/>
        </w:rPr>
      </w:pPr>
    </w:p>
    <w:p w14:paraId="5C932DA0">
      <w:pPr>
        <w:pStyle w:val="37"/>
        <w:outlineLvl w:val="9"/>
        <w:rPr>
          <w:rFonts w:hint="eastAsia" w:ascii="仿宋" w:hAnsi="仿宋" w:eastAsia="仿宋" w:cs="仿宋"/>
          <w:b/>
          <w:bCs w:val="0"/>
          <w:color w:val="auto"/>
          <w:kern w:val="2"/>
          <w:sz w:val="21"/>
          <w:szCs w:val="21"/>
          <w:highlight w:val="none"/>
          <w:lang w:val="en-US" w:eastAsia="zh-CN" w:bidi="ar-SA"/>
        </w:rPr>
      </w:pPr>
    </w:p>
    <w:p w14:paraId="1AC41921">
      <w:pPr>
        <w:pStyle w:val="12"/>
        <w:outlineLvl w:val="9"/>
        <w:rPr>
          <w:rFonts w:hint="eastAsia" w:ascii="仿宋" w:hAnsi="仿宋" w:eastAsia="仿宋" w:cs="仿宋"/>
          <w:b/>
          <w:bCs w:val="0"/>
          <w:color w:val="auto"/>
          <w:kern w:val="2"/>
          <w:sz w:val="21"/>
          <w:szCs w:val="21"/>
          <w:highlight w:val="none"/>
          <w:lang w:val="en-US" w:eastAsia="zh-CN" w:bidi="ar-SA"/>
        </w:rPr>
      </w:pPr>
    </w:p>
    <w:p w14:paraId="6D94819A">
      <w:pPr>
        <w:pStyle w:val="12"/>
        <w:outlineLvl w:val="9"/>
        <w:rPr>
          <w:rFonts w:hint="eastAsia" w:ascii="仿宋" w:hAnsi="仿宋" w:eastAsia="仿宋" w:cs="仿宋"/>
          <w:b/>
          <w:bCs w:val="0"/>
          <w:color w:val="auto"/>
          <w:kern w:val="2"/>
          <w:sz w:val="21"/>
          <w:szCs w:val="21"/>
          <w:highlight w:val="none"/>
          <w:lang w:val="en-US" w:eastAsia="zh-CN" w:bidi="ar-SA"/>
        </w:rPr>
      </w:pPr>
    </w:p>
    <w:p w14:paraId="5B5E3782">
      <w:pPr>
        <w:pStyle w:val="12"/>
        <w:outlineLvl w:val="9"/>
        <w:rPr>
          <w:rFonts w:hint="eastAsia" w:ascii="仿宋" w:hAnsi="仿宋" w:eastAsia="仿宋" w:cs="仿宋"/>
          <w:b/>
          <w:bCs w:val="0"/>
          <w:color w:val="auto"/>
          <w:kern w:val="2"/>
          <w:sz w:val="21"/>
          <w:szCs w:val="21"/>
          <w:highlight w:val="none"/>
          <w:lang w:val="en-US" w:eastAsia="zh-CN" w:bidi="ar-SA"/>
        </w:rPr>
      </w:pPr>
    </w:p>
    <w:p w14:paraId="68255214">
      <w:pPr>
        <w:pStyle w:val="12"/>
        <w:outlineLvl w:val="9"/>
        <w:rPr>
          <w:rFonts w:hint="eastAsia" w:ascii="仿宋" w:hAnsi="仿宋" w:eastAsia="仿宋" w:cs="仿宋"/>
          <w:b/>
          <w:bCs w:val="0"/>
          <w:color w:val="auto"/>
          <w:kern w:val="2"/>
          <w:sz w:val="21"/>
          <w:szCs w:val="21"/>
          <w:highlight w:val="none"/>
          <w:lang w:val="en-US" w:eastAsia="zh-CN" w:bidi="ar-SA"/>
        </w:rPr>
      </w:pPr>
    </w:p>
    <w:p w14:paraId="6EBABEAB">
      <w:pPr>
        <w:pStyle w:val="12"/>
        <w:outlineLvl w:val="9"/>
        <w:rPr>
          <w:rFonts w:hint="eastAsia" w:ascii="仿宋" w:hAnsi="仿宋" w:eastAsia="仿宋" w:cs="仿宋"/>
          <w:b/>
          <w:bCs w:val="0"/>
          <w:color w:val="auto"/>
          <w:kern w:val="2"/>
          <w:sz w:val="21"/>
          <w:szCs w:val="21"/>
          <w:highlight w:val="none"/>
          <w:lang w:val="en-US" w:eastAsia="zh-CN" w:bidi="ar-SA"/>
        </w:rPr>
      </w:pPr>
    </w:p>
    <w:p w14:paraId="65CC95F0">
      <w:pPr>
        <w:numPr>
          <w:ilvl w:val="0"/>
          <w:numId w:val="0"/>
        </w:numPr>
        <w:bidi w:val="0"/>
        <w:ind w:left="425"/>
        <w:jc w:val="center"/>
        <w:outlineLvl w:val="9"/>
        <w:rPr>
          <w:rFonts w:hint="eastAsia" w:ascii="仿宋" w:hAnsi="仿宋" w:eastAsia="仿宋" w:cs="仿宋"/>
          <w:b/>
          <w:bCs/>
          <w:color w:val="auto"/>
          <w:kern w:val="2"/>
          <w:sz w:val="28"/>
          <w:szCs w:val="28"/>
          <w:highlight w:val="none"/>
          <w:lang w:val="en-US" w:eastAsia="zh-CN" w:bidi="ar-SA"/>
        </w:rPr>
        <w:sectPr>
          <w:pgSz w:w="11905" w:h="16838"/>
          <w:pgMar w:top="1417" w:right="1417" w:bottom="1417" w:left="1417" w:header="850" w:footer="850" w:gutter="0"/>
          <w:pgBorders>
            <w:top w:val="none" w:sz="0" w:space="0"/>
            <w:left w:val="none" w:sz="0" w:space="0"/>
            <w:bottom w:val="none" w:sz="0" w:space="0"/>
            <w:right w:val="none" w:sz="0" w:space="0"/>
          </w:pgBorders>
          <w:pgNumType w:fmt="numberInDash"/>
          <w:cols w:space="0" w:num="1"/>
          <w:rtlGutter w:val="0"/>
          <w:docGrid w:type="lines" w:linePitch="412" w:charSpace="0"/>
        </w:sectPr>
      </w:pPr>
    </w:p>
    <w:p w14:paraId="00C5E161">
      <w:pPr>
        <w:numPr>
          <w:ilvl w:val="0"/>
          <w:numId w:val="0"/>
        </w:numPr>
        <w:bidi w:val="0"/>
        <w:ind w:left="425"/>
        <w:jc w:val="center"/>
        <w:outlineLvl w:val="9"/>
        <w:rPr>
          <w:rFonts w:hint="eastAsia" w:ascii="仿宋" w:hAnsi="仿宋" w:eastAsia="仿宋" w:cs="仿宋"/>
          <w:b/>
          <w:bCs/>
          <w:color w:val="auto"/>
          <w:kern w:val="2"/>
          <w:sz w:val="28"/>
          <w:szCs w:val="28"/>
          <w:highlight w:val="none"/>
          <w:lang w:val="en-US" w:eastAsia="zh-CN" w:bidi="ar-SA"/>
        </w:rPr>
      </w:pPr>
      <w:r>
        <w:rPr>
          <w:rFonts w:hint="eastAsia" w:ascii="仿宋" w:hAnsi="仿宋" w:eastAsia="仿宋" w:cs="仿宋"/>
          <w:b/>
          <w:bCs/>
          <w:color w:val="auto"/>
          <w:kern w:val="2"/>
          <w:sz w:val="28"/>
          <w:szCs w:val="28"/>
          <w:highlight w:val="none"/>
          <w:lang w:val="en-US" w:eastAsia="zh-CN" w:bidi="ar-SA"/>
        </w:rPr>
        <w:t>十一、监狱企业证明文件（如有）</w:t>
      </w:r>
    </w:p>
    <w:p w14:paraId="686CB104">
      <w:pPr>
        <w:bidi w:val="0"/>
        <w:spacing w:line="360" w:lineRule="auto"/>
        <w:ind w:firstLine="420" w:firstLineChars="200"/>
        <w:outlineLvl w:val="9"/>
        <w:rPr>
          <w:rFonts w:hint="eastAsia" w:ascii="仿宋" w:hAnsi="仿宋" w:eastAsia="仿宋" w:cs="仿宋"/>
          <w:color w:val="auto"/>
          <w:sz w:val="21"/>
          <w:szCs w:val="21"/>
          <w:highlight w:val="none"/>
          <w:lang w:val="en-US"/>
        </w:rPr>
      </w:pPr>
      <w:r>
        <w:rPr>
          <w:rFonts w:hint="eastAsia" w:ascii="仿宋" w:hAnsi="仿宋" w:eastAsia="仿宋" w:cs="仿宋"/>
          <w:color w:val="auto"/>
          <w:sz w:val="21"/>
          <w:szCs w:val="21"/>
          <w:highlight w:val="none"/>
        </w:rPr>
        <w:t>根据财政部、司法部联合印发《关于政府采购支持监狱企业发展有关问题的通知》（财库【2014】68号）文件规定，凡监狱企业参加政府采购活动视同小型、微型企业，享受评审价格扣除的政府采购优惠政策。此次若有监狱企业参加投标的其报价享受6%的价格扣除，但必须提供由省级以上监狱管理局、戒毒管理局（含新疆生产建设兵团）出具的属于监狱企业的证明文件，否则评审时不予价格扣除优惠。</w:t>
      </w:r>
    </w:p>
    <w:p w14:paraId="697A3DB4">
      <w:pPr>
        <w:bidi w:val="0"/>
        <w:spacing w:line="360" w:lineRule="auto"/>
        <w:jc w:val="center"/>
        <w:outlineLvl w:val="9"/>
        <w:rPr>
          <w:rFonts w:hint="eastAsia" w:ascii="仿宋" w:hAnsi="仿宋" w:eastAsia="仿宋" w:cs="仿宋"/>
          <w:color w:val="auto"/>
          <w:sz w:val="21"/>
          <w:szCs w:val="21"/>
          <w:highlight w:val="none"/>
        </w:rPr>
      </w:pPr>
    </w:p>
    <w:p w14:paraId="5A18852B">
      <w:pPr>
        <w:bidi w:val="0"/>
        <w:spacing w:line="360" w:lineRule="auto"/>
        <w:jc w:val="center"/>
        <w:outlineLvl w:val="9"/>
        <w:rPr>
          <w:rFonts w:hint="eastAsia" w:ascii="仿宋" w:hAnsi="仿宋" w:eastAsia="仿宋" w:cs="仿宋"/>
          <w:color w:val="auto"/>
          <w:sz w:val="21"/>
          <w:szCs w:val="21"/>
          <w:highlight w:val="none"/>
        </w:rPr>
      </w:pPr>
    </w:p>
    <w:p w14:paraId="099FD9D3">
      <w:pPr>
        <w:bidi w:val="0"/>
        <w:spacing w:line="360" w:lineRule="auto"/>
        <w:ind w:firstLine="420" w:firstLineChars="200"/>
        <w:outlineLvl w:val="9"/>
        <w:rPr>
          <w:rFonts w:hint="eastAsia" w:ascii="仿宋" w:hAnsi="仿宋" w:eastAsia="仿宋" w:cs="仿宋"/>
          <w:color w:val="auto"/>
          <w:sz w:val="21"/>
          <w:szCs w:val="21"/>
          <w:highlight w:val="none"/>
          <w:u w:val="none"/>
          <w:lang w:val="en-US" w:eastAsia="zh-CN"/>
        </w:rPr>
      </w:pPr>
      <w:r>
        <w:rPr>
          <w:rFonts w:hint="eastAsia" w:ascii="仿宋" w:hAnsi="仿宋" w:eastAsia="仿宋" w:cs="仿宋"/>
          <w:color w:val="auto"/>
          <w:sz w:val="21"/>
          <w:szCs w:val="21"/>
          <w:highlight w:val="none"/>
          <w:u w:val="none"/>
          <w:lang w:val="en-US"/>
        </w:rPr>
        <w:t>注：在</w:t>
      </w:r>
      <w:r>
        <w:rPr>
          <w:rFonts w:hint="eastAsia" w:ascii="仿宋" w:hAnsi="仿宋" w:eastAsia="仿宋" w:cs="仿宋"/>
          <w:color w:val="auto"/>
          <w:sz w:val="21"/>
          <w:szCs w:val="21"/>
          <w:highlight w:val="none"/>
          <w:u w:val="none"/>
          <w:lang w:val="en-US" w:eastAsia="zh-CN"/>
        </w:rPr>
        <w:t>投标</w:t>
      </w:r>
      <w:r>
        <w:rPr>
          <w:rFonts w:hint="eastAsia" w:ascii="仿宋" w:hAnsi="仿宋" w:eastAsia="仿宋" w:cs="仿宋"/>
          <w:color w:val="auto"/>
          <w:sz w:val="21"/>
          <w:szCs w:val="21"/>
          <w:highlight w:val="none"/>
          <w:u w:val="none"/>
          <w:lang w:val="en-US"/>
        </w:rPr>
        <w:t>文件中附扫描件</w:t>
      </w:r>
      <w:r>
        <w:rPr>
          <w:rFonts w:hint="eastAsia" w:ascii="仿宋" w:hAnsi="仿宋" w:eastAsia="仿宋" w:cs="仿宋"/>
          <w:color w:val="auto"/>
          <w:sz w:val="21"/>
          <w:szCs w:val="21"/>
          <w:highlight w:val="none"/>
          <w:u w:val="none"/>
          <w:lang w:val="en-US" w:eastAsia="zh-CN"/>
        </w:rPr>
        <w:t>。</w:t>
      </w:r>
    </w:p>
    <w:p w14:paraId="2683E6B0">
      <w:pPr>
        <w:numPr>
          <w:ilvl w:val="0"/>
          <w:numId w:val="0"/>
        </w:numPr>
        <w:bidi w:val="0"/>
        <w:ind w:left="425"/>
        <w:jc w:val="center"/>
        <w:outlineLvl w:val="9"/>
        <w:rPr>
          <w:rFonts w:hint="eastAsia" w:ascii="仿宋" w:hAnsi="仿宋" w:eastAsia="仿宋" w:cs="仿宋"/>
          <w:b/>
          <w:bCs/>
          <w:color w:val="auto"/>
          <w:kern w:val="2"/>
          <w:sz w:val="28"/>
          <w:szCs w:val="28"/>
          <w:highlight w:val="none"/>
          <w:lang w:val="en-US" w:eastAsia="zh-CN" w:bidi="ar-SA"/>
        </w:rPr>
      </w:pPr>
    </w:p>
    <w:p w14:paraId="660D7A08">
      <w:pPr>
        <w:numPr>
          <w:ilvl w:val="0"/>
          <w:numId w:val="0"/>
        </w:numPr>
        <w:bidi w:val="0"/>
        <w:ind w:left="425"/>
        <w:jc w:val="center"/>
        <w:outlineLvl w:val="9"/>
        <w:rPr>
          <w:rFonts w:hint="eastAsia" w:ascii="仿宋" w:hAnsi="仿宋" w:eastAsia="仿宋" w:cs="仿宋"/>
          <w:b/>
          <w:bCs/>
          <w:color w:val="auto"/>
          <w:kern w:val="2"/>
          <w:sz w:val="28"/>
          <w:szCs w:val="28"/>
          <w:highlight w:val="none"/>
          <w:lang w:val="en-US" w:eastAsia="zh-CN" w:bidi="ar-SA"/>
        </w:rPr>
      </w:pPr>
    </w:p>
    <w:p w14:paraId="79EB5236">
      <w:pPr>
        <w:numPr>
          <w:ilvl w:val="0"/>
          <w:numId w:val="0"/>
        </w:numPr>
        <w:bidi w:val="0"/>
        <w:ind w:left="425"/>
        <w:jc w:val="center"/>
        <w:outlineLvl w:val="9"/>
        <w:rPr>
          <w:rFonts w:hint="eastAsia" w:ascii="仿宋" w:hAnsi="仿宋" w:eastAsia="仿宋" w:cs="仿宋"/>
          <w:b/>
          <w:bCs/>
          <w:color w:val="auto"/>
          <w:kern w:val="2"/>
          <w:sz w:val="28"/>
          <w:szCs w:val="28"/>
          <w:highlight w:val="none"/>
          <w:lang w:val="en-US" w:eastAsia="zh-CN" w:bidi="ar-SA"/>
        </w:rPr>
      </w:pPr>
    </w:p>
    <w:p w14:paraId="63D5C995">
      <w:pPr>
        <w:numPr>
          <w:ilvl w:val="0"/>
          <w:numId w:val="0"/>
        </w:numPr>
        <w:bidi w:val="0"/>
        <w:ind w:left="425"/>
        <w:jc w:val="center"/>
        <w:outlineLvl w:val="9"/>
        <w:rPr>
          <w:rFonts w:hint="eastAsia" w:ascii="仿宋" w:hAnsi="仿宋" w:eastAsia="仿宋" w:cs="仿宋"/>
          <w:b/>
          <w:bCs/>
          <w:color w:val="auto"/>
          <w:kern w:val="2"/>
          <w:sz w:val="28"/>
          <w:szCs w:val="28"/>
          <w:highlight w:val="none"/>
          <w:lang w:val="en-US" w:eastAsia="zh-CN" w:bidi="ar-SA"/>
        </w:rPr>
      </w:pPr>
    </w:p>
    <w:p w14:paraId="4E32862A">
      <w:pPr>
        <w:numPr>
          <w:ilvl w:val="0"/>
          <w:numId w:val="0"/>
        </w:numPr>
        <w:bidi w:val="0"/>
        <w:ind w:left="425"/>
        <w:jc w:val="center"/>
        <w:outlineLvl w:val="9"/>
        <w:rPr>
          <w:rFonts w:hint="eastAsia" w:ascii="仿宋" w:hAnsi="仿宋" w:eastAsia="仿宋" w:cs="仿宋"/>
          <w:b/>
          <w:bCs/>
          <w:color w:val="auto"/>
          <w:kern w:val="2"/>
          <w:sz w:val="28"/>
          <w:szCs w:val="28"/>
          <w:highlight w:val="none"/>
          <w:lang w:val="en-US" w:eastAsia="zh-CN" w:bidi="ar-SA"/>
        </w:rPr>
      </w:pPr>
    </w:p>
    <w:p w14:paraId="472AA874">
      <w:pPr>
        <w:outlineLvl w:val="9"/>
        <w:rPr>
          <w:rFonts w:hint="eastAsia" w:ascii="仿宋" w:hAnsi="仿宋" w:eastAsia="仿宋" w:cs="仿宋"/>
          <w:b/>
          <w:bCs/>
          <w:color w:val="auto"/>
          <w:kern w:val="2"/>
          <w:sz w:val="28"/>
          <w:szCs w:val="28"/>
          <w:highlight w:val="none"/>
          <w:lang w:val="en-US" w:eastAsia="zh-CN" w:bidi="ar-SA"/>
        </w:rPr>
      </w:pPr>
    </w:p>
    <w:p w14:paraId="2514BEC9">
      <w:pPr>
        <w:pStyle w:val="17"/>
        <w:outlineLvl w:val="9"/>
        <w:rPr>
          <w:rFonts w:hint="eastAsia" w:ascii="仿宋" w:hAnsi="仿宋" w:eastAsia="仿宋" w:cs="仿宋"/>
          <w:color w:val="auto"/>
          <w:highlight w:val="none"/>
          <w:lang w:val="en-US" w:eastAsia="zh-CN"/>
        </w:rPr>
      </w:pPr>
    </w:p>
    <w:p w14:paraId="0C163610">
      <w:pPr>
        <w:bidi w:val="0"/>
        <w:spacing w:line="360" w:lineRule="auto"/>
        <w:jc w:val="center"/>
        <w:outlineLvl w:val="9"/>
        <w:rPr>
          <w:rFonts w:hint="eastAsia" w:ascii="仿宋" w:hAnsi="仿宋" w:eastAsia="仿宋" w:cs="仿宋"/>
          <w:b/>
          <w:color w:val="auto"/>
          <w:sz w:val="21"/>
          <w:szCs w:val="21"/>
          <w:highlight w:val="none"/>
          <w:lang w:val="en-US" w:eastAsia="zh-CN"/>
        </w:rPr>
      </w:pPr>
    </w:p>
    <w:p w14:paraId="7F140794">
      <w:pPr>
        <w:bidi w:val="0"/>
        <w:spacing w:line="360" w:lineRule="auto"/>
        <w:jc w:val="center"/>
        <w:outlineLvl w:val="9"/>
        <w:rPr>
          <w:rFonts w:hint="eastAsia" w:ascii="仿宋" w:hAnsi="仿宋" w:eastAsia="仿宋" w:cs="仿宋"/>
          <w:b/>
          <w:color w:val="auto"/>
          <w:sz w:val="21"/>
          <w:szCs w:val="21"/>
          <w:highlight w:val="none"/>
          <w:lang w:val="en-US" w:eastAsia="zh-CN"/>
        </w:rPr>
      </w:pPr>
    </w:p>
    <w:p w14:paraId="249BC61C">
      <w:pPr>
        <w:pStyle w:val="5"/>
        <w:outlineLvl w:val="9"/>
        <w:rPr>
          <w:rFonts w:hint="eastAsia" w:ascii="仿宋" w:hAnsi="仿宋" w:eastAsia="仿宋" w:cs="仿宋"/>
          <w:b/>
          <w:color w:val="auto"/>
          <w:sz w:val="21"/>
          <w:szCs w:val="21"/>
          <w:highlight w:val="none"/>
          <w:lang w:val="en-US" w:eastAsia="zh-CN"/>
        </w:rPr>
      </w:pPr>
    </w:p>
    <w:p w14:paraId="47AC4386">
      <w:pPr>
        <w:pStyle w:val="14"/>
        <w:outlineLvl w:val="9"/>
        <w:rPr>
          <w:rFonts w:hint="eastAsia" w:ascii="仿宋" w:hAnsi="仿宋" w:eastAsia="仿宋" w:cs="仿宋"/>
          <w:b/>
          <w:color w:val="auto"/>
          <w:sz w:val="21"/>
          <w:szCs w:val="21"/>
          <w:highlight w:val="none"/>
          <w:lang w:val="en-US" w:eastAsia="zh-CN"/>
        </w:rPr>
      </w:pPr>
    </w:p>
    <w:p w14:paraId="79A16FD8">
      <w:pPr>
        <w:outlineLvl w:val="9"/>
        <w:rPr>
          <w:rFonts w:hint="eastAsia" w:ascii="仿宋" w:hAnsi="仿宋" w:eastAsia="仿宋" w:cs="仿宋"/>
          <w:color w:val="auto"/>
          <w:highlight w:val="none"/>
          <w:lang w:val="en-US" w:eastAsia="zh-CN"/>
        </w:rPr>
      </w:pPr>
    </w:p>
    <w:p w14:paraId="3874FD27">
      <w:pPr>
        <w:numPr>
          <w:ilvl w:val="0"/>
          <w:numId w:val="0"/>
        </w:numPr>
        <w:bidi w:val="0"/>
        <w:ind w:firstLine="562" w:firstLineChars="200"/>
        <w:jc w:val="center"/>
        <w:outlineLvl w:val="9"/>
        <w:rPr>
          <w:rFonts w:hint="eastAsia" w:ascii="仿宋" w:hAnsi="仿宋" w:eastAsia="仿宋" w:cs="仿宋"/>
          <w:b/>
          <w:bCs/>
          <w:color w:val="auto"/>
          <w:kern w:val="2"/>
          <w:sz w:val="28"/>
          <w:szCs w:val="28"/>
          <w:highlight w:val="none"/>
          <w:lang w:val="en-US" w:eastAsia="zh-CN" w:bidi="ar-SA"/>
        </w:rPr>
      </w:pPr>
    </w:p>
    <w:p w14:paraId="35ED40D4">
      <w:pPr>
        <w:pStyle w:val="5"/>
        <w:spacing w:before="248" w:line="220" w:lineRule="auto"/>
        <w:ind w:left="0" w:leftChars="0" w:firstLine="0" w:firstLineChars="0"/>
        <w:jc w:val="center"/>
        <w:outlineLvl w:val="9"/>
        <w:rPr>
          <w:rFonts w:hint="eastAsia" w:ascii="仿宋" w:hAnsi="仿宋" w:eastAsia="仿宋" w:cs="仿宋"/>
          <w:b/>
          <w:bCs/>
          <w:snapToGrid w:val="0"/>
          <w:color w:val="auto"/>
          <w:spacing w:val="-3"/>
          <w:kern w:val="0"/>
          <w:sz w:val="28"/>
          <w:szCs w:val="28"/>
          <w:highlight w:val="none"/>
          <w:lang w:val="en-US" w:eastAsia="en-US" w:bidi="ar-SA"/>
        </w:rPr>
      </w:pPr>
      <w:r>
        <w:rPr>
          <w:rFonts w:hint="eastAsia" w:ascii="仿宋" w:hAnsi="仿宋" w:eastAsia="仿宋" w:cs="仿宋"/>
          <w:b/>
          <w:bCs/>
          <w:color w:val="auto"/>
          <w:spacing w:val="-3"/>
          <w:sz w:val="28"/>
          <w:szCs w:val="28"/>
          <w:highlight w:val="none"/>
        </w:rPr>
        <w:t>十</w:t>
      </w:r>
      <w:r>
        <w:rPr>
          <w:rFonts w:hint="eastAsia" w:ascii="仿宋" w:hAnsi="仿宋" w:eastAsia="仿宋" w:cs="仿宋"/>
          <w:b/>
          <w:bCs/>
          <w:color w:val="auto"/>
          <w:spacing w:val="-3"/>
          <w:sz w:val="28"/>
          <w:szCs w:val="28"/>
          <w:highlight w:val="none"/>
          <w:lang w:val="en-US" w:eastAsia="zh-CN"/>
        </w:rPr>
        <w:t>二</w:t>
      </w:r>
      <w:r>
        <w:rPr>
          <w:rFonts w:hint="eastAsia" w:ascii="仿宋" w:hAnsi="仿宋" w:eastAsia="仿宋" w:cs="仿宋"/>
          <w:b/>
          <w:bCs/>
          <w:color w:val="auto"/>
          <w:spacing w:val="-3"/>
          <w:sz w:val="28"/>
          <w:szCs w:val="28"/>
          <w:highlight w:val="none"/>
        </w:rPr>
        <w:t>、</w:t>
      </w:r>
      <w:r>
        <w:rPr>
          <w:rFonts w:hint="eastAsia" w:ascii="仿宋" w:hAnsi="仿宋" w:eastAsia="仿宋" w:cs="仿宋"/>
          <w:b/>
          <w:bCs w:val="0"/>
          <w:color w:val="auto"/>
          <w:kern w:val="0"/>
          <w:sz w:val="24"/>
          <w:szCs w:val="23"/>
          <w:highlight w:val="none"/>
          <w:lang w:val="en-US" w:eastAsia="zh-CN" w:bidi="ar-SA"/>
        </w:rPr>
        <w:t>关于符合本国产品标准的声明函</w:t>
      </w:r>
      <w:r>
        <w:rPr>
          <w:rFonts w:hint="eastAsia" w:ascii="仿宋" w:hAnsi="仿宋" w:eastAsia="仿宋" w:cs="仿宋"/>
          <w:b/>
          <w:bCs/>
          <w:snapToGrid w:val="0"/>
          <w:color w:val="auto"/>
          <w:spacing w:val="-3"/>
          <w:kern w:val="0"/>
          <w:sz w:val="28"/>
          <w:szCs w:val="28"/>
          <w:highlight w:val="none"/>
          <w:lang w:val="en-US" w:eastAsia="en-US" w:bidi="ar-SA"/>
        </w:rPr>
        <w:t>（如有）</w:t>
      </w:r>
    </w:p>
    <w:p w14:paraId="520B3844">
      <w:pPr>
        <w:pStyle w:val="14"/>
        <w:spacing w:after="0" w:line="240" w:lineRule="auto"/>
        <w:ind w:firstLine="0" w:firstLineChars="0"/>
        <w:jc w:val="center"/>
        <w:outlineLvl w:val="9"/>
        <w:rPr>
          <w:rFonts w:hint="eastAsia" w:ascii="仿宋" w:hAnsi="仿宋" w:eastAsia="仿宋" w:cs="仿宋"/>
          <w:b/>
          <w:bCs/>
          <w:snapToGrid w:val="0"/>
          <w:color w:val="auto"/>
          <w:spacing w:val="-3"/>
          <w:kern w:val="0"/>
          <w:sz w:val="28"/>
          <w:szCs w:val="28"/>
          <w:highlight w:val="none"/>
          <w:lang w:val="en-US" w:eastAsia="en-US" w:bidi="ar-SA"/>
        </w:rPr>
      </w:pPr>
    </w:p>
    <w:p w14:paraId="0A0EA6F9">
      <w:pPr>
        <w:pStyle w:val="14"/>
        <w:spacing w:after="0" w:line="240" w:lineRule="auto"/>
        <w:ind w:firstLine="0" w:firstLineChars="0"/>
        <w:jc w:val="center"/>
        <w:outlineLvl w:val="9"/>
        <w:rPr>
          <w:rFonts w:hint="eastAsia" w:ascii="仿宋" w:hAnsi="仿宋" w:eastAsia="仿宋" w:cs="仿宋"/>
          <w:b/>
          <w:bCs/>
          <w:snapToGrid w:val="0"/>
          <w:color w:val="auto"/>
          <w:spacing w:val="-3"/>
          <w:kern w:val="0"/>
          <w:sz w:val="28"/>
          <w:szCs w:val="28"/>
          <w:highlight w:val="none"/>
          <w:lang w:val="en-US" w:eastAsia="en-US" w:bidi="ar-SA"/>
        </w:rPr>
      </w:pPr>
      <w:r>
        <w:rPr>
          <w:rFonts w:hint="eastAsia" w:ascii="仿宋" w:hAnsi="仿宋" w:eastAsia="仿宋" w:cs="仿宋"/>
          <w:b/>
          <w:bCs/>
          <w:snapToGrid w:val="0"/>
          <w:color w:val="auto"/>
          <w:spacing w:val="-3"/>
          <w:kern w:val="0"/>
          <w:sz w:val="28"/>
          <w:szCs w:val="28"/>
          <w:highlight w:val="none"/>
          <w:lang w:val="en-US" w:eastAsia="en-US" w:bidi="ar-SA"/>
        </w:rPr>
        <w:t>关于符合本国产品标准的声明函</w:t>
      </w:r>
    </w:p>
    <w:p w14:paraId="4533872A">
      <w:pPr>
        <w:pStyle w:val="13"/>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仿宋" w:hAnsi="仿宋" w:eastAsia="仿宋" w:cs="仿宋"/>
          <w:color w:val="auto"/>
          <w:kern w:val="2"/>
          <w:sz w:val="21"/>
          <w:szCs w:val="21"/>
          <w:highlight w:val="none"/>
          <w:lang w:val="en-US" w:eastAsia="en-US" w:bidi="ar-SA"/>
        </w:rPr>
      </w:pPr>
      <w:r>
        <w:rPr>
          <w:rFonts w:hint="eastAsia" w:ascii="仿宋" w:hAnsi="仿宋" w:eastAsia="仿宋" w:cs="仿宋"/>
          <w:color w:val="auto"/>
          <w:kern w:val="2"/>
          <w:sz w:val="21"/>
          <w:szCs w:val="21"/>
          <w:highlight w:val="none"/>
          <w:lang w:val="en-US" w:eastAsia="en-US" w:bidi="ar-SA"/>
        </w:rPr>
        <w:t>本公司（单位）郑重声明，根据《国务院办公厅关于在政府采购中实施本国产品标准及相关政策的通知》（国办发〔2025〕34号）的规定，本公司（单位）提供的以下产品属于本国产品。具体情况如下：</w:t>
      </w:r>
    </w:p>
    <w:p w14:paraId="22BB625A">
      <w:pPr>
        <w:spacing w:before="12" w:line="369" w:lineRule="auto"/>
        <w:ind w:left="22" w:right="70" w:firstLine="435"/>
        <w:outlineLvl w:val="9"/>
        <w:rPr>
          <w:rFonts w:hint="eastAsia" w:ascii="仿宋" w:hAnsi="仿宋" w:eastAsia="仿宋" w:cs="仿宋"/>
          <w:color w:val="auto"/>
          <w:sz w:val="21"/>
          <w:szCs w:val="21"/>
          <w:highlight w:val="none"/>
        </w:rPr>
      </w:pPr>
      <w:r>
        <w:rPr>
          <w:rFonts w:hint="eastAsia" w:ascii="仿宋" w:hAnsi="仿宋" w:eastAsia="仿宋" w:cs="仿宋"/>
          <w:color w:val="auto"/>
          <w:spacing w:val="4"/>
          <w:sz w:val="21"/>
          <w:szCs w:val="21"/>
          <w:highlight w:val="none"/>
        </w:rPr>
        <w:t>1.（产品名称</w:t>
      </w:r>
      <w:r>
        <w:rPr>
          <w:rFonts w:hint="eastAsia" w:ascii="仿宋" w:hAnsi="仿宋" w:eastAsia="仿宋" w:cs="仿宋"/>
          <w:color w:val="auto"/>
          <w:spacing w:val="-22"/>
          <w:sz w:val="21"/>
          <w:szCs w:val="21"/>
          <w:highlight w:val="none"/>
        </w:rPr>
        <w:t xml:space="preserve"> </w:t>
      </w:r>
      <w:r>
        <w:rPr>
          <w:rFonts w:hint="eastAsia" w:ascii="仿宋" w:hAnsi="仿宋" w:eastAsia="仿宋" w:cs="仿宋"/>
          <w:color w:val="auto"/>
          <w:spacing w:val="4"/>
          <w:sz w:val="21"/>
          <w:szCs w:val="21"/>
          <w:highlight w:val="none"/>
        </w:rPr>
        <w:t>1）</w:t>
      </w:r>
      <w:r>
        <w:rPr>
          <w:rFonts w:hint="eastAsia" w:ascii="仿宋" w:hAnsi="仿宋" w:eastAsia="仿宋" w:cs="仿宋"/>
          <w:color w:val="auto"/>
          <w:spacing w:val="4"/>
          <w:position w:val="10"/>
          <w:sz w:val="21"/>
          <w:szCs w:val="21"/>
          <w:highlight w:val="none"/>
        </w:rPr>
        <w:t>1</w:t>
      </w:r>
      <w:r>
        <w:rPr>
          <w:rFonts w:hint="eastAsia" w:ascii="仿宋" w:hAnsi="仿宋" w:eastAsia="仿宋" w:cs="仿宋"/>
          <w:color w:val="auto"/>
          <w:spacing w:val="-27"/>
          <w:position w:val="10"/>
          <w:sz w:val="21"/>
          <w:szCs w:val="21"/>
          <w:highlight w:val="none"/>
        </w:rPr>
        <w:t xml:space="preserve"> </w:t>
      </w:r>
      <w:r>
        <w:rPr>
          <w:rFonts w:hint="eastAsia" w:ascii="仿宋" w:hAnsi="仿宋" w:eastAsia="仿宋" w:cs="仿宋"/>
          <w:color w:val="auto"/>
          <w:spacing w:val="4"/>
          <w:sz w:val="21"/>
          <w:szCs w:val="21"/>
          <w:highlight w:val="none"/>
        </w:rPr>
        <w:t>，生产厂为（厂名）</w:t>
      </w:r>
      <w:r>
        <w:rPr>
          <w:rFonts w:hint="eastAsia" w:ascii="仿宋" w:hAnsi="仿宋" w:eastAsia="仿宋" w:cs="仿宋"/>
          <w:color w:val="auto"/>
          <w:spacing w:val="4"/>
          <w:position w:val="10"/>
          <w:sz w:val="21"/>
          <w:szCs w:val="21"/>
          <w:highlight w:val="none"/>
        </w:rPr>
        <w:t>2</w:t>
      </w:r>
      <w:r>
        <w:rPr>
          <w:rFonts w:hint="eastAsia" w:ascii="仿宋" w:hAnsi="仿宋" w:eastAsia="仿宋" w:cs="仿宋"/>
          <w:color w:val="auto"/>
          <w:spacing w:val="-27"/>
          <w:position w:val="10"/>
          <w:sz w:val="21"/>
          <w:szCs w:val="21"/>
          <w:highlight w:val="none"/>
        </w:rPr>
        <w:t xml:space="preserve"> </w:t>
      </w:r>
      <w:r>
        <w:rPr>
          <w:rFonts w:hint="eastAsia" w:ascii="仿宋" w:hAnsi="仿宋" w:eastAsia="仿宋" w:cs="仿宋"/>
          <w:color w:val="auto"/>
          <w:spacing w:val="4"/>
          <w:sz w:val="21"/>
          <w:szCs w:val="21"/>
          <w:highlight w:val="none"/>
        </w:rPr>
        <w:t>，厂址为（生产厂址）。（产品名称</w:t>
      </w:r>
      <w:r>
        <w:rPr>
          <w:rFonts w:hint="eastAsia" w:ascii="仿宋" w:hAnsi="仿宋" w:eastAsia="仿宋" w:cs="仿宋"/>
          <w:color w:val="auto"/>
          <w:spacing w:val="-24"/>
          <w:sz w:val="21"/>
          <w:szCs w:val="21"/>
          <w:highlight w:val="none"/>
        </w:rPr>
        <w:t xml:space="preserve"> </w:t>
      </w:r>
      <w:r>
        <w:rPr>
          <w:rFonts w:hint="eastAsia" w:ascii="仿宋" w:hAnsi="仿宋" w:eastAsia="仿宋" w:cs="仿宋"/>
          <w:color w:val="auto"/>
          <w:spacing w:val="3"/>
          <w:sz w:val="21"/>
          <w:szCs w:val="21"/>
          <w:highlight w:val="none"/>
        </w:rPr>
        <w:t>1）的中国</w:t>
      </w:r>
      <w:r>
        <w:rPr>
          <w:rFonts w:hint="eastAsia" w:ascii="仿宋" w:hAnsi="仿宋" w:eastAsia="仿宋" w:cs="仿宋"/>
          <w:color w:val="auto"/>
          <w:spacing w:val="8"/>
          <w:sz w:val="21"/>
          <w:szCs w:val="21"/>
          <w:highlight w:val="none"/>
        </w:rPr>
        <w:t>境内生产的组件成本占比≥（规定比例）</w:t>
      </w:r>
      <w:r>
        <w:rPr>
          <w:rFonts w:hint="eastAsia" w:ascii="仿宋" w:hAnsi="仿宋" w:eastAsia="仿宋" w:cs="仿宋"/>
          <w:color w:val="auto"/>
          <w:spacing w:val="8"/>
          <w:position w:val="10"/>
          <w:sz w:val="21"/>
          <w:szCs w:val="21"/>
          <w:highlight w:val="none"/>
        </w:rPr>
        <w:t>3</w:t>
      </w:r>
      <w:r>
        <w:rPr>
          <w:rFonts w:hint="eastAsia" w:ascii="仿宋" w:hAnsi="仿宋" w:eastAsia="仿宋" w:cs="仿宋"/>
          <w:color w:val="auto"/>
          <w:spacing w:val="-22"/>
          <w:position w:val="10"/>
          <w:sz w:val="21"/>
          <w:szCs w:val="21"/>
          <w:highlight w:val="none"/>
        </w:rPr>
        <w:t xml:space="preserve"> </w:t>
      </w:r>
      <w:r>
        <w:rPr>
          <w:rFonts w:hint="eastAsia" w:ascii="仿宋" w:hAnsi="仿宋" w:eastAsia="仿宋" w:cs="仿宋"/>
          <w:color w:val="auto"/>
          <w:spacing w:val="8"/>
          <w:sz w:val="21"/>
          <w:szCs w:val="21"/>
          <w:highlight w:val="none"/>
        </w:rPr>
        <w:t>。（产品名称</w:t>
      </w:r>
      <w:r>
        <w:rPr>
          <w:rFonts w:hint="eastAsia" w:ascii="仿宋" w:hAnsi="仿宋" w:eastAsia="仿宋" w:cs="仿宋"/>
          <w:color w:val="auto"/>
          <w:spacing w:val="-21"/>
          <w:sz w:val="21"/>
          <w:szCs w:val="21"/>
          <w:highlight w:val="none"/>
        </w:rPr>
        <w:t xml:space="preserve"> </w:t>
      </w:r>
      <w:r>
        <w:rPr>
          <w:rFonts w:hint="eastAsia" w:ascii="仿宋" w:hAnsi="仿宋" w:eastAsia="仿宋" w:cs="仿宋"/>
          <w:color w:val="auto"/>
          <w:spacing w:val="8"/>
          <w:sz w:val="21"/>
          <w:szCs w:val="21"/>
          <w:highlight w:val="none"/>
        </w:rPr>
        <w:t>1）的（</w:t>
      </w:r>
      <w:r>
        <w:rPr>
          <w:rFonts w:hint="eastAsia" w:ascii="仿宋" w:hAnsi="仿宋" w:eastAsia="仿宋" w:cs="仿宋"/>
          <w:color w:val="auto"/>
          <w:spacing w:val="7"/>
          <w:sz w:val="21"/>
          <w:szCs w:val="21"/>
          <w:highlight w:val="none"/>
        </w:rPr>
        <w:t>关键组件）</w:t>
      </w:r>
      <w:r>
        <w:rPr>
          <w:rFonts w:hint="eastAsia" w:ascii="仿宋" w:hAnsi="仿宋" w:eastAsia="仿宋" w:cs="仿宋"/>
          <w:color w:val="auto"/>
          <w:spacing w:val="7"/>
          <w:position w:val="10"/>
          <w:sz w:val="21"/>
          <w:szCs w:val="21"/>
          <w:highlight w:val="none"/>
        </w:rPr>
        <w:t>4</w:t>
      </w:r>
      <w:r>
        <w:rPr>
          <w:rFonts w:hint="eastAsia" w:ascii="仿宋" w:hAnsi="仿宋" w:eastAsia="仿宋" w:cs="仿宋"/>
          <w:color w:val="auto"/>
          <w:spacing w:val="-17"/>
          <w:position w:val="10"/>
          <w:sz w:val="21"/>
          <w:szCs w:val="21"/>
          <w:highlight w:val="none"/>
        </w:rPr>
        <w:t xml:space="preserve"> </w:t>
      </w:r>
      <w:r>
        <w:rPr>
          <w:rFonts w:hint="eastAsia" w:ascii="仿宋" w:hAnsi="仿宋" w:eastAsia="仿宋" w:cs="仿宋"/>
          <w:color w:val="auto"/>
          <w:spacing w:val="7"/>
          <w:sz w:val="21"/>
          <w:szCs w:val="21"/>
          <w:highlight w:val="none"/>
        </w:rPr>
        <w:t>在中国境内生产。（产品名称</w:t>
      </w:r>
      <w:r>
        <w:rPr>
          <w:rFonts w:hint="eastAsia" w:ascii="仿宋" w:hAnsi="仿宋" w:eastAsia="仿宋" w:cs="仿宋"/>
          <w:color w:val="auto"/>
          <w:spacing w:val="-13"/>
          <w:sz w:val="21"/>
          <w:szCs w:val="21"/>
          <w:highlight w:val="none"/>
        </w:rPr>
        <w:t xml:space="preserve"> </w:t>
      </w:r>
      <w:r>
        <w:rPr>
          <w:rFonts w:hint="eastAsia" w:ascii="仿宋" w:hAnsi="仿宋" w:eastAsia="仿宋" w:cs="仿宋"/>
          <w:color w:val="auto"/>
          <w:spacing w:val="7"/>
          <w:sz w:val="21"/>
          <w:szCs w:val="21"/>
          <w:highlight w:val="none"/>
        </w:rPr>
        <w:t>1）的（关键工序）</w:t>
      </w:r>
      <w:r>
        <w:rPr>
          <w:rFonts w:hint="eastAsia" w:ascii="仿宋" w:hAnsi="仿宋" w:eastAsia="仿宋" w:cs="仿宋"/>
          <w:color w:val="auto"/>
          <w:spacing w:val="7"/>
          <w:position w:val="10"/>
          <w:sz w:val="21"/>
          <w:szCs w:val="21"/>
          <w:highlight w:val="none"/>
        </w:rPr>
        <w:t>5</w:t>
      </w:r>
      <w:r>
        <w:rPr>
          <w:rFonts w:hint="eastAsia" w:ascii="仿宋" w:hAnsi="仿宋" w:eastAsia="仿宋" w:cs="仿宋"/>
          <w:color w:val="auto"/>
          <w:spacing w:val="-16"/>
          <w:position w:val="10"/>
          <w:sz w:val="21"/>
          <w:szCs w:val="21"/>
          <w:highlight w:val="none"/>
        </w:rPr>
        <w:t xml:space="preserve"> </w:t>
      </w:r>
      <w:r>
        <w:rPr>
          <w:rFonts w:hint="eastAsia" w:ascii="仿宋" w:hAnsi="仿宋" w:eastAsia="仿宋" w:cs="仿宋"/>
          <w:color w:val="auto"/>
          <w:spacing w:val="7"/>
          <w:sz w:val="21"/>
          <w:szCs w:val="21"/>
          <w:highlight w:val="none"/>
        </w:rPr>
        <w:t>在中国境内完成。</w:t>
      </w:r>
    </w:p>
    <w:p w14:paraId="1A6AF747">
      <w:pPr>
        <w:spacing w:before="249" w:line="364" w:lineRule="auto"/>
        <w:ind w:left="23" w:firstLine="421"/>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8"/>
          <w:sz w:val="21"/>
          <w:szCs w:val="21"/>
          <w:highlight w:val="none"/>
        </w:rPr>
        <w:t>2.（产品名称</w:t>
      </w:r>
      <w:r>
        <w:rPr>
          <w:rFonts w:hint="eastAsia" w:ascii="仿宋" w:hAnsi="仿宋" w:eastAsia="仿宋" w:cs="仿宋"/>
          <w:color w:val="auto"/>
          <w:spacing w:val="-31"/>
          <w:sz w:val="21"/>
          <w:szCs w:val="21"/>
          <w:highlight w:val="none"/>
        </w:rPr>
        <w:t xml:space="preserve"> </w:t>
      </w:r>
      <w:r>
        <w:rPr>
          <w:rFonts w:hint="eastAsia" w:ascii="仿宋" w:hAnsi="仿宋" w:eastAsia="仿宋" w:cs="仿宋"/>
          <w:color w:val="auto"/>
          <w:spacing w:val="8"/>
          <w:sz w:val="21"/>
          <w:szCs w:val="21"/>
          <w:highlight w:val="none"/>
        </w:rPr>
        <w:t>2</w:t>
      </w:r>
      <w:r>
        <w:rPr>
          <w:rFonts w:hint="eastAsia" w:ascii="仿宋" w:hAnsi="仿宋" w:eastAsia="仿宋" w:cs="仿宋"/>
          <w:color w:val="auto"/>
          <w:spacing w:val="14"/>
          <w:sz w:val="21"/>
          <w:szCs w:val="21"/>
          <w:highlight w:val="none"/>
        </w:rPr>
        <w:t>），</w:t>
      </w:r>
      <w:r>
        <w:rPr>
          <w:rFonts w:hint="eastAsia" w:ascii="仿宋" w:hAnsi="仿宋" w:eastAsia="仿宋" w:cs="仿宋"/>
          <w:color w:val="auto"/>
          <w:spacing w:val="8"/>
          <w:sz w:val="21"/>
          <w:szCs w:val="21"/>
          <w:highlight w:val="none"/>
        </w:rPr>
        <w:t>生产厂为（厂名</w:t>
      </w:r>
      <w:r>
        <w:rPr>
          <w:rFonts w:hint="eastAsia" w:ascii="仿宋" w:hAnsi="仿宋" w:eastAsia="仿宋" w:cs="仿宋"/>
          <w:color w:val="auto"/>
          <w:spacing w:val="14"/>
          <w:sz w:val="21"/>
          <w:szCs w:val="21"/>
          <w:highlight w:val="none"/>
        </w:rPr>
        <w:t>），</w:t>
      </w:r>
      <w:r>
        <w:rPr>
          <w:rFonts w:hint="eastAsia" w:ascii="仿宋" w:hAnsi="仿宋" w:eastAsia="仿宋" w:cs="仿宋"/>
          <w:color w:val="auto"/>
          <w:spacing w:val="8"/>
          <w:sz w:val="21"/>
          <w:szCs w:val="21"/>
          <w:highlight w:val="none"/>
        </w:rPr>
        <w:t>厂址为（生产厂址）。（产品名</w:t>
      </w:r>
      <w:r>
        <w:rPr>
          <w:rFonts w:hint="eastAsia" w:ascii="仿宋" w:hAnsi="仿宋" w:eastAsia="仿宋" w:cs="仿宋"/>
          <w:color w:val="auto"/>
          <w:spacing w:val="7"/>
          <w:sz w:val="21"/>
          <w:szCs w:val="21"/>
          <w:highlight w:val="none"/>
        </w:rPr>
        <w:t>称</w:t>
      </w:r>
      <w:r>
        <w:rPr>
          <w:rFonts w:hint="eastAsia" w:ascii="仿宋" w:hAnsi="仿宋" w:eastAsia="仿宋" w:cs="仿宋"/>
          <w:color w:val="auto"/>
          <w:spacing w:val="-37"/>
          <w:sz w:val="21"/>
          <w:szCs w:val="21"/>
          <w:highlight w:val="none"/>
        </w:rPr>
        <w:t xml:space="preserve"> </w:t>
      </w:r>
      <w:r>
        <w:rPr>
          <w:rFonts w:hint="eastAsia" w:ascii="仿宋" w:hAnsi="仿宋" w:eastAsia="仿宋" w:cs="仿宋"/>
          <w:color w:val="auto"/>
          <w:spacing w:val="7"/>
          <w:sz w:val="21"/>
          <w:szCs w:val="21"/>
          <w:highlight w:val="none"/>
        </w:rPr>
        <w:t>2）的中国</w:t>
      </w:r>
      <w:r>
        <w:rPr>
          <w:rFonts w:hint="eastAsia" w:ascii="仿宋" w:hAnsi="仿宋" w:eastAsia="仿宋" w:cs="仿宋"/>
          <w:color w:val="auto"/>
          <w:spacing w:val="5"/>
          <w:sz w:val="21"/>
          <w:szCs w:val="21"/>
          <w:highlight w:val="none"/>
        </w:rPr>
        <w:t>境内生产的组件成本占比≥（规定比例）。（产品名称</w:t>
      </w:r>
      <w:r>
        <w:rPr>
          <w:rFonts w:hint="eastAsia" w:ascii="仿宋" w:hAnsi="仿宋" w:eastAsia="仿宋" w:cs="仿宋"/>
          <w:color w:val="auto"/>
          <w:spacing w:val="-34"/>
          <w:sz w:val="21"/>
          <w:szCs w:val="21"/>
          <w:highlight w:val="none"/>
        </w:rPr>
        <w:t xml:space="preserve"> </w:t>
      </w:r>
      <w:r>
        <w:rPr>
          <w:rFonts w:hint="eastAsia" w:ascii="仿宋" w:hAnsi="仿宋" w:eastAsia="仿宋" w:cs="仿宋"/>
          <w:color w:val="auto"/>
          <w:spacing w:val="5"/>
          <w:sz w:val="21"/>
          <w:szCs w:val="21"/>
          <w:highlight w:val="none"/>
        </w:rPr>
        <w:t>2）的（关键组件）在中</w:t>
      </w:r>
      <w:r>
        <w:rPr>
          <w:rFonts w:hint="eastAsia" w:ascii="仿宋" w:hAnsi="仿宋" w:eastAsia="仿宋" w:cs="仿宋"/>
          <w:color w:val="auto"/>
          <w:spacing w:val="4"/>
          <w:sz w:val="21"/>
          <w:szCs w:val="21"/>
          <w:highlight w:val="none"/>
        </w:rPr>
        <w:t>国境内生产。</w:t>
      </w:r>
      <w:r>
        <w:rPr>
          <w:rFonts w:hint="eastAsia" w:ascii="仿宋" w:hAnsi="仿宋" w:eastAsia="仿宋" w:cs="仿宋"/>
          <w:color w:val="auto"/>
          <w:sz w:val="21"/>
          <w:szCs w:val="21"/>
          <w:highlight w:val="none"/>
        </w:rPr>
        <w:t xml:space="preserve"> </w:t>
      </w:r>
      <w:r>
        <w:rPr>
          <w:rFonts w:hint="eastAsia" w:ascii="仿宋" w:hAnsi="仿宋" w:eastAsia="仿宋" w:cs="仿宋"/>
          <w:color w:val="auto"/>
          <w:spacing w:val="8"/>
          <w:sz w:val="21"/>
          <w:szCs w:val="21"/>
          <w:highlight w:val="none"/>
        </w:rPr>
        <w:t>（产品名称</w:t>
      </w:r>
      <w:r>
        <w:rPr>
          <w:rFonts w:hint="eastAsia" w:ascii="仿宋" w:hAnsi="仿宋" w:eastAsia="仿宋" w:cs="仿宋"/>
          <w:color w:val="auto"/>
          <w:spacing w:val="-30"/>
          <w:sz w:val="21"/>
          <w:szCs w:val="21"/>
          <w:highlight w:val="none"/>
        </w:rPr>
        <w:t xml:space="preserve"> </w:t>
      </w:r>
      <w:r>
        <w:rPr>
          <w:rFonts w:hint="eastAsia" w:ascii="仿宋" w:hAnsi="仿宋" w:eastAsia="仿宋" w:cs="仿宋"/>
          <w:color w:val="auto"/>
          <w:spacing w:val="8"/>
          <w:sz w:val="21"/>
          <w:szCs w:val="21"/>
          <w:highlight w:val="none"/>
        </w:rPr>
        <w:t>2）的（关键工序）在中国境内完成。</w:t>
      </w:r>
    </w:p>
    <w:p w14:paraId="387373CB">
      <w:pPr>
        <w:pStyle w:val="13"/>
        <w:ind w:left="0" w:leftChars="0" w:firstLine="0" w:firstLineChars="0"/>
        <w:outlineLvl w:val="9"/>
        <w:rPr>
          <w:rFonts w:hint="eastAsia" w:ascii="仿宋" w:hAnsi="仿宋" w:eastAsia="仿宋" w:cs="仿宋"/>
          <w:color w:val="auto"/>
          <w:kern w:val="2"/>
          <w:sz w:val="21"/>
          <w:szCs w:val="21"/>
          <w:highlight w:val="none"/>
          <w:lang w:val="en-US" w:eastAsia="en-US" w:bidi="ar-SA"/>
        </w:rPr>
      </w:pPr>
      <w:r>
        <w:rPr>
          <w:rFonts w:hint="eastAsia" w:ascii="仿宋" w:hAnsi="仿宋" w:eastAsia="仿宋" w:cs="仿宋"/>
          <w:color w:val="auto"/>
          <w:kern w:val="2"/>
          <w:sz w:val="21"/>
          <w:szCs w:val="21"/>
          <w:highlight w:val="none"/>
          <w:lang w:val="en-US" w:eastAsia="en-US" w:bidi="ar-SA"/>
        </w:rPr>
        <w:t>……</w:t>
      </w:r>
    </w:p>
    <w:p w14:paraId="0F9D687C">
      <w:pPr>
        <w:pStyle w:val="13"/>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仿宋" w:hAnsi="仿宋" w:eastAsia="仿宋" w:cs="仿宋"/>
          <w:color w:val="auto"/>
          <w:kern w:val="2"/>
          <w:sz w:val="21"/>
          <w:szCs w:val="21"/>
          <w:highlight w:val="none"/>
          <w:lang w:val="en-US" w:eastAsia="en-US" w:bidi="ar-SA"/>
        </w:rPr>
      </w:pPr>
      <w:r>
        <w:rPr>
          <w:rFonts w:hint="eastAsia" w:ascii="仿宋" w:hAnsi="仿宋" w:eastAsia="仿宋" w:cs="仿宋"/>
          <w:color w:val="auto"/>
          <w:kern w:val="2"/>
          <w:sz w:val="21"/>
          <w:szCs w:val="21"/>
          <w:highlight w:val="none"/>
          <w:lang w:val="en-US" w:eastAsia="en-US" w:bidi="ar-SA"/>
        </w:rPr>
        <w:t>本公司（单位）对上述声明内容的真实性负责。如有虚假，愿承担相应法律责任。_______________</w:t>
      </w:r>
    </w:p>
    <w:p w14:paraId="122FFE77">
      <w:pPr>
        <w:pStyle w:val="13"/>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仿宋" w:hAnsi="仿宋" w:eastAsia="仿宋" w:cs="仿宋"/>
          <w:color w:val="auto"/>
          <w:kern w:val="2"/>
          <w:sz w:val="21"/>
          <w:szCs w:val="21"/>
          <w:highlight w:val="none"/>
          <w:lang w:val="en-US" w:eastAsia="en-US" w:bidi="ar-SA"/>
        </w:rPr>
      </w:pPr>
      <w:r>
        <w:rPr>
          <w:rFonts w:hint="eastAsia" w:ascii="仿宋" w:hAnsi="仿宋" w:eastAsia="仿宋" w:cs="仿宋"/>
          <w:color w:val="auto"/>
          <w:kern w:val="2"/>
          <w:sz w:val="21"/>
          <w:szCs w:val="21"/>
          <w:highlight w:val="none"/>
          <w:lang w:val="en-US" w:eastAsia="en-US" w:bidi="ar-SA"/>
        </w:rPr>
        <w:t>1.产品如有型号，请在“产品名称”栏一并填写。</w:t>
      </w:r>
    </w:p>
    <w:p w14:paraId="299EE26F">
      <w:pPr>
        <w:pStyle w:val="13"/>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仿宋" w:hAnsi="仿宋" w:eastAsia="仿宋" w:cs="仿宋"/>
          <w:color w:val="auto"/>
          <w:kern w:val="2"/>
          <w:sz w:val="21"/>
          <w:szCs w:val="21"/>
          <w:highlight w:val="none"/>
          <w:lang w:val="en-US" w:eastAsia="en-US" w:bidi="ar-SA"/>
        </w:rPr>
      </w:pPr>
      <w:r>
        <w:rPr>
          <w:rFonts w:hint="eastAsia" w:ascii="仿宋" w:hAnsi="仿宋" w:eastAsia="仿宋" w:cs="仿宋"/>
          <w:color w:val="auto"/>
          <w:kern w:val="2"/>
          <w:sz w:val="21"/>
          <w:szCs w:val="21"/>
          <w:highlight w:val="none"/>
          <w:lang w:val="en-US" w:eastAsia="en-US" w:bidi="ar-SA"/>
        </w:rPr>
        <w:t>2.生产厂名与厂址应与生产厂营业执照载明的相关信息保持一致。</w:t>
      </w:r>
    </w:p>
    <w:p w14:paraId="361CC390">
      <w:pPr>
        <w:pStyle w:val="13"/>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仿宋" w:hAnsi="仿宋" w:eastAsia="仿宋" w:cs="仿宋"/>
          <w:color w:val="auto"/>
          <w:kern w:val="2"/>
          <w:sz w:val="21"/>
          <w:szCs w:val="21"/>
          <w:highlight w:val="none"/>
          <w:lang w:val="en-US" w:eastAsia="en-US" w:bidi="ar-SA"/>
        </w:rPr>
      </w:pPr>
      <w:r>
        <w:rPr>
          <w:rFonts w:hint="eastAsia" w:ascii="仿宋" w:hAnsi="仿宋" w:eastAsia="仿宋" w:cs="仿宋"/>
          <w:color w:val="auto"/>
          <w:kern w:val="2"/>
          <w:sz w:val="21"/>
          <w:szCs w:val="21"/>
          <w:highlight w:val="none"/>
          <w:lang w:val="en-US" w:eastAsia="en-US" w:bidi="ar-SA"/>
        </w:rPr>
        <w:t>3.该产品的中国境内生产的组件成本占比相关要求实施前，“规定比例”栏可不填，下同。</w:t>
      </w:r>
    </w:p>
    <w:p w14:paraId="57708139">
      <w:pPr>
        <w:pStyle w:val="13"/>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仿宋" w:hAnsi="仿宋" w:eastAsia="仿宋" w:cs="仿宋"/>
          <w:color w:val="auto"/>
          <w:kern w:val="2"/>
          <w:sz w:val="21"/>
          <w:szCs w:val="21"/>
          <w:highlight w:val="none"/>
          <w:lang w:val="en-US" w:eastAsia="en-US" w:bidi="ar-SA"/>
        </w:rPr>
      </w:pPr>
      <w:r>
        <w:rPr>
          <w:rFonts w:hint="eastAsia" w:ascii="仿宋" w:hAnsi="仿宋" w:eastAsia="仿宋" w:cs="仿宋"/>
          <w:color w:val="auto"/>
          <w:kern w:val="2"/>
          <w:sz w:val="21"/>
          <w:szCs w:val="21"/>
          <w:highlight w:val="none"/>
          <w:lang w:val="en-US" w:eastAsia="en-US" w:bidi="ar-SA"/>
        </w:rPr>
        <w:t>4.该产品的关键组件要求实施前，“关键组件”栏可不填，下同。</w:t>
      </w:r>
    </w:p>
    <w:p w14:paraId="6D53230A">
      <w:pPr>
        <w:pStyle w:val="13"/>
        <w:keepNext w:val="0"/>
        <w:keepLines w:val="0"/>
        <w:pageBreakBefore w:val="0"/>
        <w:widowControl w:val="0"/>
        <w:kinsoku/>
        <w:wordWrap/>
        <w:overflowPunct/>
        <w:topLinePunct w:val="0"/>
        <w:autoSpaceDE/>
        <w:autoSpaceDN/>
        <w:bidi w:val="0"/>
        <w:adjustRightInd/>
        <w:snapToGrid/>
        <w:spacing w:line="440" w:lineRule="exact"/>
        <w:ind w:left="0" w:leftChars="0" w:firstLine="420" w:firstLineChars="200"/>
        <w:textAlignment w:val="auto"/>
        <w:outlineLvl w:val="9"/>
        <w:rPr>
          <w:rFonts w:hint="eastAsia" w:ascii="仿宋" w:hAnsi="仿宋" w:eastAsia="仿宋" w:cs="仿宋"/>
          <w:color w:val="auto"/>
          <w:spacing w:val="8"/>
          <w:sz w:val="20"/>
          <w:szCs w:val="20"/>
          <w:highlight w:val="none"/>
        </w:rPr>
      </w:pPr>
      <w:r>
        <w:rPr>
          <w:rFonts w:hint="eastAsia" w:ascii="仿宋" w:hAnsi="仿宋" w:eastAsia="仿宋" w:cs="仿宋"/>
          <w:color w:val="auto"/>
          <w:kern w:val="2"/>
          <w:sz w:val="21"/>
          <w:szCs w:val="21"/>
          <w:highlight w:val="none"/>
          <w:lang w:val="en-US" w:eastAsia="en-US" w:bidi="ar-SA"/>
        </w:rPr>
        <w:t>5.该产品的关键工序要求实施前，“关键工序”栏可不填，下同。</w:t>
      </w:r>
    </w:p>
    <w:p w14:paraId="0B210608">
      <w:pPr>
        <w:pStyle w:val="13"/>
        <w:outlineLvl w:val="9"/>
        <w:rPr>
          <w:rFonts w:hint="eastAsia" w:ascii="仿宋" w:hAnsi="仿宋" w:eastAsia="仿宋" w:cs="仿宋"/>
          <w:color w:val="auto"/>
          <w:highlight w:val="none"/>
        </w:rPr>
      </w:pPr>
    </w:p>
    <w:p w14:paraId="189DE6F1">
      <w:pPr>
        <w:outlineLvl w:val="9"/>
        <w:rPr>
          <w:rFonts w:hint="eastAsia" w:ascii="仿宋" w:hAnsi="仿宋" w:eastAsia="仿宋" w:cs="仿宋"/>
          <w:color w:val="auto"/>
          <w:highlight w:val="none"/>
        </w:rPr>
      </w:pPr>
    </w:p>
    <w:p w14:paraId="63E01EC1">
      <w:pPr>
        <w:pStyle w:val="5"/>
        <w:spacing w:before="66" w:line="227" w:lineRule="auto"/>
        <w:ind w:left="0" w:leftChars="0" w:firstLine="1879" w:firstLineChars="870"/>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spacing w:val="8"/>
          <w:sz w:val="20"/>
          <w:szCs w:val="20"/>
          <w:highlight w:val="none"/>
        </w:rPr>
        <w:t>供应商（单位电子</w:t>
      </w:r>
      <w:r>
        <w:rPr>
          <w:rFonts w:hint="eastAsia" w:ascii="仿宋" w:hAnsi="仿宋" w:eastAsia="仿宋" w:cs="仿宋"/>
          <w:color w:val="auto"/>
          <w:kern w:val="2"/>
          <w:sz w:val="21"/>
          <w:szCs w:val="21"/>
          <w:highlight w:val="none"/>
          <w:lang w:val="en-US" w:eastAsia="zh-CN" w:bidi="ar-SA"/>
        </w:rPr>
        <w:t>签章）：</w:t>
      </w:r>
    </w:p>
    <w:p w14:paraId="4528D79B">
      <w:pPr>
        <w:pStyle w:val="5"/>
        <w:spacing w:before="65" w:line="227" w:lineRule="auto"/>
        <w:ind w:left="0" w:leftChars="0" w:firstLine="1826" w:firstLineChars="870"/>
        <w:outlineLvl w:val="9"/>
        <w:rPr>
          <w:rFonts w:hint="eastAsia" w:ascii="仿宋" w:hAnsi="仿宋" w:eastAsia="仿宋" w:cs="仿宋"/>
          <w:color w:val="auto"/>
          <w:sz w:val="21"/>
          <w:highlight w:val="none"/>
        </w:rPr>
      </w:pPr>
      <w:r>
        <w:rPr>
          <w:rFonts w:hint="eastAsia" w:ascii="仿宋" w:hAnsi="仿宋" w:eastAsia="仿宋" w:cs="仿宋"/>
          <w:color w:val="auto"/>
          <w:kern w:val="2"/>
          <w:sz w:val="21"/>
          <w:szCs w:val="21"/>
          <w:highlight w:val="none"/>
          <w:lang w:val="en-US" w:eastAsia="zh-CN" w:bidi="ar-SA"/>
        </w:rPr>
        <w:t>法定代表人或授权代表（电子签名或盖章）：</w:t>
      </w:r>
    </w:p>
    <w:p w14:paraId="49BDB022">
      <w:pPr>
        <w:pStyle w:val="13"/>
        <w:ind w:left="0" w:leftChars="0" w:firstLine="1635" w:firstLineChars="870"/>
        <w:outlineLvl w:val="9"/>
        <w:rPr>
          <w:rFonts w:hint="eastAsia" w:ascii="仿宋" w:hAnsi="仿宋" w:eastAsia="仿宋" w:cs="仿宋"/>
          <w:color w:val="auto"/>
          <w:highlight w:val="none"/>
          <w:lang w:val="en-US" w:eastAsia="en-US"/>
        </w:rPr>
      </w:pPr>
      <w:r>
        <w:rPr>
          <w:rFonts w:hint="eastAsia" w:ascii="仿宋" w:hAnsi="仿宋" w:eastAsia="仿宋" w:cs="仿宋"/>
          <w:color w:val="auto"/>
          <w:spacing w:val="-6"/>
          <w:sz w:val="20"/>
          <w:szCs w:val="20"/>
          <w:highlight w:val="none"/>
        </w:rPr>
        <w:t>日期：</w:t>
      </w:r>
      <w:r>
        <w:rPr>
          <w:rFonts w:hint="eastAsia" w:ascii="仿宋" w:hAnsi="仿宋" w:eastAsia="仿宋" w:cs="仿宋"/>
          <w:color w:val="auto"/>
          <w:spacing w:val="11"/>
          <w:sz w:val="20"/>
          <w:szCs w:val="20"/>
          <w:highlight w:val="none"/>
        </w:rPr>
        <w:t xml:space="preserve">    </w:t>
      </w:r>
      <w:r>
        <w:rPr>
          <w:rFonts w:hint="eastAsia" w:ascii="仿宋" w:hAnsi="仿宋" w:eastAsia="仿宋" w:cs="仿宋"/>
          <w:color w:val="auto"/>
          <w:spacing w:val="-6"/>
          <w:sz w:val="20"/>
          <w:szCs w:val="20"/>
          <w:highlight w:val="none"/>
        </w:rPr>
        <w:t>年</w:t>
      </w:r>
      <w:r>
        <w:rPr>
          <w:rFonts w:hint="eastAsia" w:ascii="仿宋" w:hAnsi="仿宋" w:eastAsia="仿宋" w:cs="仿宋"/>
          <w:color w:val="auto"/>
          <w:spacing w:val="8"/>
          <w:sz w:val="20"/>
          <w:szCs w:val="20"/>
          <w:highlight w:val="none"/>
        </w:rPr>
        <w:t xml:space="preserve">    </w:t>
      </w:r>
      <w:r>
        <w:rPr>
          <w:rFonts w:hint="eastAsia" w:ascii="仿宋" w:hAnsi="仿宋" w:eastAsia="仿宋" w:cs="仿宋"/>
          <w:color w:val="auto"/>
          <w:spacing w:val="-6"/>
          <w:sz w:val="20"/>
          <w:szCs w:val="20"/>
          <w:highlight w:val="none"/>
        </w:rPr>
        <w:t>月</w:t>
      </w:r>
      <w:r>
        <w:rPr>
          <w:rFonts w:hint="eastAsia" w:ascii="仿宋" w:hAnsi="仿宋" w:eastAsia="仿宋" w:cs="仿宋"/>
          <w:color w:val="auto"/>
          <w:spacing w:val="16"/>
          <w:sz w:val="20"/>
          <w:szCs w:val="20"/>
          <w:highlight w:val="none"/>
        </w:rPr>
        <w:t xml:space="preserve">    </w:t>
      </w:r>
      <w:r>
        <w:rPr>
          <w:rFonts w:hint="eastAsia" w:ascii="仿宋" w:hAnsi="仿宋" w:eastAsia="仿宋" w:cs="仿宋"/>
          <w:color w:val="auto"/>
          <w:spacing w:val="-6"/>
          <w:sz w:val="20"/>
          <w:szCs w:val="20"/>
          <w:highlight w:val="none"/>
        </w:rPr>
        <w:t>日</w:t>
      </w:r>
    </w:p>
    <w:p w14:paraId="1F9D03CB">
      <w:pPr>
        <w:pStyle w:val="5"/>
        <w:spacing w:line="240" w:lineRule="auto"/>
        <w:ind w:left="0"/>
        <w:outlineLvl w:val="9"/>
        <w:rPr>
          <w:rFonts w:hint="eastAsia" w:ascii="仿宋" w:hAnsi="仿宋" w:eastAsia="仿宋" w:cs="仿宋"/>
          <w:b/>
          <w:bCs/>
          <w:color w:val="auto"/>
          <w:spacing w:val="-4"/>
          <w:sz w:val="28"/>
          <w:szCs w:val="28"/>
          <w:highlight w:val="none"/>
        </w:rPr>
        <w:sectPr>
          <w:pgSz w:w="11905" w:h="16838"/>
          <w:pgMar w:top="1417" w:right="1417" w:bottom="1417" w:left="1417" w:header="850" w:footer="850" w:gutter="0"/>
          <w:pgBorders>
            <w:top w:val="none" w:sz="0" w:space="0"/>
            <w:left w:val="none" w:sz="0" w:space="0"/>
            <w:bottom w:val="none" w:sz="0" w:space="0"/>
            <w:right w:val="none" w:sz="0" w:space="0"/>
          </w:pgBorders>
          <w:pgNumType w:fmt="numberInDash"/>
          <w:cols w:space="0" w:num="1"/>
          <w:rtlGutter w:val="0"/>
          <w:docGrid w:type="lines" w:linePitch="412" w:charSpace="0"/>
        </w:sectPr>
      </w:pPr>
    </w:p>
    <w:p w14:paraId="586C928E">
      <w:pPr>
        <w:pStyle w:val="5"/>
        <w:spacing w:before="248" w:line="219" w:lineRule="auto"/>
        <w:ind w:left="2913"/>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rPr>
        <w:t>十</w:t>
      </w:r>
      <w:r>
        <w:rPr>
          <w:rFonts w:hint="eastAsia" w:ascii="仿宋" w:hAnsi="仿宋" w:eastAsia="仿宋" w:cs="仿宋"/>
          <w:b/>
          <w:bCs/>
          <w:color w:val="auto"/>
          <w:spacing w:val="-4"/>
          <w:sz w:val="28"/>
          <w:szCs w:val="28"/>
          <w:highlight w:val="none"/>
          <w:lang w:val="en-US" w:eastAsia="zh-CN"/>
        </w:rPr>
        <w:t>三</w:t>
      </w:r>
      <w:r>
        <w:rPr>
          <w:rFonts w:hint="eastAsia" w:ascii="仿宋" w:hAnsi="仿宋" w:eastAsia="仿宋" w:cs="仿宋"/>
          <w:b/>
          <w:bCs/>
          <w:color w:val="auto"/>
          <w:spacing w:val="-4"/>
          <w:sz w:val="28"/>
          <w:szCs w:val="28"/>
          <w:highlight w:val="none"/>
        </w:rPr>
        <w:t>、反商业贿赂承诺书</w:t>
      </w:r>
    </w:p>
    <w:p w14:paraId="648CA992">
      <w:pPr>
        <w:spacing w:line="269" w:lineRule="auto"/>
        <w:ind w:left="0" w:leftChars="0" w:firstLine="0" w:firstLineChars="0"/>
        <w:outlineLvl w:val="9"/>
        <w:rPr>
          <w:rFonts w:hint="eastAsia" w:ascii="仿宋" w:hAnsi="仿宋" w:eastAsia="仿宋" w:cs="仿宋"/>
          <w:color w:val="auto"/>
          <w:sz w:val="21"/>
          <w:highlight w:val="none"/>
        </w:rPr>
      </w:pPr>
    </w:p>
    <w:p w14:paraId="29C5EF2F">
      <w:pPr>
        <w:pStyle w:val="5"/>
        <w:spacing w:before="65" w:line="228" w:lineRule="auto"/>
        <w:ind w:left="652"/>
        <w:outlineLvl w:val="9"/>
        <w:rPr>
          <w:rFonts w:hint="eastAsia" w:ascii="仿宋" w:hAnsi="仿宋" w:eastAsia="仿宋" w:cs="仿宋"/>
          <w:color w:val="auto"/>
          <w:sz w:val="20"/>
          <w:szCs w:val="20"/>
          <w:highlight w:val="none"/>
        </w:rPr>
      </w:pPr>
      <w:r>
        <w:rPr>
          <w:rFonts w:hint="eastAsia" w:ascii="仿宋" w:hAnsi="仿宋" w:eastAsia="仿宋" w:cs="仿宋"/>
          <w:color w:val="auto"/>
          <w:spacing w:val="5"/>
          <w:sz w:val="20"/>
          <w:szCs w:val="20"/>
          <w:highlight w:val="none"/>
        </w:rPr>
        <w:t>我方承诺：</w:t>
      </w:r>
    </w:p>
    <w:p w14:paraId="7557AA18">
      <w:pPr>
        <w:pStyle w:val="5"/>
        <w:spacing w:before="221" w:line="432" w:lineRule="auto"/>
        <w:ind w:left="27" w:right="70" w:firstLine="622"/>
        <w:outlineLvl w:val="9"/>
        <w:rPr>
          <w:rFonts w:hint="eastAsia" w:ascii="仿宋" w:hAnsi="仿宋" w:eastAsia="仿宋" w:cs="仿宋"/>
          <w:color w:val="auto"/>
          <w:sz w:val="20"/>
          <w:szCs w:val="20"/>
          <w:highlight w:val="none"/>
        </w:rPr>
      </w:pPr>
      <w:r>
        <w:rPr>
          <w:rFonts w:hint="eastAsia" w:ascii="仿宋" w:hAnsi="仿宋" w:eastAsia="仿宋" w:cs="仿宋"/>
          <w:color w:val="auto"/>
          <w:spacing w:val="7"/>
          <w:sz w:val="20"/>
          <w:szCs w:val="20"/>
          <w:highlight w:val="none"/>
        </w:rPr>
        <w:t>在</w:t>
      </w:r>
      <w:r>
        <w:rPr>
          <w:rFonts w:hint="eastAsia" w:ascii="仿宋" w:hAnsi="仿宋" w:eastAsia="仿宋" w:cs="仿宋"/>
          <w:color w:val="auto"/>
          <w:spacing w:val="7"/>
          <w:sz w:val="20"/>
          <w:szCs w:val="20"/>
          <w:highlight w:val="none"/>
          <w:u w:val="single" w:color="auto"/>
        </w:rPr>
        <w:t xml:space="preserve">                    （项目名称</w:t>
      </w:r>
      <w:r>
        <w:rPr>
          <w:rFonts w:hint="eastAsia" w:ascii="仿宋" w:hAnsi="仿宋" w:eastAsia="仿宋" w:cs="仿宋"/>
          <w:color w:val="auto"/>
          <w:spacing w:val="-13"/>
          <w:sz w:val="20"/>
          <w:szCs w:val="20"/>
          <w:highlight w:val="none"/>
          <w:u w:val="single" w:color="auto"/>
        </w:rPr>
        <w:t>）</w:t>
      </w:r>
      <w:r>
        <w:rPr>
          <w:rFonts w:hint="eastAsia" w:ascii="仿宋" w:hAnsi="仿宋" w:eastAsia="仿宋" w:cs="仿宋"/>
          <w:color w:val="auto"/>
          <w:spacing w:val="96"/>
          <w:sz w:val="20"/>
          <w:szCs w:val="20"/>
          <w:highlight w:val="none"/>
          <w:u w:val="single" w:color="auto"/>
        </w:rPr>
        <w:t xml:space="preserve"> </w:t>
      </w:r>
      <w:r>
        <w:rPr>
          <w:rFonts w:hint="eastAsia" w:ascii="仿宋" w:hAnsi="仿宋" w:eastAsia="仿宋" w:cs="仿宋"/>
          <w:color w:val="auto"/>
          <w:spacing w:val="-13"/>
          <w:sz w:val="20"/>
          <w:szCs w:val="20"/>
          <w:highlight w:val="none"/>
          <w:u w:val="single" w:color="auto"/>
        </w:rPr>
        <w:t>（</w:t>
      </w:r>
      <w:r>
        <w:rPr>
          <w:rFonts w:hint="eastAsia" w:ascii="仿宋" w:hAnsi="仿宋" w:eastAsia="仿宋" w:cs="仿宋"/>
          <w:color w:val="auto"/>
          <w:spacing w:val="7"/>
          <w:sz w:val="20"/>
          <w:szCs w:val="20"/>
          <w:highlight w:val="none"/>
          <w:u w:val="single" w:color="auto"/>
        </w:rPr>
        <w:t>项目编号</w:t>
      </w:r>
      <w:r>
        <w:rPr>
          <w:rFonts w:hint="eastAsia" w:ascii="仿宋" w:hAnsi="仿宋" w:eastAsia="仿宋" w:cs="仿宋"/>
          <w:color w:val="auto"/>
          <w:spacing w:val="-13"/>
          <w:sz w:val="20"/>
          <w:szCs w:val="20"/>
          <w:highlight w:val="none"/>
          <w:u w:val="single" w:color="auto"/>
        </w:rPr>
        <w:t>：</w:t>
      </w:r>
      <w:r>
        <w:rPr>
          <w:rFonts w:hint="eastAsia" w:ascii="仿宋" w:hAnsi="仿宋" w:eastAsia="仿宋" w:cs="仿宋"/>
          <w:color w:val="auto"/>
          <w:spacing w:val="19"/>
          <w:sz w:val="20"/>
          <w:szCs w:val="20"/>
          <w:highlight w:val="none"/>
          <w:u w:val="single" w:color="auto"/>
        </w:rPr>
        <w:t xml:space="preserve">  </w:t>
      </w:r>
      <w:r>
        <w:rPr>
          <w:rFonts w:hint="eastAsia" w:ascii="仿宋" w:hAnsi="仿宋" w:eastAsia="仿宋" w:cs="仿宋"/>
          <w:color w:val="auto"/>
          <w:spacing w:val="-13"/>
          <w:sz w:val="20"/>
          <w:szCs w:val="20"/>
          <w:highlight w:val="none"/>
          <w:u w:val="single" w:color="auto"/>
        </w:rPr>
        <w:t>）</w:t>
      </w:r>
      <w:r>
        <w:rPr>
          <w:rFonts w:hint="eastAsia" w:ascii="仿宋" w:hAnsi="仿宋" w:eastAsia="仿宋" w:cs="仿宋"/>
          <w:color w:val="auto"/>
          <w:spacing w:val="7"/>
          <w:sz w:val="20"/>
          <w:szCs w:val="20"/>
          <w:highlight w:val="none"/>
        </w:rPr>
        <w:t>投标活动中，我方</w:t>
      </w:r>
      <w:r>
        <w:rPr>
          <w:rFonts w:hint="eastAsia" w:ascii="仿宋" w:hAnsi="仿宋" w:eastAsia="仿宋" w:cs="仿宋"/>
          <w:color w:val="auto"/>
          <w:spacing w:val="6"/>
          <w:sz w:val="20"/>
          <w:szCs w:val="20"/>
          <w:highlight w:val="none"/>
        </w:rPr>
        <w:t>保证做</w:t>
      </w:r>
      <w:r>
        <w:rPr>
          <w:rFonts w:hint="eastAsia" w:ascii="仿宋" w:hAnsi="仿宋" w:eastAsia="仿宋" w:cs="仿宋"/>
          <w:color w:val="auto"/>
          <w:spacing w:val="-3"/>
          <w:sz w:val="20"/>
          <w:szCs w:val="20"/>
          <w:highlight w:val="none"/>
        </w:rPr>
        <w:t>到：</w:t>
      </w:r>
    </w:p>
    <w:p w14:paraId="60C3B402">
      <w:pPr>
        <w:pStyle w:val="5"/>
        <w:spacing w:line="226" w:lineRule="auto"/>
        <w:ind w:left="654"/>
        <w:outlineLvl w:val="9"/>
        <w:rPr>
          <w:rFonts w:hint="eastAsia" w:ascii="仿宋" w:hAnsi="仿宋" w:eastAsia="仿宋" w:cs="仿宋"/>
          <w:color w:val="auto"/>
          <w:sz w:val="20"/>
          <w:szCs w:val="20"/>
          <w:highlight w:val="none"/>
        </w:rPr>
      </w:pPr>
      <w:r>
        <w:rPr>
          <w:rFonts w:hint="eastAsia" w:ascii="仿宋" w:hAnsi="仿宋" w:eastAsia="仿宋" w:cs="仿宋"/>
          <w:color w:val="auto"/>
          <w:spacing w:val="8"/>
          <w:sz w:val="20"/>
          <w:szCs w:val="20"/>
          <w:highlight w:val="none"/>
        </w:rPr>
        <w:t>一、公平竞争参加本次公开采购活动。</w:t>
      </w:r>
    </w:p>
    <w:p w14:paraId="0FF46CE2">
      <w:pPr>
        <w:pStyle w:val="5"/>
        <w:spacing w:before="221" w:line="364" w:lineRule="auto"/>
        <w:ind w:left="21" w:firstLine="632"/>
        <w:outlineLvl w:val="9"/>
        <w:rPr>
          <w:rFonts w:hint="eastAsia" w:ascii="仿宋" w:hAnsi="仿宋" w:eastAsia="仿宋" w:cs="仿宋"/>
          <w:color w:val="auto"/>
          <w:sz w:val="20"/>
          <w:szCs w:val="20"/>
          <w:highlight w:val="none"/>
        </w:rPr>
      </w:pPr>
      <w:r>
        <w:rPr>
          <w:rFonts w:hint="eastAsia" w:ascii="仿宋" w:hAnsi="仿宋" w:eastAsia="仿宋" w:cs="仿宋"/>
          <w:color w:val="auto"/>
          <w:spacing w:val="4"/>
          <w:sz w:val="20"/>
          <w:szCs w:val="20"/>
          <w:highlight w:val="none"/>
        </w:rPr>
        <w:t>二、杜绝任何形式的商业贿赂行为。不向国</w:t>
      </w:r>
      <w:r>
        <w:rPr>
          <w:rFonts w:hint="eastAsia" w:ascii="仿宋" w:hAnsi="仿宋" w:eastAsia="仿宋" w:cs="仿宋"/>
          <w:color w:val="auto"/>
          <w:spacing w:val="3"/>
          <w:sz w:val="20"/>
          <w:szCs w:val="20"/>
          <w:highlight w:val="none"/>
        </w:rPr>
        <w:t>家工作人员、政府采购代理机构工作人员、</w:t>
      </w:r>
      <w:r>
        <w:rPr>
          <w:rFonts w:hint="eastAsia" w:ascii="仿宋" w:hAnsi="仿宋" w:eastAsia="仿宋" w:cs="仿宋"/>
          <w:color w:val="auto"/>
          <w:spacing w:val="7"/>
          <w:sz w:val="20"/>
          <w:szCs w:val="20"/>
          <w:highlight w:val="none"/>
        </w:rPr>
        <w:t>评审专家及其亲属提供礼品礼金、有价证券、购物券、回扣、佣金、咨询费、劳务费、赞助</w:t>
      </w:r>
      <w:r>
        <w:rPr>
          <w:rFonts w:hint="eastAsia" w:ascii="仿宋" w:hAnsi="仿宋" w:eastAsia="仿宋" w:cs="仿宋"/>
          <w:color w:val="auto"/>
          <w:spacing w:val="9"/>
          <w:sz w:val="20"/>
          <w:szCs w:val="20"/>
          <w:highlight w:val="none"/>
        </w:rPr>
        <w:t>费、宣传费、宴请；不为其报销各种消费凭证，不支付其旅游、娱乐等费用。</w:t>
      </w:r>
    </w:p>
    <w:p w14:paraId="0F4E5011">
      <w:pPr>
        <w:pStyle w:val="5"/>
        <w:spacing w:before="222" w:line="330" w:lineRule="auto"/>
        <w:ind w:left="23" w:right="71" w:firstLine="627"/>
        <w:outlineLvl w:val="9"/>
        <w:rPr>
          <w:rFonts w:hint="eastAsia" w:ascii="仿宋" w:hAnsi="仿宋" w:eastAsia="仿宋" w:cs="仿宋"/>
          <w:color w:val="auto"/>
          <w:sz w:val="20"/>
          <w:szCs w:val="20"/>
          <w:highlight w:val="none"/>
        </w:rPr>
      </w:pPr>
      <w:r>
        <w:rPr>
          <w:rFonts w:hint="eastAsia" w:ascii="仿宋" w:hAnsi="仿宋" w:eastAsia="仿宋" w:cs="仿宋"/>
          <w:color w:val="auto"/>
          <w:spacing w:val="7"/>
          <w:sz w:val="20"/>
          <w:szCs w:val="20"/>
          <w:highlight w:val="none"/>
        </w:rPr>
        <w:t>三、若出现上述行为，我方及参与投标的工作人员愿意接受按照国家法律法规等有关规定给予的处罚。</w:t>
      </w:r>
    </w:p>
    <w:p w14:paraId="5F9BA239">
      <w:pPr>
        <w:spacing w:line="248" w:lineRule="auto"/>
        <w:outlineLvl w:val="9"/>
        <w:rPr>
          <w:rFonts w:hint="eastAsia" w:ascii="仿宋" w:hAnsi="仿宋" w:eastAsia="仿宋" w:cs="仿宋"/>
          <w:color w:val="auto"/>
          <w:sz w:val="21"/>
          <w:highlight w:val="none"/>
        </w:rPr>
      </w:pPr>
    </w:p>
    <w:p w14:paraId="30D5908F">
      <w:pPr>
        <w:spacing w:line="248" w:lineRule="auto"/>
        <w:outlineLvl w:val="9"/>
        <w:rPr>
          <w:rFonts w:hint="eastAsia" w:ascii="仿宋" w:hAnsi="仿宋" w:eastAsia="仿宋" w:cs="仿宋"/>
          <w:color w:val="auto"/>
          <w:sz w:val="21"/>
          <w:highlight w:val="none"/>
        </w:rPr>
      </w:pPr>
    </w:p>
    <w:p w14:paraId="1FD33CAA">
      <w:pPr>
        <w:spacing w:line="248" w:lineRule="auto"/>
        <w:outlineLvl w:val="9"/>
        <w:rPr>
          <w:rFonts w:hint="eastAsia" w:ascii="仿宋" w:hAnsi="仿宋" w:eastAsia="仿宋" w:cs="仿宋"/>
          <w:color w:val="auto"/>
          <w:sz w:val="21"/>
          <w:highlight w:val="none"/>
        </w:rPr>
      </w:pPr>
    </w:p>
    <w:p w14:paraId="086D4354">
      <w:pPr>
        <w:spacing w:line="248" w:lineRule="auto"/>
        <w:ind w:left="0" w:leftChars="0" w:firstLine="0" w:firstLineChars="0"/>
        <w:outlineLvl w:val="9"/>
        <w:rPr>
          <w:rFonts w:hint="eastAsia" w:ascii="仿宋" w:hAnsi="仿宋" w:eastAsia="仿宋" w:cs="仿宋"/>
          <w:color w:val="auto"/>
          <w:sz w:val="21"/>
          <w:highlight w:val="none"/>
        </w:rPr>
      </w:pPr>
    </w:p>
    <w:p w14:paraId="4E49B7DC">
      <w:pPr>
        <w:spacing w:line="248" w:lineRule="auto"/>
        <w:outlineLvl w:val="9"/>
        <w:rPr>
          <w:rFonts w:hint="eastAsia" w:ascii="仿宋" w:hAnsi="仿宋" w:eastAsia="仿宋" w:cs="仿宋"/>
          <w:color w:val="auto"/>
          <w:sz w:val="21"/>
          <w:highlight w:val="none"/>
        </w:rPr>
      </w:pPr>
    </w:p>
    <w:p w14:paraId="56D2555C">
      <w:pPr>
        <w:pStyle w:val="5"/>
        <w:spacing w:before="66" w:line="227" w:lineRule="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供应商（单位电子签章）：</w:t>
      </w:r>
    </w:p>
    <w:p w14:paraId="41F9BD75">
      <w:pPr>
        <w:pStyle w:val="5"/>
        <w:spacing w:before="66" w:line="227" w:lineRule="auto"/>
        <w:outlineLvl w:val="9"/>
        <w:rPr>
          <w:rFonts w:hint="eastAsia" w:ascii="仿宋" w:hAnsi="仿宋" w:eastAsia="仿宋" w:cs="仿宋"/>
          <w:color w:val="auto"/>
          <w:kern w:val="2"/>
          <w:sz w:val="21"/>
          <w:szCs w:val="21"/>
          <w:highlight w:val="none"/>
          <w:lang w:val="en-US" w:eastAsia="zh-CN" w:bidi="ar-SA"/>
        </w:rPr>
      </w:pPr>
      <w:r>
        <w:rPr>
          <w:rFonts w:hint="eastAsia" w:ascii="仿宋" w:hAnsi="仿宋" w:eastAsia="仿宋" w:cs="仿宋"/>
          <w:color w:val="auto"/>
          <w:kern w:val="2"/>
          <w:sz w:val="21"/>
          <w:szCs w:val="21"/>
          <w:highlight w:val="none"/>
          <w:lang w:val="en-US" w:eastAsia="zh-CN" w:bidi="ar-SA"/>
        </w:rPr>
        <w:t>法定代表人或授权代表（电子签名或盖章）：</w:t>
      </w:r>
    </w:p>
    <w:p w14:paraId="459417E2">
      <w:pPr>
        <w:pStyle w:val="5"/>
        <w:spacing w:before="66" w:line="227" w:lineRule="auto"/>
        <w:outlineLvl w:val="9"/>
        <w:rPr>
          <w:rFonts w:hint="eastAsia" w:ascii="仿宋" w:hAnsi="仿宋" w:eastAsia="仿宋" w:cs="仿宋"/>
          <w:color w:val="auto"/>
          <w:sz w:val="20"/>
          <w:szCs w:val="20"/>
          <w:highlight w:val="none"/>
        </w:rPr>
        <w:sectPr>
          <w:pgSz w:w="11905" w:h="16838"/>
          <w:pgMar w:top="1417" w:right="1417" w:bottom="1417" w:left="1417" w:header="850" w:footer="850" w:gutter="0"/>
          <w:pgBorders>
            <w:top w:val="none" w:sz="0" w:space="0"/>
            <w:left w:val="none" w:sz="0" w:space="0"/>
            <w:bottom w:val="none" w:sz="0" w:space="0"/>
            <w:right w:val="none" w:sz="0" w:space="0"/>
          </w:pgBorders>
          <w:pgNumType w:fmt="numberInDash"/>
          <w:cols w:space="0" w:num="1"/>
          <w:rtlGutter w:val="0"/>
          <w:docGrid w:type="lines" w:linePitch="412" w:charSpace="0"/>
        </w:sectPr>
      </w:pPr>
      <w:r>
        <w:rPr>
          <w:rFonts w:hint="eastAsia" w:ascii="仿宋" w:hAnsi="仿宋" w:eastAsia="仿宋" w:cs="仿宋"/>
          <w:color w:val="auto"/>
          <w:kern w:val="2"/>
          <w:sz w:val="21"/>
          <w:szCs w:val="21"/>
          <w:highlight w:val="none"/>
          <w:lang w:val="en-US" w:eastAsia="zh-CN" w:bidi="ar-SA"/>
        </w:rPr>
        <w:t xml:space="preserve">日期：    年    月  </w:t>
      </w:r>
      <w:r>
        <w:rPr>
          <w:rFonts w:hint="eastAsia" w:ascii="仿宋" w:hAnsi="仿宋" w:eastAsia="仿宋" w:cs="仿宋"/>
          <w:color w:val="auto"/>
          <w:spacing w:val="16"/>
          <w:sz w:val="20"/>
          <w:szCs w:val="20"/>
          <w:highlight w:val="none"/>
        </w:rPr>
        <w:t xml:space="preserve">  </w:t>
      </w:r>
      <w:r>
        <w:rPr>
          <w:rFonts w:hint="eastAsia" w:ascii="仿宋" w:hAnsi="仿宋" w:eastAsia="仿宋" w:cs="仿宋"/>
          <w:color w:val="auto"/>
          <w:spacing w:val="-6"/>
          <w:sz w:val="20"/>
          <w:szCs w:val="20"/>
          <w:highlight w:val="none"/>
        </w:rPr>
        <w:t>日</w:t>
      </w:r>
    </w:p>
    <w:p w14:paraId="35E8A1DB">
      <w:pPr>
        <w:pStyle w:val="5"/>
        <w:spacing w:before="248" w:line="219" w:lineRule="auto"/>
        <w:ind w:left="0" w:leftChars="0" w:firstLine="0" w:firstLineChars="0"/>
        <w:jc w:val="center"/>
        <w:outlineLvl w:val="9"/>
        <w:rPr>
          <w:rFonts w:hint="eastAsia" w:ascii="仿宋" w:hAnsi="仿宋" w:eastAsia="仿宋" w:cs="仿宋"/>
          <w:color w:val="auto"/>
          <w:sz w:val="28"/>
          <w:szCs w:val="28"/>
          <w:highlight w:val="none"/>
        </w:rPr>
      </w:pPr>
      <w:r>
        <w:rPr>
          <w:rFonts w:hint="eastAsia" w:ascii="仿宋" w:hAnsi="仿宋" w:eastAsia="仿宋" w:cs="仿宋"/>
          <w:b/>
          <w:bCs/>
          <w:color w:val="auto"/>
          <w:spacing w:val="-4"/>
          <w:sz w:val="28"/>
          <w:szCs w:val="28"/>
          <w:highlight w:val="none"/>
        </w:rPr>
        <w:t>十</w:t>
      </w:r>
      <w:r>
        <w:rPr>
          <w:rFonts w:hint="eastAsia" w:ascii="仿宋" w:hAnsi="仿宋" w:eastAsia="仿宋" w:cs="仿宋"/>
          <w:b/>
          <w:bCs/>
          <w:color w:val="auto"/>
          <w:spacing w:val="-4"/>
          <w:sz w:val="28"/>
          <w:szCs w:val="28"/>
          <w:highlight w:val="none"/>
          <w:lang w:val="en-US" w:eastAsia="zh-CN"/>
        </w:rPr>
        <w:t>四</w:t>
      </w:r>
      <w:r>
        <w:rPr>
          <w:rFonts w:hint="eastAsia" w:ascii="仿宋" w:hAnsi="仿宋" w:eastAsia="仿宋" w:cs="仿宋"/>
          <w:b/>
          <w:bCs/>
          <w:color w:val="auto"/>
          <w:spacing w:val="-4"/>
          <w:sz w:val="28"/>
          <w:szCs w:val="28"/>
          <w:highlight w:val="none"/>
        </w:rPr>
        <w:t>、其他材料</w:t>
      </w:r>
    </w:p>
    <w:p w14:paraId="503D5998">
      <w:pPr>
        <w:pStyle w:val="5"/>
        <w:spacing w:before="156" w:line="228" w:lineRule="auto"/>
        <w:ind w:left="3714"/>
        <w:outlineLvl w:val="9"/>
        <w:rPr>
          <w:rFonts w:hint="eastAsia" w:ascii="仿宋" w:hAnsi="仿宋" w:eastAsia="仿宋" w:cs="仿宋"/>
          <w:color w:val="auto"/>
          <w:sz w:val="20"/>
          <w:szCs w:val="20"/>
          <w:highlight w:val="none"/>
        </w:rPr>
      </w:pPr>
      <w:r>
        <w:rPr>
          <w:rFonts w:hint="eastAsia" w:ascii="仿宋" w:hAnsi="仿宋" w:eastAsia="仿宋" w:cs="仿宋"/>
          <w:b/>
          <w:bCs/>
          <w:color w:val="auto"/>
          <w:spacing w:val="4"/>
          <w:sz w:val="20"/>
          <w:szCs w:val="20"/>
          <w:highlight w:val="none"/>
          <w:lang w:eastAsia="zh-CN"/>
        </w:rPr>
        <w:t>1.</w:t>
      </w:r>
      <w:r>
        <w:rPr>
          <w:rFonts w:hint="eastAsia" w:ascii="仿宋" w:hAnsi="仿宋" w:eastAsia="仿宋" w:cs="仿宋"/>
          <w:b/>
          <w:bCs/>
          <w:color w:val="auto"/>
          <w:spacing w:val="4"/>
          <w:sz w:val="20"/>
          <w:szCs w:val="20"/>
          <w:highlight w:val="none"/>
        </w:rPr>
        <w:t>投标承诺函</w:t>
      </w:r>
    </w:p>
    <w:p w14:paraId="0B1B1437">
      <w:pPr>
        <w:pStyle w:val="5"/>
        <w:keepNext w:val="0"/>
        <w:keepLines w:val="0"/>
        <w:pageBreakBefore w:val="0"/>
        <w:widowControl w:val="0"/>
        <w:kinsoku/>
        <w:wordWrap/>
        <w:overflowPunct/>
        <w:topLinePunct w:val="0"/>
        <w:autoSpaceDE/>
        <w:autoSpaceDN/>
        <w:bidi w:val="0"/>
        <w:adjustRightInd/>
        <w:snapToGrid/>
        <w:spacing w:before="221" w:line="400" w:lineRule="exact"/>
        <w:ind w:left="442"/>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9"/>
          <w:sz w:val="20"/>
          <w:szCs w:val="20"/>
          <w:highlight w:val="none"/>
        </w:rPr>
        <w:t>致</w:t>
      </w:r>
      <w:r>
        <w:rPr>
          <w:rFonts w:hint="eastAsia" w:ascii="仿宋" w:hAnsi="仿宋" w:eastAsia="仿宋" w:cs="仿宋"/>
          <w:color w:val="auto"/>
          <w:spacing w:val="9"/>
          <w:sz w:val="20"/>
          <w:szCs w:val="20"/>
          <w:highlight w:val="none"/>
          <w:u w:val="single" w:color="auto"/>
        </w:rPr>
        <w:t>（采购人及采购代理机构</w:t>
      </w:r>
      <w:r>
        <w:rPr>
          <w:rFonts w:hint="eastAsia" w:ascii="仿宋" w:hAnsi="仿宋" w:eastAsia="仿宋" w:cs="仿宋"/>
          <w:color w:val="auto"/>
          <w:sz w:val="20"/>
          <w:szCs w:val="20"/>
          <w:highlight w:val="none"/>
          <w:u w:val="single" w:color="auto"/>
        </w:rPr>
        <w:t>）</w:t>
      </w:r>
      <w:r>
        <w:rPr>
          <w:rFonts w:hint="eastAsia" w:ascii="仿宋" w:hAnsi="仿宋" w:eastAsia="仿宋" w:cs="仿宋"/>
          <w:color w:val="auto"/>
          <w:sz w:val="20"/>
          <w:szCs w:val="20"/>
          <w:highlight w:val="none"/>
        </w:rPr>
        <w:t>：</w:t>
      </w:r>
    </w:p>
    <w:p w14:paraId="1C05C6F3">
      <w:pPr>
        <w:pStyle w:val="5"/>
        <w:keepNext w:val="0"/>
        <w:keepLines w:val="0"/>
        <w:pageBreakBefore w:val="0"/>
        <w:widowControl w:val="0"/>
        <w:kinsoku/>
        <w:wordWrap/>
        <w:overflowPunct/>
        <w:topLinePunct w:val="0"/>
        <w:autoSpaceDE/>
        <w:autoSpaceDN/>
        <w:bidi w:val="0"/>
        <w:adjustRightInd/>
        <w:snapToGrid/>
        <w:spacing w:before="222" w:line="400" w:lineRule="exact"/>
        <w:ind w:left="475"/>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10"/>
          <w:sz w:val="20"/>
          <w:szCs w:val="20"/>
          <w:highlight w:val="none"/>
        </w:rPr>
        <w:t>我公司作为本次采购项目的供应商，根据招标文件要求，现</w:t>
      </w:r>
      <w:r>
        <w:rPr>
          <w:rFonts w:hint="eastAsia" w:ascii="仿宋" w:hAnsi="仿宋" w:eastAsia="仿宋" w:cs="仿宋"/>
          <w:color w:val="auto"/>
          <w:spacing w:val="9"/>
          <w:sz w:val="20"/>
          <w:szCs w:val="20"/>
          <w:highlight w:val="none"/>
        </w:rPr>
        <w:t>郑重承诺如下：</w:t>
      </w:r>
    </w:p>
    <w:p w14:paraId="2BECD345">
      <w:pPr>
        <w:pStyle w:val="5"/>
        <w:keepNext w:val="0"/>
        <w:keepLines w:val="0"/>
        <w:pageBreakBefore w:val="0"/>
        <w:widowControl w:val="0"/>
        <w:kinsoku/>
        <w:wordWrap/>
        <w:overflowPunct/>
        <w:topLinePunct w:val="0"/>
        <w:autoSpaceDE/>
        <w:autoSpaceDN/>
        <w:bidi w:val="0"/>
        <w:adjustRightInd/>
        <w:snapToGrid/>
        <w:spacing w:before="222" w:line="400" w:lineRule="exact"/>
        <w:ind w:left="445"/>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9"/>
          <w:sz w:val="20"/>
          <w:szCs w:val="20"/>
          <w:highlight w:val="none"/>
        </w:rPr>
        <w:t>一、具备《中华人民共和国政府采购法》第二十二条第一款和本项目规定的条件：</w:t>
      </w:r>
    </w:p>
    <w:p w14:paraId="07E4BB8B">
      <w:pPr>
        <w:pStyle w:val="5"/>
        <w:keepNext w:val="0"/>
        <w:keepLines w:val="0"/>
        <w:pageBreakBefore w:val="0"/>
        <w:widowControl w:val="0"/>
        <w:kinsoku/>
        <w:wordWrap/>
        <w:overflowPunct/>
        <w:topLinePunct w:val="0"/>
        <w:autoSpaceDE/>
        <w:autoSpaceDN/>
        <w:bidi w:val="0"/>
        <w:adjustRightInd/>
        <w:snapToGrid/>
        <w:spacing w:before="221" w:line="400" w:lineRule="exact"/>
        <w:ind w:left="452"/>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8"/>
          <w:sz w:val="20"/>
          <w:szCs w:val="20"/>
          <w:highlight w:val="none"/>
        </w:rPr>
        <w:t>（一）具有独立承担民事责任的能力；</w:t>
      </w:r>
    </w:p>
    <w:p w14:paraId="57FE30A5">
      <w:pPr>
        <w:pStyle w:val="5"/>
        <w:keepNext w:val="0"/>
        <w:keepLines w:val="0"/>
        <w:pageBreakBefore w:val="0"/>
        <w:widowControl w:val="0"/>
        <w:kinsoku/>
        <w:wordWrap/>
        <w:overflowPunct/>
        <w:topLinePunct w:val="0"/>
        <w:autoSpaceDE/>
        <w:autoSpaceDN/>
        <w:bidi w:val="0"/>
        <w:adjustRightInd/>
        <w:snapToGrid/>
        <w:spacing w:before="221" w:line="400" w:lineRule="exact"/>
        <w:ind w:left="452"/>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8"/>
          <w:sz w:val="20"/>
          <w:szCs w:val="20"/>
          <w:highlight w:val="none"/>
        </w:rPr>
        <w:t>（二）具有良好的商业信誉和健全的财务会计制度；</w:t>
      </w:r>
    </w:p>
    <w:p w14:paraId="361FFF64">
      <w:pPr>
        <w:pStyle w:val="5"/>
        <w:keepNext w:val="0"/>
        <w:keepLines w:val="0"/>
        <w:pageBreakBefore w:val="0"/>
        <w:widowControl w:val="0"/>
        <w:kinsoku/>
        <w:wordWrap/>
        <w:overflowPunct/>
        <w:topLinePunct w:val="0"/>
        <w:autoSpaceDE/>
        <w:autoSpaceDN/>
        <w:bidi w:val="0"/>
        <w:adjustRightInd/>
        <w:snapToGrid/>
        <w:spacing w:before="222" w:line="400" w:lineRule="exact"/>
        <w:ind w:left="452"/>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8"/>
          <w:sz w:val="20"/>
          <w:szCs w:val="20"/>
          <w:highlight w:val="none"/>
        </w:rPr>
        <w:t>（三）具有履行合同所必需的设备和专业技术能力；</w:t>
      </w:r>
    </w:p>
    <w:p w14:paraId="68604B11">
      <w:pPr>
        <w:pStyle w:val="5"/>
        <w:keepNext w:val="0"/>
        <w:keepLines w:val="0"/>
        <w:pageBreakBefore w:val="0"/>
        <w:widowControl w:val="0"/>
        <w:kinsoku/>
        <w:wordWrap/>
        <w:overflowPunct/>
        <w:topLinePunct w:val="0"/>
        <w:autoSpaceDE/>
        <w:autoSpaceDN/>
        <w:bidi w:val="0"/>
        <w:adjustRightInd/>
        <w:snapToGrid/>
        <w:spacing w:before="221" w:line="400" w:lineRule="exact"/>
        <w:ind w:left="452"/>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8"/>
          <w:sz w:val="20"/>
          <w:szCs w:val="20"/>
          <w:highlight w:val="none"/>
        </w:rPr>
        <w:t>（四）有依法缴纳税收和社会保障资金的良好记录；</w:t>
      </w:r>
    </w:p>
    <w:p w14:paraId="1C157B71">
      <w:pPr>
        <w:pStyle w:val="5"/>
        <w:keepNext w:val="0"/>
        <w:keepLines w:val="0"/>
        <w:pageBreakBefore w:val="0"/>
        <w:widowControl w:val="0"/>
        <w:kinsoku/>
        <w:wordWrap/>
        <w:overflowPunct/>
        <w:topLinePunct w:val="0"/>
        <w:autoSpaceDE/>
        <w:autoSpaceDN/>
        <w:bidi w:val="0"/>
        <w:adjustRightInd/>
        <w:snapToGrid/>
        <w:spacing w:before="222" w:line="400" w:lineRule="exact"/>
        <w:ind w:left="452"/>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9"/>
          <w:sz w:val="20"/>
          <w:szCs w:val="20"/>
          <w:highlight w:val="none"/>
        </w:rPr>
        <w:t>（五）参加政府采购活动前三年内，在经营活动中没有重大违法记录；</w:t>
      </w:r>
    </w:p>
    <w:p w14:paraId="747614C2">
      <w:pPr>
        <w:pStyle w:val="5"/>
        <w:keepNext w:val="0"/>
        <w:keepLines w:val="0"/>
        <w:pageBreakBefore w:val="0"/>
        <w:widowControl w:val="0"/>
        <w:kinsoku/>
        <w:wordWrap/>
        <w:overflowPunct/>
        <w:topLinePunct w:val="0"/>
        <w:autoSpaceDE/>
        <w:autoSpaceDN/>
        <w:bidi w:val="0"/>
        <w:adjustRightInd/>
        <w:snapToGrid/>
        <w:spacing w:before="222" w:line="400" w:lineRule="exact"/>
        <w:ind w:left="452"/>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8"/>
          <w:sz w:val="20"/>
          <w:szCs w:val="20"/>
          <w:highlight w:val="none"/>
        </w:rPr>
        <w:t>（六）法律、行政法规规定的其他条件；</w:t>
      </w:r>
    </w:p>
    <w:p w14:paraId="6D8CA512">
      <w:pPr>
        <w:pStyle w:val="5"/>
        <w:keepNext w:val="0"/>
        <w:keepLines w:val="0"/>
        <w:pageBreakBefore w:val="0"/>
        <w:widowControl w:val="0"/>
        <w:kinsoku/>
        <w:wordWrap/>
        <w:overflowPunct/>
        <w:topLinePunct w:val="0"/>
        <w:autoSpaceDE/>
        <w:autoSpaceDN/>
        <w:bidi w:val="0"/>
        <w:adjustRightInd/>
        <w:snapToGrid/>
        <w:spacing w:before="221" w:line="400" w:lineRule="exact"/>
        <w:ind w:left="452"/>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8"/>
          <w:sz w:val="20"/>
          <w:szCs w:val="20"/>
          <w:highlight w:val="none"/>
        </w:rPr>
        <w:t>（七）根据采购项目提出的特殊条件。</w:t>
      </w:r>
    </w:p>
    <w:p w14:paraId="255841F1">
      <w:pPr>
        <w:pStyle w:val="5"/>
        <w:keepNext w:val="0"/>
        <w:keepLines w:val="0"/>
        <w:pageBreakBefore w:val="0"/>
        <w:widowControl w:val="0"/>
        <w:kinsoku/>
        <w:wordWrap/>
        <w:overflowPunct/>
        <w:topLinePunct w:val="0"/>
        <w:autoSpaceDE/>
        <w:autoSpaceDN/>
        <w:bidi w:val="0"/>
        <w:adjustRightInd/>
        <w:snapToGrid/>
        <w:spacing w:before="222" w:line="400" w:lineRule="exact"/>
        <w:ind w:left="20" w:right="70" w:firstLine="425"/>
        <w:jc w:val="both"/>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7"/>
          <w:sz w:val="20"/>
          <w:szCs w:val="20"/>
          <w:highlight w:val="none"/>
        </w:rPr>
        <w:t>二、完全接受和满足本项目招标文件中规定的实质性要求，如对招标文件有异议，已经在投标截止时间届满前依法进行维权救济，不存在对招标文件有异议的同时又参加投标以求</w:t>
      </w:r>
      <w:r>
        <w:rPr>
          <w:rFonts w:hint="eastAsia" w:ascii="仿宋" w:hAnsi="仿宋" w:eastAsia="仿宋" w:cs="仿宋"/>
          <w:color w:val="auto"/>
          <w:spacing w:val="9"/>
          <w:sz w:val="20"/>
          <w:szCs w:val="20"/>
          <w:highlight w:val="none"/>
        </w:rPr>
        <w:t>侥幸中标或者为实现其他非法目的的行为。</w:t>
      </w:r>
    </w:p>
    <w:p w14:paraId="79708A21">
      <w:pPr>
        <w:pStyle w:val="5"/>
        <w:keepNext w:val="0"/>
        <w:keepLines w:val="0"/>
        <w:pageBreakBefore w:val="0"/>
        <w:widowControl w:val="0"/>
        <w:kinsoku/>
        <w:wordWrap/>
        <w:overflowPunct/>
        <w:topLinePunct w:val="0"/>
        <w:autoSpaceDE/>
        <w:autoSpaceDN/>
        <w:bidi w:val="0"/>
        <w:adjustRightInd/>
        <w:snapToGrid/>
        <w:spacing w:before="1" w:line="400" w:lineRule="exact"/>
        <w:ind w:left="26" w:right="70" w:firstLine="415"/>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7"/>
          <w:sz w:val="20"/>
          <w:szCs w:val="20"/>
          <w:highlight w:val="none"/>
        </w:rPr>
        <w:t>三、参加本次招标采购活动，不存在与单位负责人为同一人或者存在直接控股、管理关</w:t>
      </w:r>
      <w:r>
        <w:rPr>
          <w:rFonts w:hint="eastAsia" w:ascii="仿宋" w:hAnsi="仿宋" w:eastAsia="仿宋" w:cs="仿宋"/>
          <w:color w:val="auto"/>
          <w:spacing w:val="9"/>
          <w:sz w:val="20"/>
          <w:szCs w:val="20"/>
          <w:highlight w:val="none"/>
        </w:rPr>
        <w:t>系的其他供应商参与同一合同项下的政府采购活动的行为。</w:t>
      </w:r>
    </w:p>
    <w:p w14:paraId="4C4A4F5F">
      <w:pPr>
        <w:pStyle w:val="5"/>
        <w:keepNext w:val="0"/>
        <w:keepLines w:val="0"/>
        <w:pageBreakBefore w:val="0"/>
        <w:widowControl w:val="0"/>
        <w:kinsoku/>
        <w:wordWrap/>
        <w:overflowPunct/>
        <w:topLinePunct w:val="0"/>
        <w:autoSpaceDE/>
        <w:autoSpaceDN/>
        <w:bidi w:val="0"/>
        <w:adjustRightInd/>
        <w:snapToGrid/>
        <w:spacing w:before="222" w:line="400" w:lineRule="exact"/>
        <w:ind w:left="23" w:firstLine="438"/>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3"/>
          <w:sz w:val="20"/>
          <w:szCs w:val="20"/>
          <w:highlight w:val="none"/>
        </w:rPr>
        <w:t>四、参加本次招标采购活动，不存在为采购项目提供整体设计、规范编制或者项目管理、</w:t>
      </w:r>
      <w:r>
        <w:rPr>
          <w:rFonts w:hint="eastAsia" w:ascii="仿宋" w:hAnsi="仿宋" w:eastAsia="仿宋" w:cs="仿宋"/>
          <w:color w:val="auto"/>
          <w:spacing w:val="8"/>
          <w:sz w:val="20"/>
          <w:szCs w:val="20"/>
          <w:highlight w:val="none"/>
        </w:rPr>
        <w:t>监理、检测等服务的行为。</w:t>
      </w:r>
    </w:p>
    <w:p w14:paraId="6875DE95">
      <w:pPr>
        <w:pStyle w:val="5"/>
        <w:keepNext w:val="0"/>
        <w:keepLines w:val="0"/>
        <w:pageBreakBefore w:val="0"/>
        <w:widowControl w:val="0"/>
        <w:kinsoku/>
        <w:wordWrap/>
        <w:overflowPunct/>
        <w:topLinePunct w:val="0"/>
        <w:autoSpaceDE/>
        <w:autoSpaceDN/>
        <w:bidi w:val="0"/>
        <w:adjustRightInd/>
        <w:snapToGrid/>
        <w:spacing w:before="221" w:line="400" w:lineRule="exact"/>
        <w:ind w:left="21" w:right="70" w:firstLine="424"/>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7"/>
          <w:sz w:val="20"/>
          <w:szCs w:val="20"/>
          <w:highlight w:val="none"/>
        </w:rPr>
        <w:t>五、参加本次招标采购活动，不存在和其他供应商在同一合同项下的采购项目中，同时</w:t>
      </w:r>
      <w:r>
        <w:rPr>
          <w:rFonts w:hint="eastAsia" w:ascii="仿宋" w:hAnsi="仿宋" w:eastAsia="仿宋" w:cs="仿宋"/>
          <w:color w:val="auto"/>
          <w:spacing w:val="9"/>
          <w:sz w:val="20"/>
          <w:szCs w:val="20"/>
          <w:highlight w:val="none"/>
        </w:rPr>
        <w:t>委托同一个自然人、同一家庭的人员、同一单位的人员作为代理人的行为。</w:t>
      </w:r>
    </w:p>
    <w:p w14:paraId="6009D7BA">
      <w:pPr>
        <w:pStyle w:val="5"/>
        <w:keepNext w:val="0"/>
        <w:keepLines w:val="0"/>
        <w:pageBreakBefore w:val="0"/>
        <w:widowControl w:val="0"/>
        <w:kinsoku/>
        <w:wordWrap/>
        <w:overflowPunct/>
        <w:topLinePunct w:val="0"/>
        <w:autoSpaceDE/>
        <w:autoSpaceDN/>
        <w:bidi w:val="0"/>
        <w:adjustRightInd/>
        <w:snapToGrid/>
        <w:spacing w:before="222" w:line="400" w:lineRule="exact"/>
        <w:ind w:left="25" w:right="71" w:firstLine="418"/>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7"/>
          <w:sz w:val="20"/>
          <w:szCs w:val="20"/>
          <w:highlight w:val="none"/>
        </w:rPr>
        <w:t>六、供应商参加本次政府采购活动要求在近三年内供应商和其法定代表人没有行贿犯罪</w:t>
      </w:r>
      <w:r>
        <w:rPr>
          <w:rFonts w:hint="eastAsia" w:ascii="仿宋" w:hAnsi="仿宋" w:eastAsia="仿宋" w:cs="仿宋"/>
          <w:color w:val="auto"/>
          <w:spacing w:val="2"/>
          <w:sz w:val="20"/>
          <w:szCs w:val="20"/>
          <w:highlight w:val="none"/>
        </w:rPr>
        <w:t>行为。</w:t>
      </w:r>
    </w:p>
    <w:p w14:paraId="42736BB7">
      <w:pPr>
        <w:pStyle w:val="5"/>
        <w:keepNext w:val="0"/>
        <w:keepLines w:val="0"/>
        <w:pageBreakBefore w:val="0"/>
        <w:widowControl w:val="0"/>
        <w:kinsoku/>
        <w:wordWrap/>
        <w:overflowPunct/>
        <w:topLinePunct w:val="0"/>
        <w:autoSpaceDE/>
        <w:autoSpaceDN/>
        <w:bidi w:val="0"/>
        <w:adjustRightInd/>
        <w:snapToGrid/>
        <w:spacing w:before="220" w:line="400" w:lineRule="exact"/>
        <w:ind w:left="441"/>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9"/>
          <w:sz w:val="20"/>
          <w:szCs w:val="20"/>
          <w:highlight w:val="none"/>
        </w:rPr>
        <w:t>七、参加本次招标采购活动，不存在联合体投标。</w:t>
      </w:r>
    </w:p>
    <w:p w14:paraId="426ACA44">
      <w:pPr>
        <w:pStyle w:val="5"/>
        <w:keepNext w:val="0"/>
        <w:keepLines w:val="0"/>
        <w:pageBreakBefore w:val="0"/>
        <w:widowControl w:val="0"/>
        <w:kinsoku/>
        <w:wordWrap/>
        <w:overflowPunct/>
        <w:topLinePunct w:val="0"/>
        <w:autoSpaceDE/>
        <w:autoSpaceDN/>
        <w:bidi w:val="0"/>
        <w:adjustRightInd/>
        <w:snapToGrid/>
        <w:spacing w:before="222" w:line="400" w:lineRule="exact"/>
        <w:ind w:left="26" w:right="12" w:firstLine="419"/>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9"/>
          <w:sz w:val="20"/>
          <w:szCs w:val="20"/>
          <w:highlight w:val="none"/>
        </w:rPr>
        <w:t>八、投标文件中提供的能够给予我公司带来优惠、好处的任</w:t>
      </w:r>
      <w:r>
        <w:rPr>
          <w:rFonts w:hint="eastAsia" w:ascii="仿宋" w:hAnsi="仿宋" w:eastAsia="仿宋" w:cs="仿宋"/>
          <w:color w:val="auto"/>
          <w:spacing w:val="8"/>
          <w:sz w:val="20"/>
          <w:szCs w:val="20"/>
          <w:highlight w:val="none"/>
        </w:rPr>
        <w:t>何材料资料和技术、服务、</w:t>
      </w:r>
      <w:r>
        <w:rPr>
          <w:rFonts w:hint="eastAsia" w:ascii="仿宋" w:hAnsi="仿宋" w:eastAsia="仿宋" w:cs="仿宋"/>
          <w:color w:val="auto"/>
          <w:spacing w:val="9"/>
          <w:sz w:val="20"/>
          <w:szCs w:val="20"/>
          <w:highlight w:val="none"/>
        </w:rPr>
        <w:t>商务等相应承诺情况都是真实的、有效的、合</w:t>
      </w:r>
      <w:r>
        <w:rPr>
          <w:rFonts w:hint="eastAsia" w:ascii="仿宋" w:hAnsi="仿宋" w:eastAsia="仿宋" w:cs="仿宋"/>
          <w:color w:val="auto"/>
          <w:spacing w:val="8"/>
          <w:sz w:val="20"/>
          <w:szCs w:val="20"/>
          <w:highlight w:val="none"/>
        </w:rPr>
        <w:t>法的。</w:t>
      </w:r>
    </w:p>
    <w:p w14:paraId="022610F9">
      <w:pPr>
        <w:pStyle w:val="5"/>
        <w:keepNext w:val="0"/>
        <w:keepLines w:val="0"/>
        <w:pageBreakBefore w:val="0"/>
        <w:widowControl w:val="0"/>
        <w:kinsoku/>
        <w:wordWrap/>
        <w:overflowPunct/>
        <w:topLinePunct w:val="0"/>
        <w:autoSpaceDE/>
        <w:autoSpaceDN/>
        <w:bidi w:val="0"/>
        <w:adjustRightInd/>
        <w:snapToGrid/>
        <w:spacing w:before="220" w:line="400" w:lineRule="exact"/>
        <w:ind w:left="22" w:right="70" w:firstLine="425"/>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7"/>
          <w:sz w:val="20"/>
          <w:szCs w:val="20"/>
          <w:highlight w:val="none"/>
        </w:rPr>
        <w:t>九、如本项目评标过程中需要提供样品，则我公司提供的样品即为中标后将要提供的中标产品，我公司对提供样品的性能和质量负责，因样品存在缺陷或者不符合招标文件要求导</w:t>
      </w:r>
      <w:r>
        <w:rPr>
          <w:rFonts w:hint="eastAsia" w:ascii="仿宋" w:hAnsi="仿宋" w:eastAsia="仿宋" w:cs="仿宋"/>
          <w:color w:val="auto"/>
          <w:spacing w:val="5"/>
          <w:sz w:val="20"/>
          <w:szCs w:val="20"/>
          <w:highlight w:val="none"/>
        </w:rPr>
        <w:t>致未能中标的，我公司愿意承担相应不利后果。（如提供样品）</w:t>
      </w:r>
    </w:p>
    <w:p w14:paraId="019918BC">
      <w:pPr>
        <w:pStyle w:val="5"/>
        <w:keepNext w:val="0"/>
        <w:keepLines w:val="0"/>
        <w:pageBreakBefore w:val="0"/>
        <w:widowControl w:val="0"/>
        <w:kinsoku/>
        <w:wordWrap/>
        <w:overflowPunct/>
        <w:topLinePunct w:val="0"/>
        <w:autoSpaceDE/>
        <w:autoSpaceDN/>
        <w:bidi w:val="0"/>
        <w:adjustRightInd/>
        <w:snapToGrid/>
        <w:spacing w:before="137" w:line="400" w:lineRule="exact"/>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9"/>
          <w:sz w:val="20"/>
          <w:szCs w:val="20"/>
          <w:highlight w:val="none"/>
        </w:rPr>
        <w:t>十、存在以下行为之一的愿意接受相关部门的处理：</w:t>
      </w:r>
    </w:p>
    <w:p w14:paraId="47BDF68A">
      <w:pPr>
        <w:pStyle w:val="5"/>
        <w:keepNext w:val="0"/>
        <w:keepLines w:val="0"/>
        <w:pageBreakBefore w:val="0"/>
        <w:widowControl w:val="0"/>
        <w:kinsoku/>
        <w:wordWrap/>
        <w:overflowPunct/>
        <w:topLinePunct w:val="0"/>
        <w:autoSpaceDE/>
        <w:autoSpaceDN/>
        <w:bidi w:val="0"/>
        <w:adjustRightInd/>
        <w:snapToGrid/>
        <w:spacing w:before="221" w:line="400" w:lineRule="exact"/>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8"/>
          <w:sz w:val="20"/>
          <w:szCs w:val="20"/>
          <w:highlight w:val="none"/>
        </w:rPr>
        <w:t>（一）投标有效期内撤销投标文件的；</w:t>
      </w:r>
    </w:p>
    <w:p w14:paraId="5E713516">
      <w:pPr>
        <w:pStyle w:val="5"/>
        <w:keepNext w:val="0"/>
        <w:keepLines w:val="0"/>
        <w:pageBreakBefore w:val="0"/>
        <w:widowControl w:val="0"/>
        <w:kinsoku/>
        <w:wordWrap/>
        <w:overflowPunct/>
        <w:topLinePunct w:val="0"/>
        <w:autoSpaceDE/>
        <w:autoSpaceDN/>
        <w:bidi w:val="0"/>
        <w:adjustRightInd/>
        <w:snapToGrid/>
        <w:spacing w:before="221" w:line="400" w:lineRule="exact"/>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8"/>
          <w:sz w:val="20"/>
          <w:szCs w:val="20"/>
          <w:highlight w:val="none"/>
        </w:rPr>
        <w:t>（二）在采购人确定成交人以前放弃中标候选资格的；</w:t>
      </w:r>
    </w:p>
    <w:p w14:paraId="4025C478">
      <w:pPr>
        <w:pStyle w:val="5"/>
        <w:keepNext w:val="0"/>
        <w:keepLines w:val="0"/>
        <w:pageBreakBefore w:val="0"/>
        <w:widowControl w:val="0"/>
        <w:kinsoku/>
        <w:wordWrap/>
        <w:overflowPunct/>
        <w:topLinePunct w:val="0"/>
        <w:autoSpaceDE/>
        <w:autoSpaceDN/>
        <w:bidi w:val="0"/>
        <w:adjustRightInd/>
        <w:snapToGrid/>
        <w:spacing w:before="222" w:line="400" w:lineRule="exact"/>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7"/>
          <w:sz w:val="20"/>
          <w:szCs w:val="20"/>
          <w:highlight w:val="none"/>
        </w:rPr>
        <w:t>（三）</w:t>
      </w:r>
      <w:r>
        <w:rPr>
          <w:rFonts w:hint="eastAsia" w:ascii="仿宋" w:hAnsi="仿宋" w:eastAsia="仿宋" w:cs="仿宋"/>
          <w:color w:val="auto"/>
          <w:spacing w:val="-39"/>
          <w:sz w:val="20"/>
          <w:szCs w:val="20"/>
          <w:highlight w:val="none"/>
        </w:rPr>
        <w:t xml:space="preserve"> </w:t>
      </w:r>
      <w:r>
        <w:rPr>
          <w:rFonts w:hint="eastAsia" w:ascii="仿宋" w:hAnsi="仿宋" w:eastAsia="仿宋" w:cs="仿宋"/>
          <w:color w:val="auto"/>
          <w:spacing w:val="7"/>
          <w:sz w:val="20"/>
          <w:szCs w:val="20"/>
          <w:highlight w:val="none"/>
        </w:rPr>
        <w:t>由于成交人的原因未能按照招标文件的规定与采购人签订合同；</w:t>
      </w:r>
    </w:p>
    <w:p w14:paraId="6578CAAC">
      <w:pPr>
        <w:pStyle w:val="5"/>
        <w:keepNext w:val="0"/>
        <w:keepLines w:val="0"/>
        <w:pageBreakBefore w:val="0"/>
        <w:widowControl w:val="0"/>
        <w:kinsoku/>
        <w:wordWrap/>
        <w:overflowPunct/>
        <w:topLinePunct w:val="0"/>
        <w:autoSpaceDE/>
        <w:autoSpaceDN/>
        <w:bidi w:val="0"/>
        <w:adjustRightInd/>
        <w:snapToGrid/>
        <w:spacing w:before="222" w:line="400" w:lineRule="exact"/>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8"/>
          <w:sz w:val="20"/>
          <w:szCs w:val="20"/>
          <w:highlight w:val="none"/>
        </w:rPr>
        <w:t>（四）在投标文件中提供虚假材料谋取中标；</w:t>
      </w:r>
    </w:p>
    <w:p w14:paraId="0D1F0910">
      <w:pPr>
        <w:pStyle w:val="5"/>
        <w:keepNext w:val="0"/>
        <w:keepLines w:val="0"/>
        <w:pageBreakBefore w:val="0"/>
        <w:widowControl w:val="0"/>
        <w:kinsoku/>
        <w:wordWrap/>
        <w:overflowPunct/>
        <w:topLinePunct w:val="0"/>
        <w:autoSpaceDE/>
        <w:autoSpaceDN/>
        <w:bidi w:val="0"/>
        <w:adjustRightInd/>
        <w:snapToGrid/>
        <w:spacing w:before="222" w:line="400" w:lineRule="exact"/>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9"/>
          <w:sz w:val="20"/>
          <w:szCs w:val="20"/>
          <w:highlight w:val="none"/>
        </w:rPr>
        <w:t>（五）与采购人、其他供应商或者采购代理机构恶</w:t>
      </w:r>
      <w:r>
        <w:rPr>
          <w:rFonts w:hint="eastAsia" w:ascii="仿宋" w:hAnsi="仿宋" w:eastAsia="仿宋" w:cs="仿宋"/>
          <w:color w:val="auto"/>
          <w:spacing w:val="8"/>
          <w:sz w:val="20"/>
          <w:szCs w:val="20"/>
          <w:highlight w:val="none"/>
        </w:rPr>
        <w:t>意串通的；</w:t>
      </w:r>
    </w:p>
    <w:p w14:paraId="15981F82">
      <w:pPr>
        <w:pStyle w:val="5"/>
        <w:keepNext w:val="0"/>
        <w:keepLines w:val="0"/>
        <w:pageBreakBefore w:val="0"/>
        <w:widowControl w:val="0"/>
        <w:kinsoku/>
        <w:wordWrap/>
        <w:overflowPunct/>
        <w:topLinePunct w:val="0"/>
        <w:autoSpaceDE/>
        <w:autoSpaceDN/>
        <w:bidi w:val="0"/>
        <w:adjustRightInd/>
        <w:snapToGrid/>
        <w:spacing w:before="222" w:line="400" w:lineRule="exact"/>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9"/>
          <w:sz w:val="20"/>
          <w:szCs w:val="20"/>
          <w:highlight w:val="none"/>
        </w:rPr>
        <w:t>（六）投标有效期内，供应商在政府采购活动中有违法、违规、违纪行为。</w:t>
      </w:r>
    </w:p>
    <w:p w14:paraId="36BCEB7C">
      <w:pPr>
        <w:pStyle w:val="5"/>
        <w:keepNext w:val="0"/>
        <w:keepLines w:val="0"/>
        <w:pageBreakBefore w:val="0"/>
        <w:widowControl w:val="0"/>
        <w:kinsoku/>
        <w:wordWrap/>
        <w:overflowPunct/>
        <w:topLinePunct w:val="0"/>
        <w:autoSpaceDE/>
        <w:autoSpaceDN/>
        <w:bidi w:val="0"/>
        <w:adjustRightInd/>
        <w:snapToGrid/>
        <w:spacing w:before="222" w:line="400" w:lineRule="exact"/>
        <w:ind w:left="22" w:right="16" w:firstLine="654"/>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6"/>
          <w:sz w:val="20"/>
          <w:szCs w:val="20"/>
          <w:highlight w:val="none"/>
        </w:rPr>
        <w:t>由此产生的一切法律后果和责任由我公司承担。我公司声明放弃对此提出任何异议和追索的权利。</w:t>
      </w:r>
    </w:p>
    <w:p w14:paraId="0274EBF3">
      <w:pPr>
        <w:pStyle w:val="5"/>
        <w:keepNext w:val="0"/>
        <w:keepLines w:val="0"/>
        <w:pageBreakBefore w:val="0"/>
        <w:widowControl w:val="0"/>
        <w:kinsoku/>
        <w:wordWrap/>
        <w:overflowPunct/>
        <w:topLinePunct w:val="0"/>
        <w:autoSpaceDE/>
        <w:autoSpaceDN/>
        <w:bidi w:val="0"/>
        <w:adjustRightInd/>
        <w:snapToGrid/>
        <w:spacing w:line="400" w:lineRule="exact"/>
        <w:ind w:left="28" w:right="15" w:firstLine="414"/>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7"/>
          <w:sz w:val="20"/>
          <w:szCs w:val="20"/>
          <w:highlight w:val="none"/>
        </w:rPr>
        <w:t>本公司对上述承诺的内容事项真实性负责。如经查实上述承诺的内容事项存在虚假，我</w:t>
      </w:r>
      <w:r>
        <w:rPr>
          <w:rFonts w:hint="eastAsia" w:ascii="仿宋" w:hAnsi="仿宋" w:eastAsia="仿宋" w:cs="仿宋"/>
          <w:color w:val="auto"/>
          <w:spacing w:val="9"/>
          <w:sz w:val="20"/>
          <w:szCs w:val="20"/>
          <w:highlight w:val="none"/>
        </w:rPr>
        <w:t>公司愿意接受以提供虚假材料谋取中标追究法律</w:t>
      </w:r>
      <w:r>
        <w:rPr>
          <w:rFonts w:hint="eastAsia" w:ascii="仿宋" w:hAnsi="仿宋" w:eastAsia="仿宋" w:cs="仿宋"/>
          <w:color w:val="auto"/>
          <w:spacing w:val="8"/>
          <w:sz w:val="20"/>
          <w:szCs w:val="20"/>
          <w:highlight w:val="none"/>
        </w:rPr>
        <w:t>责任。</w:t>
      </w:r>
    </w:p>
    <w:p w14:paraId="5C7300E4">
      <w:pPr>
        <w:keepNext w:val="0"/>
        <w:keepLines w:val="0"/>
        <w:pageBreakBefore w:val="0"/>
        <w:widowControl w:val="0"/>
        <w:kinsoku/>
        <w:wordWrap/>
        <w:overflowPunct/>
        <w:topLinePunct w:val="0"/>
        <w:autoSpaceDE/>
        <w:autoSpaceDN/>
        <w:bidi w:val="0"/>
        <w:adjustRightInd/>
        <w:snapToGrid/>
        <w:spacing w:line="400" w:lineRule="exact"/>
        <w:textAlignment w:val="auto"/>
        <w:outlineLvl w:val="9"/>
        <w:rPr>
          <w:rFonts w:hint="eastAsia" w:ascii="仿宋" w:hAnsi="仿宋" w:eastAsia="仿宋" w:cs="仿宋"/>
          <w:color w:val="auto"/>
          <w:sz w:val="21"/>
          <w:highlight w:val="none"/>
        </w:rPr>
      </w:pPr>
    </w:p>
    <w:p w14:paraId="71BBA57F">
      <w:pPr>
        <w:pStyle w:val="42"/>
        <w:outlineLvl w:val="9"/>
        <w:rPr>
          <w:rFonts w:hint="eastAsia" w:ascii="仿宋" w:hAnsi="仿宋" w:eastAsia="仿宋" w:cs="仿宋"/>
          <w:color w:val="auto"/>
          <w:sz w:val="21"/>
          <w:highlight w:val="none"/>
        </w:rPr>
      </w:pPr>
    </w:p>
    <w:p w14:paraId="5CC8D72D">
      <w:pPr>
        <w:outlineLvl w:val="9"/>
        <w:rPr>
          <w:rFonts w:hint="eastAsia" w:ascii="仿宋" w:hAnsi="仿宋" w:eastAsia="仿宋" w:cs="仿宋"/>
          <w:color w:val="auto"/>
          <w:highlight w:val="none"/>
        </w:rPr>
      </w:pPr>
    </w:p>
    <w:p w14:paraId="23BEC4EB">
      <w:pPr>
        <w:pStyle w:val="5"/>
        <w:keepNext w:val="0"/>
        <w:keepLines w:val="0"/>
        <w:pageBreakBefore w:val="0"/>
        <w:widowControl w:val="0"/>
        <w:kinsoku/>
        <w:wordWrap/>
        <w:overflowPunct/>
        <w:topLinePunct w:val="0"/>
        <w:autoSpaceDE/>
        <w:autoSpaceDN/>
        <w:bidi w:val="0"/>
        <w:adjustRightInd/>
        <w:snapToGrid/>
        <w:spacing w:before="65" w:line="400" w:lineRule="exact"/>
        <w:ind w:left="442"/>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10"/>
          <w:sz w:val="20"/>
          <w:szCs w:val="20"/>
          <w:highlight w:val="none"/>
        </w:rPr>
        <w:t>供应商名称</w:t>
      </w:r>
      <w:r>
        <w:rPr>
          <w:rFonts w:hint="eastAsia" w:ascii="仿宋" w:hAnsi="仿宋" w:eastAsia="仿宋" w:cs="仿宋"/>
          <w:color w:val="auto"/>
          <w:spacing w:val="-1"/>
          <w:sz w:val="20"/>
          <w:szCs w:val="20"/>
          <w:highlight w:val="none"/>
        </w:rPr>
        <w:t>：</w:t>
      </w:r>
      <w:r>
        <w:rPr>
          <w:rFonts w:hint="eastAsia" w:ascii="仿宋" w:hAnsi="仿宋" w:eastAsia="仿宋" w:cs="仿宋"/>
          <w:color w:val="auto"/>
          <w:spacing w:val="2"/>
          <w:sz w:val="20"/>
          <w:szCs w:val="20"/>
          <w:highlight w:val="none"/>
          <w:u w:val="single" w:color="auto"/>
        </w:rPr>
        <w:t xml:space="preserve">                                     </w:t>
      </w:r>
      <w:r>
        <w:rPr>
          <w:rFonts w:hint="eastAsia" w:ascii="仿宋" w:hAnsi="仿宋" w:eastAsia="仿宋" w:cs="仿宋"/>
          <w:color w:val="auto"/>
          <w:spacing w:val="-1"/>
          <w:sz w:val="20"/>
          <w:szCs w:val="20"/>
          <w:highlight w:val="none"/>
        </w:rPr>
        <w:t>（</w:t>
      </w:r>
      <w:r>
        <w:rPr>
          <w:rFonts w:hint="eastAsia" w:ascii="仿宋" w:hAnsi="仿宋" w:eastAsia="仿宋" w:cs="仿宋"/>
          <w:color w:val="auto"/>
          <w:spacing w:val="10"/>
          <w:sz w:val="20"/>
          <w:szCs w:val="20"/>
          <w:highlight w:val="none"/>
        </w:rPr>
        <w:t>单位电子签章）</w:t>
      </w:r>
    </w:p>
    <w:p w14:paraId="66A57922">
      <w:pPr>
        <w:pStyle w:val="5"/>
        <w:keepNext w:val="0"/>
        <w:keepLines w:val="0"/>
        <w:pageBreakBefore w:val="0"/>
        <w:widowControl w:val="0"/>
        <w:kinsoku/>
        <w:wordWrap/>
        <w:overflowPunct/>
        <w:topLinePunct w:val="0"/>
        <w:autoSpaceDE/>
        <w:autoSpaceDN/>
        <w:bidi w:val="0"/>
        <w:adjustRightInd/>
        <w:snapToGrid/>
        <w:spacing w:before="221" w:line="400" w:lineRule="exact"/>
        <w:ind w:left="478" w:right="360" w:hanging="35"/>
        <w:textAlignment w:val="auto"/>
        <w:outlineLvl w:val="9"/>
        <w:rPr>
          <w:rFonts w:hint="eastAsia" w:ascii="仿宋" w:hAnsi="仿宋" w:eastAsia="仿宋" w:cs="仿宋"/>
          <w:color w:val="auto"/>
          <w:sz w:val="20"/>
          <w:szCs w:val="20"/>
          <w:highlight w:val="none"/>
        </w:rPr>
      </w:pPr>
      <w:r>
        <w:rPr>
          <w:rFonts w:hint="eastAsia" w:ascii="仿宋" w:hAnsi="仿宋" w:eastAsia="仿宋" w:cs="仿宋"/>
          <w:color w:val="auto"/>
          <w:spacing w:val="10"/>
          <w:sz w:val="20"/>
          <w:szCs w:val="20"/>
          <w:highlight w:val="none"/>
        </w:rPr>
        <w:t>法定代表人或授权代表</w:t>
      </w:r>
      <w:r>
        <w:rPr>
          <w:rFonts w:hint="eastAsia" w:ascii="仿宋" w:hAnsi="仿宋" w:eastAsia="仿宋" w:cs="仿宋"/>
          <w:color w:val="auto"/>
          <w:spacing w:val="-6"/>
          <w:sz w:val="20"/>
          <w:szCs w:val="20"/>
          <w:highlight w:val="none"/>
        </w:rPr>
        <w:t>：</w:t>
      </w:r>
      <w:r>
        <w:rPr>
          <w:rFonts w:hint="eastAsia" w:ascii="仿宋" w:hAnsi="仿宋" w:eastAsia="仿宋" w:cs="仿宋"/>
          <w:color w:val="auto"/>
          <w:spacing w:val="2"/>
          <w:sz w:val="20"/>
          <w:szCs w:val="20"/>
          <w:highlight w:val="none"/>
          <w:u w:val="single" w:color="auto"/>
        </w:rPr>
        <w:t xml:space="preserve">                           </w:t>
      </w:r>
      <w:r>
        <w:rPr>
          <w:rFonts w:hint="eastAsia" w:ascii="仿宋" w:hAnsi="仿宋" w:eastAsia="仿宋" w:cs="仿宋"/>
          <w:color w:val="auto"/>
          <w:spacing w:val="1"/>
          <w:sz w:val="20"/>
          <w:szCs w:val="20"/>
          <w:highlight w:val="none"/>
          <w:u w:val="single" w:color="auto"/>
        </w:rPr>
        <w:t xml:space="preserve">      </w:t>
      </w:r>
      <w:r>
        <w:rPr>
          <w:rFonts w:hint="eastAsia" w:ascii="仿宋" w:hAnsi="仿宋" w:eastAsia="仿宋" w:cs="仿宋"/>
          <w:color w:val="auto"/>
          <w:spacing w:val="-6"/>
          <w:sz w:val="20"/>
          <w:szCs w:val="20"/>
          <w:highlight w:val="none"/>
        </w:rPr>
        <w:t>（</w:t>
      </w:r>
      <w:r>
        <w:rPr>
          <w:rFonts w:hint="eastAsia" w:ascii="仿宋" w:hAnsi="仿宋" w:eastAsia="仿宋" w:cs="仿宋"/>
          <w:color w:val="auto"/>
          <w:spacing w:val="10"/>
          <w:sz w:val="20"/>
          <w:szCs w:val="20"/>
          <w:highlight w:val="none"/>
        </w:rPr>
        <w:t>电子签名或盖章）</w:t>
      </w:r>
      <w:r>
        <w:rPr>
          <w:rFonts w:hint="eastAsia" w:ascii="仿宋" w:hAnsi="仿宋" w:eastAsia="仿宋" w:cs="仿宋"/>
          <w:color w:val="auto"/>
          <w:spacing w:val="-6"/>
          <w:sz w:val="20"/>
          <w:szCs w:val="20"/>
          <w:highlight w:val="none"/>
        </w:rPr>
        <w:t>日期：</w:t>
      </w:r>
      <w:r>
        <w:rPr>
          <w:rFonts w:hint="eastAsia" w:ascii="仿宋" w:hAnsi="仿宋" w:eastAsia="仿宋" w:cs="仿宋"/>
          <w:color w:val="auto"/>
          <w:sz w:val="20"/>
          <w:szCs w:val="20"/>
          <w:highlight w:val="none"/>
          <w:u w:val="single" w:color="auto"/>
        </w:rPr>
        <w:t xml:space="preserve">                              </w:t>
      </w:r>
    </w:p>
    <w:p w14:paraId="5E1C20B0">
      <w:pPr>
        <w:spacing w:line="434" w:lineRule="auto"/>
        <w:outlineLvl w:val="9"/>
        <w:rPr>
          <w:rFonts w:hint="eastAsia" w:ascii="仿宋" w:hAnsi="仿宋" w:eastAsia="仿宋" w:cs="仿宋"/>
          <w:color w:val="auto"/>
          <w:sz w:val="20"/>
          <w:szCs w:val="20"/>
          <w:highlight w:val="none"/>
        </w:rPr>
        <w:sectPr>
          <w:footerReference r:id="rId14" w:type="default"/>
          <w:pgSz w:w="11905" w:h="16838"/>
          <w:pgMar w:top="1417" w:right="1417" w:bottom="1417" w:left="1417" w:header="850" w:footer="850" w:gutter="0"/>
          <w:pgBorders>
            <w:top w:val="none" w:sz="0" w:space="0"/>
            <w:left w:val="none" w:sz="0" w:space="0"/>
            <w:bottom w:val="none" w:sz="0" w:space="0"/>
            <w:right w:val="none" w:sz="0" w:space="0"/>
          </w:pgBorders>
          <w:pgNumType w:fmt="numberInDash"/>
          <w:cols w:space="0" w:num="1"/>
          <w:rtlGutter w:val="0"/>
          <w:docGrid w:type="lines" w:linePitch="412" w:charSpace="0"/>
        </w:sectPr>
      </w:pPr>
    </w:p>
    <w:p w14:paraId="5263F6AF">
      <w:pPr>
        <w:pStyle w:val="5"/>
        <w:spacing w:before="173" w:line="227" w:lineRule="auto"/>
        <w:ind w:left="3173"/>
        <w:outlineLvl w:val="9"/>
        <w:rPr>
          <w:rFonts w:hint="eastAsia" w:ascii="仿宋" w:hAnsi="仿宋" w:eastAsia="仿宋" w:cs="仿宋"/>
          <w:color w:val="auto"/>
          <w:sz w:val="21"/>
          <w:highlight w:val="none"/>
        </w:rPr>
      </w:pPr>
      <w:r>
        <w:rPr>
          <w:rFonts w:hint="eastAsia" w:ascii="仿宋" w:hAnsi="仿宋" w:eastAsia="仿宋" w:cs="仿宋"/>
          <w:b/>
          <w:bCs/>
          <w:color w:val="auto"/>
          <w:spacing w:val="7"/>
          <w:sz w:val="20"/>
          <w:szCs w:val="20"/>
          <w:highlight w:val="none"/>
          <w:lang w:eastAsia="zh-CN"/>
        </w:rPr>
        <w:t>2.</w:t>
      </w:r>
      <w:r>
        <w:rPr>
          <w:rFonts w:hint="eastAsia" w:ascii="仿宋" w:hAnsi="仿宋" w:eastAsia="仿宋" w:cs="仿宋"/>
          <w:b/>
          <w:bCs/>
          <w:color w:val="auto"/>
          <w:spacing w:val="7"/>
          <w:sz w:val="20"/>
          <w:szCs w:val="20"/>
          <w:highlight w:val="none"/>
        </w:rPr>
        <w:t>采购代理服务费承诺函</w:t>
      </w:r>
    </w:p>
    <w:p w14:paraId="1C146F86">
      <w:pPr>
        <w:pStyle w:val="5"/>
        <w:spacing w:before="65" w:line="227" w:lineRule="auto"/>
        <w:ind w:left="473"/>
        <w:outlineLvl w:val="9"/>
        <w:rPr>
          <w:rFonts w:hint="eastAsia" w:ascii="仿宋" w:hAnsi="仿宋" w:eastAsia="仿宋" w:cs="仿宋"/>
          <w:color w:val="auto"/>
          <w:spacing w:val="23"/>
          <w:sz w:val="20"/>
          <w:szCs w:val="20"/>
          <w:highlight w:val="none"/>
        </w:rPr>
      </w:pPr>
    </w:p>
    <w:p w14:paraId="4C15A1F3">
      <w:pPr>
        <w:pStyle w:val="5"/>
        <w:spacing w:before="65" w:line="227" w:lineRule="auto"/>
        <w:ind w:left="0" w:leftChars="0" w:firstLine="0" w:firstLineChars="0"/>
        <w:outlineLvl w:val="9"/>
        <w:rPr>
          <w:rFonts w:hint="eastAsia" w:ascii="仿宋" w:hAnsi="仿宋" w:eastAsia="仿宋" w:cs="仿宋"/>
          <w:color w:val="auto"/>
          <w:sz w:val="20"/>
          <w:szCs w:val="20"/>
          <w:highlight w:val="none"/>
        </w:rPr>
      </w:pPr>
      <w:r>
        <w:rPr>
          <w:rFonts w:hint="eastAsia" w:ascii="仿宋" w:hAnsi="仿宋" w:eastAsia="仿宋" w:cs="仿宋"/>
          <w:color w:val="auto"/>
          <w:spacing w:val="23"/>
          <w:sz w:val="20"/>
          <w:szCs w:val="20"/>
          <w:highlight w:val="none"/>
        </w:rPr>
        <w:t>致</w:t>
      </w:r>
      <w:r>
        <w:rPr>
          <w:rFonts w:hint="eastAsia" w:ascii="仿宋" w:hAnsi="仿宋" w:eastAsia="仿宋" w:cs="仿宋"/>
          <w:color w:val="auto"/>
          <w:spacing w:val="23"/>
          <w:sz w:val="20"/>
          <w:szCs w:val="20"/>
          <w:highlight w:val="none"/>
          <w:u w:val="single" w:color="auto"/>
        </w:rPr>
        <w:t>（采购人及采购代理机构</w:t>
      </w:r>
      <w:r>
        <w:rPr>
          <w:rFonts w:hint="eastAsia" w:ascii="仿宋" w:hAnsi="仿宋" w:eastAsia="仿宋" w:cs="仿宋"/>
          <w:color w:val="auto"/>
          <w:spacing w:val="5"/>
          <w:sz w:val="20"/>
          <w:szCs w:val="20"/>
          <w:highlight w:val="none"/>
          <w:u w:val="single" w:color="auto"/>
        </w:rPr>
        <w:t>）</w:t>
      </w:r>
      <w:r>
        <w:rPr>
          <w:rFonts w:hint="eastAsia" w:ascii="仿宋" w:hAnsi="仿宋" w:eastAsia="仿宋" w:cs="仿宋"/>
          <w:color w:val="auto"/>
          <w:spacing w:val="30"/>
          <w:sz w:val="20"/>
          <w:szCs w:val="20"/>
          <w:highlight w:val="none"/>
          <w:u w:val="single" w:color="auto"/>
        </w:rPr>
        <w:t xml:space="preserve">  </w:t>
      </w:r>
      <w:r>
        <w:rPr>
          <w:rFonts w:hint="eastAsia" w:ascii="仿宋" w:hAnsi="仿宋" w:eastAsia="仿宋" w:cs="仿宋"/>
          <w:color w:val="auto"/>
          <w:spacing w:val="5"/>
          <w:sz w:val="20"/>
          <w:szCs w:val="20"/>
          <w:highlight w:val="none"/>
        </w:rPr>
        <w:t>：</w:t>
      </w:r>
    </w:p>
    <w:p w14:paraId="09EF36F3">
      <w:pPr>
        <w:pStyle w:val="5"/>
        <w:spacing w:before="222" w:line="432" w:lineRule="auto"/>
        <w:ind w:left="24" w:right="9" w:firstLine="450"/>
        <w:outlineLvl w:val="9"/>
        <w:rPr>
          <w:rFonts w:hint="eastAsia" w:ascii="仿宋" w:hAnsi="仿宋" w:eastAsia="仿宋" w:cs="仿宋"/>
          <w:color w:val="auto"/>
          <w:sz w:val="20"/>
          <w:szCs w:val="20"/>
          <w:highlight w:val="none"/>
        </w:rPr>
      </w:pPr>
      <w:r>
        <w:rPr>
          <w:rFonts w:hint="eastAsia" w:ascii="仿宋" w:hAnsi="仿宋" w:eastAsia="仿宋" w:cs="仿宋"/>
          <w:color w:val="auto"/>
          <w:spacing w:val="22"/>
          <w:sz w:val="20"/>
          <w:szCs w:val="20"/>
          <w:highlight w:val="none"/>
        </w:rPr>
        <w:t>我们在贵公司组织的（项</w:t>
      </w:r>
      <w:r>
        <w:rPr>
          <w:rFonts w:hint="eastAsia" w:ascii="仿宋" w:hAnsi="仿宋" w:eastAsia="仿宋" w:cs="仿宋"/>
          <w:color w:val="auto"/>
          <w:spacing w:val="-32"/>
          <w:sz w:val="20"/>
          <w:szCs w:val="20"/>
          <w:highlight w:val="none"/>
        </w:rPr>
        <w:t xml:space="preserve"> </w:t>
      </w:r>
      <w:r>
        <w:rPr>
          <w:rFonts w:hint="eastAsia" w:ascii="仿宋" w:hAnsi="仿宋" w:eastAsia="仿宋" w:cs="仿宋"/>
          <w:color w:val="auto"/>
          <w:spacing w:val="22"/>
          <w:sz w:val="20"/>
          <w:szCs w:val="20"/>
          <w:highlight w:val="none"/>
        </w:rPr>
        <w:t>目名称</w:t>
      </w:r>
      <w:r>
        <w:rPr>
          <w:rFonts w:hint="eastAsia" w:ascii="仿宋" w:hAnsi="仿宋" w:eastAsia="仿宋" w:cs="仿宋"/>
          <w:color w:val="auto"/>
          <w:spacing w:val="6"/>
          <w:sz w:val="20"/>
          <w:szCs w:val="20"/>
          <w:highlight w:val="none"/>
        </w:rPr>
        <w:t>：</w:t>
      </w:r>
      <w:r>
        <w:rPr>
          <w:rFonts w:hint="eastAsia" w:ascii="仿宋" w:hAnsi="仿宋" w:eastAsia="仿宋" w:cs="仿宋"/>
          <w:color w:val="auto"/>
          <w:spacing w:val="-53"/>
          <w:sz w:val="20"/>
          <w:szCs w:val="20"/>
          <w:highlight w:val="none"/>
        </w:rPr>
        <w:t xml:space="preserve"> </w:t>
      </w:r>
      <w:r>
        <w:rPr>
          <w:rFonts w:hint="eastAsia" w:ascii="仿宋" w:hAnsi="仿宋" w:eastAsia="仿宋" w:cs="仿宋"/>
          <w:color w:val="auto"/>
          <w:spacing w:val="2"/>
          <w:sz w:val="20"/>
          <w:szCs w:val="20"/>
          <w:highlight w:val="none"/>
          <w:u w:val="single" w:color="auto"/>
        </w:rPr>
        <w:t xml:space="preserve">      </w:t>
      </w:r>
      <w:r>
        <w:rPr>
          <w:rFonts w:hint="eastAsia" w:ascii="仿宋" w:hAnsi="仿宋" w:eastAsia="仿宋" w:cs="仿宋"/>
          <w:color w:val="auto"/>
          <w:spacing w:val="-70"/>
          <w:sz w:val="20"/>
          <w:szCs w:val="20"/>
          <w:highlight w:val="none"/>
        </w:rPr>
        <w:t xml:space="preserve"> </w:t>
      </w:r>
      <w:r>
        <w:rPr>
          <w:rFonts w:hint="eastAsia" w:ascii="仿宋" w:hAnsi="仿宋" w:eastAsia="仿宋" w:cs="仿宋"/>
          <w:color w:val="auto"/>
          <w:spacing w:val="6"/>
          <w:sz w:val="20"/>
          <w:szCs w:val="20"/>
          <w:highlight w:val="none"/>
        </w:rPr>
        <w:t>，</w:t>
      </w:r>
      <w:r>
        <w:rPr>
          <w:rFonts w:hint="eastAsia" w:ascii="仿宋" w:hAnsi="仿宋" w:eastAsia="仿宋" w:cs="仿宋"/>
          <w:color w:val="auto"/>
          <w:spacing w:val="22"/>
          <w:sz w:val="20"/>
          <w:szCs w:val="20"/>
          <w:highlight w:val="none"/>
        </w:rPr>
        <w:t>采购编号</w:t>
      </w:r>
      <w:r>
        <w:rPr>
          <w:rFonts w:hint="eastAsia" w:ascii="仿宋" w:hAnsi="仿宋" w:eastAsia="仿宋" w:cs="仿宋"/>
          <w:color w:val="auto"/>
          <w:spacing w:val="6"/>
          <w:sz w:val="20"/>
          <w:szCs w:val="20"/>
          <w:highlight w:val="none"/>
        </w:rPr>
        <w:t>：</w:t>
      </w:r>
      <w:r>
        <w:rPr>
          <w:rFonts w:hint="eastAsia" w:ascii="仿宋" w:hAnsi="仿宋" w:eastAsia="仿宋" w:cs="仿宋"/>
          <w:color w:val="auto"/>
          <w:spacing w:val="-53"/>
          <w:sz w:val="20"/>
          <w:szCs w:val="20"/>
          <w:highlight w:val="none"/>
        </w:rPr>
        <w:t xml:space="preserve"> </w:t>
      </w:r>
      <w:r>
        <w:rPr>
          <w:rFonts w:hint="eastAsia" w:ascii="仿宋" w:hAnsi="仿宋" w:eastAsia="仿宋" w:cs="仿宋"/>
          <w:color w:val="auto"/>
          <w:spacing w:val="2"/>
          <w:sz w:val="20"/>
          <w:szCs w:val="20"/>
          <w:highlight w:val="none"/>
          <w:u w:val="single" w:color="auto"/>
        </w:rPr>
        <w:t xml:space="preserve">      </w:t>
      </w:r>
      <w:r>
        <w:rPr>
          <w:rFonts w:hint="eastAsia" w:ascii="仿宋" w:hAnsi="仿宋" w:eastAsia="仿宋" w:cs="仿宋"/>
          <w:color w:val="auto"/>
          <w:spacing w:val="-65"/>
          <w:sz w:val="20"/>
          <w:szCs w:val="20"/>
          <w:highlight w:val="none"/>
        </w:rPr>
        <w:t xml:space="preserve"> </w:t>
      </w:r>
      <w:r>
        <w:rPr>
          <w:rFonts w:hint="eastAsia" w:ascii="仿宋" w:hAnsi="仿宋" w:eastAsia="仿宋" w:cs="仿宋"/>
          <w:color w:val="auto"/>
          <w:spacing w:val="6"/>
          <w:sz w:val="20"/>
          <w:szCs w:val="20"/>
          <w:highlight w:val="none"/>
        </w:rPr>
        <w:t>）</w:t>
      </w:r>
      <w:r>
        <w:rPr>
          <w:rFonts w:hint="eastAsia" w:ascii="仿宋" w:hAnsi="仿宋" w:eastAsia="仿宋" w:cs="仿宋"/>
          <w:color w:val="auto"/>
          <w:spacing w:val="22"/>
          <w:sz w:val="20"/>
          <w:szCs w:val="20"/>
          <w:highlight w:val="none"/>
        </w:rPr>
        <w:t>招标采购中若获</w:t>
      </w:r>
      <w:r>
        <w:rPr>
          <w:rFonts w:hint="eastAsia" w:ascii="仿宋" w:hAnsi="仿宋" w:eastAsia="仿宋" w:cs="仿宋"/>
          <w:color w:val="auto"/>
          <w:spacing w:val="18"/>
          <w:sz w:val="20"/>
          <w:szCs w:val="20"/>
          <w:highlight w:val="none"/>
        </w:rPr>
        <w:t>中标（成交</w:t>
      </w:r>
      <w:r>
        <w:rPr>
          <w:rFonts w:hint="eastAsia" w:ascii="仿宋" w:hAnsi="仿宋" w:eastAsia="仿宋" w:cs="仿宋"/>
          <w:color w:val="auto"/>
          <w:sz w:val="20"/>
          <w:szCs w:val="20"/>
          <w:highlight w:val="none"/>
        </w:rPr>
        <w:t>）</w:t>
      </w:r>
      <w:r>
        <w:rPr>
          <w:rFonts w:hint="eastAsia" w:ascii="仿宋" w:hAnsi="仿宋" w:eastAsia="仿宋" w:cs="仿宋"/>
          <w:color w:val="auto"/>
          <w:spacing w:val="-39"/>
          <w:sz w:val="20"/>
          <w:szCs w:val="20"/>
          <w:highlight w:val="none"/>
        </w:rPr>
        <w:t xml:space="preserve"> </w:t>
      </w:r>
      <w:r>
        <w:rPr>
          <w:rFonts w:hint="eastAsia" w:ascii="仿宋" w:hAnsi="仿宋" w:eastAsia="仿宋" w:cs="仿宋"/>
          <w:color w:val="auto"/>
          <w:sz w:val="20"/>
          <w:szCs w:val="20"/>
          <w:highlight w:val="none"/>
        </w:rPr>
        <w:t>，</w:t>
      </w:r>
      <w:r>
        <w:rPr>
          <w:rFonts w:hint="eastAsia" w:ascii="仿宋" w:hAnsi="仿宋" w:eastAsia="仿宋" w:cs="仿宋"/>
          <w:color w:val="auto"/>
          <w:spacing w:val="18"/>
          <w:sz w:val="20"/>
          <w:szCs w:val="20"/>
          <w:highlight w:val="none"/>
        </w:rPr>
        <w:t>我们保证在中标（成交）</w:t>
      </w:r>
      <w:r>
        <w:rPr>
          <w:rFonts w:hint="eastAsia" w:ascii="仿宋" w:hAnsi="仿宋" w:eastAsia="仿宋" w:cs="仿宋"/>
          <w:color w:val="auto"/>
          <w:spacing w:val="-54"/>
          <w:sz w:val="20"/>
          <w:szCs w:val="20"/>
          <w:highlight w:val="none"/>
        </w:rPr>
        <w:t xml:space="preserve"> </w:t>
      </w:r>
      <w:r>
        <w:rPr>
          <w:rFonts w:hint="eastAsia" w:ascii="仿宋" w:hAnsi="仿宋" w:eastAsia="仿宋" w:cs="仿宋"/>
          <w:color w:val="auto"/>
          <w:spacing w:val="18"/>
          <w:sz w:val="20"/>
          <w:szCs w:val="20"/>
          <w:highlight w:val="none"/>
        </w:rPr>
        <w:t>结果公告发</w:t>
      </w:r>
      <w:r>
        <w:rPr>
          <w:rFonts w:hint="eastAsia" w:ascii="仿宋" w:hAnsi="仿宋" w:eastAsia="仿宋" w:cs="仿宋"/>
          <w:color w:val="auto"/>
          <w:spacing w:val="17"/>
          <w:sz w:val="20"/>
          <w:szCs w:val="20"/>
          <w:highlight w:val="none"/>
        </w:rPr>
        <w:t>布后</w:t>
      </w:r>
      <w:r>
        <w:rPr>
          <w:rFonts w:hint="eastAsia" w:ascii="仿宋" w:hAnsi="仿宋" w:eastAsia="仿宋" w:cs="仿宋"/>
          <w:color w:val="auto"/>
          <w:spacing w:val="-14"/>
          <w:sz w:val="20"/>
          <w:szCs w:val="20"/>
          <w:highlight w:val="none"/>
        </w:rPr>
        <w:t xml:space="preserve"> </w:t>
      </w:r>
      <w:r>
        <w:rPr>
          <w:rFonts w:hint="eastAsia" w:ascii="仿宋" w:hAnsi="仿宋" w:eastAsia="仿宋" w:cs="仿宋"/>
          <w:color w:val="auto"/>
          <w:spacing w:val="17"/>
          <w:sz w:val="20"/>
          <w:szCs w:val="20"/>
          <w:highlight w:val="none"/>
        </w:rPr>
        <w:t>5</w:t>
      </w:r>
      <w:r>
        <w:rPr>
          <w:rFonts w:hint="eastAsia" w:ascii="仿宋" w:hAnsi="仿宋" w:eastAsia="仿宋" w:cs="仿宋"/>
          <w:color w:val="auto"/>
          <w:spacing w:val="-26"/>
          <w:sz w:val="20"/>
          <w:szCs w:val="20"/>
          <w:highlight w:val="none"/>
        </w:rPr>
        <w:t xml:space="preserve"> </w:t>
      </w:r>
      <w:r>
        <w:rPr>
          <w:rFonts w:hint="eastAsia" w:ascii="仿宋" w:hAnsi="仿宋" w:eastAsia="仿宋" w:cs="仿宋"/>
          <w:color w:val="auto"/>
          <w:spacing w:val="17"/>
          <w:sz w:val="20"/>
          <w:szCs w:val="20"/>
          <w:highlight w:val="none"/>
        </w:rPr>
        <w:t>个工作日</w:t>
      </w:r>
      <w:r>
        <w:rPr>
          <w:rFonts w:hint="eastAsia" w:ascii="仿宋" w:hAnsi="仿宋" w:eastAsia="仿宋" w:cs="仿宋"/>
          <w:color w:val="auto"/>
          <w:spacing w:val="-47"/>
          <w:sz w:val="20"/>
          <w:szCs w:val="20"/>
          <w:highlight w:val="none"/>
        </w:rPr>
        <w:t xml:space="preserve"> </w:t>
      </w:r>
      <w:r>
        <w:rPr>
          <w:rFonts w:hint="eastAsia" w:ascii="仿宋" w:hAnsi="仿宋" w:eastAsia="仿宋" w:cs="仿宋"/>
          <w:color w:val="auto"/>
          <w:spacing w:val="17"/>
          <w:sz w:val="20"/>
          <w:szCs w:val="20"/>
          <w:highlight w:val="none"/>
        </w:rPr>
        <w:t>内</w:t>
      </w:r>
      <w:r>
        <w:rPr>
          <w:rFonts w:hint="eastAsia" w:ascii="仿宋" w:hAnsi="仿宋" w:eastAsia="仿宋" w:cs="仿宋"/>
          <w:color w:val="auto"/>
          <w:spacing w:val="-58"/>
          <w:sz w:val="20"/>
          <w:szCs w:val="20"/>
          <w:highlight w:val="none"/>
        </w:rPr>
        <w:t xml:space="preserve"> </w:t>
      </w:r>
      <w:r>
        <w:rPr>
          <w:rFonts w:hint="eastAsia" w:ascii="仿宋" w:hAnsi="仿宋" w:eastAsia="仿宋" w:cs="仿宋"/>
          <w:color w:val="auto"/>
          <w:spacing w:val="17"/>
          <w:sz w:val="20"/>
          <w:szCs w:val="20"/>
          <w:highlight w:val="none"/>
        </w:rPr>
        <w:t>，按招标文件</w:t>
      </w:r>
      <w:r>
        <w:rPr>
          <w:rFonts w:hint="eastAsia" w:ascii="仿宋" w:hAnsi="仿宋" w:eastAsia="仿宋" w:cs="仿宋"/>
          <w:color w:val="auto"/>
          <w:spacing w:val="19"/>
          <w:sz w:val="20"/>
          <w:szCs w:val="20"/>
          <w:highlight w:val="none"/>
        </w:rPr>
        <w:t>的规定</w:t>
      </w:r>
      <w:r>
        <w:rPr>
          <w:rFonts w:hint="eastAsia" w:ascii="仿宋" w:hAnsi="仿宋" w:eastAsia="仿宋" w:cs="仿宋"/>
          <w:color w:val="auto"/>
          <w:spacing w:val="-57"/>
          <w:sz w:val="20"/>
          <w:szCs w:val="20"/>
          <w:highlight w:val="none"/>
        </w:rPr>
        <w:t xml:space="preserve"> </w:t>
      </w:r>
      <w:r>
        <w:rPr>
          <w:rFonts w:hint="eastAsia" w:ascii="仿宋" w:hAnsi="仿宋" w:eastAsia="仿宋" w:cs="仿宋"/>
          <w:color w:val="auto"/>
          <w:spacing w:val="19"/>
          <w:sz w:val="20"/>
          <w:szCs w:val="20"/>
          <w:highlight w:val="none"/>
        </w:rPr>
        <w:t>，</w:t>
      </w:r>
      <w:r>
        <w:rPr>
          <w:rFonts w:hint="eastAsia" w:ascii="仿宋" w:hAnsi="仿宋" w:eastAsia="仿宋" w:cs="仿宋"/>
          <w:color w:val="auto"/>
          <w:spacing w:val="-42"/>
          <w:sz w:val="20"/>
          <w:szCs w:val="20"/>
          <w:highlight w:val="none"/>
        </w:rPr>
        <w:t xml:space="preserve"> </w:t>
      </w:r>
      <w:r>
        <w:rPr>
          <w:rFonts w:hint="eastAsia" w:ascii="仿宋" w:hAnsi="仿宋" w:eastAsia="仿宋" w:cs="仿宋"/>
          <w:color w:val="auto"/>
          <w:spacing w:val="19"/>
          <w:sz w:val="20"/>
          <w:szCs w:val="20"/>
          <w:highlight w:val="none"/>
        </w:rPr>
        <w:t>以支票、银行转账、汇票或现金</w:t>
      </w:r>
      <w:r>
        <w:rPr>
          <w:rFonts w:hint="eastAsia" w:ascii="仿宋" w:hAnsi="仿宋" w:eastAsia="仿宋" w:cs="仿宋"/>
          <w:color w:val="auto"/>
          <w:spacing w:val="-59"/>
          <w:sz w:val="20"/>
          <w:szCs w:val="20"/>
          <w:highlight w:val="none"/>
        </w:rPr>
        <w:t xml:space="preserve"> </w:t>
      </w:r>
      <w:r>
        <w:rPr>
          <w:rFonts w:hint="eastAsia" w:ascii="仿宋" w:hAnsi="仿宋" w:eastAsia="仿宋" w:cs="仿宋"/>
          <w:color w:val="auto"/>
          <w:spacing w:val="19"/>
          <w:sz w:val="20"/>
          <w:szCs w:val="20"/>
          <w:highlight w:val="none"/>
        </w:rPr>
        <w:t>，</w:t>
      </w:r>
      <w:r>
        <w:rPr>
          <w:rFonts w:hint="eastAsia" w:ascii="仿宋" w:hAnsi="仿宋" w:eastAsia="仿宋" w:cs="仿宋"/>
          <w:color w:val="auto"/>
          <w:spacing w:val="-47"/>
          <w:sz w:val="20"/>
          <w:szCs w:val="20"/>
          <w:highlight w:val="none"/>
        </w:rPr>
        <w:t xml:space="preserve"> </w:t>
      </w:r>
      <w:r>
        <w:rPr>
          <w:rFonts w:hint="eastAsia" w:ascii="仿宋" w:hAnsi="仿宋" w:eastAsia="仿宋" w:cs="仿宋"/>
          <w:color w:val="auto"/>
          <w:spacing w:val="19"/>
          <w:sz w:val="20"/>
          <w:szCs w:val="20"/>
          <w:highlight w:val="none"/>
        </w:rPr>
        <w:t>向贵公司一次性支付采购代理服务费用。</w:t>
      </w:r>
      <w:r>
        <w:rPr>
          <w:rFonts w:hint="eastAsia" w:ascii="仿宋" w:hAnsi="仿宋" w:eastAsia="仿宋" w:cs="仿宋"/>
          <w:color w:val="auto"/>
          <w:spacing w:val="21"/>
          <w:sz w:val="20"/>
          <w:szCs w:val="20"/>
          <w:highlight w:val="none"/>
        </w:rPr>
        <w:t>否则</w:t>
      </w:r>
      <w:r>
        <w:rPr>
          <w:rFonts w:hint="eastAsia" w:ascii="仿宋" w:hAnsi="仿宋" w:eastAsia="仿宋" w:cs="仿宋"/>
          <w:color w:val="auto"/>
          <w:spacing w:val="-45"/>
          <w:sz w:val="20"/>
          <w:szCs w:val="20"/>
          <w:highlight w:val="none"/>
        </w:rPr>
        <w:t xml:space="preserve"> </w:t>
      </w:r>
      <w:r>
        <w:rPr>
          <w:rFonts w:hint="eastAsia" w:ascii="仿宋" w:hAnsi="仿宋" w:eastAsia="仿宋" w:cs="仿宋"/>
          <w:color w:val="auto"/>
          <w:spacing w:val="21"/>
          <w:sz w:val="20"/>
          <w:szCs w:val="20"/>
          <w:highlight w:val="none"/>
        </w:rPr>
        <w:t>，由此产生的一切法律后果和责任由我公司承担</w:t>
      </w:r>
      <w:r>
        <w:rPr>
          <w:rFonts w:hint="eastAsia" w:ascii="仿宋" w:hAnsi="仿宋" w:eastAsia="仿宋" w:cs="仿宋"/>
          <w:color w:val="auto"/>
          <w:spacing w:val="-54"/>
          <w:sz w:val="20"/>
          <w:szCs w:val="20"/>
          <w:highlight w:val="none"/>
        </w:rPr>
        <w:t xml:space="preserve"> </w:t>
      </w:r>
      <w:r>
        <w:rPr>
          <w:rFonts w:hint="eastAsia" w:ascii="仿宋" w:hAnsi="仿宋" w:eastAsia="仿宋" w:cs="仿宋"/>
          <w:color w:val="auto"/>
          <w:spacing w:val="21"/>
          <w:sz w:val="20"/>
          <w:szCs w:val="20"/>
          <w:highlight w:val="none"/>
        </w:rPr>
        <w:t>。我公司声明放弃对此提出任何</w:t>
      </w:r>
      <w:r>
        <w:rPr>
          <w:rFonts w:hint="eastAsia" w:ascii="仿宋" w:hAnsi="仿宋" w:eastAsia="仿宋" w:cs="仿宋"/>
          <w:color w:val="auto"/>
          <w:spacing w:val="19"/>
          <w:sz w:val="20"/>
          <w:szCs w:val="20"/>
          <w:highlight w:val="none"/>
        </w:rPr>
        <w:t>异议和追索的权利。</w:t>
      </w:r>
    </w:p>
    <w:p w14:paraId="4D84E1E9">
      <w:pPr>
        <w:pStyle w:val="5"/>
        <w:spacing w:line="227" w:lineRule="auto"/>
        <w:ind w:left="473"/>
        <w:outlineLvl w:val="9"/>
        <w:rPr>
          <w:rFonts w:hint="eastAsia" w:ascii="仿宋" w:hAnsi="仿宋" w:eastAsia="仿宋" w:cs="仿宋"/>
          <w:color w:val="auto"/>
          <w:sz w:val="20"/>
          <w:szCs w:val="20"/>
          <w:highlight w:val="none"/>
        </w:rPr>
      </w:pPr>
      <w:r>
        <w:rPr>
          <w:rFonts w:hint="eastAsia" w:ascii="仿宋" w:hAnsi="仿宋" w:eastAsia="仿宋" w:cs="仿宋"/>
          <w:color w:val="auto"/>
          <w:spacing w:val="19"/>
          <w:sz w:val="20"/>
          <w:szCs w:val="20"/>
          <w:highlight w:val="none"/>
        </w:rPr>
        <w:t>特此承诺。</w:t>
      </w:r>
    </w:p>
    <w:p w14:paraId="308ACACC">
      <w:pPr>
        <w:spacing w:line="271" w:lineRule="auto"/>
        <w:outlineLvl w:val="9"/>
        <w:rPr>
          <w:rFonts w:hint="eastAsia" w:ascii="仿宋" w:hAnsi="仿宋" w:eastAsia="仿宋" w:cs="仿宋"/>
          <w:color w:val="auto"/>
          <w:sz w:val="21"/>
          <w:highlight w:val="none"/>
        </w:rPr>
      </w:pPr>
    </w:p>
    <w:p w14:paraId="6DA6C226">
      <w:pPr>
        <w:spacing w:line="271" w:lineRule="auto"/>
        <w:outlineLvl w:val="9"/>
        <w:rPr>
          <w:rFonts w:hint="eastAsia" w:ascii="仿宋" w:hAnsi="仿宋" w:eastAsia="仿宋" w:cs="仿宋"/>
          <w:color w:val="auto"/>
          <w:sz w:val="21"/>
          <w:highlight w:val="none"/>
        </w:rPr>
      </w:pPr>
    </w:p>
    <w:p w14:paraId="5AF5EF84">
      <w:pPr>
        <w:spacing w:line="271" w:lineRule="auto"/>
        <w:outlineLvl w:val="9"/>
        <w:rPr>
          <w:rFonts w:hint="eastAsia" w:ascii="仿宋" w:hAnsi="仿宋" w:eastAsia="仿宋" w:cs="仿宋"/>
          <w:color w:val="auto"/>
          <w:sz w:val="21"/>
          <w:highlight w:val="none"/>
        </w:rPr>
      </w:pPr>
    </w:p>
    <w:p w14:paraId="4066274E">
      <w:pPr>
        <w:spacing w:line="272" w:lineRule="auto"/>
        <w:outlineLvl w:val="9"/>
        <w:rPr>
          <w:rFonts w:hint="eastAsia" w:ascii="仿宋" w:hAnsi="仿宋" w:eastAsia="仿宋" w:cs="仿宋"/>
          <w:color w:val="auto"/>
          <w:sz w:val="21"/>
          <w:highlight w:val="none"/>
        </w:rPr>
      </w:pPr>
    </w:p>
    <w:p w14:paraId="7006CD2A">
      <w:pPr>
        <w:pStyle w:val="5"/>
        <w:spacing w:before="65" w:line="227" w:lineRule="auto"/>
        <w:ind w:left="473"/>
        <w:outlineLvl w:val="9"/>
        <w:rPr>
          <w:rFonts w:hint="eastAsia" w:ascii="仿宋" w:hAnsi="仿宋" w:eastAsia="仿宋" w:cs="仿宋"/>
          <w:color w:val="auto"/>
          <w:sz w:val="20"/>
          <w:szCs w:val="20"/>
          <w:highlight w:val="none"/>
        </w:rPr>
      </w:pPr>
      <w:r>
        <w:rPr>
          <w:rFonts w:hint="eastAsia" w:ascii="仿宋" w:hAnsi="仿宋" w:eastAsia="仿宋" w:cs="仿宋"/>
          <w:color w:val="auto"/>
          <w:spacing w:val="24"/>
          <w:sz w:val="20"/>
          <w:szCs w:val="20"/>
          <w:highlight w:val="none"/>
        </w:rPr>
        <w:t>供应商名称</w:t>
      </w:r>
      <w:r>
        <w:rPr>
          <w:rFonts w:hint="eastAsia" w:ascii="仿宋" w:hAnsi="仿宋" w:eastAsia="仿宋" w:cs="仿宋"/>
          <w:color w:val="auto"/>
          <w:spacing w:val="-6"/>
          <w:sz w:val="20"/>
          <w:szCs w:val="20"/>
          <w:highlight w:val="none"/>
        </w:rPr>
        <w:t>：</w:t>
      </w:r>
      <w:r>
        <w:rPr>
          <w:rFonts w:hint="eastAsia" w:ascii="仿宋" w:hAnsi="仿宋" w:eastAsia="仿宋" w:cs="仿宋"/>
          <w:color w:val="auto"/>
          <w:spacing w:val="-57"/>
          <w:sz w:val="20"/>
          <w:szCs w:val="20"/>
          <w:highlight w:val="none"/>
        </w:rPr>
        <w:t xml:space="preserve"> </w:t>
      </w:r>
      <w:r>
        <w:rPr>
          <w:rFonts w:hint="eastAsia" w:ascii="仿宋" w:hAnsi="仿宋" w:eastAsia="仿宋" w:cs="仿宋"/>
          <w:color w:val="auto"/>
          <w:spacing w:val="4"/>
          <w:sz w:val="20"/>
          <w:szCs w:val="20"/>
          <w:highlight w:val="none"/>
          <w:u w:val="single" w:color="auto"/>
        </w:rPr>
        <w:t xml:space="preserve">                    </w:t>
      </w:r>
      <w:r>
        <w:rPr>
          <w:rFonts w:hint="eastAsia" w:ascii="仿宋" w:hAnsi="仿宋" w:eastAsia="仿宋" w:cs="仿宋"/>
          <w:color w:val="auto"/>
          <w:spacing w:val="-6"/>
          <w:sz w:val="20"/>
          <w:szCs w:val="20"/>
          <w:highlight w:val="none"/>
        </w:rPr>
        <w:t>（</w:t>
      </w:r>
      <w:r>
        <w:rPr>
          <w:rFonts w:hint="eastAsia" w:ascii="仿宋" w:hAnsi="仿宋" w:eastAsia="仿宋" w:cs="仿宋"/>
          <w:color w:val="auto"/>
          <w:spacing w:val="24"/>
          <w:sz w:val="20"/>
          <w:szCs w:val="20"/>
          <w:highlight w:val="none"/>
        </w:rPr>
        <w:t>单位电子签章）</w:t>
      </w:r>
    </w:p>
    <w:p w14:paraId="1D51CF48">
      <w:pPr>
        <w:pStyle w:val="5"/>
        <w:spacing w:before="222" w:line="227" w:lineRule="auto"/>
        <w:ind w:left="474"/>
        <w:outlineLvl w:val="9"/>
        <w:rPr>
          <w:rFonts w:hint="eastAsia" w:ascii="仿宋" w:hAnsi="仿宋" w:eastAsia="仿宋" w:cs="仿宋"/>
          <w:color w:val="auto"/>
          <w:sz w:val="20"/>
          <w:szCs w:val="20"/>
          <w:highlight w:val="none"/>
        </w:rPr>
      </w:pPr>
      <w:r>
        <w:rPr>
          <w:rFonts w:hint="eastAsia" w:ascii="仿宋" w:hAnsi="仿宋" w:eastAsia="仿宋" w:cs="仿宋"/>
          <w:color w:val="auto"/>
          <w:spacing w:val="20"/>
          <w:sz w:val="20"/>
          <w:szCs w:val="20"/>
          <w:highlight w:val="none"/>
        </w:rPr>
        <w:t>法定代表人或授权代表</w:t>
      </w:r>
      <w:r>
        <w:rPr>
          <w:rFonts w:hint="eastAsia" w:ascii="仿宋" w:hAnsi="仿宋" w:eastAsia="仿宋" w:cs="仿宋"/>
          <w:color w:val="auto"/>
          <w:spacing w:val="-5"/>
          <w:sz w:val="20"/>
          <w:szCs w:val="20"/>
          <w:highlight w:val="none"/>
        </w:rPr>
        <w:t>：</w:t>
      </w:r>
      <w:r>
        <w:rPr>
          <w:rFonts w:hint="eastAsia" w:ascii="仿宋" w:hAnsi="仿宋" w:eastAsia="仿宋" w:cs="仿宋"/>
          <w:color w:val="auto"/>
          <w:spacing w:val="-56"/>
          <w:sz w:val="20"/>
          <w:szCs w:val="20"/>
          <w:highlight w:val="none"/>
        </w:rPr>
        <w:t xml:space="preserve"> </w:t>
      </w:r>
      <w:r>
        <w:rPr>
          <w:rFonts w:hint="eastAsia" w:ascii="仿宋" w:hAnsi="仿宋" w:eastAsia="仿宋" w:cs="仿宋"/>
          <w:color w:val="auto"/>
          <w:spacing w:val="2"/>
          <w:sz w:val="20"/>
          <w:szCs w:val="20"/>
          <w:highlight w:val="none"/>
          <w:u w:val="single" w:color="auto"/>
        </w:rPr>
        <w:t xml:space="preserve">         </w:t>
      </w:r>
      <w:r>
        <w:rPr>
          <w:rFonts w:hint="eastAsia" w:ascii="仿宋" w:hAnsi="仿宋" w:eastAsia="仿宋" w:cs="仿宋"/>
          <w:color w:val="auto"/>
          <w:spacing w:val="-5"/>
          <w:sz w:val="20"/>
          <w:szCs w:val="20"/>
          <w:highlight w:val="none"/>
        </w:rPr>
        <w:t>（</w:t>
      </w:r>
      <w:r>
        <w:rPr>
          <w:rFonts w:hint="eastAsia" w:ascii="仿宋" w:hAnsi="仿宋" w:eastAsia="仿宋" w:cs="仿宋"/>
          <w:color w:val="auto"/>
          <w:spacing w:val="-19"/>
          <w:sz w:val="20"/>
          <w:szCs w:val="20"/>
          <w:highlight w:val="none"/>
        </w:rPr>
        <w:t xml:space="preserve"> </w:t>
      </w:r>
      <w:r>
        <w:rPr>
          <w:rFonts w:hint="eastAsia" w:ascii="仿宋" w:hAnsi="仿宋" w:eastAsia="仿宋" w:cs="仿宋"/>
          <w:color w:val="auto"/>
          <w:spacing w:val="20"/>
          <w:sz w:val="20"/>
          <w:szCs w:val="20"/>
          <w:highlight w:val="none"/>
        </w:rPr>
        <w:t>电子签名或盖章）</w:t>
      </w:r>
    </w:p>
    <w:p w14:paraId="77E1D29C">
      <w:pPr>
        <w:pStyle w:val="5"/>
        <w:spacing w:before="223" w:line="228" w:lineRule="auto"/>
        <w:ind w:left="509"/>
        <w:outlineLvl w:val="9"/>
        <w:rPr>
          <w:rFonts w:hint="eastAsia" w:ascii="仿宋" w:hAnsi="仿宋" w:eastAsia="仿宋" w:cs="仿宋"/>
          <w:color w:val="auto"/>
          <w:sz w:val="20"/>
          <w:szCs w:val="20"/>
          <w:highlight w:val="none"/>
        </w:rPr>
      </w:pPr>
      <w:r>
        <w:rPr>
          <w:rFonts w:hint="eastAsia" w:ascii="仿宋" w:hAnsi="仿宋" w:eastAsia="仿宋" w:cs="仿宋"/>
          <w:color w:val="auto"/>
          <w:spacing w:val="-4"/>
          <w:sz w:val="20"/>
          <w:szCs w:val="20"/>
          <w:highlight w:val="none"/>
        </w:rPr>
        <w:t>日期：</w:t>
      </w:r>
      <w:r>
        <w:rPr>
          <w:rFonts w:hint="eastAsia" w:ascii="仿宋" w:hAnsi="仿宋" w:eastAsia="仿宋" w:cs="仿宋"/>
          <w:color w:val="auto"/>
          <w:spacing w:val="-55"/>
          <w:sz w:val="20"/>
          <w:szCs w:val="20"/>
          <w:highlight w:val="none"/>
        </w:rPr>
        <w:t xml:space="preserve"> </w:t>
      </w:r>
      <w:r>
        <w:rPr>
          <w:rFonts w:hint="eastAsia" w:ascii="仿宋" w:hAnsi="仿宋" w:eastAsia="仿宋" w:cs="仿宋"/>
          <w:color w:val="auto"/>
          <w:sz w:val="20"/>
          <w:szCs w:val="20"/>
          <w:highlight w:val="none"/>
          <w:u w:val="single" w:color="auto"/>
        </w:rPr>
        <w:t xml:space="preserve">                               </w:t>
      </w:r>
    </w:p>
    <w:p w14:paraId="5A95CDFF">
      <w:pPr>
        <w:spacing w:line="228" w:lineRule="auto"/>
        <w:outlineLvl w:val="9"/>
        <w:rPr>
          <w:rFonts w:hint="eastAsia" w:ascii="仿宋" w:hAnsi="仿宋" w:eastAsia="仿宋" w:cs="仿宋"/>
          <w:color w:val="auto"/>
          <w:sz w:val="20"/>
          <w:szCs w:val="20"/>
          <w:highlight w:val="none"/>
        </w:rPr>
        <w:sectPr>
          <w:footerReference r:id="rId15" w:type="default"/>
          <w:pgSz w:w="11905" w:h="16838"/>
          <w:pgMar w:top="1417" w:right="1417" w:bottom="1417" w:left="1417" w:header="850" w:footer="850" w:gutter="0"/>
          <w:pgBorders>
            <w:top w:val="none" w:sz="0" w:space="0"/>
            <w:left w:val="none" w:sz="0" w:space="0"/>
            <w:bottom w:val="none" w:sz="0" w:space="0"/>
            <w:right w:val="none" w:sz="0" w:space="0"/>
          </w:pgBorders>
          <w:pgNumType w:fmt="numberInDash"/>
          <w:cols w:space="0" w:num="1"/>
          <w:rtlGutter w:val="0"/>
          <w:docGrid w:type="lines" w:linePitch="412" w:charSpace="0"/>
        </w:sectPr>
      </w:pPr>
    </w:p>
    <w:p w14:paraId="117D7C7D">
      <w:pPr>
        <w:pStyle w:val="5"/>
        <w:spacing w:before="65" w:line="227" w:lineRule="auto"/>
        <w:ind w:left="0" w:leftChars="0" w:firstLine="0" w:firstLineChars="0"/>
        <w:jc w:val="center"/>
        <w:outlineLvl w:val="9"/>
        <w:rPr>
          <w:rFonts w:hint="eastAsia" w:ascii="仿宋" w:hAnsi="仿宋" w:eastAsia="仿宋" w:cs="仿宋"/>
          <w:color w:val="auto"/>
          <w:sz w:val="20"/>
          <w:szCs w:val="20"/>
          <w:highlight w:val="none"/>
        </w:rPr>
      </w:pPr>
      <w:r>
        <w:rPr>
          <w:rFonts w:hint="eastAsia" w:ascii="仿宋" w:hAnsi="仿宋" w:eastAsia="仿宋" w:cs="仿宋"/>
          <w:b/>
          <w:bCs/>
          <w:color w:val="auto"/>
          <w:spacing w:val="7"/>
          <w:sz w:val="20"/>
          <w:szCs w:val="20"/>
          <w:highlight w:val="none"/>
          <w:lang w:val="en-US" w:eastAsia="zh-CN"/>
        </w:rPr>
        <w:t>3</w:t>
      </w:r>
      <w:r>
        <w:rPr>
          <w:rFonts w:hint="eastAsia" w:ascii="仿宋" w:hAnsi="仿宋" w:eastAsia="仿宋" w:cs="仿宋"/>
          <w:b/>
          <w:bCs/>
          <w:color w:val="auto"/>
          <w:spacing w:val="7"/>
          <w:sz w:val="20"/>
          <w:szCs w:val="20"/>
          <w:highlight w:val="none"/>
          <w:lang w:eastAsia="zh-CN"/>
        </w:rPr>
        <w:t>.</w:t>
      </w:r>
      <w:r>
        <w:rPr>
          <w:rFonts w:hint="eastAsia" w:ascii="仿宋" w:hAnsi="仿宋" w:eastAsia="仿宋" w:cs="仿宋"/>
          <w:b/>
          <w:bCs/>
          <w:color w:val="auto"/>
          <w:spacing w:val="7"/>
          <w:sz w:val="20"/>
          <w:szCs w:val="20"/>
          <w:highlight w:val="none"/>
        </w:rPr>
        <w:t>供应商认为需要的其他资料</w:t>
      </w:r>
    </w:p>
    <w:p w14:paraId="43E9536D">
      <w:pPr>
        <w:outlineLvl w:val="9"/>
        <w:rPr>
          <w:rFonts w:hint="eastAsia" w:ascii="仿宋" w:hAnsi="仿宋" w:eastAsia="仿宋" w:cs="仿宋"/>
          <w:color w:val="auto"/>
          <w:highlight w:val="none"/>
        </w:rPr>
      </w:pPr>
    </w:p>
    <w:p w14:paraId="50A8D8DB">
      <w:pPr>
        <w:ind w:left="0" w:leftChars="0" w:firstLine="0" w:firstLineChars="0"/>
        <w:outlineLvl w:val="9"/>
        <w:rPr>
          <w:rFonts w:hint="eastAsia" w:ascii="仿宋" w:hAnsi="仿宋" w:eastAsia="仿宋" w:cs="仿宋"/>
          <w:color w:val="auto"/>
          <w:highlight w:val="none"/>
        </w:rPr>
      </w:pPr>
    </w:p>
    <w:p w14:paraId="3D7BC90F">
      <w:pPr>
        <w:outlineLvl w:val="9"/>
        <w:rPr>
          <w:rFonts w:hint="eastAsia" w:ascii="仿宋" w:hAnsi="仿宋" w:eastAsia="仿宋" w:cs="仿宋"/>
          <w:color w:val="auto"/>
          <w:highlight w:val="none"/>
        </w:rPr>
      </w:pPr>
    </w:p>
    <w:sectPr>
      <w:headerReference r:id="rId16" w:type="default"/>
      <w:footerReference r:id="rId17" w:type="default"/>
      <w:pgSz w:w="11905" w:h="16838"/>
      <w:pgMar w:top="1417" w:right="1417" w:bottom="1417" w:left="1417" w:header="850" w:footer="850" w:gutter="0"/>
      <w:pgNumType w:fmt="numberInDash"/>
      <w:cols w:space="0" w:num="1"/>
      <w:rtlGutter w:val="0"/>
      <w:docGrid w:type="lines" w:linePitch="4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Ari">
    <w:altName w:val="Arial"/>
    <w:panose1 w:val="020B0604020202020204"/>
    <w:charset w:val="00"/>
    <w:family w:val="swiss"/>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07594">
    <w:pPr>
      <w:pStyle w:val="9"/>
      <w:framePr w:wrap="around" w:vAnchor="text" w:hAnchor="margin" w:xAlign="center" w:y="1"/>
      <w:bidi w:val="0"/>
      <w:rPr>
        <w:rStyle w:val="23"/>
      </w:rPr>
    </w:pPr>
    <w:r>
      <w:fldChar w:fldCharType="begin"/>
    </w:r>
    <w:r>
      <w:rPr>
        <w:rStyle w:val="23"/>
      </w:rPr>
      <w:instrText xml:space="preserve">PAGE  </w:instrText>
    </w:r>
    <w:r>
      <w:fldChar w:fldCharType="separate"/>
    </w:r>
    <w:r>
      <w:rPr>
        <w:rStyle w:val="23"/>
      </w:rPr>
      <w:t>1</w:t>
    </w:r>
    <w:r>
      <w:fldChar w:fldCharType="end"/>
    </w:r>
  </w:p>
  <w:p w14:paraId="634BBB34">
    <w:pPr>
      <w:pStyle w:val="9"/>
      <w:bidi w:val="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3279A">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A0EDF3">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29A0EDF3">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118A6D">
    <w:pPr>
      <w:pStyle w:val="9"/>
      <w:rPr>
        <w:rFonts w:hint="default"/>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2138DA">
                          <w:pPr>
                            <w:pStyle w:val="9"/>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0D2138DA">
                    <w:pPr>
                      <w:pStyle w:val="9"/>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C231E">
    <w:pPr>
      <w:pStyle w:val="9"/>
      <w:rPr>
        <w:rFonts w:hint="default"/>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2AA3BF">
                          <w:pPr>
                            <w:pStyle w:val="9"/>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72AA3BF">
                    <w:pPr>
                      <w:pStyle w:val="9"/>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283A4">
    <w:pPr>
      <w:spacing w:line="169" w:lineRule="auto"/>
      <w:ind w:left="4165"/>
      <w:rPr>
        <w:rFonts w:ascii="Calibri" w:hAnsi="Calibri" w:eastAsia="Calibri" w:cs="Calibri"/>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A38DAC">
                          <w:pPr>
                            <w:pStyle w:val="9"/>
                          </w:pPr>
                          <w:r>
                            <w:fldChar w:fldCharType="begin"/>
                          </w:r>
                          <w:r>
                            <w:instrText xml:space="preserve"> PAGE  \* MERGEFORMAT </w:instrText>
                          </w:r>
                          <w:r>
                            <w:fldChar w:fldCharType="separate"/>
                          </w:r>
                          <w:r>
                            <w:t>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6A38DAC">
                    <w:pPr>
                      <w:pStyle w:val="9"/>
                    </w:pPr>
                    <w:r>
                      <w:fldChar w:fldCharType="begin"/>
                    </w:r>
                    <w:r>
                      <w:instrText xml:space="preserve"> PAGE  \* MERGEFORMAT </w:instrText>
                    </w:r>
                    <w:r>
                      <w:fldChar w:fldCharType="separate"/>
                    </w:r>
                    <w:r>
                      <w:t>60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50976">
    <w:pPr>
      <w:spacing w:line="167" w:lineRule="auto"/>
      <w:ind w:left="0" w:leftChars="0" w:firstLine="0" w:firstLineChars="0"/>
      <w:rPr>
        <w:rFonts w:ascii="Calibri" w:hAnsi="Calibri" w:eastAsia="Calibri" w:cs="Calibri"/>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B96152">
                          <w:pPr>
                            <w:pStyle w:val="9"/>
                          </w:pPr>
                          <w:r>
                            <w:fldChar w:fldCharType="begin"/>
                          </w:r>
                          <w:r>
                            <w:instrText xml:space="preserve"> PAGE  \* MERGEFORMAT </w:instrText>
                          </w:r>
                          <w:r>
                            <w:fldChar w:fldCharType="separate"/>
                          </w:r>
                          <w:r>
                            <w:t>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8B96152">
                    <w:pPr>
                      <w:pStyle w:val="9"/>
                    </w:pPr>
                    <w:r>
                      <w:fldChar w:fldCharType="begin"/>
                    </w:r>
                    <w:r>
                      <w:instrText xml:space="preserve"> PAGE  \* MERGEFORMAT </w:instrText>
                    </w:r>
                    <w:r>
                      <w:fldChar w:fldCharType="separate"/>
                    </w:r>
                    <w:r>
                      <w:t>65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D682A">
    <w:pPr>
      <w:spacing w:line="169" w:lineRule="auto"/>
      <w:ind w:left="0" w:leftChars="0" w:firstLine="0" w:firstLineChars="0"/>
      <w:rPr>
        <w:rFonts w:ascii="Calibri" w:hAnsi="Calibri" w:eastAsia="Calibri" w:cs="Calibri"/>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3FCA43">
                          <w:pPr>
                            <w:pStyle w:val="9"/>
                          </w:pPr>
                          <w:r>
                            <w:fldChar w:fldCharType="begin"/>
                          </w:r>
                          <w:r>
                            <w:instrText xml:space="preserve"> PAGE  \* MERGEFORMAT </w:instrText>
                          </w:r>
                          <w:r>
                            <w:fldChar w:fldCharType="separate"/>
                          </w:r>
                          <w:r>
                            <w:t>66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003FCA43">
                    <w:pPr>
                      <w:pStyle w:val="9"/>
                    </w:pPr>
                    <w:r>
                      <w:fldChar w:fldCharType="begin"/>
                    </w:r>
                    <w:r>
                      <w:instrText xml:space="preserve"> PAGE  \* MERGEFORMAT </w:instrText>
                    </w:r>
                    <w:r>
                      <w:fldChar w:fldCharType="separate"/>
                    </w:r>
                    <w:r>
                      <w:t>66</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671DC7">
    <w:pPr>
      <w:pStyle w:val="9"/>
      <w:rPr>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73E452">
                          <w:pPr>
                            <w:pStyle w:val="9"/>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7973E452">
                    <w:pPr>
                      <w:pStyle w:val="9"/>
                    </w:pPr>
                    <w:r>
                      <w:fldChar w:fldCharType="begin"/>
                    </w:r>
                    <w:r>
                      <w:instrText xml:space="preserve"> PAGE  \* MERGEFORMAT </w:instrText>
                    </w:r>
                    <w:r>
                      <w:fldChar w:fldCharType="separate"/>
                    </w:r>
                    <w:r>
                      <w:t>56</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2DCAE">
    <w:pPr>
      <w:pStyle w:val="10"/>
      <w:pBdr>
        <w:bottom w:val="none" w:color="auto" w:sz="0" w:space="1"/>
      </w:pBdr>
      <w:bidi w:val="0"/>
      <w:ind w:left="0" w:leftChars="0" w:firstLine="0" w:firstLineChars="0"/>
      <w:jc w:val="both"/>
      <w:rPr>
        <w:rFonts w:hint="eastAsia" w:ascii="宋体" w:hAnsi="宋体"/>
        <w:sz w:val="15"/>
        <w:szCs w:val="15"/>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A5D49">
    <w:pPr>
      <w:pStyle w:val="10"/>
      <w:bidi w:val="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FA2C3">
    <w:pPr>
      <w:pStyle w:val="10"/>
      <w:pBdr>
        <w:bottom w:val="none" w:color="auto" w:sz="0" w:space="1"/>
      </w:pBdr>
      <w:bidi w:val="0"/>
      <w:jc w:val="center"/>
      <w:rPr>
        <w:rFonts w:hint="eastAsia" w:ascii="黑体" w:eastAsia="黑体"/>
        <w:color w:val="0000FF"/>
        <w:sz w:val="20"/>
      </w:rPr>
    </w:pPr>
    <w:r>
      <w:rPr>
        <w:rFonts w:hint="eastAsia" w:ascii="宋体" w:hAnsi="宋体"/>
        <w:sz w:val="15"/>
        <w:szCs w:val="15"/>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C3953">
    <w:pPr>
      <w:pStyle w:val="10"/>
      <w:pBdr>
        <w:bottom w:val="none" w:color="auto" w:sz="0" w:space="1"/>
      </w:pBdr>
      <w:bidi w:val="0"/>
      <w:rPr>
        <w:i/>
        <w:iCs/>
        <w:color w:val="0000FF"/>
      </w:rPr>
    </w:pPr>
    <w:r>
      <w:rPr>
        <w:rFonts w:hint="eastAsia" w:ascii="宋体" w:hAnsi="宋体"/>
        <w:sz w:val="15"/>
        <w:szCs w:val="15"/>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AE9E7">
    <w:pPr>
      <w:tabs>
        <w:tab w:val="left" w:pos="9880"/>
      </w:tabs>
      <w:ind w:right="-388" w:rightChars="-185"/>
      <w:jc w:val="left"/>
      <w:rPr>
        <w:rFonts w:hint="eastAsia"/>
        <w:b/>
        <w:i/>
      </w:rPr>
    </w:pPr>
    <w:r>
      <w:rPr>
        <w:rFonts w:hint="eastAsia" w:ascii="宋体" w:hAnsi="宋体"/>
        <w:b/>
        <w:bCs/>
        <w:szCs w:val="28"/>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DA8162"/>
    <w:multiLevelType w:val="singleLevel"/>
    <w:tmpl w:val="ACDA8162"/>
    <w:lvl w:ilvl="0" w:tentative="0">
      <w:start w:val="1"/>
      <w:numFmt w:val="decimal"/>
      <w:suff w:val="nothing"/>
      <w:lvlText w:val="%1、"/>
      <w:lvlJc w:val="left"/>
    </w:lvl>
  </w:abstractNum>
  <w:abstractNum w:abstractNumId="1">
    <w:nsid w:val="F749865D"/>
    <w:multiLevelType w:val="singleLevel"/>
    <w:tmpl w:val="F749865D"/>
    <w:lvl w:ilvl="0" w:tentative="0">
      <w:start w:val="1"/>
      <w:numFmt w:val="decimal"/>
      <w:lvlText w:val="%1."/>
      <w:lvlJc w:val="left"/>
      <w:pPr>
        <w:tabs>
          <w:tab w:val="left" w:pos="312"/>
        </w:tabs>
      </w:pPr>
    </w:lvl>
  </w:abstractNum>
  <w:abstractNum w:abstractNumId="2">
    <w:nsid w:val="00000003"/>
    <w:multiLevelType w:val="multilevel"/>
    <w:tmpl w:val="00000003"/>
    <w:lvl w:ilvl="0" w:tentative="0">
      <w:start w:val="1"/>
      <w:numFmt w:val="decimal"/>
      <w:lvlText w:val="%1"/>
      <w:lvlJc w:val="left"/>
      <w:pPr>
        <w:tabs>
          <w:tab w:val="left" w:pos="360"/>
        </w:tabs>
        <w:ind w:left="360" w:hanging="360"/>
      </w:pPr>
      <w:rPr>
        <w:rFonts w:hint="default"/>
      </w:rPr>
    </w:lvl>
    <w:lvl w:ilvl="1" w:tentative="0">
      <w:start w:val="6"/>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ascii="宋体" w:hAnsi="宋体" w:eastAsia="宋体"/>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080"/>
        </w:tabs>
        <w:ind w:left="1080" w:hanging="108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440"/>
        </w:tabs>
        <w:ind w:left="1440" w:hanging="1440"/>
      </w:pPr>
      <w:rPr>
        <w:rFonts w:hint="default"/>
      </w:rPr>
    </w:lvl>
  </w:abstractNum>
  <w:abstractNum w:abstractNumId="3">
    <w:nsid w:val="00000009"/>
    <w:multiLevelType w:val="multilevel"/>
    <w:tmpl w:val="00000009"/>
    <w:lvl w:ilvl="0" w:tentative="0">
      <w:start w:val="1"/>
      <w:numFmt w:val="decimal"/>
      <w:lvlText w:val="(%1)"/>
      <w:lvlJc w:val="left"/>
      <w:pPr>
        <w:tabs>
          <w:tab w:val="left" w:pos="420"/>
        </w:tabs>
        <w:ind w:left="170" w:hanging="17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00000010"/>
    <w:multiLevelType w:val="multilevel"/>
    <w:tmpl w:val="00000010"/>
    <w:lvl w:ilvl="0" w:tentative="0">
      <w:start w:val="1"/>
      <w:numFmt w:val="decimal"/>
      <w:lvlText w:val="(%1)"/>
      <w:lvlJc w:val="left"/>
      <w:pPr>
        <w:tabs>
          <w:tab w:val="left" w:pos="420"/>
        </w:tabs>
        <w:ind w:left="170" w:hanging="17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025B8A71"/>
    <w:multiLevelType w:val="singleLevel"/>
    <w:tmpl w:val="025B8A71"/>
    <w:lvl w:ilvl="0" w:tentative="0">
      <w:start w:val="1"/>
      <w:numFmt w:val="decimal"/>
      <w:suff w:val="nothing"/>
      <w:lvlText w:val="%1、"/>
      <w:lvlJc w:val="left"/>
    </w:lvl>
  </w:abstractNum>
  <w:abstractNum w:abstractNumId="6">
    <w:nsid w:val="336DAEE2"/>
    <w:multiLevelType w:val="singleLevel"/>
    <w:tmpl w:val="336DAEE2"/>
    <w:lvl w:ilvl="0" w:tentative="0">
      <w:start w:val="7"/>
      <w:numFmt w:val="decimal"/>
      <w:suff w:val="nothing"/>
      <w:lvlText w:val="%1、"/>
      <w:lvlJc w:val="left"/>
    </w:lvl>
  </w:abstractNum>
  <w:abstractNum w:abstractNumId="7">
    <w:nsid w:val="4763BDA0"/>
    <w:multiLevelType w:val="singleLevel"/>
    <w:tmpl w:val="4763BDA0"/>
    <w:lvl w:ilvl="0" w:tentative="0">
      <w:start w:val="5"/>
      <w:numFmt w:val="decimal"/>
      <w:suff w:val="nothing"/>
      <w:lvlText w:val="%1、"/>
      <w:lvlJc w:val="left"/>
    </w:lvl>
  </w:abstractNum>
  <w:abstractNum w:abstractNumId="8">
    <w:nsid w:val="54A23804"/>
    <w:multiLevelType w:val="singleLevel"/>
    <w:tmpl w:val="54A23804"/>
    <w:lvl w:ilvl="0" w:tentative="0">
      <w:start w:val="1"/>
      <w:numFmt w:val="decimal"/>
      <w:suff w:val="space"/>
      <w:lvlText w:val="%1."/>
      <w:lvlJc w:val="left"/>
    </w:lvl>
  </w:abstractNum>
  <w:abstractNum w:abstractNumId="9">
    <w:nsid w:val="55772549"/>
    <w:multiLevelType w:val="singleLevel"/>
    <w:tmpl w:val="55772549"/>
    <w:lvl w:ilvl="0" w:tentative="0">
      <w:start w:val="1"/>
      <w:numFmt w:val="decimal"/>
      <w:suff w:val="nothing"/>
      <w:lvlText w:val="%1、"/>
      <w:lvlJc w:val="left"/>
    </w:lvl>
  </w:abstractNum>
  <w:abstractNum w:abstractNumId="10">
    <w:nsid w:val="711A7290"/>
    <w:multiLevelType w:val="singleLevel"/>
    <w:tmpl w:val="711A7290"/>
    <w:lvl w:ilvl="0" w:tentative="0">
      <w:start w:val="9"/>
      <w:numFmt w:val="chineseCounting"/>
      <w:suff w:val="nothing"/>
      <w:lvlText w:val="%1、"/>
      <w:lvlJc w:val="left"/>
      <w:rPr>
        <w:rFonts w:hint="eastAsia"/>
      </w:rPr>
    </w:lvl>
  </w:abstractNum>
  <w:abstractNum w:abstractNumId="11">
    <w:nsid w:val="769F8BA6"/>
    <w:multiLevelType w:val="singleLevel"/>
    <w:tmpl w:val="769F8BA6"/>
    <w:lvl w:ilvl="0" w:tentative="0">
      <w:start w:val="1"/>
      <w:numFmt w:val="decimal"/>
      <w:suff w:val="nothing"/>
      <w:lvlText w:val="（%1）"/>
      <w:lvlJc w:val="left"/>
    </w:lvl>
  </w:abstractNum>
  <w:num w:numId="1">
    <w:abstractNumId w:val="10"/>
  </w:num>
  <w:num w:numId="2">
    <w:abstractNumId w:val="7"/>
  </w:num>
  <w:num w:numId="3">
    <w:abstractNumId w:val="1"/>
  </w:num>
  <w:num w:numId="4">
    <w:abstractNumId w:val="2"/>
  </w:num>
  <w:num w:numId="5">
    <w:abstractNumId w:val="3"/>
  </w:num>
  <w:num w:numId="6">
    <w:abstractNumId w:val="4"/>
  </w:num>
  <w:num w:numId="7">
    <w:abstractNumId w:val="8"/>
  </w:num>
  <w:num w:numId="8">
    <w:abstractNumId w:val="9"/>
  </w:num>
  <w:num w:numId="9">
    <w:abstractNumId w:val="5"/>
  </w:num>
  <w:num w:numId="10">
    <w:abstractNumId w:val="6"/>
  </w:num>
  <w:num w:numId="11">
    <w:abstractNumId w:val="1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F06568"/>
    <w:rsid w:val="00207D7F"/>
    <w:rsid w:val="016245C6"/>
    <w:rsid w:val="03DD1CE2"/>
    <w:rsid w:val="043F0BEF"/>
    <w:rsid w:val="04A60A37"/>
    <w:rsid w:val="052B15C9"/>
    <w:rsid w:val="062A4F48"/>
    <w:rsid w:val="06FE6B3F"/>
    <w:rsid w:val="07163F3D"/>
    <w:rsid w:val="071C597D"/>
    <w:rsid w:val="0A312D88"/>
    <w:rsid w:val="0B7C097A"/>
    <w:rsid w:val="0BA13F3D"/>
    <w:rsid w:val="0CDA7CB4"/>
    <w:rsid w:val="0DF824AD"/>
    <w:rsid w:val="102852E9"/>
    <w:rsid w:val="10F06395"/>
    <w:rsid w:val="14EB1A29"/>
    <w:rsid w:val="15CA57CE"/>
    <w:rsid w:val="16BA4105"/>
    <w:rsid w:val="17B73663"/>
    <w:rsid w:val="18475E6C"/>
    <w:rsid w:val="189518D4"/>
    <w:rsid w:val="18A4506D"/>
    <w:rsid w:val="1A4C6DBB"/>
    <w:rsid w:val="1B9B6500"/>
    <w:rsid w:val="1D741757"/>
    <w:rsid w:val="1EA5569B"/>
    <w:rsid w:val="20C91B14"/>
    <w:rsid w:val="24AC1230"/>
    <w:rsid w:val="24E26007"/>
    <w:rsid w:val="25455375"/>
    <w:rsid w:val="25B3069D"/>
    <w:rsid w:val="25FC69CB"/>
    <w:rsid w:val="268F4E04"/>
    <w:rsid w:val="286A3C8B"/>
    <w:rsid w:val="2BDD3CFB"/>
    <w:rsid w:val="2C3619B9"/>
    <w:rsid w:val="2D593D77"/>
    <w:rsid w:val="2D7E6BE5"/>
    <w:rsid w:val="2E922324"/>
    <w:rsid w:val="2EF57F78"/>
    <w:rsid w:val="31423060"/>
    <w:rsid w:val="31ED6C96"/>
    <w:rsid w:val="33D93F7F"/>
    <w:rsid w:val="357831E4"/>
    <w:rsid w:val="35906494"/>
    <w:rsid w:val="35A16F98"/>
    <w:rsid w:val="35B5220F"/>
    <w:rsid w:val="372D03CC"/>
    <w:rsid w:val="39F06568"/>
    <w:rsid w:val="3A30455A"/>
    <w:rsid w:val="3AE20A79"/>
    <w:rsid w:val="3C406CD7"/>
    <w:rsid w:val="3D810DFD"/>
    <w:rsid w:val="3DF1377C"/>
    <w:rsid w:val="3FCB7F4C"/>
    <w:rsid w:val="3FEB55F9"/>
    <w:rsid w:val="4040082B"/>
    <w:rsid w:val="4304257F"/>
    <w:rsid w:val="439873F8"/>
    <w:rsid w:val="43CE2E1A"/>
    <w:rsid w:val="47215957"/>
    <w:rsid w:val="476D294A"/>
    <w:rsid w:val="47C120B3"/>
    <w:rsid w:val="47C35DC9"/>
    <w:rsid w:val="487C5962"/>
    <w:rsid w:val="488D316A"/>
    <w:rsid w:val="48AD1BD8"/>
    <w:rsid w:val="493556E9"/>
    <w:rsid w:val="4948541D"/>
    <w:rsid w:val="49E36EF3"/>
    <w:rsid w:val="4B0E36DD"/>
    <w:rsid w:val="4B2F5A9F"/>
    <w:rsid w:val="4BC87E8A"/>
    <w:rsid w:val="4CB94791"/>
    <w:rsid w:val="4D994BAA"/>
    <w:rsid w:val="4E431E74"/>
    <w:rsid w:val="4F3B1580"/>
    <w:rsid w:val="4F5368C9"/>
    <w:rsid w:val="4FF652DA"/>
    <w:rsid w:val="4FFE4A87"/>
    <w:rsid w:val="50A62A29"/>
    <w:rsid w:val="50A72236"/>
    <w:rsid w:val="51722758"/>
    <w:rsid w:val="51AC5C98"/>
    <w:rsid w:val="51FD2B1C"/>
    <w:rsid w:val="522D3402"/>
    <w:rsid w:val="53BB4A3D"/>
    <w:rsid w:val="544100EE"/>
    <w:rsid w:val="55794BB0"/>
    <w:rsid w:val="56026CB7"/>
    <w:rsid w:val="561F6F47"/>
    <w:rsid w:val="570F1328"/>
    <w:rsid w:val="58810003"/>
    <w:rsid w:val="58AE4B70"/>
    <w:rsid w:val="58E43BBF"/>
    <w:rsid w:val="5A5342D1"/>
    <w:rsid w:val="5C3747E5"/>
    <w:rsid w:val="5D6D702B"/>
    <w:rsid w:val="5DDD707D"/>
    <w:rsid w:val="5DE657F9"/>
    <w:rsid w:val="5F677827"/>
    <w:rsid w:val="5FDD5F0B"/>
    <w:rsid w:val="60436A52"/>
    <w:rsid w:val="618275A3"/>
    <w:rsid w:val="62D96A8B"/>
    <w:rsid w:val="638E611D"/>
    <w:rsid w:val="63B74933"/>
    <w:rsid w:val="63D72C6A"/>
    <w:rsid w:val="63E6385D"/>
    <w:rsid w:val="65063DB4"/>
    <w:rsid w:val="661858E7"/>
    <w:rsid w:val="662925FC"/>
    <w:rsid w:val="668E5BB7"/>
    <w:rsid w:val="678E732F"/>
    <w:rsid w:val="6B440C7B"/>
    <w:rsid w:val="6BA10547"/>
    <w:rsid w:val="6D622950"/>
    <w:rsid w:val="70291255"/>
    <w:rsid w:val="711A0B9D"/>
    <w:rsid w:val="71572C2D"/>
    <w:rsid w:val="71BB5107"/>
    <w:rsid w:val="720B57C9"/>
    <w:rsid w:val="775C1F10"/>
    <w:rsid w:val="77BE4731"/>
    <w:rsid w:val="77E912C9"/>
    <w:rsid w:val="7A08012D"/>
    <w:rsid w:val="7A30625E"/>
    <w:rsid w:val="7DAD6E2A"/>
    <w:rsid w:val="7E1C488A"/>
    <w:rsid w:val="7F9C7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iPriority="99"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200" w:firstLineChars="20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jc w:val="center"/>
      <w:outlineLvl w:val="0"/>
    </w:pPr>
    <w:rPr>
      <w:b/>
      <w:bCs/>
      <w:color w:val="000000"/>
      <w:sz w:val="32"/>
    </w:rPr>
  </w:style>
  <w:style w:type="paragraph" w:styleId="3">
    <w:name w:val="heading 2"/>
    <w:basedOn w:val="1"/>
    <w:next w:val="1"/>
    <w:qFormat/>
    <w:uiPriority w:val="0"/>
    <w:pPr>
      <w:keepNext/>
      <w:keepLines/>
      <w:spacing w:after="0" w:afterLines="0" w:line="460" w:lineRule="exact"/>
      <w:outlineLvl w:val="1"/>
    </w:pPr>
    <w:rPr>
      <w:rFonts w:ascii="宋体" w:hAnsi="宋体"/>
      <w:b/>
      <w:sz w:val="30"/>
      <w:szCs w:val="30"/>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rPr>
      <w:sz w:val="21"/>
    </w:rPr>
  </w:style>
  <w:style w:type="paragraph" w:styleId="5">
    <w:name w:val="Body Text"/>
    <w:basedOn w:val="1"/>
    <w:qFormat/>
    <w:uiPriority w:val="0"/>
    <w:pPr>
      <w:spacing w:after="120" w:afterLines="0" w:afterAutospacing="0"/>
    </w:pPr>
    <w:rPr>
      <w:sz w:val="21"/>
    </w:rPr>
  </w:style>
  <w:style w:type="paragraph" w:styleId="6">
    <w:name w:val="Body Text Indent"/>
    <w:basedOn w:val="1"/>
    <w:next w:val="7"/>
    <w:qFormat/>
    <w:uiPriority w:val="0"/>
    <w:pPr>
      <w:spacing w:line="312" w:lineRule="auto"/>
      <w:ind w:firstLine="735" w:firstLineChars="245"/>
    </w:pPr>
  </w:style>
  <w:style w:type="paragraph" w:styleId="7">
    <w:name w:val="envelope return"/>
    <w:basedOn w:val="1"/>
    <w:unhideWhenUsed/>
    <w:qFormat/>
    <w:uiPriority w:val="99"/>
    <w:pPr>
      <w:snapToGrid w:val="0"/>
    </w:pPr>
    <w:rPr>
      <w:rFonts w:ascii="Arial" w:hAnsi="Arial"/>
    </w:rPr>
  </w:style>
  <w:style w:type="paragraph" w:styleId="8">
    <w:name w:val="Date"/>
    <w:basedOn w:val="1"/>
    <w:next w:val="1"/>
    <w:qFormat/>
    <w:uiPriority w:val="0"/>
    <w:pPr>
      <w:widowControl/>
      <w:tabs>
        <w:tab w:val="left" w:pos="600"/>
        <w:tab w:val="left" w:pos="960"/>
        <w:tab w:val="left" w:pos="1080"/>
      </w:tabs>
      <w:overflowPunct w:val="0"/>
      <w:spacing w:after="260" w:line="220" w:lineRule="atLeast"/>
      <w:ind w:left="835" w:right="28" w:firstLine="480"/>
      <w:jc w:val="right"/>
    </w:pPr>
    <w:rPr>
      <w:rFonts w:ascii="宋体" w:hAnsi="宋体"/>
      <w:kern w:val="0"/>
      <w:sz w:val="24"/>
      <w:szCs w:val="20"/>
    </w:rPr>
  </w:style>
  <w:style w:type="paragraph" w:styleId="9">
    <w:name w:val="footer"/>
    <w:basedOn w:val="1"/>
    <w:unhideWhenUsed/>
    <w:qFormat/>
    <w:uiPriority w:val="99"/>
    <w:pPr>
      <w:tabs>
        <w:tab w:val="center" w:pos="4153"/>
        <w:tab w:val="right" w:pos="8306"/>
      </w:tabs>
      <w:snapToGrid w:val="0"/>
      <w:spacing w:line="240" w:lineRule="atLeast"/>
      <w:jc w:val="left"/>
    </w:pPr>
    <w:rPr>
      <w:sz w:val="18"/>
      <w:szCs w:val="18"/>
    </w:rPr>
  </w:style>
  <w:style w:type="paragraph" w:styleId="10">
    <w:name w:val="header"/>
    <w:basedOn w:val="1"/>
    <w:semiHidden/>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11">
    <w:name w:val="toc 1"/>
    <w:basedOn w:val="1"/>
    <w:next w:val="1"/>
    <w:qFormat/>
    <w:uiPriority w:val="39"/>
  </w:style>
  <w:style w:type="paragraph" w:styleId="12">
    <w:name w:val="footnote text"/>
    <w:basedOn w:val="1"/>
    <w:qFormat/>
    <w:uiPriority w:val="0"/>
    <w:pPr>
      <w:snapToGrid w:val="0"/>
      <w:jc w:val="left"/>
    </w:pPr>
    <w:rPr>
      <w:sz w:val="18"/>
      <w:szCs w:val="18"/>
    </w:rPr>
  </w:style>
  <w:style w:type="paragraph" w:styleId="13">
    <w:name w:val="toc 6"/>
    <w:basedOn w:val="1"/>
    <w:next w:val="1"/>
    <w:qFormat/>
    <w:uiPriority w:val="0"/>
    <w:pPr>
      <w:ind w:left="1000" w:leftChars="1000"/>
    </w:pPr>
    <w:rPr>
      <w:rFonts w:ascii="Calibri" w:hAnsi="Calibri" w:eastAsia="宋体" w:cs="Times New Roman"/>
      <w:szCs w:val="22"/>
    </w:rPr>
  </w:style>
  <w:style w:type="paragraph" w:styleId="14">
    <w:name w:val="Body Text 2"/>
    <w:basedOn w:val="1"/>
    <w:next w:val="13"/>
    <w:qFormat/>
    <w:uiPriority w:val="0"/>
    <w:pPr>
      <w:spacing w:after="120" w:afterLines="0" w:afterAutospacing="0" w:line="480" w:lineRule="auto"/>
    </w:pPr>
    <w:rPr>
      <w:sz w:val="21"/>
    </w:rPr>
  </w:style>
  <w:style w:type="paragraph" w:styleId="15">
    <w:name w:val="Normal (Web)"/>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styleId="16">
    <w:name w:val="Title"/>
    <w:basedOn w:val="1"/>
    <w:next w:val="1"/>
    <w:qFormat/>
    <w:uiPriority w:val="0"/>
    <w:pPr>
      <w:spacing w:before="240" w:beforeLines="0" w:after="60" w:afterLines="0"/>
      <w:jc w:val="center"/>
      <w:outlineLvl w:val="0"/>
    </w:pPr>
    <w:rPr>
      <w:rFonts w:ascii="Cambria" w:hAnsi="Cambria"/>
      <w:b/>
      <w:bCs/>
      <w:sz w:val="32"/>
      <w:szCs w:val="32"/>
    </w:rPr>
  </w:style>
  <w:style w:type="paragraph" w:styleId="17">
    <w:name w:val="Body Text First Indent"/>
    <w:basedOn w:val="5"/>
    <w:next w:val="18"/>
    <w:qFormat/>
    <w:uiPriority w:val="0"/>
    <w:pPr>
      <w:ind w:firstLine="420" w:firstLineChars="100"/>
    </w:pPr>
  </w:style>
  <w:style w:type="paragraph" w:styleId="18">
    <w:name w:val="Body Text First Indent 2"/>
    <w:basedOn w:val="6"/>
    <w:next w:val="1"/>
    <w:qFormat/>
    <w:uiPriority w:val="0"/>
    <w:pPr>
      <w:spacing w:after="120" w:afterLines="0" w:line="240" w:lineRule="auto"/>
      <w:ind w:left="420" w:leftChars="200" w:firstLine="420" w:firstLineChars="20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character" w:styleId="23">
    <w:name w:val="page number"/>
    <w:basedOn w:val="21"/>
    <w:qFormat/>
    <w:uiPriority w:val="0"/>
  </w:style>
  <w:style w:type="character" w:styleId="24">
    <w:name w:val="FollowedHyperlink"/>
    <w:basedOn w:val="21"/>
    <w:qFormat/>
    <w:uiPriority w:val="0"/>
    <w:rPr>
      <w:color w:val="800080"/>
      <w:u w:val="none"/>
    </w:rPr>
  </w:style>
  <w:style w:type="character" w:styleId="25">
    <w:name w:val="HTML Definition"/>
    <w:basedOn w:val="21"/>
    <w:qFormat/>
    <w:uiPriority w:val="0"/>
  </w:style>
  <w:style w:type="character" w:styleId="26">
    <w:name w:val="HTML Typewriter"/>
    <w:basedOn w:val="21"/>
    <w:qFormat/>
    <w:uiPriority w:val="0"/>
    <w:rPr>
      <w:rFonts w:hint="default" w:ascii="monospace" w:hAnsi="monospace" w:eastAsia="monospace" w:cs="monospace"/>
      <w:sz w:val="20"/>
    </w:rPr>
  </w:style>
  <w:style w:type="character" w:styleId="27">
    <w:name w:val="HTML Acronym"/>
    <w:basedOn w:val="21"/>
    <w:qFormat/>
    <w:uiPriority w:val="0"/>
  </w:style>
  <w:style w:type="character" w:styleId="28">
    <w:name w:val="HTML Variable"/>
    <w:basedOn w:val="21"/>
    <w:qFormat/>
    <w:uiPriority w:val="0"/>
  </w:style>
  <w:style w:type="character" w:styleId="29">
    <w:name w:val="Hyperlink"/>
    <w:basedOn w:val="21"/>
    <w:qFormat/>
    <w:uiPriority w:val="0"/>
    <w:rPr>
      <w:color w:val="0000FF"/>
      <w:u w:val="none"/>
    </w:rPr>
  </w:style>
  <w:style w:type="character" w:styleId="30">
    <w:name w:val="HTML Code"/>
    <w:basedOn w:val="21"/>
    <w:qFormat/>
    <w:uiPriority w:val="0"/>
    <w:rPr>
      <w:rFonts w:hint="default" w:ascii="monospace" w:hAnsi="monospace" w:eastAsia="monospace" w:cs="monospace"/>
      <w:sz w:val="20"/>
    </w:rPr>
  </w:style>
  <w:style w:type="character" w:styleId="31">
    <w:name w:val="HTML Cite"/>
    <w:basedOn w:val="21"/>
    <w:qFormat/>
    <w:uiPriority w:val="0"/>
  </w:style>
  <w:style w:type="character" w:styleId="32">
    <w:name w:val="HTML Keyboard"/>
    <w:basedOn w:val="21"/>
    <w:qFormat/>
    <w:uiPriority w:val="0"/>
    <w:rPr>
      <w:rFonts w:ascii="monospace" w:hAnsi="monospace" w:eastAsia="monospace" w:cs="monospace"/>
      <w:sz w:val="20"/>
    </w:rPr>
  </w:style>
  <w:style w:type="character" w:styleId="33">
    <w:name w:val="HTML Sample"/>
    <w:basedOn w:val="21"/>
    <w:qFormat/>
    <w:uiPriority w:val="0"/>
    <w:rPr>
      <w:rFonts w:hint="default" w:ascii="monospace" w:hAnsi="monospace" w:eastAsia="monospace" w:cs="monospace"/>
    </w:rPr>
  </w:style>
  <w:style w:type="paragraph" w:customStyle="1" w:styleId="34">
    <w:name w:val="无间隔1"/>
    <w:basedOn w:val="1"/>
    <w:qFormat/>
    <w:uiPriority w:val="1"/>
    <w:pPr>
      <w:spacing w:line="400" w:lineRule="exact"/>
    </w:pPr>
  </w:style>
  <w:style w:type="paragraph" w:customStyle="1" w:styleId="35">
    <w:name w:val="*正文"/>
    <w:basedOn w:val="1"/>
    <w:next w:val="1"/>
    <w:qFormat/>
    <w:uiPriority w:val="0"/>
    <w:pPr>
      <w:spacing w:line="360" w:lineRule="auto"/>
      <w:ind w:firstLine="200" w:firstLineChars="200"/>
    </w:pPr>
    <w:rPr>
      <w:rFonts w:hint="eastAsia" w:ascii="宋体" w:hAnsi="宋体" w:eastAsia="宋体" w:cs="Times New Roman"/>
      <w:kern w:val="0"/>
      <w:sz w:val="20"/>
      <w:szCs w:val="24"/>
    </w:rPr>
  </w:style>
  <w:style w:type="paragraph" w:styleId="36">
    <w:name w:val="List Paragraph"/>
    <w:basedOn w:val="1"/>
    <w:qFormat/>
    <w:uiPriority w:val="0"/>
    <w:pPr>
      <w:ind w:firstLine="420" w:firstLineChars="200"/>
    </w:pPr>
    <w:rPr>
      <w:sz w:val="21"/>
      <w:szCs w:val="24"/>
    </w:rPr>
  </w:style>
  <w:style w:type="paragraph" w:customStyle="1" w:styleId="37">
    <w:name w:val="Default"/>
    <w:next w:val="38"/>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8">
    <w:name w:val="Char Char10 Char Char Char Char"/>
    <w:basedOn w:val="1"/>
    <w:next w:val="39"/>
    <w:qFormat/>
    <w:uiPriority w:val="0"/>
    <w:rPr>
      <w:rFonts w:ascii="Calibri" w:hAnsi="Calibri"/>
    </w:rPr>
  </w:style>
  <w:style w:type="paragraph" w:customStyle="1" w:styleId="39">
    <w:name w:val="xl87"/>
    <w:basedOn w:val="1"/>
    <w:next w:val="40"/>
    <w:qFormat/>
    <w:uiPriority w:val="0"/>
    <w:pPr>
      <w:widowControl/>
      <w:shd w:val="clear" w:color="FFFFFF" w:fill="FFFFFF"/>
      <w:spacing w:before="280" w:after="280"/>
      <w:jc w:val="right"/>
    </w:pPr>
    <w:rPr>
      <w:rFonts w:hAnsi="Calibri"/>
      <w:sz w:val="24"/>
    </w:rPr>
  </w:style>
  <w:style w:type="paragraph" w:customStyle="1" w:styleId="40">
    <w:name w:val="xl72"/>
    <w:basedOn w:val="1"/>
    <w:next w:val="8"/>
    <w:qFormat/>
    <w:uiPriority w:val="0"/>
    <w:pPr>
      <w:widowControl/>
      <w:shd w:val="clear" w:color="FFFFFF" w:fill="FFFFFF"/>
      <w:spacing w:before="280" w:after="280"/>
      <w:jc w:val="right"/>
    </w:pPr>
    <w:rPr>
      <w:rFonts w:hAnsi="Calibri"/>
      <w:sz w:val="24"/>
    </w:rPr>
  </w:style>
  <w:style w:type="paragraph" w:customStyle="1" w:styleId="41">
    <w:name w:val="招标正文"/>
    <w:basedOn w:val="1"/>
    <w:qFormat/>
    <w:uiPriority w:val="0"/>
    <w:pPr>
      <w:spacing w:line="360" w:lineRule="auto"/>
      <w:ind w:firstLine="480" w:firstLineChars="200"/>
    </w:pPr>
    <w:rPr>
      <w:rFonts w:ascii="宋体" w:hAnsi="宋体"/>
      <w:sz w:val="24"/>
      <w:szCs w:val="24"/>
    </w:rPr>
  </w:style>
  <w:style w:type="paragraph" w:customStyle="1" w:styleId="42">
    <w:name w:val="段"/>
    <w:next w:val="1"/>
    <w:qFormat/>
    <w:uiPriority w:val="0"/>
    <w:pPr>
      <w:autoSpaceDE w:val="0"/>
      <w:autoSpaceDN w:val="0"/>
      <w:ind w:firstLine="200" w:firstLineChars="200"/>
      <w:jc w:val="both"/>
    </w:pPr>
    <w:rPr>
      <w:rFonts w:ascii="宋体" w:hAnsi="Times New Roman" w:eastAsia="Times New Roman" w:cs="Times New Roman"/>
      <w:sz w:val="21"/>
      <w:lang w:val="en-US" w:eastAsia="zh-CN" w:bidi="ar-SA"/>
    </w:rPr>
  </w:style>
  <w:style w:type="paragraph" w:customStyle="1" w:styleId="43">
    <w:name w:val="BodyText1I2"/>
    <w:basedOn w:val="44"/>
    <w:next w:val="45"/>
    <w:qFormat/>
    <w:uiPriority w:val="0"/>
    <w:pPr>
      <w:ind w:firstLine="420" w:firstLineChars="200"/>
    </w:pPr>
    <w:rPr>
      <w:rFonts w:ascii="Calibri" w:hAnsi="Calibri" w:eastAsia="楷体_GB2312"/>
      <w:kern w:val="44"/>
      <w:sz w:val="44"/>
    </w:rPr>
  </w:style>
  <w:style w:type="paragraph" w:customStyle="1" w:styleId="44">
    <w:name w:val="BodyTextIndent"/>
    <w:basedOn w:val="1"/>
    <w:qFormat/>
    <w:uiPriority w:val="0"/>
    <w:pPr>
      <w:spacing w:after="120"/>
      <w:ind w:left="420" w:leftChars="200"/>
    </w:pPr>
    <w:rPr>
      <w:rFonts w:ascii="Times New Roman" w:hAnsi="Times New Roman"/>
      <w:kern w:val="0"/>
      <w:sz w:val="20"/>
    </w:rPr>
  </w:style>
  <w:style w:type="paragraph" w:customStyle="1" w:styleId="45">
    <w:name w:val="UserStyle_136"/>
    <w:basedOn w:val="1"/>
    <w:next w:val="1"/>
    <w:qFormat/>
    <w:uiPriority w:val="0"/>
    <w:pPr>
      <w:spacing w:after="120" w:line="320" w:lineRule="atLeast"/>
      <w:ind w:firstLine="200" w:firstLineChars="200"/>
    </w:pPr>
    <w:rPr>
      <w:rFonts w:ascii="Arial" w:hAnsi="Arial"/>
      <w:kern w:val="0"/>
    </w:rPr>
  </w:style>
  <w:style w:type="paragraph" w:customStyle="1" w:styleId="46">
    <w:name w:val="Table Text"/>
    <w:basedOn w:val="1"/>
    <w:semiHidden/>
    <w:qFormat/>
    <w:uiPriority w:val="0"/>
    <w:rPr>
      <w:rFonts w:ascii="宋体" w:hAnsi="宋体" w:eastAsia="宋体" w:cs="宋体"/>
      <w:sz w:val="19"/>
      <w:szCs w:val="19"/>
      <w:lang w:val="en-US" w:eastAsia="en-US" w:bidi="ar-SA"/>
    </w:rPr>
  </w:style>
  <w:style w:type="table" w:customStyle="1" w:styleId="47">
    <w:name w:val="Table Normal"/>
    <w:semiHidden/>
    <w:unhideWhenUsed/>
    <w:qFormat/>
    <w:uiPriority w:val="0"/>
    <w:tblPr>
      <w:tblCellMar>
        <w:top w:w="0" w:type="dxa"/>
        <w:left w:w="0" w:type="dxa"/>
        <w:bottom w:w="0" w:type="dxa"/>
        <w:right w:w="0" w:type="dxa"/>
      </w:tblCellMar>
    </w:tblPr>
  </w:style>
  <w:style w:type="paragraph" w:customStyle="1" w:styleId="48">
    <w:name w:val="正文_13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9">
    <w:name w:val="Table Paragraph"/>
    <w:basedOn w:val="1"/>
    <w:qFormat/>
    <w:uiPriority w:val="0"/>
    <w:pPr>
      <w:keepNext w:val="0"/>
      <w:keepLines w:val="0"/>
      <w:widowControl w:val="0"/>
      <w:suppressLineNumbers w:val="0"/>
      <w:autoSpaceDE w:val="0"/>
      <w:autoSpaceDN w:val="0"/>
      <w:spacing w:before="0" w:beforeAutospacing="0" w:after="0" w:afterAutospacing="0"/>
      <w:ind w:left="0" w:right="0"/>
      <w:jc w:val="left"/>
    </w:pPr>
    <w:rPr>
      <w:rFonts w:hint="eastAsia" w:ascii="宋体" w:hAnsi="宋体" w:eastAsia="宋体" w:cs="宋体"/>
      <w:kern w:val="0"/>
      <w:sz w:val="22"/>
      <w:szCs w:val="22"/>
      <w:lang w:val="en-US" w:eastAsia="zh-CN" w:bidi="ar"/>
    </w:rPr>
  </w:style>
  <w:style w:type="paragraph" w:customStyle="1" w:styleId="50">
    <w:name w:val="文档正文"/>
    <w:basedOn w:val="1"/>
    <w:qFormat/>
    <w:uiPriority w:val="0"/>
    <w:pPr>
      <w:adjustRightInd w:val="0"/>
      <w:spacing w:line="480" w:lineRule="atLeast"/>
      <w:ind w:firstLine="567"/>
      <w:textAlignment w:val="baseline"/>
    </w:pPr>
    <w:rPr>
      <w:rFonts w:ascii="仿宋_GB2312" w:eastAsia="仿宋_GB2312"/>
      <w:kern w:val="0"/>
      <w:sz w:val="28"/>
    </w:rPr>
  </w:style>
  <w:style w:type="paragraph" w:customStyle="1" w:styleId="51">
    <w:name w:val="正文_5_0"/>
    <w:qFormat/>
    <w:uiPriority w:val="0"/>
    <w:pPr>
      <w:widowControl w:val="0"/>
      <w:jc w:val="both"/>
    </w:pPr>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8.xml"/><Relationship Id="rId16" Type="http://schemas.openxmlformats.org/officeDocument/2006/relationships/header" Target="header5.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84</Pages>
  <Words>44397</Words>
  <Characters>46184</Characters>
  <Lines>0</Lines>
  <Paragraphs>0</Paragraphs>
  <TotalTime>0</TotalTime>
  <ScaleCrop>false</ScaleCrop>
  <LinksUpToDate>false</LinksUpToDate>
  <CharactersWithSpaces>48127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2026-07-06T03:26:00Z</dcterms:created>
  <dc:creator>含</dc:creator>
  <cp:lastModifiedBy>旻</cp:lastModifiedBy>
  <cp:lastPrinted>2026-09-09T00:43:00Z</cp:lastPrinted>
  <dcterms:modified xsi:type="dcterms:W3CDTF">2026-09-11T06:52:08Z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7611CB6E44A041BE8EBBC6E80FAD2224_13</vt:lpwstr>
  </property>
  <property fmtid="{D5CDD505-2E9C-101B-9397-08002B2CF9AE}" pid="4" name="KSOTemplateDocerSaveRecord">
    <vt:lpwstr>eyJoZGlkIjoiYWFjOTMzOWRhYzk3NDhjMzlkNTE1MjVmMGRiODY1NzUiLCJ1c2VySWQiOiIxMTM3Nzk1MjE2In0=</vt:lpwstr>
  </property>
</Properties>
</file>